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B1" w:rsidRDefault="001E0F65">
      <w:pPr>
        <w:pStyle w:val="Nagwek10"/>
        <w:keepNext/>
        <w:keepLines/>
      </w:pPr>
      <w:bookmarkStart w:id="0" w:name="bookmark0"/>
      <w:bookmarkStart w:id="1" w:name="_GoBack"/>
      <w:bookmarkEnd w:id="1"/>
      <w:r>
        <w:rPr>
          <w:rStyle w:val="Nagwek1"/>
          <w:b/>
          <w:bCs/>
        </w:rPr>
        <w:t>Plan działalności Ministra Aktywów Państwowych na rok 2023</w:t>
      </w:r>
      <w:r>
        <w:rPr>
          <w:rStyle w:val="Nagwek1"/>
          <w:b/>
          <w:bCs/>
        </w:rPr>
        <w:br/>
        <w:t>dla działów administracji rządowej: aktywa państwowe, gospodarka złożami kopalin, łączność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2064"/>
        <w:gridCol w:w="2069"/>
        <w:gridCol w:w="5242"/>
        <w:gridCol w:w="2563"/>
      </w:tblGrid>
      <w:tr w:rsidR="001E20B1">
        <w:trPr>
          <w:trHeight w:hRule="exact" w:val="835"/>
          <w:jc w:val="center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after="100" w:line="240" w:lineRule="auto"/>
            </w:pPr>
            <w:r>
              <w:rPr>
                <w:rStyle w:val="Inne"/>
                <w:b/>
                <w:bCs/>
              </w:rPr>
              <w:t>CZĘŚĆ A: Najważniejsze cele do realizacji w roku 2023</w:t>
            </w:r>
          </w:p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  <w:i/>
                <w:iCs/>
              </w:rPr>
              <w:t>(w tej części planu należy wskazać nie więcej niż pięć najważniejszych celów przyjętych przez ministra/kierownika jednostki do realizacji w zakresie jego właściwości)</w:t>
            </w:r>
          </w:p>
        </w:tc>
      </w:tr>
      <w:tr w:rsidR="001E20B1">
        <w:trPr>
          <w:trHeight w:hRule="exact" w:val="59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Cel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Mierniki określające stopień realizacji celu</w:t>
            </w:r>
            <w:r>
              <w:rPr>
                <w:rStyle w:val="Inne"/>
                <w:b/>
                <w:bCs/>
                <w:vertAlign w:val="superscript"/>
              </w:rPr>
              <w:t>1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Najważniejsze zadania służące realizacji celu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Odniesienie do dokumentu o charakterze strategicznym</w:t>
            </w:r>
            <w:r>
              <w:rPr>
                <w:rStyle w:val="Inne"/>
                <w:b/>
                <w:bCs/>
                <w:vertAlign w:val="superscript"/>
              </w:rPr>
              <w:t>2</w:t>
            </w:r>
          </w:p>
        </w:tc>
      </w:tr>
      <w:tr w:rsidR="001E20B1">
        <w:trPr>
          <w:trHeight w:hRule="exact" w:val="127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planowana wartość do osiągnięcia na koniec roku, którego dotyczy plan</w:t>
            </w:r>
          </w:p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</w:tr>
      <w:tr w:rsidR="001E20B1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6</w:t>
            </w:r>
          </w:p>
        </w:tc>
      </w:tr>
      <w:tr w:rsidR="001E20B1">
        <w:trPr>
          <w:trHeight w:hRule="exact" w:val="5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Realizacja interesów Skarbu Państwa w podmiotach nadzorowanych i podległych.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Wykonywanie praw z akcji/udziałów w związku z Walnym Zgromadzeniem (WZ)/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Zgromadzeniem Wspólników (ZW) spółek z udziałem Skarbu Państwa, w których prawa z akcji i udziałów wykonuje minister właściwy do spraw aktywów państwowych (w %) - (notatka na Walne Zgromadzenie/ Zgromadzenie Wspólników przez łączną liczbę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80%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Zapewnienie właściwego nadzoru właścicielskiego i ochrony praw i interesów w spółkach z udziałem Skarbu Państwa, w których prawa z akcji/udziałów wykonuje minister właściwy do spraw aktywów państwowych.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Strategia na rzecz Odpowiedzialnego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Rozwoju do roku 2020 (z perspektywą do 2030 r.).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Ustawa z dnia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15 września 2000 r. - Kodeks spółek handlowych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(Dz. U. z 2022 r.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poz. 1467, z późn. zm.). Ustawa z dnia 16 grudnia 2016 r. o zasadach zarządzania mieniem państwowym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(Dz. U. z 2021 r.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poz. 1933, z późn. zm.).</w:t>
            </w:r>
          </w:p>
        </w:tc>
      </w:tr>
    </w:tbl>
    <w:p w:rsidR="001E20B1" w:rsidRDefault="001E0F65">
      <w:pPr>
        <w:pStyle w:val="Podpistabeli0"/>
      </w:pPr>
      <w:r>
        <w:rPr>
          <w:rStyle w:val="Podpistabeli"/>
          <w:vertAlign w:val="superscript"/>
        </w:rPr>
        <w:t>1</w:t>
      </w:r>
      <w:r>
        <w:rPr>
          <w:rStyle w:val="Podpistabeli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  <w:p w:rsidR="001E20B1" w:rsidRDefault="001E0F65">
      <w:pPr>
        <w:pStyle w:val="Podpistabeli0"/>
      </w:pPr>
      <w:r>
        <w:rPr>
          <w:rStyle w:val="Podpistabeli"/>
          <w:vertAlign w:val="superscript"/>
        </w:rPr>
        <w:t>2</w:t>
      </w:r>
      <w:r>
        <w:rPr>
          <w:rStyle w:val="Podpistabeli"/>
        </w:rPr>
        <w:t xml:space="preserve"> Jeżeli potrzeba realizacji wskazanego celu wynika z dokumentu o charakterze strategicznym, należy podać jego nazwę.</w:t>
      </w:r>
    </w:p>
    <w:p w:rsidR="001E20B1" w:rsidRDefault="001E0F6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2064"/>
        <w:gridCol w:w="2069"/>
        <w:gridCol w:w="5242"/>
        <w:gridCol w:w="2563"/>
      </w:tblGrid>
      <w:tr w:rsidR="001E20B1">
        <w:trPr>
          <w:trHeight w:hRule="exact" w:val="39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</w:rPr>
              <w:t>odbytych WZ/ZW).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</w:tr>
      <w:tr w:rsidR="001E20B1">
        <w:trPr>
          <w:trHeight w:hRule="exact" w:val="38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Terminowość podejmowanych działań - Stosunek liczby spraw podejmowanych niezwłocznie (nie później niż 10 dni roboczych od wpływu pisma do właściwej komórki organizacyjnej) do liczby wszystkich spraw.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85%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Realizacja zadań wynikających z nadzoru Ministra Aktywów Państwowych nad Prezesem Wyższego Urzędu Górniczego.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Strategia na rzecz Odpowiedzialnego Rozwoju do roku 2020 (z perspektywą do 2030 r.).</w:t>
            </w:r>
          </w:p>
        </w:tc>
      </w:tr>
      <w:tr w:rsidR="001E20B1">
        <w:trPr>
          <w:trHeight w:hRule="exact" w:val="3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Wykonanie obowiązków w zakresie nieodpłatnego zbywania akcji/udziałów Skarbu Państwa na rzecz osób uprawnionych na podstawie ustawy o komercjalizacji i niektórych uprawnieniach pracowników.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Odsetek prawidłowo przygotowanych przez spółki umów nieodpłatnego zbycia akcji/udziałów zawartych przez Ministra Aktywów Państwowych z osobami uprawnionymi.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100%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numPr>
                <w:ilvl w:val="0"/>
                <w:numId w:val="1"/>
              </w:numPr>
              <w:tabs>
                <w:tab w:val="left" w:pos="341"/>
              </w:tabs>
              <w:ind w:left="400" w:hanging="400"/>
            </w:pPr>
            <w:r>
              <w:rPr>
                <w:rStyle w:val="Inne"/>
              </w:rPr>
              <w:t>Weryfikacja umów nieodpłatnego zbycia akcji/udziałów przygotowywanych przez spółki.</w:t>
            </w:r>
          </w:p>
          <w:p w:rsidR="001E20B1" w:rsidRDefault="001E0F65">
            <w:pPr>
              <w:pStyle w:val="Inne0"/>
              <w:numPr>
                <w:ilvl w:val="0"/>
                <w:numId w:val="1"/>
              </w:numPr>
              <w:tabs>
                <w:tab w:val="left" w:pos="341"/>
              </w:tabs>
              <w:ind w:left="400" w:hanging="400"/>
            </w:pPr>
            <w:r>
              <w:rPr>
                <w:rStyle w:val="Inne"/>
              </w:rPr>
              <w:t>Zawieranie umów nieodpłatnego zbycia akcji/udziałów przez Ministra Aktywów Państwowych.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Strategia na rzecz Odpowiedzialnego Rozwoju do roku 2020 (z perspektywą do 2030 r.).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Ustawa z dnia 30 sierpnia 1996 r. o komercjalizacji i niektórych uprawnieniach pracowników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(Dz. U. z 2022 r. poz. 318, ze zm.).</w:t>
            </w:r>
          </w:p>
        </w:tc>
      </w:tr>
      <w:tr w:rsidR="001E20B1">
        <w:trPr>
          <w:trHeight w:hRule="exact" w:val="26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Rozwój sektora energetycznego, w tym rozwój sektora morskiej energetyki wiatrowej.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Realizacja zadań ustawowych określonych w ustawie z dnia 17 grudnia 2020 r. o promowaniu wytwarzania energii elektrycznej w morskich farmach wiatrowych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90%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numPr>
                <w:ilvl w:val="0"/>
                <w:numId w:val="2"/>
              </w:numPr>
              <w:tabs>
                <w:tab w:val="left" w:pos="274"/>
              </w:tabs>
              <w:ind w:left="400" w:hanging="400"/>
            </w:pPr>
            <w:r>
              <w:rPr>
                <w:rStyle w:val="Inne"/>
              </w:rPr>
              <w:t>Opiniowanie kierunków zmiany prawa w celu optymalnego wykorzystania aktywów państwowych w zakresie pozwalającym na rozwój sektora energetycznego, w tym rozwój sektora morskiej energetyki wiatrowej.</w:t>
            </w:r>
          </w:p>
          <w:p w:rsidR="001E20B1" w:rsidRDefault="001E0F65">
            <w:pPr>
              <w:pStyle w:val="Inne0"/>
              <w:numPr>
                <w:ilvl w:val="0"/>
                <w:numId w:val="2"/>
              </w:numPr>
              <w:tabs>
                <w:tab w:val="left" w:pos="274"/>
              </w:tabs>
              <w:ind w:left="400" w:hanging="400"/>
            </w:pPr>
            <w:r>
              <w:rPr>
                <w:rStyle w:val="Inne"/>
              </w:rPr>
              <w:t>Obsługa zadań Pełnomocnika do spraw koordynacji działań podmiotów objętych nadzorem właścicielskim Ministra Aktywów Państwowych w procesie realizacji inwestycji w zakresie morskich farm wiatrowych.</w:t>
            </w:r>
          </w:p>
          <w:p w:rsidR="001E20B1" w:rsidRDefault="001E0F65">
            <w:pPr>
              <w:pStyle w:val="Inne0"/>
              <w:numPr>
                <w:ilvl w:val="0"/>
                <w:numId w:val="2"/>
              </w:numPr>
              <w:tabs>
                <w:tab w:val="left" w:pos="274"/>
              </w:tabs>
            </w:pPr>
            <w:r>
              <w:rPr>
                <w:rStyle w:val="Inne"/>
              </w:rPr>
              <w:t>Przedstawianie opinii ministra właściwego do spraw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Zarządzenie Ministra Aktywów Państwowych z dnia 26 lutego 2020 r. w sprawie ustanowienia Pełnomocnika do spraw koordynacji działań podmiotów objętych nadzorem właścicielskim Ministra Aktywów Państwowych w procesie</w:t>
            </w:r>
          </w:p>
        </w:tc>
      </w:tr>
    </w:tbl>
    <w:p w:rsidR="001E20B1" w:rsidRDefault="001E0F6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2064"/>
        <w:gridCol w:w="2069"/>
        <w:gridCol w:w="5242"/>
        <w:gridCol w:w="2563"/>
      </w:tblGrid>
      <w:tr w:rsidR="001E20B1">
        <w:trPr>
          <w:trHeight w:hRule="exact" w:val="51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(Dz. U. z 2022 r. poz. 1050).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ind w:left="400"/>
            </w:pPr>
            <w:r>
              <w:rPr>
                <w:rStyle w:val="Inne"/>
              </w:rPr>
              <w:t>aktywów państwowych do rozporządzenia Ministra Klimatu określającego maksymalną cenę, wyrażoną w złotych za 1 MWh, jaka może być wskazana w ofertach złożonych w aukcji przez wytwórców prowadzących działalność gospodarczą w sektorze morskiej energetyki wiatrowej.</w:t>
            </w:r>
          </w:p>
          <w:p w:rsidR="001E20B1" w:rsidRDefault="001E0F65">
            <w:pPr>
              <w:pStyle w:val="Inne0"/>
              <w:numPr>
                <w:ilvl w:val="0"/>
                <w:numId w:val="3"/>
              </w:numPr>
              <w:tabs>
                <w:tab w:val="left" w:pos="283"/>
              </w:tabs>
              <w:ind w:left="400" w:hanging="400"/>
            </w:pPr>
            <w:r>
              <w:rPr>
                <w:rStyle w:val="Inne"/>
              </w:rPr>
              <w:t>Analiza i przetwarzanie informacji przekazywanych przez Prezesa URE dotyczących rozwoju sektora morskiej energetyki wiatrowej.</w:t>
            </w:r>
          </w:p>
          <w:p w:rsidR="001E20B1" w:rsidRDefault="001E0F65">
            <w:pPr>
              <w:pStyle w:val="Inne0"/>
              <w:numPr>
                <w:ilvl w:val="0"/>
                <w:numId w:val="3"/>
              </w:numPr>
              <w:tabs>
                <w:tab w:val="left" w:pos="283"/>
              </w:tabs>
              <w:ind w:left="400" w:hanging="400"/>
            </w:pPr>
            <w:r>
              <w:rPr>
                <w:rStyle w:val="Inne"/>
              </w:rPr>
              <w:t>Analiza i przetwarzanie informacji przekazywanych przez Prezesa URE dotyczących planu łańcucha dostaw materiałów i usług.</w:t>
            </w:r>
          </w:p>
          <w:p w:rsidR="001E20B1" w:rsidRDefault="001E0F65">
            <w:pPr>
              <w:pStyle w:val="Inne0"/>
              <w:numPr>
                <w:ilvl w:val="0"/>
                <w:numId w:val="3"/>
              </w:numPr>
              <w:tabs>
                <w:tab w:val="left" w:pos="283"/>
              </w:tabs>
              <w:ind w:left="400" w:hanging="400"/>
            </w:pPr>
            <w:r>
              <w:rPr>
                <w:rStyle w:val="Inne"/>
              </w:rPr>
              <w:t>Opiniowanie wniosków inwestorów o wydanie pozwoleń na wznoszenie lub wykorzystywanie sztucznych wysp, konstrukcji i urządzeń w polskich obszarach morskich ustalających ich lokalizację oraz określających warunki ich wykorzystania na tych obszarach, a także opiniowanie wniosków inwestorów dotyczących infrastruktury kablowej.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realizacji inwestycji w zakresie morskich farm wiatrowych (Dz. Urz. Min. Ak. Państ. poz. 5).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Ustawa z dnia 17 grudnia 2020 r. o promowaniu wytwarzania energii elektrycznej w morskich farmach wiatrowych.</w:t>
            </w:r>
          </w:p>
        </w:tc>
      </w:tr>
      <w:tr w:rsidR="001E20B1">
        <w:trPr>
          <w:trHeight w:hRule="exact" w:val="19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Regulacja i wspieranie rozwoju rynku pocztowego.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Stopień liczby notyfikacji w stosunku do liczby planowanych notyfikacji.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100%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Notyfikacja w Komisji Europejskiej pomocy publicznej wynikającej z ustawy zmieniającej ustawę - Prawo Pocztowe.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Strategia na rzecz Odpowiedzialnego Rozwoju do roku 2020 (z perspektywą do 2030 r.).</w:t>
            </w:r>
          </w:p>
        </w:tc>
      </w:tr>
      <w:tr w:rsidR="001E20B1">
        <w:trPr>
          <w:trHeight w:hRule="exact" w:val="25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Stopień liczby przygotowanych aktów normatywnych w stosunku do liczby aktów planowanych do opracowania.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100%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Przygotowanie rozporządzenia Ministra Aktywów Państwowych w sprawie kalkulacji kosztu netto obowiązku świadczenia usług powszechnych oraz szczegółowych zasad uruchomienia wypłaty finansowania kosztu netto.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20B1"/>
        </w:tc>
      </w:tr>
    </w:tbl>
    <w:p w:rsidR="001E20B1" w:rsidRDefault="001E0F65">
      <w:pPr>
        <w:pStyle w:val="Podpistabeli0"/>
        <w:ind w:left="91"/>
        <w:rPr>
          <w:sz w:val="20"/>
          <w:szCs w:val="20"/>
        </w:rPr>
      </w:pPr>
      <w:r>
        <w:rPr>
          <w:rStyle w:val="Podpistabeli"/>
          <w:b/>
          <w:bCs/>
          <w:sz w:val="20"/>
          <w:szCs w:val="20"/>
        </w:rPr>
        <w:t>CZĘŚĆ B: Cele priorytetowe wynikające z budżetu państwa w układzie zadaniowym do realizacji w roku 2023</w:t>
      </w:r>
      <w:r>
        <w:br w:type="page"/>
      </w:r>
    </w:p>
    <w:p w:rsidR="001E20B1" w:rsidRDefault="001E0F65">
      <w:pPr>
        <w:pStyle w:val="Teksttreci0"/>
        <w:spacing w:after="100"/>
      </w:pPr>
      <w:r>
        <w:rPr>
          <w:rStyle w:val="Teksttreci"/>
          <w:i/>
          <w:iCs/>
        </w:rPr>
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4133"/>
        <w:gridCol w:w="3898"/>
        <w:gridCol w:w="3907"/>
      </w:tblGrid>
      <w:tr w:rsidR="001E20B1">
        <w:trPr>
          <w:trHeight w:hRule="exact" w:val="36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Cel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Mierniki określające stopień realizacji celu</w:t>
            </w:r>
            <w:r>
              <w:rPr>
                <w:rStyle w:val="Inne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Podzadania budżetowe służące realizacji celu</w:t>
            </w:r>
            <w:r>
              <w:rPr>
                <w:rStyle w:val="Inne"/>
                <w:b/>
                <w:bCs/>
                <w:vertAlign w:val="superscript"/>
              </w:rPr>
              <w:footnoteReference w:id="2"/>
            </w:r>
          </w:p>
        </w:tc>
      </w:tr>
      <w:tr w:rsidR="001E20B1">
        <w:trPr>
          <w:trHeight w:hRule="exact" w:val="5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planowana wartość do osiągnięcia na koniec roku, którego dotyczy plan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</w:tr>
      <w:tr w:rsidR="001E20B1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</w:tr>
      <w:tr w:rsidR="001E20B1">
        <w:trPr>
          <w:trHeight w:hRule="exact" w:val="92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Kształtowanie warunków dla funkcjonowania górnictwa węglowego.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Roczne wydobycie węgla kamiennego (w tonach).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53 mln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Zabezpieczenie potrzeb rynku w zakresie dostaw węgla kamiennego z polskich kopalń.</w:t>
            </w:r>
          </w:p>
        </w:tc>
      </w:tr>
      <w:tr w:rsidR="001E20B1">
        <w:trPr>
          <w:trHeight w:hRule="exact" w:val="11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</w:rPr>
              <w:t>Średni jednostkowy koszt wydobycia węgla.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&lt; 480,00 zł/t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Realizacja zadań służących poprawie efektywności funkcjonowania górnictwa węgla kamiennego ujętych w programie dla sektora górnictwa węgla kamiennego.</w:t>
            </w:r>
          </w:p>
        </w:tc>
      </w:tr>
      <w:tr w:rsidR="001E20B1">
        <w:trPr>
          <w:trHeight w:hRule="exact" w:val="92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Roczne wydobycie węgla brunatnego (w tonach).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40 mln t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Zabezpieczenie potrzeb rynku w zakresie dostaw węgla brunatnego z polskich kopalń.</w:t>
            </w:r>
          </w:p>
        </w:tc>
      </w:tr>
      <w:tr w:rsidR="001E20B1">
        <w:trPr>
          <w:trHeight w:hRule="exact" w:val="393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</w:rPr>
              <w:t>Wykorzystanie dotacji budżetowej.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nie mniej niż 90%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Restrukturyzacja sektora górnictwa węgla kamiennego, w tym zapewnienie finansowania zadań związanych z likwidacją majątku nieprodukcyjnego, naprawianiem szkód górniczych oraz wypłatą świadczeń osłonowych dla pracowników.</w:t>
            </w:r>
          </w:p>
        </w:tc>
      </w:tr>
    </w:tbl>
    <w:p w:rsidR="001E20B1" w:rsidRDefault="001E0F65">
      <w:pPr>
        <w:pStyle w:val="Podpistabeli0"/>
        <w:ind w:left="91"/>
        <w:rPr>
          <w:sz w:val="20"/>
          <w:szCs w:val="20"/>
        </w:rPr>
      </w:pPr>
      <w:r>
        <w:rPr>
          <w:rStyle w:val="Podpistabeli"/>
          <w:b/>
          <w:bCs/>
          <w:sz w:val="20"/>
          <w:szCs w:val="20"/>
        </w:rPr>
        <w:t>CZĘŚĆ C: Inne cele przyjęte do realizacji w roku 2023</w:t>
      </w:r>
    </w:p>
    <w:p w:rsidR="001E20B1" w:rsidRDefault="001E0F65">
      <w:pPr>
        <w:spacing w:line="1" w:lineRule="exact"/>
      </w:pPr>
      <w:r>
        <w:br w:type="page"/>
      </w:r>
    </w:p>
    <w:p w:rsidR="001E20B1" w:rsidRDefault="001E0F65">
      <w:pPr>
        <w:pStyle w:val="Podpistabeli0"/>
        <w:ind w:left="101"/>
        <w:rPr>
          <w:sz w:val="20"/>
          <w:szCs w:val="20"/>
        </w:rPr>
      </w:pPr>
      <w:r>
        <w:rPr>
          <w:rStyle w:val="Podpistabeli"/>
          <w:i/>
          <w:iCs/>
          <w:sz w:val="20"/>
          <w:szCs w:val="20"/>
        </w:rPr>
        <w:t>(w tej części planu należy wskazać cele przyjęte do realizacji, które nie zostały wymienione w części A lub B)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3811"/>
        <w:gridCol w:w="3816"/>
        <w:gridCol w:w="4310"/>
      </w:tblGrid>
      <w:tr w:rsidR="001E20B1">
        <w:trPr>
          <w:trHeight w:hRule="exact" w:val="36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Cel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Mierniki określające stopień realizacji celu</w:t>
            </w:r>
            <w:r>
              <w:rPr>
                <w:rStyle w:val="Inne"/>
                <w:b/>
                <w:bCs/>
                <w:vertAlign w:val="superscript"/>
              </w:rPr>
              <w:t>4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before="80" w:line="240" w:lineRule="auto"/>
              <w:jc w:val="center"/>
            </w:pPr>
            <w:r>
              <w:rPr>
                <w:rStyle w:val="Inne"/>
                <w:b/>
                <w:bCs/>
              </w:rPr>
              <w:t>Najważniejsze zadania służące realizacji celu</w:t>
            </w:r>
            <w:r>
              <w:rPr>
                <w:rStyle w:val="Inne"/>
                <w:b/>
                <w:bCs/>
                <w:vertAlign w:val="superscript"/>
              </w:rPr>
              <w:t>5</w:t>
            </w:r>
          </w:p>
        </w:tc>
      </w:tr>
      <w:tr w:rsidR="001E20B1">
        <w:trPr>
          <w:trHeight w:hRule="exact" w:val="5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20B1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planowana wartość do osiągnięcia na koniec roku, którego dotyczy plan</w:t>
            </w:r>
          </w:p>
        </w:tc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20B1"/>
        </w:tc>
      </w:tr>
      <w:tr w:rsidR="001E20B1"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</w:tr>
      <w:tr w:rsidR="001E20B1">
        <w:trPr>
          <w:trHeight w:hRule="exact" w:val="22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Realizacja zadań wynikających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z art. 21 i art. 8a ust. 1 pkt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3 ustawy z dnia 16 grudnia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2016 r. o zasadach zarządzania mieniem państwowym.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Przeprowadzenie egzaminów (przeprowadzone egzaminy/14 zaplanowanych egzaminów).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75%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numPr>
                <w:ilvl w:val="0"/>
                <w:numId w:val="4"/>
              </w:numPr>
              <w:tabs>
                <w:tab w:val="left" w:pos="206"/>
              </w:tabs>
              <w:ind w:left="320" w:hanging="320"/>
            </w:pPr>
            <w:r>
              <w:rPr>
                <w:rStyle w:val="Inne"/>
              </w:rPr>
              <w:t>Organizacja i przeprowadzanie egzaminów dla kandydatów na członków organów nadzorczych.</w:t>
            </w:r>
          </w:p>
          <w:p w:rsidR="001E20B1" w:rsidRDefault="001E0F65">
            <w:pPr>
              <w:pStyle w:val="Inne0"/>
              <w:numPr>
                <w:ilvl w:val="0"/>
                <w:numId w:val="4"/>
              </w:numPr>
              <w:tabs>
                <w:tab w:val="left" w:pos="206"/>
              </w:tabs>
              <w:ind w:left="320" w:hanging="320"/>
            </w:pPr>
            <w:r>
              <w:rPr>
                <w:rStyle w:val="Inne"/>
              </w:rPr>
              <w:t>Prowadzenie listy osób, które złożyły z wynikiem pozytywnym egzamin, o którym mowa w art. 19 ust. 1 pkt 1 lit. h-k ustawy z dnia 16 grudnia 2016 r. o zasadach zarządzania mieniem państwowym.</w:t>
            </w:r>
          </w:p>
        </w:tc>
      </w:tr>
      <w:tr w:rsidR="001E20B1">
        <w:trPr>
          <w:trHeight w:hRule="exact" w:val="171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Koordynacja działań przygotowawczych do organizacji III Igrzysk Europejskich 2023 - Kraków, Małopolska 2023.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Stopień zaawansowania współpracy w ramach realizacji przedsięwzięcia.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100%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Współpraca z jednostkami samorządu terytorialnego, organami administracji rządowej, związkami, samorządami i organizacjami pozarządowymi w zakresie przygotowania i organizacji III Igrzysk Europejskich.</w:t>
            </w:r>
          </w:p>
        </w:tc>
      </w:tr>
      <w:tr w:rsidR="001E20B1">
        <w:trPr>
          <w:trHeight w:hRule="exact" w:val="277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0B1" w:rsidRDefault="001E20B1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Stopień zaawansowania monitorowania realizacji działań przygotowawczych.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100%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Monitorowanie przebiegu i realizacji przygotowań do III Igrzysk Europejskich 2023 poprzez gromadzenie i przekazywanie informacji na temat realizacji przedsięwzięć związanych z organizacją III Igrzysk Europejskich 2023 podczas posiedzeń Zespołu do spraw koordynacji działań przygotowawczych do organizacji III Igrzysk Europejskich - Kraków, Małopolska 2023.</w:t>
            </w:r>
          </w:p>
        </w:tc>
      </w:tr>
      <w:tr w:rsidR="001E20B1">
        <w:trPr>
          <w:trHeight w:hRule="exact" w:val="10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Usprawnienie</w:t>
            </w:r>
          </w:p>
          <w:p w:rsidR="001E20B1" w:rsidRDefault="001E0F65">
            <w:pPr>
              <w:pStyle w:val="Inne0"/>
            </w:pPr>
            <w:r>
              <w:rPr>
                <w:rStyle w:val="Inne"/>
              </w:rPr>
              <w:t>pozyskiwania przez spółki Skarbu Państwa funduszy europejskich oraz innych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Spółki Skarbu Państwa, wsparte w zakresie możliwości uzyskania pomocy ze środków funduszy europejskich oraz innych dostępnych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&gt; 40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Wsparcie i rozwój spółek Skarbu Państwa z wykorzystaniem zewnętrznych środków finansowania w ramach polityki spójności oraz innych dostępnych źródeł europejskich.</w:t>
            </w:r>
          </w:p>
        </w:tc>
      </w:tr>
    </w:tbl>
    <w:p w:rsidR="001E20B1" w:rsidRDefault="001E0F65">
      <w:pPr>
        <w:pStyle w:val="Podpistabeli0"/>
      </w:pPr>
      <w:r>
        <w:rPr>
          <w:rStyle w:val="Podpistabeli"/>
          <w:vertAlign w:val="superscript"/>
        </w:rPr>
        <w:t>5</w:t>
      </w:r>
      <w:r>
        <w:rPr>
          <w:rStyle w:val="Podpistabeli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  <w:p w:rsidR="001E20B1" w:rsidRDefault="001E0F6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30"/>
        <w:gridCol w:w="3811"/>
        <w:gridCol w:w="3816"/>
        <w:gridCol w:w="4310"/>
      </w:tblGrid>
      <w:tr w:rsidR="001E20B1">
        <w:trPr>
          <w:trHeight w:hRule="exact" w:val="9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dostępnych źródeł finansowania z udziałem środków europejskich.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</w:rPr>
              <w:t>źródeł europejskich.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20B1">
            <w:pPr>
              <w:rPr>
                <w:sz w:val="10"/>
                <w:szCs w:val="10"/>
              </w:rPr>
            </w:pPr>
          </w:p>
        </w:tc>
      </w:tr>
      <w:tr w:rsidR="001E20B1">
        <w:trPr>
          <w:trHeight w:hRule="exact" w:val="4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Zapewnienie spójnej polityki międzynarodowej Ministerstwa Aktywów Państwowych w zakresie organizacji i koordynacji dwustronnej i wielostronnej współpracy z krajami trzecimi (w tym z państwami Grupy Wyszehradzkiej i Inicjatywy Trójmorza) oraz w zakresie spraw związanych z członkostwem Polski w Unii Europejskiej.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Opracowanie planu współpracy zagranicznej Ministerstwa Aktywów Państwowych na 2023 rok.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Sporządzenie planu współpracy zagranicznej Ministerstwa Aktywów Państwowych na 2023 rok.</w:t>
            </w:r>
          </w:p>
        </w:tc>
      </w:tr>
      <w:tr w:rsidR="001E20B1">
        <w:trPr>
          <w:trHeight w:hRule="exact" w:val="24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</w:pPr>
            <w:r>
              <w:rPr>
                <w:rStyle w:val="Inne"/>
              </w:rPr>
              <w:t>Wspieranie działalności kopalń zabytkowych, tj. kopalni soli: Bochnia i Wieliczka.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</w:pPr>
            <w:r>
              <w:rPr>
                <w:rStyle w:val="Inne"/>
              </w:rPr>
              <w:t>Wykorzystanie dotacji budżetowej.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nie mniej niż 90%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B1" w:rsidRDefault="001E0F65">
            <w:pPr>
              <w:pStyle w:val="Inne0"/>
              <w:numPr>
                <w:ilvl w:val="0"/>
                <w:numId w:val="5"/>
              </w:numPr>
              <w:tabs>
                <w:tab w:val="left" w:pos="202"/>
              </w:tabs>
              <w:ind w:left="320" w:hanging="320"/>
            </w:pPr>
            <w:r>
              <w:rPr>
                <w:rStyle w:val="Inne"/>
              </w:rPr>
              <w:t>Zapewnienie współfinansowania działalności w zakresie utrzymania, zabezpieczenia i ratowania zabytkowych części kopalń soli oraz likwidacji części nie zabytkowych.</w:t>
            </w:r>
          </w:p>
          <w:p w:rsidR="001E20B1" w:rsidRDefault="001E0F65">
            <w:pPr>
              <w:pStyle w:val="Inne0"/>
              <w:numPr>
                <w:ilvl w:val="0"/>
                <w:numId w:val="5"/>
              </w:numPr>
              <w:tabs>
                <w:tab w:val="left" w:pos="202"/>
              </w:tabs>
              <w:ind w:left="320" w:hanging="320"/>
            </w:pPr>
            <w:r>
              <w:rPr>
                <w:rStyle w:val="Inne"/>
              </w:rPr>
              <w:t>Przyznawanie i przekazywanie środków budżetowych dla kopalń soli.</w:t>
            </w:r>
          </w:p>
          <w:p w:rsidR="001E20B1" w:rsidRDefault="001E0F65">
            <w:pPr>
              <w:pStyle w:val="Inne0"/>
              <w:numPr>
                <w:ilvl w:val="0"/>
                <w:numId w:val="5"/>
              </w:numPr>
              <w:tabs>
                <w:tab w:val="left" w:pos="202"/>
              </w:tabs>
              <w:ind w:left="320" w:hanging="320"/>
            </w:pPr>
            <w:r>
              <w:rPr>
                <w:rStyle w:val="Inne"/>
              </w:rPr>
              <w:t>Monitorowanie i rozliczanie środków budżetowych przyznanych kopalniom soli.</w:t>
            </w:r>
          </w:p>
        </w:tc>
      </w:tr>
    </w:tbl>
    <w:p w:rsidR="001E20B1" w:rsidRDefault="001E20B1">
      <w:pPr>
        <w:spacing w:after="199" w:line="1" w:lineRule="exact"/>
      </w:pPr>
    </w:p>
    <w:p w:rsidR="001E20B1" w:rsidRDefault="001E0F65" w:rsidP="008052D9">
      <w:pPr>
        <w:pStyle w:val="Teksttreci0"/>
        <w:spacing w:after="240" w:line="298" w:lineRule="auto"/>
        <w:ind w:left="788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368935" distL="114300" distR="114300" simplePos="0" relativeHeight="12582937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520700</wp:posOffset>
                </wp:positionV>
                <wp:extent cx="1804670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0B1" w:rsidRDefault="001E0F65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</w:rPr>
                              <w:t>Warszawa, 25 listopada 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pt;margin-top:41.pt;width:142.09999999999999pt;height:14.65pt;z-index:-125829375;mso-wrap-distance-left:9.pt;mso-wrap-distance-right:9.pt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Warszawa, 25 listopada 2022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4650" distB="635" distL="894715" distR="788035" simplePos="0" relativeHeight="125829380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895350</wp:posOffset>
                </wp:positionV>
                <wp:extent cx="350520" cy="1797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0B1" w:rsidRDefault="001E0F65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6.45pt;margin-top:70.5pt;width:27.600000000000001pt;height:14.15pt;z-index:-125829373;mso-wrap-distance-left:70.450000000000003pt;mso-wrap-distance-top:29.5pt;mso-wrap-distance-right:62.050000000000004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i/>
                          <w:iCs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b/>
          <w:bCs/>
        </w:rPr>
        <w:t>Jacek Sasin</w:t>
      </w:r>
      <w:r>
        <w:rPr>
          <w:rStyle w:val="Teksttreci"/>
          <w:b/>
          <w:bCs/>
        </w:rPr>
        <w:br/>
      </w:r>
      <w:r>
        <w:rPr>
          <w:rStyle w:val="Teksttreci"/>
        </w:rPr>
        <w:t>wicepremier</w:t>
      </w:r>
      <w:r>
        <w:rPr>
          <w:rStyle w:val="Teksttreci"/>
        </w:rPr>
        <w:br/>
      </w:r>
      <w:r>
        <w:rPr>
          <w:rStyle w:val="Teksttreci"/>
          <w:i/>
          <w:iCs/>
        </w:rPr>
        <w:t>dokument podpisany elektronicznie</w:t>
      </w:r>
      <w:r>
        <w:rPr>
          <w:rStyle w:val="Teksttreci"/>
          <w:i/>
          <w:iCs/>
        </w:rPr>
        <w:br/>
      </w:r>
      <w:r>
        <w:rPr>
          <w:rStyle w:val="Teksttreci"/>
        </w:rPr>
        <w:t>746048.2601456.2091286</w:t>
      </w:r>
    </w:p>
    <w:p w:rsidR="001E20B1" w:rsidRDefault="001E0F65" w:rsidP="008052D9">
      <w:pPr>
        <w:pStyle w:val="Teksttreci0"/>
        <w:spacing w:after="220"/>
        <w:ind w:left="11428"/>
      </w:pPr>
      <w:r>
        <w:rPr>
          <w:rStyle w:val="Teksttreci"/>
          <w:i/>
          <w:iCs/>
        </w:rPr>
        <w:t>(podpis)</w:t>
      </w:r>
    </w:p>
    <w:sectPr w:rsidR="001E20B1">
      <w:footerReference w:type="default" r:id="rId7"/>
      <w:footnotePr>
        <w:numStart w:val="3"/>
      </w:footnotePr>
      <w:pgSz w:w="16840" w:h="11900" w:orient="landscape"/>
      <w:pgMar w:top="518" w:right="787" w:bottom="852" w:left="742" w:header="90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65" w:rsidRDefault="001E0F65">
      <w:r>
        <w:separator/>
      </w:r>
    </w:p>
  </w:endnote>
  <w:endnote w:type="continuationSeparator" w:id="0">
    <w:p w:rsidR="001E0F65" w:rsidRDefault="001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1" w:rsidRDefault="001E0F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9605645</wp:posOffset>
              </wp:positionH>
              <wp:positionV relativeFrom="page">
                <wp:posOffset>7078980</wp:posOffset>
              </wp:positionV>
              <wp:extent cx="38100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20B1" w:rsidRDefault="001E0F65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3E0B" w:rsidRPr="00A93E0B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56.35pt;margin-top:557.4pt;width:30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kfkwEAACADAAAOAAAAZHJzL2Uyb0RvYy54bWysUttOwzAMfUfiH6K8s3ZDXFStQ6BpCAkB&#10;EvABWZqskZo4isPa/T1O1g0Eb4gX17Hd4+Njz28G27GtCmjA1Xw6KTlTTkJj3Kbm72+rs2vOMArX&#10;iA6cqvlOIb9ZnJ7Me1+pGbTQNSowAnFY9b7mbYy+KgqUrbICJ+CVo6SGYEWkZ9gUTRA9oduumJXl&#10;ZdFDaHwAqRAputwn+SLja61kfNYaVWRdzYlbzDZku062WMxFtQnCt0aONMQfWFhhHDU9Qi1FFOwj&#10;mF9Q1sgACDpOJNgCtDZS5Rlommn5Y5rXVniVZyFx0B9lwv+DlU/bl8BMU/MLzpywtKLclV0kaXqP&#10;FVW8eqqJwx0MtOJDHCmYJh50sOlLszDKk8i7o7BqiExS8Px6WpaUkZS6Oi9nGbz4+tcHjPcKLEtO&#10;zQOtLaspto8YiQeVHkpSKwcr03UpngjuiSQvDuthZL2GZkeke9pszR2dHmfdgyPh0hEcnHBw1qOT&#10;wNHffkRqkPsm1D3U2IzWkOmMJ5P2/P2dq74Oe/EJAAD//wMAUEsDBBQABgAIAAAAIQCQRshA3QAA&#10;AA8BAAAPAAAAZHJzL2Rvd25yZXYueG1sTE/LTsMwELwj8Q/WVuJGnQTaVCFOhSpx4UZBSNzceBtH&#10;9SOy3TT5ezYnuO08NDtT7ydr2Igh9t4JyNcZMHStV73rBHx9vj3ugMUknZLGOxQwY4R9c39Xy0r5&#10;m/vA8Zg6RiEuVlKATmmoOI+tRivj2g/oSDv7YGUiGDqugrxRuDW8yLItt7J39EHLAQ8a28vxagWU&#10;07fHIeIBf85jG3Q/78z7LMTDanp9AZZwSn9mWOpTdWio08lfnYrMEN7kRUleuvL8mVYsnk25cKeF&#10;K7ZPwJua/9/R/AIAAP//AwBQSwECLQAUAAYACAAAACEAtoM4kv4AAADhAQAAEwAAAAAAAAAAAAAA&#10;AAAAAAAAW0NvbnRlbnRfVHlwZXNdLnhtbFBLAQItABQABgAIAAAAIQA4/SH/1gAAAJQBAAALAAAA&#10;AAAAAAAAAAAAAC8BAABfcmVscy8ucmVsc1BLAQItABQABgAIAAAAIQCJlnkfkwEAACADAAAOAAAA&#10;AAAAAAAAAAAAAC4CAABkcnMvZTJvRG9jLnhtbFBLAQItABQABgAIAAAAIQCQRshA3QAAAA8BAAAP&#10;AAAAAAAAAAAAAAAAAO0DAABkcnMvZG93bnJldi54bWxQSwUGAAAAAAQABADzAAAA9wQAAAAA&#10;" filled="f" stroked="f">
              <v:textbox style="mso-fit-shape-to-text:t" inset="0,0,0,0">
                <w:txbxContent>
                  <w:p w:rsidR="001E20B1" w:rsidRDefault="001E0F65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3E0B" w:rsidRPr="00A93E0B">
                      <w:rPr>
                        <w:rStyle w:val="Nagweklubstopka2"/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6"/>
                        <w:szCs w:val="16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65" w:rsidRDefault="001E0F65">
      <w:r>
        <w:separator/>
      </w:r>
    </w:p>
  </w:footnote>
  <w:footnote w:type="continuationSeparator" w:id="0">
    <w:p w:rsidR="001E0F65" w:rsidRDefault="001E0F65">
      <w:r>
        <w:continuationSeparator/>
      </w:r>
    </w:p>
  </w:footnote>
  <w:footnote w:id="1">
    <w:p w:rsidR="001E20B1" w:rsidRDefault="001E0F65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:rsidR="001E20B1" w:rsidRDefault="001E0F65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Należy wskazać wszystkie podzadania budżetowe służące realizacji poszczególnych celów wymienionych w kolumnie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577"/>
    <w:multiLevelType w:val="multilevel"/>
    <w:tmpl w:val="4458605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47276"/>
    <w:multiLevelType w:val="multilevel"/>
    <w:tmpl w:val="CD1AF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6338F"/>
    <w:multiLevelType w:val="multilevel"/>
    <w:tmpl w:val="765069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22458"/>
    <w:multiLevelType w:val="multilevel"/>
    <w:tmpl w:val="11A08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04141C"/>
    <w:multiLevelType w:val="multilevel"/>
    <w:tmpl w:val="75501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B1"/>
    <w:rsid w:val="001E0F65"/>
    <w:rsid w:val="001E20B1"/>
    <w:rsid w:val="008052D9"/>
    <w:rsid w:val="00A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B19B-8094-4E10-A257-65D8595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Arial" w:eastAsia="Arial" w:hAnsi="Arial" w:cs="Arial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before="600" w:after="2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9084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subject/>
  <dc:creator>Szulczynska Elzbieta</dc:creator>
  <cp:keywords/>
  <cp:lastModifiedBy>Blaszczak Anna</cp:lastModifiedBy>
  <cp:revision>2</cp:revision>
  <dcterms:created xsi:type="dcterms:W3CDTF">2022-11-28T15:18:00Z</dcterms:created>
  <dcterms:modified xsi:type="dcterms:W3CDTF">2022-11-28T15:18:00Z</dcterms:modified>
</cp:coreProperties>
</file>