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7B3CA" w14:textId="646CDBAB" w:rsidR="00570393" w:rsidRPr="00B538F3" w:rsidRDefault="00570393" w:rsidP="00471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B538F3">
        <w:rPr>
          <w:rFonts w:ascii="Times New Roman" w:eastAsia="Times New Roman" w:hAnsi="Times New Roman"/>
          <w:lang w:eastAsia="pl-PL"/>
        </w:rPr>
        <w:t>Załącznik</w:t>
      </w:r>
      <w:r w:rsidR="00BA04B3">
        <w:rPr>
          <w:rFonts w:ascii="Times New Roman" w:eastAsia="Times New Roman" w:hAnsi="Times New Roman"/>
          <w:lang w:eastAsia="pl-PL"/>
        </w:rPr>
        <w:t xml:space="preserve"> </w:t>
      </w:r>
      <w:r w:rsidRPr="00B538F3">
        <w:rPr>
          <w:rFonts w:ascii="Times New Roman" w:eastAsia="Times New Roman" w:hAnsi="Times New Roman"/>
          <w:lang w:eastAsia="pl-PL"/>
        </w:rPr>
        <w:t>B.57.</w:t>
      </w:r>
    </w:p>
    <w:p w14:paraId="449919EF" w14:textId="77777777" w:rsidR="00570393" w:rsidRPr="00B538F3" w:rsidRDefault="00570393" w:rsidP="00471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084BF97" w14:textId="1E980D00" w:rsidR="00570393" w:rsidRPr="00B538F3" w:rsidRDefault="00570393" w:rsidP="00B538F3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B538F3">
        <w:rPr>
          <w:rFonts w:ascii="Times New Roman" w:eastAsia="Times New Roman" w:hAnsi="Times New Roman"/>
          <w:b/>
          <w:sz w:val="28"/>
          <w:szCs w:val="28"/>
          <w:lang w:eastAsia="pl-PL"/>
        </w:rPr>
        <w:t>LECZENIE</w:t>
      </w:r>
      <w:r w:rsidR="00BA04B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538F3">
        <w:rPr>
          <w:rFonts w:ascii="Times New Roman" w:eastAsia="Times New Roman" w:hAnsi="Times New Roman"/>
          <w:b/>
          <w:sz w:val="28"/>
          <w:szCs w:val="28"/>
          <w:lang w:eastAsia="pl-PL"/>
        </w:rPr>
        <w:t>SPASTYCZNOŚCI</w:t>
      </w:r>
      <w:r w:rsidR="00BA04B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538F3">
        <w:rPr>
          <w:rFonts w:ascii="Times New Roman" w:eastAsia="Times New Roman" w:hAnsi="Times New Roman"/>
          <w:b/>
          <w:sz w:val="28"/>
          <w:szCs w:val="28"/>
          <w:lang w:eastAsia="pl-PL"/>
        </w:rPr>
        <w:t>KOŃCZYNY</w:t>
      </w:r>
      <w:r w:rsidR="00BA04B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538F3">
        <w:rPr>
          <w:rFonts w:ascii="Times New Roman" w:eastAsia="Times New Roman" w:hAnsi="Times New Roman"/>
          <w:b/>
          <w:sz w:val="28"/>
          <w:szCs w:val="28"/>
          <w:lang w:eastAsia="pl-PL"/>
        </w:rPr>
        <w:t>GÓRNEJ</w:t>
      </w:r>
      <w:r w:rsidR="00BA04B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538F3">
        <w:rPr>
          <w:rFonts w:ascii="Times New Roman" w:eastAsia="Times New Roman" w:hAnsi="Times New Roman"/>
          <w:b/>
          <w:sz w:val="28"/>
          <w:szCs w:val="28"/>
          <w:lang w:eastAsia="pl-PL"/>
        </w:rPr>
        <w:t>PO</w:t>
      </w:r>
      <w:r w:rsidR="00BA04B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538F3">
        <w:rPr>
          <w:rFonts w:ascii="Times New Roman" w:eastAsia="Times New Roman" w:hAnsi="Times New Roman"/>
          <w:b/>
          <w:sz w:val="28"/>
          <w:szCs w:val="28"/>
          <w:lang w:eastAsia="pl-PL"/>
        </w:rPr>
        <w:t>UDARZE</w:t>
      </w:r>
      <w:r w:rsidR="00BA04B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538F3">
        <w:rPr>
          <w:rFonts w:ascii="Times New Roman" w:eastAsia="Times New Roman" w:hAnsi="Times New Roman"/>
          <w:b/>
          <w:sz w:val="28"/>
          <w:szCs w:val="28"/>
          <w:lang w:eastAsia="pl-PL"/>
        </w:rPr>
        <w:t>MÓZGU</w:t>
      </w:r>
      <w:r w:rsidR="00BA04B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538F3">
        <w:rPr>
          <w:rFonts w:ascii="Times New Roman" w:eastAsia="Times New Roman" w:hAnsi="Times New Roman"/>
          <w:b/>
          <w:sz w:val="28"/>
          <w:szCs w:val="28"/>
          <w:lang w:eastAsia="pl-PL"/>
        </w:rPr>
        <w:t>Z</w:t>
      </w:r>
      <w:r w:rsidR="00BA04B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538F3">
        <w:rPr>
          <w:rFonts w:ascii="Times New Roman" w:eastAsia="Times New Roman" w:hAnsi="Times New Roman"/>
          <w:b/>
          <w:sz w:val="28"/>
          <w:szCs w:val="28"/>
          <w:lang w:eastAsia="pl-PL"/>
        </w:rPr>
        <w:t>UŻYCIEM</w:t>
      </w:r>
      <w:r w:rsidR="00BA04B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538F3">
        <w:rPr>
          <w:rFonts w:ascii="Times New Roman" w:eastAsia="Times New Roman" w:hAnsi="Times New Roman"/>
          <w:b/>
          <w:sz w:val="28"/>
          <w:szCs w:val="28"/>
          <w:lang w:eastAsia="pl-PL"/>
        </w:rPr>
        <w:t>TOKSYNY</w:t>
      </w:r>
      <w:r w:rsidR="00BA04B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538F3">
        <w:rPr>
          <w:rFonts w:ascii="Times New Roman" w:eastAsia="Times New Roman" w:hAnsi="Times New Roman"/>
          <w:b/>
          <w:sz w:val="28"/>
          <w:szCs w:val="28"/>
          <w:lang w:eastAsia="pl-PL"/>
        </w:rPr>
        <w:t>BOTULINOWEJ</w:t>
      </w:r>
      <w:r w:rsidR="00BA04B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538F3">
        <w:rPr>
          <w:rFonts w:ascii="Times New Roman" w:eastAsia="Times New Roman" w:hAnsi="Times New Roman"/>
          <w:b/>
          <w:sz w:val="28"/>
          <w:szCs w:val="28"/>
          <w:lang w:eastAsia="pl-PL"/>
        </w:rPr>
        <w:t>TYPU</w:t>
      </w:r>
      <w:r w:rsidR="00BA04B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538F3">
        <w:rPr>
          <w:rFonts w:ascii="Times New Roman" w:eastAsia="Times New Roman" w:hAnsi="Times New Roman"/>
          <w:b/>
          <w:sz w:val="28"/>
          <w:szCs w:val="28"/>
          <w:lang w:eastAsia="pl-PL"/>
        </w:rPr>
        <w:t>A</w:t>
      </w:r>
      <w:r w:rsidR="00BA04B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538F3">
        <w:rPr>
          <w:rFonts w:ascii="Times New Roman" w:eastAsia="Times New Roman" w:hAnsi="Times New Roman"/>
          <w:b/>
          <w:sz w:val="28"/>
          <w:szCs w:val="28"/>
          <w:lang w:eastAsia="pl-PL"/>
        </w:rPr>
        <w:t>(ICD-10</w:t>
      </w:r>
      <w:r w:rsidR="00BA04B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538F3">
        <w:rPr>
          <w:rFonts w:ascii="Times New Roman" w:eastAsia="Times New Roman" w:hAnsi="Times New Roman"/>
          <w:b/>
          <w:sz w:val="28"/>
          <w:szCs w:val="28"/>
          <w:lang w:eastAsia="pl-PL"/>
        </w:rPr>
        <w:t>I61,</w:t>
      </w:r>
      <w:r w:rsidR="00BA04B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538F3">
        <w:rPr>
          <w:rFonts w:ascii="Times New Roman" w:eastAsia="Times New Roman" w:hAnsi="Times New Roman"/>
          <w:b/>
          <w:sz w:val="28"/>
          <w:szCs w:val="28"/>
          <w:lang w:eastAsia="pl-PL"/>
        </w:rPr>
        <w:t>I63,</w:t>
      </w:r>
      <w:r w:rsidR="00BA04B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B538F3">
        <w:rPr>
          <w:rFonts w:ascii="Times New Roman" w:eastAsia="Times New Roman" w:hAnsi="Times New Roman"/>
          <w:b/>
          <w:sz w:val="28"/>
          <w:szCs w:val="28"/>
          <w:lang w:eastAsia="pl-PL"/>
        </w:rPr>
        <w:t>I69)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570393" w:rsidRPr="00B538F3" w14:paraId="631F2175" w14:textId="77777777" w:rsidTr="00471376">
        <w:trPr>
          <w:trHeight w:val="567"/>
        </w:trPr>
        <w:tc>
          <w:tcPr>
            <w:tcW w:w="5000" w:type="pct"/>
            <w:gridSpan w:val="3"/>
            <w:vAlign w:val="center"/>
          </w:tcPr>
          <w:p w14:paraId="3FB6CE8F" w14:textId="6BC9AC78" w:rsidR="00570393" w:rsidRPr="00B538F3" w:rsidRDefault="00570393" w:rsidP="00471376">
            <w:pPr>
              <w:pStyle w:val="Tabela-TekstnagwekIrzdniebieskie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ZAKRES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ŚWIADCZENIA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GWARANTOWANEGO</w:t>
            </w:r>
          </w:p>
        </w:tc>
      </w:tr>
      <w:tr w:rsidR="00570393" w:rsidRPr="00B538F3" w14:paraId="64C11FB1" w14:textId="77777777" w:rsidTr="00BA04B3">
        <w:trPr>
          <w:trHeight w:val="567"/>
        </w:trPr>
        <w:tc>
          <w:tcPr>
            <w:tcW w:w="1667" w:type="pct"/>
            <w:vAlign w:val="center"/>
          </w:tcPr>
          <w:p w14:paraId="3C5379B8" w14:textId="77777777" w:rsidR="00570393" w:rsidRPr="00B538F3" w:rsidRDefault="00570393" w:rsidP="00471376">
            <w:pPr>
              <w:pStyle w:val="Tabela-TekstnagwekIrzdniebieskie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ŚWIADCZENIOBIORCY</w:t>
            </w:r>
          </w:p>
        </w:tc>
        <w:tc>
          <w:tcPr>
            <w:tcW w:w="1667" w:type="pct"/>
            <w:vAlign w:val="center"/>
          </w:tcPr>
          <w:p w14:paraId="6971571E" w14:textId="3C1946FC" w:rsidR="00570393" w:rsidRPr="00B538F3" w:rsidRDefault="00570393" w:rsidP="00471376">
            <w:pPr>
              <w:pStyle w:val="Tabela-TekstnagwekIrzdniebieskie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SCHEMAT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DAWKOWANIA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PROGRAMIE</w:t>
            </w:r>
          </w:p>
        </w:tc>
        <w:tc>
          <w:tcPr>
            <w:tcW w:w="1667" w:type="pct"/>
            <w:vAlign w:val="center"/>
          </w:tcPr>
          <w:p w14:paraId="1D53E846" w14:textId="77777777" w:rsidR="00BA04B3" w:rsidRDefault="00570393" w:rsidP="00471376">
            <w:pPr>
              <w:pStyle w:val="Tabela-TekstnagwekIrzdniebieskie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BADANIA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DIAGNOSTYCZNE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WYKONYWANE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14:paraId="3C27FA7B" w14:textId="5DF50F2C" w:rsidR="00570393" w:rsidRPr="00B538F3" w:rsidRDefault="00570393" w:rsidP="00471376">
            <w:pPr>
              <w:pStyle w:val="Tabela-TekstnagwekIrzdniebieskie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RAMACH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PROGRAMU</w:t>
            </w:r>
          </w:p>
        </w:tc>
      </w:tr>
      <w:tr w:rsidR="00570393" w:rsidRPr="00B538F3" w14:paraId="18726091" w14:textId="77777777" w:rsidTr="00BA04B3">
        <w:tc>
          <w:tcPr>
            <w:tcW w:w="1667" w:type="pct"/>
          </w:tcPr>
          <w:p w14:paraId="5FE9AF6D" w14:textId="785720E1" w:rsidR="00570393" w:rsidRPr="00B538F3" w:rsidRDefault="00570393" w:rsidP="00B538F3">
            <w:pPr>
              <w:pStyle w:val="Tabela-TekstpodstawowyJustowany"/>
              <w:numPr>
                <w:ilvl w:val="0"/>
                <w:numId w:val="23"/>
              </w:numPr>
              <w:spacing w:before="120" w:after="60"/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Kryteria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kwalifikacji</w:t>
            </w:r>
          </w:p>
          <w:p w14:paraId="22FBD88B" w14:textId="1E83E2C2" w:rsidR="00570393" w:rsidRPr="00B538F3" w:rsidRDefault="00570393" w:rsidP="00B538F3">
            <w:pPr>
              <w:pStyle w:val="Listanumerowana"/>
              <w:numPr>
                <w:ilvl w:val="2"/>
                <w:numId w:val="23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programu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kwalifikuje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się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pacjentów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spełniających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łącznie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następujące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kryteria:</w:t>
            </w:r>
          </w:p>
          <w:p w14:paraId="32AF0E36" w14:textId="17EC36F9" w:rsidR="00570393" w:rsidRPr="00B538F3" w:rsidRDefault="00BA04B3" w:rsidP="00B538F3">
            <w:pPr>
              <w:pStyle w:val="Listanumerowana"/>
              <w:numPr>
                <w:ilvl w:val="3"/>
                <w:numId w:val="23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570393"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570393"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wieku</w:t>
            </w: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570393"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≥</w:t>
            </w: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570393"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570393"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roku</w:t>
            </w:r>
            <w:r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570393"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życia,</w:t>
            </w:r>
          </w:p>
          <w:p w14:paraId="00C0EC90" w14:textId="25AC5F62" w:rsidR="00570393" w:rsidRPr="00B538F3" w:rsidRDefault="00570393" w:rsidP="00B538F3">
            <w:pPr>
              <w:pStyle w:val="Listanumerowana"/>
              <w:numPr>
                <w:ilvl w:val="3"/>
                <w:numId w:val="23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przebytym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niedokrwiennym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lub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krwotocznym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udarze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mózgu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okresie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najmniej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3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miesięcy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przed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włączeniem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programu,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udokumentowanym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wypisem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szpitala,</w:t>
            </w:r>
          </w:p>
          <w:p w14:paraId="043FF39C" w14:textId="3F65177D" w:rsidR="00570393" w:rsidRPr="00B538F3" w:rsidRDefault="00570393" w:rsidP="00B538F3">
            <w:pPr>
              <w:pStyle w:val="Listanumerowana"/>
              <w:numPr>
                <w:ilvl w:val="3"/>
                <w:numId w:val="23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potwierdzoną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poudarową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spastycznością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kończyny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górnej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stopniu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umiarkowanym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lub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wyższym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(wynik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zmodyfikowanej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skali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Ashwortha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–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br/>
              <w:t>MAS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≥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2)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przynamniej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jednej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grupie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mięśniowej;</w:t>
            </w:r>
          </w:p>
          <w:p w14:paraId="247149FE" w14:textId="045B379A" w:rsidR="00570393" w:rsidRPr="00B538F3" w:rsidRDefault="00570393" w:rsidP="00B538F3">
            <w:pPr>
              <w:numPr>
                <w:ilvl w:val="2"/>
                <w:numId w:val="23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38F3">
              <w:rPr>
                <w:rFonts w:ascii="Times New Roman" w:hAnsi="Times New Roman"/>
                <w:sz w:val="20"/>
                <w:szCs w:val="20"/>
              </w:rPr>
              <w:t>do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nie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kwalifikuje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się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wystąpienia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co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najmniej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jednego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z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następujących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kryteriów:</w:t>
            </w:r>
          </w:p>
          <w:p w14:paraId="29305B97" w14:textId="1C65AA01" w:rsidR="00570393" w:rsidRPr="00B538F3" w:rsidRDefault="00570393" w:rsidP="00B538F3">
            <w:pPr>
              <w:pStyle w:val="Listanumerowana"/>
              <w:numPr>
                <w:ilvl w:val="3"/>
                <w:numId w:val="23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nasilone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zaburzenia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połykania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lub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zaburzenia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oddechowe,</w:t>
            </w:r>
          </w:p>
          <w:p w14:paraId="3F3680E4" w14:textId="07F7D20E" w:rsidR="00570393" w:rsidRPr="00B538F3" w:rsidRDefault="00570393" w:rsidP="00B538F3">
            <w:pPr>
              <w:pStyle w:val="Listanumerowana"/>
              <w:numPr>
                <w:ilvl w:val="3"/>
                <w:numId w:val="23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ciąża,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14:paraId="28FB8289" w14:textId="57A6477A" w:rsidR="00570393" w:rsidRPr="00B538F3" w:rsidRDefault="00570393" w:rsidP="00B538F3">
            <w:pPr>
              <w:pStyle w:val="Listanumerowana"/>
              <w:numPr>
                <w:ilvl w:val="3"/>
                <w:numId w:val="23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miastenia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zespół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miasteniczny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-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podstawie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badania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neurologicznego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(wykonanie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dodatkowych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badań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jedynie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uzasadnionych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przypadkach),</w:t>
            </w:r>
          </w:p>
          <w:p w14:paraId="53CB7984" w14:textId="048A945F" w:rsidR="00570393" w:rsidRPr="00B538F3" w:rsidRDefault="00570393" w:rsidP="00B538F3">
            <w:pPr>
              <w:pStyle w:val="Listanumerowana"/>
              <w:numPr>
                <w:ilvl w:val="3"/>
                <w:numId w:val="23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objawy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uogólnionego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zakażenia,</w:t>
            </w:r>
          </w:p>
          <w:p w14:paraId="40019C30" w14:textId="356FFD71" w:rsidR="00570393" w:rsidRPr="00B538F3" w:rsidRDefault="00570393" w:rsidP="00B538F3">
            <w:pPr>
              <w:pStyle w:val="Listanumerowana"/>
              <w:numPr>
                <w:ilvl w:val="3"/>
                <w:numId w:val="23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obecność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stanu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zapalnego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obrębie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planowanego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miejsca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podania,</w:t>
            </w:r>
          </w:p>
          <w:p w14:paraId="18D1B21C" w14:textId="3820AE97" w:rsidR="00570393" w:rsidRPr="00B538F3" w:rsidRDefault="00570393" w:rsidP="00B538F3">
            <w:pPr>
              <w:pStyle w:val="Listanumerowana"/>
              <w:numPr>
                <w:ilvl w:val="3"/>
                <w:numId w:val="23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lastRenderedPageBreak/>
              <w:t>utrwalone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przykurcze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tkankach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miękkich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br/>
              <w:t>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stawach,</w:t>
            </w:r>
          </w:p>
          <w:p w14:paraId="3FAA9963" w14:textId="524E9BD8" w:rsidR="00570393" w:rsidRPr="00B538F3" w:rsidRDefault="00570393" w:rsidP="00B538F3">
            <w:pPr>
              <w:pStyle w:val="Listanumerowana"/>
              <w:numPr>
                <w:ilvl w:val="3"/>
                <w:numId w:val="23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otępienie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średniego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lub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głębokiego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stopnia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(wynik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br/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skali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Mini-Mental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State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Examination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równy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lub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mniejszy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niż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18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punktów),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wyjątkiem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pacjentów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br/>
              <w:t>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aleksją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lub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agrafią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lub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afazją;</w:t>
            </w:r>
          </w:p>
          <w:p w14:paraId="0ECB542B" w14:textId="253570E4" w:rsidR="00570393" w:rsidRPr="00B538F3" w:rsidRDefault="00570393" w:rsidP="00B538F3">
            <w:pPr>
              <w:pStyle w:val="Listanumerowana"/>
              <w:numPr>
                <w:ilvl w:val="2"/>
                <w:numId w:val="23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kwalifikacja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programu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następuje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kiedy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wyznaczony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termin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rozpoczęcia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rehabilitacji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medycznej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potwierdzony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przez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podmiot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udzielający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świadczeń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rehabilitacyjnych;</w:t>
            </w:r>
          </w:p>
          <w:p w14:paraId="2968A9FF" w14:textId="374D8A34" w:rsidR="00570393" w:rsidRPr="00B538F3" w:rsidRDefault="00570393" w:rsidP="00B538F3">
            <w:pPr>
              <w:pStyle w:val="Listanumerowana"/>
              <w:numPr>
                <w:ilvl w:val="2"/>
                <w:numId w:val="23"/>
              </w:numPr>
              <w:spacing w:before="0" w:after="60" w:line="240" w:lineRule="auto"/>
              <w:contextualSpacing w:val="0"/>
              <w:rPr>
                <w:rStyle w:val="Wyrnienieintensywne"/>
                <w:rFonts w:ascii="Times New Roman" w:hAnsi="Times New Roman"/>
                <w:b w:val="0"/>
                <w:bCs w:val="0"/>
                <w:sz w:val="20"/>
                <w:szCs w:val="20"/>
                <w:lang w:val="pl-PL" w:eastAsia="pl-PL"/>
              </w:rPr>
            </w:pP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podanie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leku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musi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nastąpić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nie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wcześniej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niż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3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tygodnie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przed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rozpoczęciem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rehabilitacji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medycznej.</w:t>
            </w:r>
          </w:p>
          <w:p w14:paraId="27B29C74" w14:textId="77777777" w:rsidR="00B538F3" w:rsidRPr="00B538F3" w:rsidRDefault="00B538F3" w:rsidP="00B538F3">
            <w:pPr>
              <w:pStyle w:val="Listanumerowana"/>
              <w:numPr>
                <w:ilvl w:val="0"/>
                <w:numId w:val="0"/>
              </w:numPr>
              <w:spacing w:before="0" w:after="60" w:line="240" w:lineRule="auto"/>
              <w:ind w:left="397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  <w:p w14:paraId="2F4E7434" w14:textId="61E24C0E" w:rsidR="00570393" w:rsidRPr="00B538F3" w:rsidRDefault="00570393" w:rsidP="00B538F3">
            <w:pPr>
              <w:pStyle w:val="Tabela-TekstpodstawowyJustowany"/>
              <w:numPr>
                <w:ilvl w:val="0"/>
                <w:numId w:val="23"/>
              </w:numPr>
              <w:spacing w:after="60"/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Określenie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czasu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leczenia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programie</w:t>
            </w:r>
          </w:p>
          <w:p w14:paraId="25478FA0" w14:textId="77777777" w:rsidR="00BA04B3" w:rsidRDefault="00570393" w:rsidP="00B538F3">
            <w:pPr>
              <w:pStyle w:val="Listanumerowana"/>
              <w:numPr>
                <w:ilvl w:val="0"/>
                <w:numId w:val="0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Czas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leczenia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programie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określa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lekarz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prowadzący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leczenie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pacjenta,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jednak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maksymalny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czas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leczenia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ramach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programu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może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być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dłuższy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niż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dwa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lata.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14:paraId="6FCCBD30" w14:textId="455DB7C1" w:rsidR="00570393" w:rsidRDefault="00570393" w:rsidP="00B538F3">
            <w:pPr>
              <w:pStyle w:val="Listanumerowana"/>
              <w:numPr>
                <w:ilvl w:val="0"/>
                <w:numId w:val="0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przypadku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wystąpienia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przynajmniej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jednego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kryteriów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wyłączenia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programu,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zostaje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wyłączony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programu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bez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zbędnej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zwłoki.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14:paraId="4D5B3FF6" w14:textId="77777777" w:rsidR="00B538F3" w:rsidRPr="00B538F3" w:rsidRDefault="00B538F3" w:rsidP="00B538F3">
            <w:pPr>
              <w:pStyle w:val="Listanumerowana"/>
              <w:numPr>
                <w:ilvl w:val="0"/>
                <w:numId w:val="0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  <w:p w14:paraId="1C82D386" w14:textId="38946A6D" w:rsidR="00570393" w:rsidRPr="00B538F3" w:rsidRDefault="00570393" w:rsidP="00B538F3">
            <w:pPr>
              <w:pStyle w:val="Tabela-TekstpodstawowyJustowany"/>
              <w:numPr>
                <w:ilvl w:val="0"/>
                <w:numId w:val="23"/>
              </w:numPr>
              <w:spacing w:after="60"/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Podawanie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leku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ramach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programu</w:t>
            </w:r>
          </w:p>
          <w:p w14:paraId="61F98389" w14:textId="5933D4B0" w:rsidR="00570393" w:rsidRPr="00B538F3" w:rsidRDefault="00570393" w:rsidP="00B538F3">
            <w:pPr>
              <w:pStyle w:val="Tabela-TekstpodstawowyJustowany"/>
              <w:numPr>
                <w:ilvl w:val="2"/>
                <w:numId w:val="23"/>
              </w:numPr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leczenie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programie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obejmuje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maksymalnie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6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okresie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2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lat;</w:t>
            </w:r>
          </w:p>
          <w:p w14:paraId="3C380007" w14:textId="3652FD4E" w:rsidR="00570393" w:rsidRPr="00B538F3" w:rsidRDefault="00570393" w:rsidP="00B538F3">
            <w:pPr>
              <w:pStyle w:val="Listanumerowana"/>
              <w:numPr>
                <w:ilvl w:val="2"/>
                <w:numId w:val="23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liczbie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podań,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jaką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otrzyma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pacjent,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decyduje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lekarz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prowadzący.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Liczba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zależy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od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uzyskania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przez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dobrej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odpowiedzi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leczenie,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która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będzie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weryfikowana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podczas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wizyt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kontrolnych:</w:t>
            </w:r>
          </w:p>
          <w:p w14:paraId="4B65DD8A" w14:textId="55181686" w:rsidR="00570393" w:rsidRPr="00B538F3" w:rsidRDefault="00570393" w:rsidP="00B538F3">
            <w:pPr>
              <w:pStyle w:val="Listanumerowana"/>
              <w:numPr>
                <w:ilvl w:val="3"/>
                <w:numId w:val="23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pierwsza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wizyta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kontrolna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4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tygodniach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(±1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tydzień)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od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pierwszej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dawki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leku,</w:t>
            </w:r>
          </w:p>
          <w:p w14:paraId="1DF0DE89" w14:textId="071994BF" w:rsidR="00570393" w:rsidRDefault="00570393" w:rsidP="00B538F3">
            <w:pPr>
              <w:pStyle w:val="Listanumerowana"/>
              <w:numPr>
                <w:ilvl w:val="3"/>
                <w:numId w:val="23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kolejna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wizyta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kontrolna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bezpośrednio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przed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oczekiwanym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kolejnym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podaniem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-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12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lastRenderedPageBreak/>
              <w:t>tygodniach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(±1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tydzień)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od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poprzedniej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dawki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leku.</w:t>
            </w:r>
          </w:p>
          <w:p w14:paraId="57A28ED0" w14:textId="77777777" w:rsidR="00B538F3" w:rsidRPr="00B538F3" w:rsidRDefault="00B538F3" w:rsidP="00B538F3">
            <w:pPr>
              <w:pStyle w:val="Listanumerowana"/>
              <w:numPr>
                <w:ilvl w:val="0"/>
                <w:numId w:val="0"/>
              </w:numPr>
              <w:spacing w:before="0" w:after="60" w:line="240" w:lineRule="auto"/>
              <w:ind w:left="567"/>
              <w:contextualSpacing w:val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14:paraId="3C95FAB9" w14:textId="5978B655" w:rsidR="00570393" w:rsidRPr="00B538F3" w:rsidRDefault="00570393" w:rsidP="00B538F3">
            <w:pPr>
              <w:pStyle w:val="Tabela-TekstpodstawowyJustowany"/>
              <w:numPr>
                <w:ilvl w:val="0"/>
                <w:numId w:val="23"/>
              </w:numPr>
              <w:spacing w:after="60"/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Kryteria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wyłączenia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z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programu</w:t>
            </w:r>
          </w:p>
          <w:p w14:paraId="60C05396" w14:textId="1A7A5F29" w:rsidR="00570393" w:rsidRPr="00B538F3" w:rsidRDefault="00570393" w:rsidP="00B538F3">
            <w:pPr>
              <w:pStyle w:val="Listanumerowana"/>
              <w:numPr>
                <w:ilvl w:val="2"/>
                <w:numId w:val="23"/>
              </w:numPr>
              <w:tabs>
                <w:tab w:val="left" w:pos="284"/>
              </w:tabs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nadwrażliwość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kompleks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neurotoksyny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lub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którykolwiek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składników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leku;</w:t>
            </w:r>
          </w:p>
          <w:p w14:paraId="4D538D2A" w14:textId="640958D5" w:rsidR="00570393" w:rsidRPr="00B538F3" w:rsidRDefault="00570393" w:rsidP="00B538F3">
            <w:pPr>
              <w:pStyle w:val="Listanumerowana"/>
              <w:numPr>
                <w:ilvl w:val="2"/>
                <w:numId w:val="23"/>
              </w:numPr>
              <w:tabs>
                <w:tab w:val="left" w:pos="284"/>
              </w:tabs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utrwalony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przykurcz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kończyny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górnej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lub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zanik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mięśni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porażonej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kończynie;</w:t>
            </w:r>
          </w:p>
          <w:p w14:paraId="195B5EC6" w14:textId="01117CDB" w:rsidR="00570393" w:rsidRPr="00B538F3" w:rsidRDefault="00570393" w:rsidP="00B538F3">
            <w:pPr>
              <w:pStyle w:val="Listanumerowana"/>
              <w:numPr>
                <w:ilvl w:val="2"/>
                <w:numId w:val="23"/>
              </w:numPr>
              <w:tabs>
                <w:tab w:val="left" w:pos="284"/>
              </w:tabs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potwierdzenie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miastenii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lub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zespołu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miastenicznego;</w:t>
            </w:r>
          </w:p>
          <w:p w14:paraId="614F9597" w14:textId="690FEB97" w:rsidR="00570393" w:rsidRPr="00B538F3" w:rsidRDefault="00570393" w:rsidP="00B538F3">
            <w:pPr>
              <w:pStyle w:val="Listanumerowana"/>
              <w:numPr>
                <w:ilvl w:val="2"/>
                <w:numId w:val="23"/>
              </w:numPr>
              <w:tabs>
                <w:tab w:val="left" w:pos="284"/>
              </w:tabs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objawy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uogólnionego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zakażenia;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14:paraId="452A9C85" w14:textId="3CB1369B" w:rsidR="00570393" w:rsidRPr="00B538F3" w:rsidRDefault="00570393" w:rsidP="00B538F3">
            <w:pPr>
              <w:pStyle w:val="Listanumerowana"/>
              <w:numPr>
                <w:ilvl w:val="2"/>
                <w:numId w:val="23"/>
              </w:numPr>
              <w:tabs>
                <w:tab w:val="left" w:pos="284"/>
              </w:tabs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ciężkie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zaburzenia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połykania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oddychania;</w:t>
            </w:r>
          </w:p>
          <w:p w14:paraId="0EC36BEB" w14:textId="17B37F0A" w:rsidR="00570393" w:rsidRPr="00B538F3" w:rsidRDefault="00570393" w:rsidP="00B538F3">
            <w:pPr>
              <w:pStyle w:val="Listanumerowana"/>
              <w:numPr>
                <w:ilvl w:val="2"/>
                <w:numId w:val="23"/>
              </w:numPr>
              <w:tabs>
                <w:tab w:val="left" w:pos="284"/>
              </w:tabs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ciąża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lub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karmienie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piersią;</w:t>
            </w:r>
          </w:p>
          <w:p w14:paraId="7A0FC26D" w14:textId="382D8892" w:rsidR="00570393" w:rsidRPr="00B538F3" w:rsidRDefault="00570393" w:rsidP="00B538F3">
            <w:pPr>
              <w:pStyle w:val="Listanumerowana"/>
              <w:numPr>
                <w:ilvl w:val="2"/>
                <w:numId w:val="23"/>
              </w:numPr>
              <w:tabs>
                <w:tab w:val="left" w:pos="284"/>
              </w:tabs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wystąpienie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stanu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zapalnego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okolicy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miejsca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podania;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14:paraId="49A2C84F" w14:textId="093EE740" w:rsidR="00570393" w:rsidRPr="00B538F3" w:rsidRDefault="00570393" w:rsidP="00B538F3">
            <w:pPr>
              <w:pStyle w:val="Tabela-TekstpodstawowyJustowany"/>
              <w:numPr>
                <w:ilvl w:val="2"/>
                <w:numId w:val="23"/>
              </w:numPr>
              <w:tabs>
                <w:tab w:val="left" w:pos="284"/>
              </w:tabs>
              <w:spacing w:after="6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wystąpienie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ciężkich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działań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niepożądanych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uniemożliwiających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dalsze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stosowanie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leku;</w:t>
            </w:r>
          </w:p>
          <w:p w14:paraId="04EB4A28" w14:textId="40AE5EBE" w:rsidR="00570393" w:rsidRPr="00B538F3" w:rsidRDefault="00570393" w:rsidP="00B538F3">
            <w:pPr>
              <w:pStyle w:val="Tabela-TekstpodstawowyJustowany"/>
              <w:numPr>
                <w:ilvl w:val="2"/>
                <w:numId w:val="23"/>
              </w:numPr>
              <w:tabs>
                <w:tab w:val="left" w:pos="284"/>
              </w:tabs>
              <w:spacing w:after="6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wszczepienie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pompy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baklofenowej;</w:t>
            </w:r>
          </w:p>
          <w:p w14:paraId="518890A2" w14:textId="3ADA08E0" w:rsidR="00570393" w:rsidRPr="00B538F3" w:rsidRDefault="00570393" w:rsidP="00B538F3">
            <w:pPr>
              <w:pStyle w:val="Tabela-TekstpodstawowyJustowany"/>
              <w:numPr>
                <w:ilvl w:val="2"/>
                <w:numId w:val="23"/>
              </w:numPr>
              <w:tabs>
                <w:tab w:val="left" w:pos="284"/>
              </w:tabs>
              <w:spacing w:after="6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przyjmowanie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leków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hamujących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transmisję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nerwowo-mięśniową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(np.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aminoglikozydy);</w:t>
            </w:r>
          </w:p>
          <w:p w14:paraId="7F218837" w14:textId="27677718" w:rsidR="00570393" w:rsidRPr="00B538F3" w:rsidRDefault="00570393" w:rsidP="00B538F3">
            <w:pPr>
              <w:pStyle w:val="Listanumerowana"/>
              <w:numPr>
                <w:ilvl w:val="2"/>
                <w:numId w:val="23"/>
              </w:numPr>
              <w:tabs>
                <w:tab w:val="left" w:pos="284"/>
              </w:tabs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powstanie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oporności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lek;</w:t>
            </w:r>
          </w:p>
          <w:p w14:paraId="44739F5D" w14:textId="1A34FF78" w:rsidR="00570393" w:rsidRPr="00B538F3" w:rsidRDefault="00570393" w:rsidP="00B538F3">
            <w:pPr>
              <w:pStyle w:val="Tabela-TekstpodstawowyJustowany"/>
              <w:numPr>
                <w:ilvl w:val="2"/>
                <w:numId w:val="23"/>
              </w:numPr>
              <w:tabs>
                <w:tab w:val="left" w:pos="284"/>
              </w:tabs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brak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rehabilitacji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okresie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między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kolejnymi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podaniami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(co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najmniej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dwukrotnie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ciągu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każdych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12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miesięcy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leczenia);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14:paraId="22B59684" w14:textId="1237D4E9" w:rsidR="00570393" w:rsidRPr="00B538F3" w:rsidRDefault="00570393" w:rsidP="00B538F3">
            <w:pPr>
              <w:pStyle w:val="Tabela-TekstpodstawowyJustowany"/>
              <w:numPr>
                <w:ilvl w:val="2"/>
                <w:numId w:val="23"/>
              </w:numPr>
              <w:tabs>
                <w:tab w:val="left" w:pos="284"/>
              </w:tabs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brak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odpowiedzi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leczenie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dwóch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kolejnych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sesjach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leku.</w:t>
            </w:r>
          </w:p>
          <w:p w14:paraId="4833CE0C" w14:textId="45F7CF26" w:rsidR="00B538F3" w:rsidRDefault="00570393" w:rsidP="00B538F3">
            <w:pPr>
              <w:pStyle w:val="Tabela-TekstpodstawowyJustowany"/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uznaje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się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odpowiadającego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leczenie,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gdy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podaniu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dwóch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dawek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doszło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niego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spadku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napięcia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mięśniowego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≥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1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punkt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skali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Ashwortha/MAS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względem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wartości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wyjściowych,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najmniej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jednej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leczonej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grupie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mięśni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objętej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spastycznością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umiarkowaną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lub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ciężką.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Uzyskanie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odpowiedzi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leczenie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umożliwia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pacjentowi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dwóch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kolejnych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dawek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leku.</w:t>
            </w:r>
          </w:p>
          <w:p w14:paraId="2B5C16BA" w14:textId="0CA8F10A" w:rsidR="00B538F3" w:rsidRPr="00B538F3" w:rsidRDefault="00B538F3" w:rsidP="00B538F3">
            <w:pPr>
              <w:pStyle w:val="Tabela-TekstpodstawowyJustowany"/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667" w:type="pct"/>
          </w:tcPr>
          <w:p w14:paraId="06E0B012" w14:textId="06746BCB" w:rsidR="00570393" w:rsidRPr="00B538F3" w:rsidRDefault="00570393" w:rsidP="00B538F3">
            <w:pPr>
              <w:pStyle w:val="Tabela-TekstpodstawowyJustowany"/>
              <w:spacing w:before="120" w:after="60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lastRenderedPageBreak/>
              <w:t>Dawkowanie</w:t>
            </w:r>
          </w:p>
          <w:p w14:paraId="510F8A08" w14:textId="60AF09D5" w:rsidR="00570393" w:rsidRPr="00B538F3" w:rsidRDefault="00570393" w:rsidP="00B538F3">
            <w:pPr>
              <w:pStyle w:val="Tekstpodstawowy"/>
              <w:numPr>
                <w:ilvl w:val="0"/>
                <w:numId w:val="24"/>
              </w:numPr>
              <w:spacing w:before="0" w:after="60" w:line="240" w:lineRule="auto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Botulinum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A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toxin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ā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500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j.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i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Botulinum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A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toxin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a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300j.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(Dysport)</w:t>
            </w:r>
          </w:p>
          <w:p w14:paraId="5C2F24DA" w14:textId="234B73F9" w:rsidR="00570393" w:rsidRPr="00B538F3" w:rsidRDefault="00570393" w:rsidP="00B538F3">
            <w:pPr>
              <w:pStyle w:val="Tekstpodstawowy"/>
              <w:numPr>
                <w:ilvl w:val="2"/>
                <w:numId w:val="24"/>
              </w:numPr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maksymalna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dawka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jednorazowa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wynosi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1100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j.;</w:t>
            </w:r>
          </w:p>
          <w:p w14:paraId="17A5B822" w14:textId="2F5CBAAD" w:rsidR="00570393" w:rsidRPr="00B538F3" w:rsidRDefault="00570393" w:rsidP="00B538F3">
            <w:pPr>
              <w:pStyle w:val="Tekstpodstawowy"/>
              <w:numPr>
                <w:ilvl w:val="2"/>
                <w:numId w:val="24"/>
              </w:numPr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podaje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się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wielopunktowo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(z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wyjątkiem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małych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mięśni)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zakresach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dawek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przedstawionych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poniżej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oraz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zgodnie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doświadczeniem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klinicznym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podającego:</w:t>
            </w:r>
          </w:p>
          <w:p w14:paraId="4B95AA45" w14:textId="165B015C" w:rsidR="00570393" w:rsidRPr="00B538F3" w:rsidRDefault="00570393" w:rsidP="00B538F3">
            <w:pPr>
              <w:pStyle w:val="Tekstpodstawowy"/>
              <w:numPr>
                <w:ilvl w:val="3"/>
                <w:numId w:val="24"/>
              </w:numPr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zginacz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palców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głęboki: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100-200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47B20291" w14:textId="65B0D9E1" w:rsidR="00570393" w:rsidRPr="00B538F3" w:rsidRDefault="00570393" w:rsidP="00B538F3">
            <w:pPr>
              <w:pStyle w:val="Tekstpodstawowy"/>
              <w:numPr>
                <w:ilvl w:val="3"/>
                <w:numId w:val="24"/>
              </w:numPr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zginacz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palców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powierzchowny: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100–200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131944ED" w14:textId="6162FBB2" w:rsidR="00570393" w:rsidRPr="00B538F3" w:rsidRDefault="00570393" w:rsidP="00B538F3">
            <w:pPr>
              <w:pStyle w:val="Tekstpodstawowy"/>
              <w:numPr>
                <w:ilvl w:val="3"/>
                <w:numId w:val="24"/>
              </w:numPr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zginacz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nadgarstka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łokciowy: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100-200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4B76002E" w14:textId="282821D6" w:rsidR="00570393" w:rsidRPr="00B538F3" w:rsidRDefault="00570393" w:rsidP="00B538F3">
            <w:pPr>
              <w:pStyle w:val="Tekstpodstawowy"/>
              <w:numPr>
                <w:ilvl w:val="3"/>
                <w:numId w:val="24"/>
              </w:numPr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zginacz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nadgarstka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promieniowy: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100-200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08F1B483" w14:textId="66548FEE" w:rsidR="00570393" w:rsidRPr="00B538F3" w:rsidRDefault="00570393" w:rsidP="00B538F3">
            <w:pPr>
              <w:pStyle w:val="Akapitzlist"/>
              <w:numPr>
                <w:ilvl w:val="3"/>
                <w:numId w:val="24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38F3">
              <w:rPr>
                <w:rFonts w:ascii="Times New Roman" w:hAnsi="Times New Roman"/>
                <w:sz w:val="20"/>
                <w:szCs w:val="20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przywodziciel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kciuka: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25-50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j.,</w:t>
            </w:r>
          </w:p>
          <w:p w14:paraId="3BA6CA3A" w14:textId="389D66A8" w:rsidR="00570393" w:rsidRPr="00B538F3" w:rsidRDefault="00570393" w:rsidP="00B538F3">
            <w:pPr>
              <w:pStyle w:val="Akapitzlist"/>
              <w:numPr>
                <w:ilvl w:val="3"/>
                <w:numId w:val="24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38F3">
              <w:rPr>
                <w:rFonts w:ascii="Times New Roman" w:hAnsi="Times New Roman"/>
                <w:sz w:val="20"/>
                <w:szCs w:val="20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zginacz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kciuka: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100-200</w:t>
            </w:r>
            <w:r w:rsidR="00BA0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</w:rPr>
              <w:t>j.,</w:t>
            </w:r>
          </w:p>
          <w:p w14:paraId="08A8D53C" w14:textId="7947C901" w:rsidR="00570393" w:rsidRPr="00B538F3" w:rsidRDefault="00570393" w:rsidP="00B538F3">
            <w:pPr>
              <w:pStyle w:val="Tekstpodstawowy"/>
              <w:numPr>
                <w:ilvl w:val="3"/>
                <w:numId w:val="24"/>
              </w:numPr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dwugłowy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ramienia: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200–400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j.;</w:t>
            </w:r>
          </w:p>
          <w:p w14:paraId="5009212F" w14:textId="7E4FE39D" w:rsidR="00570393" w:rsidRPr="00B538F3" w:rsidRDefault="00570393" w:rsidP="00B538F3">
            <w:pPr>
              <w:pStyle w:val="Tekstpodstawowy"/>
              <w:numPr>
                <w:ilvl w:val="2"/>
                <w:numId w:val="24"/>
              </w:numPr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częstość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podawania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zależy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od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stanu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klinicznego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-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maksymalnie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3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razy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okresie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roku,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częściej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niż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12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tygodni.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14:paraId="1867E414" w14:textId="36FAC79E" w:rsidR="00570393" w:rsidRPr="00B538F3" w:rsidRDefault="00570393" w:rsidP="00B538F3">
            <w:pPr>
              <w:pStyle w:val="Tekstpodstawowy"/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wyjątkowo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trudnych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przypadkach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możliwe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jest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podawanie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kontrolą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elektromiografii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(EMG),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stymulacji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elektrycznej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mięśnia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lub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ultrasonografii.</w:t>
            </w:r>
          </w:p>
          <w:p w14:paraId="64A59F51" w14:textId="77777777" w:rsidR="00570393" w:rsidRPr="00B538F3" w:rsidRDefault="00570393" w:rsidP="00B538F3">
            <w:pPr>
              <w:pStyle w:val="Tekstpodstawowy"/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  <w:p w14:paraId="40DDCE47" w14:textId="099F341F" w:rsidR="00570393" w:rsidRPr="00B538F3" w:rsidRDefault="00570393" w:rsidP="00B538F3">
            <w:pPr>
              <w:pStyle w:val="Tekstpodstawowy"/>
              <w:numPr>
                <w:ilvl w:val="0"/>
                <w:numId w:val="24"/>
              </w:numPr>
              <w:spacing w:before="0" w:after="60" w:line="240" w:lineRule="auto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Botulinum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A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toxin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ā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100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j.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(Botox)</w:t>
            </w:r>
          </w:p>
          <w:p w14:paraId="183F4A32" w14:textId="7854B8CF" w:rsidR="00570393" w:rsidRPr="00B538F3" w:rsidRDefault="00570393" w:rsidP="00B538F3">
            <w:pPr>
              <w:pStyle w:val="Tekstpodstawowy"/>
              <w:numPr>
                <w:ilvl w:val="2"/>
                <w:numId w:val="24"/>
              </w:numPr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lastRenderedPageBreak/>
              <w:t>maksymalna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dawka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jednorazowa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wynosi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360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j.;</w:t>
            </w:r>
          </w:p>
          <w:p w14:paraId="4F0E0FD1" w14:textId="13F50518" w:rsidR="00570393" w:rsidRPr="00B538F3" w:rsidRDefault="00570393" w:rsidP="00B538F3">
            <w:pPr>
              <w:pStyle w:val="Tekstpodstawowy"/>
              <w:numPr>
                <w:ilvl w:val="2"/>
                <w:numId w:val="24"/>
              </w:numPr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podaje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się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1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2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miejsc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zakresach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dawek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przedstawionych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poniżej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oraz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zgodnie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doświadczeniem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klinicznym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podającego:</w:t>
            </w:r>
          </w:p>
          <w:p w14:paraId="6981B2D8" w14:textId="3AE9AE4A" w:rsidR="00570393" w:rsidRPr="00B538F3" w:rsidRDefault="00570393" w:rsidP="00B538F3">
            <w:pPr>
              <w:pStyle w:val="Tekstpodstawowy"/>
              <w:numPr>
                <w:ilvl w:val="3"/>
                <w:numId w:val="24"/>
              </w:numPr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zginacz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palców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głęboki: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15-50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2FB6F438" w14:textId="27B031D0" w:rsidR="00570393" w:rsidRPr="00B538F3" w:rsidRDefault="00570393" w:rsidP="00B538F3">
            <w:pPr>
              <w:pStyle w:val="Tekstpodstawowy"/>
              <w:numPr>
                <w:ilvl w:val="3"/>
                <w:numId w:val="24"/>
              </w:numPr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zginacz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palców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powierzchowny: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15-50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18C3C377" w14:textId="204DE453" w:rsidR="00570393" w:rsidRPr="00B538F3" w:rsidRDefault="00570393" w:rsidP="00B538F3">
            <w:pPr>
              <w:pStyle w:val="Tekstpodstawowy"/>
              <w:numPr>
                <w:ilvl w:val="3"/>
                <w:numId w:val="24"/>
              </w:numPr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zginacz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nadgarstka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promieniowy: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15-60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292E6BC5" w14:textId="3C9F319D" w:rsidR="00570393" w:rsidRPr="00B538F3" w:rsidRDefault="00570393" w:rsidP="00B538F3">
            <w:pPr>
              <w:pStyle w:val="Tekstpodstawowy"/>
              <w:numPr>
                <w:ilvl w:val="3"/>
                <w:numId w:val="24"/>
              </w:numPr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zginacz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nadgarstka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łokciowy: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10-50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74E93F9A" w14:textId="02D94348" w:rsidR="00570393" w:rsidRPr="00B538F3" w:rsidRDefault="00570393" w:rsidP="00B538F3">
            <w:pPr>
              <w:pStyle w:val="Tekstpodstawowy"/>
              <w:numPr>
                <w:ilvl w:val="3"/>
                <w:numId w:val="24"/>
              </w:numPr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przywodziciel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kciuka: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20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3339EB63" w14:textId="32074D96" w:rsidR="00570393" w:rsidRPr="00B538F3" w:rsidRDefault="00570393" w:rsidP="00B538F3">
            <w:pPr>
              <w:pStyle w:val="Tekstpodstawowy"/>
              <w:numPr>
                <w:ilvl w:val="3"/>
                <w:numId w:val="24"/>
              </w:numPr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zginacz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kciuka: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20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5007F2EE" w14:textId="01BCEC14" w:rsidR="00570393" w:rsidRPr="00B538F3" w:rsidRDefault="00570393" w:rsidP="00B538F3">
            <w:pPr>
              <w:pStyle w:val="Tekstpodstawowy"/>
              <w:numPr>
                <w:ilvl w:val="3"/>
                <w:numId w:val="24"/>
              </w:numPr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dwugłowy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ramienia: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50-100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j.;</w:t>
            </w:r>
          </w:p>
          <w:p w14:paraId="5BFF769E" w14:textId="6845CEA0" w:rsidR="00570393" w:rsidRPr="00B538F3" w:rsidRDefault="00570393" w:rsidP="00B538F3">
            <w:pPr>
              <w:pStyle w:val="Tekstpodstawowy"/>
              <w:numPr>
                <w:ilvl w:val="2"/>
                <w:numId w:val="24"/>
              </w:numPr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częstość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podawania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zależy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od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stanu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klinicznego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–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maksymalnie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3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razy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okresie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roku,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częściej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niż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12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tygodni.</w:t>
            </w:r>
          </w:p>
          <w:p w14:paraId="42CBEA32" w14:textId="67234B3A" w:rsidR="00570393" w:rsidRPr="00B538F3" w:rsidRDefault="00570393" w:rsidP="00B538F3">
            <w:pPr>
              <w:pStyle w:val="Tekstpodstawowy"/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wyjątkowo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trudnych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przypadkach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możliwe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jest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podawanie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kontrolą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elektromiografii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(EMG),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stymulacji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elektrycznej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mięśnia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lub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ultrasonografii.</w:t>
            </w:r>
          </w:p>
          <w:p w14:paraId="23E4519D" w14:textId="77777777" w:rsidR="00570393" w:rsidRPr="00B538F3" w:rsidRDefault="00570393" w:rsidP="00B538F3">
            <w:pPr>
              <w:pStyle w:val="Tekstpodstawowy"/>
              <w:spacing w:before="0" w:after="60" w:line="240" w:lineRule="auto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  <w:p w14:paraId="091BB886" w14:textId="2C088912" w:rsidR="00570393" w:rsidRPr="00B538F3" w:rsidRDefault="00570393" w:rsidP="00B538F3">
            <w:pPr>
              <w:pStyle w:val="Tekstpodstawowy"/>
              <w:numPr>
                <w:ilvl w:val="0"/>
                <w:numId w:val="24"/>
              </w:numPr>
              <w:spacing w:before="0" w:after="60" w:line="240" w:lineRule="auto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Botulinum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A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toxin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ā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100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j.</w:t>
            </w:r>
            <w:r w:rsidR="00BA04B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(Xeomin)</w:t>
            </w:r>
          </w:p>
          <w:p w14:paraId="0782A0E9" w14:textId="619F460E" w:rsidR="00570393" w:rsidRPr="00B538F3" w:rsidRDefault="00570393" w:rsidP="00B538F3">
            <w:pPr>
              <w:pStyle w:val="Tabela-TekstpodstawowyJustowany"/>
              <w:numPr>
                <w:ilvl w:val="2"/>
                <w:numId w:val="24"/>
              </w:numPr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maksymalna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dawka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jednorazowa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wynosi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400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jednostek;</w:t>
            </w:r>
          </w:p>
          <w:p w14:paraId="3963AEE9" w14:textId="5A6021C6" w:rsidR="00570393" w:rsidRPr="00B538F3" w:rsidRDefault="00570393" w:rsidP="00B538F3">
            <w:pPr>
              <w:pStyle w:val="Tabela-TekstpodstawowyJustowany"/>
              <w:numPr>
                <w:ilvl w:val="2"/>
                <w:numId w:val="24"/>
              </w:numPr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podaje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się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wielopunktowo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(z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wyjątkiem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małych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mięśni)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zakresach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dawek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przedstawionych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poniżej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oraz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zgodnie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doświadczeniem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klinicznym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podającego:</w:t>
            </w:r>
          </w:p>
          <w:p w14:paraId="4039F730" w14:textId="24673EE3" w:rsidR="00570393" w:rsidRPr="00B538F3" w:rsidRDefault="00570393" w:rsidP="00B538F3">
            <w:pPr>
              <w:pStyle w:val="Tabela-TekstpodstawowyJustowany"/>
              <w:numPr>
                <w:ilvl w:val="3"/>
                <w:numId w:val="24"/>
              </w:numPr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zginacz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promieniowy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nadgarstka: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25-100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0ACCBE6A" w14:textId="48BE5CAA" w:rsidR="00570393" w:rsidRPr="00B538F3" w:rsidRDefault="00570393" w:rsidP="00B538F3">
            <w:pPr>
              <w:pStyle w:val="Tabela-TekstpodstawowyJustowany"/>
              <w:numPr>
                <w:ilvl w:val="3"/>
                <w:numId w:val="24"/>
              </w:numPr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zginacz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łokciowy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nadgarstka: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20-100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6BB1910B" w14:textId="23CEDD72" w:rsidR="00570393" w:rsidRPr="00B538F3" w:rsidRDefault="00570393" w:rsidP="00B538F3">
            <w:pPr>
              <w:pStyle w:val="Tabela-TekstpodstawowyJustowany"/>
              <w:numPr>
                <w:ilvl w:val="3"/>
                <w:numId w:val="24"/>
              </w:numPr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zginacz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="009F2F99" w:rsidRPr="009F2F99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powierzchowny</w:t>
            </w:r>
            <w:r w:rsidR="009F2F99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palców: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40-100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1616371A" w14:textId="29CBB5E9" w:rsidR="00570393" w:rsidRPr="00B538F3" w:rsidRDefault="00570393" w:rsidP="00B538F3">
            <w:pPr>
              <w:pStyle w:val="Tabela-TekstpodstawowyJustowany"/>
              <w:numPr>
                <w:ilvl w:val="3"/>
                <w:numId w:val="24"/>
              </w:numPr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zginacz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głęboki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palców: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40-100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6D4CADB2" w14:textId="53591612" w:rsidR="00570393" w:rsidRPr="00B538F3" w:rsidRDefault="00570393" w:rsidP="00B538F3">
            <w:pPr>
              <w:pStyle w:val="Tabela-TekstpodstawowyJustowany"/>
              <w:numPr>
                <w:ilvl w:val="3"/>
                <w:numId w:val="24"/>
              </w:numPr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ramienno-promieniowy: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25-100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31B069EB" w14:textId="7B3E880C" w:rsidR="00570393" w:rsidRPr="00B538F3" w:rsidRDefault="00570393" w:rsidP="00B538F3">
            <w:pPr>
              <w:pStyle w:val="Tabela-TekstpodstawowyJustowany"/>
              <w:numPr>
                <w:ilvl w:val="3"/>
                <w:numId w:val="24"/>
              </w:numPr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dwugłowy</w:t>
            </w:r>
            <w:r w:rsidR="009F2F99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ramienia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75-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200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57DC37B5" w14:textId="0036D71A" w:rsidR="00570393" w:rsidRPr="00B538F3" w:rsidRDefault="00570393" w:rsidP="00B538F3">
            <w:pPr>
              <w:pStyle w:val="Tabela-TekstpodstawowyJustowany"/>
              <w:numPr>
                <w:ilvl w:val="3"/>
                <w:numId w:val="24"/>
              </w:numPr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ramienny: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25-100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365204B4" w14:textId="590CB210" w:rsidR="00570393" w:rsidRPr="00B538F3" w:rsidRDefault="00570393" w:rsidP="00B538F3">
            <w:pPr>
              <w:pStyle w:val="Tabela-TekstpodstawowyJustowany"/>
              <w:numPr>
                <w:ilvl w:val="3"/>
                <w:numId w:val="24"/>
              </w:numPr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nawrotny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czworoboczny: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10-50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038B4117" w14:textId="333D2EA6" w:rsidR="00570393" w:rsidRPr="00B538F3" w:rsidRDefault="00570393" w:rsidP="00B538F3">
            <w:pPr>
              <w:pStyle w:val="Tabela-TekstpodstawowyJustowany"/>
              <w:numPr>
                <w:ilvl w:val="3"/>
                <w:numId w:val="24"/>
              </w:numPr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nawrotny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obły: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25-75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104CBEB7" w14:textId="1A7E313D" w:rsidR="00570393" w:rsidRPr="00B538F3" w:rsidRDefault="00570393" w:rsidP="00B538F3">
            <w:pPr>
              <w:pStyle w:val="Tabela-TekstpodstawowyJustowany"/>
              <w:numPr>
                <w:ilvl w:val="3"/>
                <w:numId w:val="24"/>
              </w:numPr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lastRenderedPageBreak/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zginacz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długi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kciuka: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10-50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6B3D1E29" w14:textId="50781D0D" w:rsidR="00570393" w:rsidRPr="00B538F3" w:rsidRDefault="00570393" w:rsidP="00B538F3">
            <w:pPr>
              <w:pStyle w:val="Tabela-TekstpodstawowyJustowany"/>
              <w:numPr>
                <w:ilvl w:val="3"/>
                <w:numId w:val="24"/>
              </w:numPr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przywodziciel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kciuka: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5-30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j.,</w:t>
            </w:r>
          </w:p>
          <w:p w14:paraId="22BB0721" w14:textId="475868B7" w:rsidR="00570393" w:rsidRPr="00B538F3" w:rsidRDefault="00570393" w:rsidP="00B538F3">
            <w:pPr>
              <w:pStyle w:val="Tabela-TekstpodstawowyJustowany"/>
              <w:numPr>
                <w:ilvl w:val="3"/>
                <w:numId w:val="24"/>
              </w:numPr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zginacz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krótki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kciuka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/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przeciwstawiacz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kciuka: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5-30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j.;</w:t>
            </w:r>
          </w:p>
          <w:p w14:paraId="7C0D36C1" w14:textId="3A10B266" w:rsidR="00570393" w:rsidRPr="00B538F3" w:rsidRDefault="00570393" w:rsidP="00B538F3">
            <w:pPr>
              <w:pStyle w:val="Tabela-TekstpodstawowyJustowany"/>
              <w:numPr>
                <w:ilvl w:val="2"/>
                <w:numId w:val="24"/>
              </w:numPr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częstość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podawania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zależy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od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stanu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klinicznego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-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maksymalnie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3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razy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okresie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roku,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częściej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niż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12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tygodni.</w:t>
            </w:r>
          </w:p>
          <w:p w14:paraId="21FA8C0B" w14:textId="6A5C96D4" w:rsidR="00570393" w:rsidRPr="00B538F3" w:rsidRDefault="00570393" w:rsidP="00B538F3">
            <w:pPr>
              <w:pStyle w:val="Tabela-TekstpodstawowyJustowany"/>
              <w:spacing w:after="60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wyjątkowo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trudnych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przypadkach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możliwe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jest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podawanie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kontrolą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elektromiografii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(EMG),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stymulacji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elektrycznej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mięśnia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lub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ultrasonografii.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1667" w:type="pct"/>
          </w:tcPr>
          <w:p w14:paraId="23DB3446" w14:textId="375F4C0B" w:rsidR="00570393" w:rsidRPr="00B538F3" w:rsidRDefault="00570393" w:rsidP="00B538F3">
            <w:pPr>
              <w:pStyle w:val="Tabela-TekstpodstawowyDolewej"/>
              <w:numPr>
                <w:ilvl w:val="0"/>
                <w:numId w:val="25"/>
              </w:numPr>
              <w:spacing w:before="120" w:after="60"/>
              <w:jc w:val="both"/>
              <w:rPr>
                <w:rStyle w:val="Wyrnienieintensywne"/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lastRenderedPageBreak/>
              <w:t>Badania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przy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kwalifikacji</w:t>
            </w:r>
          </w:p>
          <w:p w14:paraId="2B7136B3" w14:textId="18ADF54A" w:rsidR="00570393" w:rsidRPr="00B538F3" w:rsidRDefault="00570393" w:rsidP="00B538F3">
            <w:pPr>
              <w:pStyle w:val="Listanumerowana"/>
              <w:numPr>
                <w:ilvl w:val="2"/>
                <w:numId w:val="25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badanie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neurologiczne:</w:t>
            </w:r>
          </w:p>
          <w:p w14:paraId="314C3FA1" w14:textId="4C858445" w:rsidR="00570393" w:rsidRPr="00B538F3" w:rsidRDefault="00570393" w:rsidP="00B538F3">
            <w:pPr>
              <w:pStyle w:val="Listanumerowana"/>
              <w:numPr>
                <w:ilvl w:val="3"/>
                <w:numId w:val="25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ocena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spastyczności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skali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Ashworth,</w:t>
            </w:r>
          </w:p>
          <w:p w14:paraId="5531CBB8" w14:textId="5B970273" w:rsidR="00570393" w:rsidRPr="00B538F3" w:rsidRDefault="00570393" w:rsidP="00B538F3">
            <w:pPr>
              <w:pStyle w:val="Listanumerowana"/>
              <w:numPr>
                <w:ilvl w:val="3"/>
                <w:numId w:val="25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test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oceniający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stopień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osłabienia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siły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mięśni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kończyny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górnej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według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skali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Medical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Research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Council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(MRC)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(0-5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poszczególnych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grupach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mięśniowych),</w:t>
            </w:r>
          </w:p>
          <w:p w14:paraId="72612F94" w14:textId="03E2638A" w:rsidR="00570393" w:rsidRPr="00B538F3" w:rsidRDefault="00570393" w:rsidP="00B538F3">
            <w:pPr>
              <w:pStyle w:val="Listanumerowana"/>
              <w:numPr>
                <w:ilvl w:val="3"/>
                <w:numId w:val="25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ocena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funkcji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poznawczych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według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skali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MMSE,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br/>
              <w:t>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wyłączeniem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chorych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aleksją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lub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agrafią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lub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afazją,</w:t>
            </w:r>
          </w:p>
          <w:p w14:paraId="156B2386" w14:textId="19F63E3B" w:rsidR="00570393" w:rsidRPr="00B538F3" w:rsidRDefault="00570393" w:rsidP="00B538F3">
            <w:pPr>
              <w:pStyle w:val="Listanumerowana"/>
              <w:numPr>
                <w:ilvl w:val="3"/>
                <w:numId w:val="25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opisowa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ocena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czynności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możliwych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wykonania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kończyną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spastycznością;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14:paraId="4A3E8EBD" w14:textId="7FBC5A9A" w:rsidR="00570393" w:rsidRPr="00B538F3" w:rsidRDefault="00570393" w:rsidP="00B538F3">
            <w:pPr>
              <w:pStyle w:val="Listanumerowana"/>
              <w:numPr>
                <w:ilvl w:val="2"/>
                <w:numId w:val="25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pacjentów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przyjmujących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antykoagulacyjne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–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acenokumarol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lub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warfarynę,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wykonuje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się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badanie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INR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(dopuszczalna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wartość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INR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dniu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więcej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niż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2,5);</w:t>
            </w:r>
          </w:p>
          <w:p w14:paraId="5CF6D84D" w14:textId="0209B145" w:rsidR="00570393" w:rsidRDefault="00570393" w:rsidP="00BA04B3">
            <w:pPr>
              <w:pStyle w:val="Listanumerowana"/>
              <w:numPr>
                <w:ilvl w:val="2"/>
                <w:numId w:val="25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ocena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stanu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ruchowego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>.</w:t>
            </w:r>
          </w:p>
          <w:p w14:paraId="743C4CF1" w14:textId="77777777" w:rsidR="00BA04B3" w:rsidRPr="00B538F3" w:rsidRDefault="00BA04B3" w:rsidP="00BA04B3">
            <w:pPr>
              <w:pStyle w:val="Listanumerowana"/>
              <w:numPr>
                <w:ilvl w:val="0"/>
                <w:numId w:val="0"/>
              </w:numPr>
              <w:spacing w:before="0" w:after="60" w:line="240" w:lineRule="auto"/>
              <w:ind w:left="397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  <w:p w14:paraId="04D4F48B" w14:textId="2D3CCD12" w:rsidR="00570393" w:rsidRPr="00B538F3" w:rsidRDefault="00570393" w:rsidP="00B538F3">
            <w:pPr>
              <w:pStyle w:val="Tabela-TekstpodstawowyDolewej"/>
              <w:numPr>
                <w:ilvl w:val="0"/>
                <w:numId w:val="25"/>
              </w:numPr>
              <w:spacing w:after="60"/>
              <w:jc w:val="both"/>
              <w:rPr>
                <w:rStyle w:val="Wyrnienieintensywne"/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Monitorowanie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leczenia</w:t>
            </w:r>
          </w:p>
          <w:p w14:paraId="78B6218E" w14:textId="6E5FFC86" w:rsidR="00570393" w:rsidRPr="00B538F3" w:rsidRDefault="00570393" w:rsidP="00BA04B3">
            <w:pPr>
              <w:pStyle w:val="Tabela-TekstpodstawowyDolewej"/>
              <w:spacing w:after="60"/>
              <w:jc w:val="both"/>
              <w:rPr>
                <w:rStyle w:val="Wyrnienieintensywne"/>
                <w:rFonts w:ascii="Times New Roman" w:hAnsi="Times New Roman"/>
                <w:b w:val="0"/>
                <w:sz w:val="20"/>
                <w:szCs w:val="20"/>
                <w:lang w:val="pl-PL"/>
              </w:rPr>
            </w:pP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Podczas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wizyt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kontrolnych,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o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których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mowa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pkt.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3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kolumnie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„Świadczeniobiorcy”,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przed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podaniem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pacjentowi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kolejnej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dawki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leku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wykonuje</w:t>
            </w:r>
            <w:r w:rsidR="00BA04B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Style w:val="Wyrnienieintensywne"/>
                <w:rFonts w:ascii="Times New Roman" w:hAnsi="Times New Roman"/>
                <w:sz w:val="20"/>
                <w:szCs w:val="20"/>
                <w:lang w:val="pl-PL" w:eastAsia="pl-PL"/>
              </w:rPr>
              <w:t>się:</w:t>
            </w:r>
          </w:p>
          <w:p w14:paraId="7E32331A" w14:textId="2B4F2C88" w:rsidR="00570393" w:rsidRPr="00B538F3" w:rsidRDefault="00570393" w:rsidP="00BA04B3">
            <w:pPr>
              <w:pStyle w:val="Listanumerowana"/>
              <w:numPr>
                <w:ilvl w:val="2"/>
                <w:numId w:val="25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ocenę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odpowiedzi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zastosowane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leczenie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mierzoną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br/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MAS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(poprawa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≥1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pkt),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która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stanowi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kryterium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kolejnych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dawek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leku;</w:t>
            </w:r>
          </w:p>
          <w:p w14:paraId="66DF69A6" w14:textId="24B29511" w:rsidR="00570393" w:rsidRPr="00B538F3" w:rsidRDefault="00570393" w:rsidP="00BA04B3">
            <w:pPr>
              <w:pStyle w:val="Listanumerowana"/>
              <w:numPr>
                <w:ilvl w:val="2"/>
                <w:numId w:val="25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lastRenderedPageBreak/>
              <w:t>ocenę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efektu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podania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według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lekarza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według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oceniana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pomocą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skali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CGI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–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(Clinical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Global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Imperssion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–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Improvement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Scale);</w:t>
            </w:r>
          </w:p>
          <w:p w14:paraId="23E4F33A" w14:textId="1A535071" w:rsidR="00570393" w:rsidRPr="00B538F3" w:rsidRDefault="00570393" w:rsidP="00BA04B3">
            <w:pPr>
              <w:pStyle w:val="Listanumerowana"/>
              <w:numPr>
                <w:ilvl w:val="2"/>
                <w:numId w:val="25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ocenę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stanu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ruchowego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spastycznej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kończyny;</w:t>
            </w:r>
          </w:p>
          <w:p w14:paraId="2153BD75" w14:textId="31E67CB7" w:rsidR="00570393" w:rsidRPr="00B538F3" w:rsidRDefault="00570393" w:rsidP="00BA04B3">
            <w:pPr>
              <w:pStyle w:val="Listanumerowana"/>
              <w:numPr>
                <w:ilvl w:val="2"/>
                <w:numId w:val="25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ocenę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spastyczności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skali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Ashworth;</w:t>
            </w:r>
          </w:p>
          <w:p w14:paraId="2497ECA0" w14:textId="7CD4BBD8" w:rsidR="00570393" w:rsidRPr="00B538F3" w:rsidRDefault="00570393" w:rsidP="00BA04B3">
            <w:pPr>
              <w:pStyle w:val="Listanumerowana"/>
              <w:numPr>
                <w:ilvl w:val="2"/>
                <w:numId w:val="25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test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oceniający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stopień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osłabienia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siły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mięśni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kończyny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górnej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według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skali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Medical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Research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Council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(MRC)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(0-5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poszczególnych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grupach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mięśniowych);</w:t>
            </w:r>
          </w:p>
          <w:p w14:paraId="735D75A9" w14:textId="6BAC808D" w:rsidR="00570393" w:rsidRPr="00B538F3" w:rsidRDefault="00570393" w:rsidP="00BA04B3">
            <w:pPr>
              <w:numPr>
                <w:ilvl w:val="2"/>
                <w:numId w:val="25"/>
              </w:numPr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eastAsia="pl-PL"/>
              </w:rPr>
              <w:t>opisową</w:t>
            </w:r>
            <w:r w:rsidR="00BA04B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eastAsia="pl-PL"/>
              </w:rPr>
              <w:t>ocenę</w:t>
            </w:r>
            <w:r w:rsidR="00BA04B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eastAsia="pl-PL"/>
              </w:rPr>
              <w:t>czynności</w:t>
            </w:r>
            <w:r w:rsidR="00BA04B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eastAsia="pl-PL"/>
              </w:rPr>
              <w:t>możliwych</w:t>
            </w:r>
            <w:r w:rsidR="00BA04B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eastAsia="pl-PL"/>
              </w:rPr>
              <w:t>do</w:t>
            </w:r>
            <w:r w:rsidR="00BA04B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eastAsia="pl-PL"/>
              </w:rPr>
              <w:t>wykonania</w:t>
            </w:r>
            <w:r w:rsidR="00BA04B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eastAsia="pl-PL"/>
              </w:rPr>
              <w:t>kończyną</w:t>
            </w:r>
            <w:r w:rsidR="00BA04B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eastAsia="pl-PL"/>
              </w:rPr>
              <w:t>ze</w:t>
            </w:r>
            <w:r w:rsidR="00BA04B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eastAsia="pl-PL"/>
              </w:rPr>
              <w:t>spastycznością;</w:t>
            </w:r>
            <w:r w:rsidR="00BA04B3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6377D5CB" w14:textId="0E54A2F5" w:rsidR="00570393" w:rsidRDefault="00570393" w:rsidP="00BA04B3">
            <w:pPr>
              <w:pStyle w:val="Listanumerowana"/>
              <w:numPr>
                <w:ilvl w:val="2"/>
                <w:numId w:val="25"/>
              </w:numPr>
              <w:spacing w:before="0" w:after="6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dokumentacji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medycznej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zamieszcza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się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informację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rodzaju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i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formie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prowadzonej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pacjenta</w:t>
            </w:r>
            <w:r w:rsidR="00BA04B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rehabilitacji.</w:t>
            </w:r>
          </w:p>
          <w:p w14:paraId="5851413B" w14:textId="7FE4CFA1" w:rsidR="00BA04B3" w:rsidRPr="00B538F3" w:rsidRDefault="00BA04B3" w:rsidP="00BA04B3">
            <w:pPr>
              <w:pStyle w:val="Listanumerowana"/>
              <w:numPr>
                <w:ilvl w:val="0"/>
                <w:numId w:val="0"/>
              </w:numPr>
              <w:spacing w:before="0" w:after="60" w:line="240" w:lineRule="auto"/>
              <w:ind w:left="397"/>
              <w:contextualSpacing w:val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  <w:p w14:paraId="0751C143" w14:textId="6DBBFEC1" w:rsidR="00570393" w:rsidRPr="00B538F3" w:rsidRDefault="00570393" w:rsidP="00B538F3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538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Monitorowanie</w:t>
            </w:r>
            <w:r w:rsidR="00BA04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666FEC1F" w14:textId="51BCBC3A" w:rsidR="00570393" w:rsidRPr="00B538F3" w:rsidRDefault="00570393" w:rsidP="00BA04B3">
            <w:pPr>
              <w:numPr>
                <w:ilvl w:val="2"/>
                <w:numId w:val="25"/>
              </w:numPr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gromadzenie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dokumentacji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medycznej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pacjenta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danych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dotyczących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monitorowania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każdorazowe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ich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przedstawianie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żądanie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kontrolerów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Narodowego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Funduszu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Zdrowia;</w:t>
            </w:r>
          </w:p>
          <w:p w14:paraId="6EC257B9" w14:textId="3591365D" w:rsidR="00570393" w:rsidRPr="00B538F3" w:rsidRDefault="00570393" w:rsidP="00BA04B3">
            <w:pPr>
              <w:numPr>
                <w:ilvl w:val="2"/>
                <w:numId w:val="25"/>
              </w:numPr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uzupełnienie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danych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zawartych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rejestrze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(SMPT)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dostępnym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pomocą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aplikacji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internetowej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udostępnionej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OW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NFZ,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częstotliwością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zgodną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opisem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programu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oraz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zakończenie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leczenia;</w:t>
            </w:r>
          </w:p>
          <w:p w14:paraId="30AC34B7" w14:textId="1CFBF38A" w:rsidR="00570393" w:rsidRPr="00B538F3" w:rsidRDefault="00570393" w:rsidP="00BA04B3">
            <w:pPr>
              <w:pStyle w:val="Tabela-Listapunktowa"/>
              <w:numPr>
                <w:ilvl w:val="2"/>
                <w:numId w:val="25"/>
              </w:numPr>
              <w:spacing w:after="6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przekazywanie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informacji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sprawozdawczo-rozliczeniowych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NFZ: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informacje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przekazuje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się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NFZ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formie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papierowej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lub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formie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elektronicznej,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zgodnie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z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wymaganiami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opublikowanymi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przez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Narodowy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Fundusz</w:t>
            </w:r>
            <w:r w:rsidR="00BA04B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B538F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Zdrowia.</w:t>
            </w:r>
          </w:p>
          <w:p w14:paraId="596F2885" w14:textId="77777777" w:rsidR="00570393" w:rsidRPr="00B538F3" w:rsidRDefault="00570393" w:rsidP="00BA04B3">
            <w:pPr>
              <w:pStyle w:val="Base-Tabela-Tekstlist"/>
              <w:numPr>
                <w:ilvl w:val="0"/>
                <w:numId w:val="0"/>
              </w:numPr>
              <w:spacing w:after="6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</w:tbl>
    <w:p w14:paraId="76EF63E1" w14:textId="77777777" w:rsidR="00570393" w:rsidRPr="00B538F3" w:rsidRDefault="00570393" w:rsidP="00570393">
      <w:pPr>
        <w:spacing w:line="360" w:lineRule="auto"/>
        <w:rPr>
          <w:rFonts w:ascii="Times New Roman" w:hAnsi="Times New Roman"/>
          <w:sz w:val="18"/>
          <w:szCs w:val="18"/>
        </w:rPr>
      </w:pPr>
    </w:p>
    <w:p w14:paraId="5605F632" w14:textId="7E2B8AF0" w:rsidR="00025CCE" w:rsidRPr="00B538F3" w:rsidRDefault="00FF0096"/>
    <w:sectPr w:rsidR="00025CCE" w:rsidRPr="00B538F3" w:rsidSect="00471376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03255"/>
    <w:multiLevelType w:val="hybridMultilevel"/>
    <w:tmpl w:val="4E20AC4A"/>
    <w:lvl w:ilvl="0" w:tplc="02BA0A68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F265C"/>
    <w:multiLevelType w:val="hybridMultilevel"/>
    <w:tmpl w:val="89C48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6390"/>
    <w:multiLevelType w:val="hybridMultilevel"/>
    <w:tmpl w:val="CFBE67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05BAC"/>
    <w:multiLevelType w:val="hybridMultilevel"/>
    <w:tmpl w:val="20B63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F3198"/>
    <w:multiLevelType w:val="multilevel"/>
    <w:tmpl w:val="A45E49C8"/>
    <w:lvl w:ilvl="0">
      <w:numFmt w:val="decimal"/>
      <w:lvlText w:val=""/>
      <w:lvlJc w:val="left"/>
    </w:lvl>
    <w:lvl w:ilvl="1">
      <w:numFmt w:val="decimal"/>
      <w:pStyle w:val="Base-Tabela-Tekstlist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B22AD3"/>
    <w:multiLevelType w:val="hybridMultilevel"/>
    <w:tmpl w:val="3168AC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387CF2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25C10A45"/>
    <w:multiLevelType w:val="hybridMultilevel"/>
    <w:tmpl w:val="347E29D0"/>
    <w:lvl w:ilvl="0" w:tplc="BE72B7B6">
      <w:start w:val="1"/>
      <w:numFmt w:val="decimal"/>
      <w:lvlText w:val="%1)"/>
      <w:lvlJc w:val="left"/>
      <w:pPr>
        <w:ind w:left="-2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684" w:hanging="360"/>
      </w:pPr>
    </w:lvl>
    <w:lvl w:ilvl="2" w:tplc="0415001B" w:tentative="1">
      <w:start w:val="1"/>
      <w:numFmt w:val="lowerRoman"/>
      <w:lvlText w:val="%3."/>
      <w:lvlJc w:val="right"/>
      <w:pPr>
        <w:ind w:left="-964" w:hanging="180"/>
      </w:pPr>
    </w:lvl>
    <w:lvl w:ilvl="3" w:tplc="0415000F" w:tentative="1">
      <w:start w:val="1"/>
      <w:numFmt w:val="decimal"/>
      <w:lvlText w:val="%4."/>
      <w:lvlJc w:val="left"/>
      <w:pPr>
        <w:ind w:left="-244" w:hanging="360"/>
      </w:pPr>
    </w:lvl>
    <w:lvl w:ilvl="4" w:tplc="04150019" w:tentative="1">
      <w:start w:val="1"/>
      <w:numFmt w:val="lowerLetter"/>
      <w:lvlText w:val="%5."/>
      <w:lvlJc w:val="left"/>
      <w:pPr>
        <w:ind w:left="476" w:hanging="360"/>
      </w:pPr>
    </w:lvl>
    <w:lvl w:ilvl="5" w:tplc="0415001B" w:tentative="1">
      <w:start w:val="1"/>
      <w:numFmt w:val="lowerRoman"/>
      <w:lvlText w:val="%6."/>
      <w:lvlJc w:val="right"/>
      <w:pPr>
        <w:ind w:left="1196" w:hanging="180"/>
      </w:pPr>
    </w:lvl>
    <w:lvl w:ilvl="6" w:tplc="0415000F" w:tentative="1">
      <w:start w:val="1"/>
      <w:numFmt w:val="decimal"/>
      <w:lvlText w:val="%7."/>
      <w:lvlJc w:val="left"/>
      <w:pPr>
        <w:ind w:left="1916" w:hanging="360"/>
      </w:pPr>
    </w:lvl>
    <w:lvl w:ilvl="7" w:tplc="04150019" w:tentative="1">
      <w:start w:val="1"/>
      <w:numFmt w:val="lowerLetter"/>
      <w:lvlText w:val="%8."/>
      <w:lvlJc w:val="left"/>
      <w:pPr>
        <w:ind w:left="2636" w:hanging="360"/>
      </w:pPr>
    </w:lvl>
    <w:lvl w:ilvl="8" w:tplc="0415001B" w:tentative="1">
      <w:start w:val="1"/>
      <w:numFmt w:val="lowerRoman"/>
      <w:lvlText w:val="%9."/>
      <w:lvlJc w:val="right"/>
      <w:pPr>
        <w:ind w:left="3356" w:hanging="180"/>
      </w:pPr>
    </w:lvl>
  </w:abstractNum>
  <w:abstractNum w:abstractNumId="8" w15:restartNumberingAfterBreak="0">
    <w:nsid w:val="312934AF"/>
    <w:multiLevelType w:val="hybridMultilevel"/>
    <w:tmpl w:val="B59CA9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7D42AE"/>
    <w:multiLevelType w:val="hybridMultilevel"/>
    <w:tmpl w:val="A47CB6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940D93"/>
    <w:multiLevelType w:val="multilevel"/>
    <w:tmpl w:val="2BEA0608"/>
    <w:styleLink w:val="HTA-Listanumerowana1"/>
    <w:lvl w:ilvl="0">
      <w:start w:val="1"/>
      <w:numFmt w:val="decimal"/>
      <w:pStyle w:val="Listanumerowana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numerowana2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pStyle w:val="Listanumerowana3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bullet"/>
      <w:pStyle w:val="Listanumerowana4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000000"/>
      </w:rPr>
    </w:lvl>
    <w:lvl w:ilvl="4">
      <w:start w:val="1"/>
      <w:numFmt w:val="bullet"/>
      <w:pStyle w:val="Listanumerowana5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·"/>
      <w:lvlJc w:val="left"/>
      <w:pPr>
        <w:tabs>
          <w:tab w:val="num" w:pos="1704"/>
        </w:tabs>
        <w:ind w:left="1704" w:hanging="284"/>
      </w:pPr>
      <w:rPr>
        <w:rFonts w:ascii="Arial" w:hAnsi="Arial" w:hint="default"/>
        <w:color w:val="000000"/>
      </w:rPr>
    </w:lvl>
    <w:lvl w:ilvl="6">
      <w:start w:val="1"/>
      <w:numFmt w:val="bullet"/>
      <w:lvlText w:val="·"/>
      <w:lvlJc w:val="left"/>
      <w:pPr>
        <w:tabs>
          <w:tab w:val="num" w:pos="1988"/>
        </w:tabs>
        <w:ind w:left="1988" w:hanging="284"/>
      </w:pPr>
      <w:rPr>
        <w:rFonts w:ascii="Arial" w:hAnsi="Arial" w:hint="default"/>
        <w:color w:val="000000"/>
      </w:rPr>
    </w:lvl>
    <w:lvl w:ilvl="7">
      <w:start w:val="1"/>
      <w:numFmt w:val="bullet"/>
      <w:lvlText w:val="·"/>
      <w:lvlJc w:val="left"/>
      <w:pPr>
        <w:tabs>
          <w:tab w:val="num" w:pos="2272"/>
        </w:tabs>
        <w:ind w:left="2272" w:hanging="284"/>
      </w:pPr>
      <w:rPr>
        <w:rFonts w:ascii="Arial" w:hAnsi="Arial" w:hint="default"/>
        <w:color w:val="000000"/>
      </w:rPr>
    </w:lvl>
    <w:lvl w:ilvl="8">
      <w:start w:val="1"/>
      <w:numFmt w:val="bullet"/>
      <w:lvlText w:val="·"/>
      <w:lvlJc w:val="left"/>
      <w:pPr>
        <w:tabs>
          <w:tab w:val="num" w:pos="2556"/>
        </w:tabs>
        <w:ind w:left="2556" w:hanging="284"/>
      </w:pPr>
      <w:rPr>
        <w:rFonts w:ascii="Arial" w:hAnsi="Arial" w:hint="default"/>
        <w:color w:val="000000"/>
      </w:rPr>
    </w:lvl>
  </w:abstractNum>
  <w:abstractNum w:abstractNumId="11" w15:restartNumberingAfterBreak="0">
    <w:nsid w:val="3FCD6C1F"/>
    <w:multiLevelType w:val="hybridMultilevel"/>
    <w:tmpl w:val="3DFAEC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2A11FC"/>
    <w:multiLevelType w:val="hybridMultilevel"/>
    <w:tmpl w:val="2F4C0254"/>
    <w:lvl w:ilvl="0" w:tplc="556A22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726646"/>
    <w:multiLevelType w:val="hybridMultilevel"/>
    <w:tmpl w:val="9E3602AE"/>
    <w:lvl w:ilvl="0" w:tplc="1226B6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7A0714"/>
    <w:multiLevelType w:val="hybridMultilevel"/>
    <w:tmpl w:val="50C29F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54546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541F6C64"/>
    <w:multiLevelType w:val="hybridMultilevel"/>
    <w:tmpl w:val="48A690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D92D98"/>
    <w:multiLevelType w:val="hybridMultilevel"/>
    <w:tmpl w:val="B5F29B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C3476"/>
    <w:multiLevelType w:val="multilevel"/>
    <w:tmpl w:val="FEB2A0A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637676FF"/>
    <w:multiLevelType w:val="hybridMultilevel"/>
    <w:tmpl w:val="2F4C0254"/>
    <w:lvl w:ilvl="0" w:tplc="556A22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E561B1"/>
    <w:multiLevelType w:val="hybridMultilevel"/>
    <w:tmpl w:val="1E028B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44FB6"/>
    <w:multiLevelType w:val="hybridMultilevel"/>
    <w:tmpl w:val="EAC8A124"/>
    <w:lvl w:ilvl="0" w:tplc="4E023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05E39"/>
    <w:multiLevelType w:val="hybridMultilevel"/>
    <w:tmpl w:val="0DE20E08"/>
    <w:lvl w:ilvl="0" w:tplc="9A706896">
      <w:start w:val="1"/>
      <w:numFmt w:val="bullet"/>
      <w:pStyle w:val="Tabela-Listapunktowa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A7C66"/>
    <w:multiLevelType w:val="hybridMultilevel"/>
    <w:tmpl w:val="666E2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34970"/>
    <w:multiLevelType w:val="hybridMultilevel"/>
    <w:tmpl w:val="093C7E02"/>
    <w:lvl w:ilvl="0" w:tplc="2C426D54">
      <w:start w:val="1"/>
      <w:numFmt w:val="lowerLetter"/>
      <w:lvlText w:val="%1)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4"/>
  </w:num>
  <w:num w:numId="4">
    <w:abstractNumId w:val="22"/>
  </w:num>
  <w:num w:numId="5">
    <w:abstractNumId w:val="9"/>
  </w:num>
  <w:num w:numId="6">
    <w:abstractNumId w:val="8"/>
  </w:num>
  <w:num w:numId="7">
    <w:abstractNumId w:val="7"/>
  </w:num>
  <w:num w:numId="8">
    <w:abstractNumId w:val="16"/>
  </w:num>
  <w:num w:numId="9">
    <w:abstractNumId w:val="17"/>
  </w:num>
  <w:num w:numId="10">
    <w:abstractNumId w:val="12"/>
  </w:num>
  <w:num w:numId="11">
    <w:abstractNumId w:val="14"/>
  </w:num>
  <w:num w:numId="12">
    <w:abstractNumId w:val="20"/>
  </w:num>
  <w:num w:numId="13">
    <w:abstractNumId w:val="13"/>
  </w:num>
  <w:num w:numId="14">
    <w:abstractNumId w:val="11"/>
  </w:num>
  <w:num w:numId="15">
    <w:abstractNumId w:val="19"/>
  </w:num>
  <w:num w:numId="16">
    <w:abstractNumId w:val="0"/>
  </w:num>
  <w:num w:numId="17">
    <w:abstractNumId w:val="23"/>
  </w:num>
  <w:num w:numId="18">
    <w:abstractNumId w:val="3"/>
  </w:num>
  <w:num w:numId="19">
    <w:abstractNumId w:val="1"/>
  </w:num>
  <w:num w:numId="20">
    <w:abstractNumId w:val="5"/>
  </w:num>
  <w:num w:numId="21">
    <w:abstractNumId w:val="24"/>
  </w:num>
  <w:num w:numId="22">
    <w:abstractNumId w:val="2"/>
  </w:num>
  <w:num w:numId="23">
    <w:abstractNumId w:val="6"/>
  </w:num>
  <w:num w:numId="24">
    <w:abstractNumId w:val="1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93"/>
    <w:rsid w:val="00083711"/>
    <w:rsid w:val="00426528"/>
    <w:rsid w:val="00471376"/>
    <w:rsid w:val="00570393"/>
    <w:rsid w:val="009F2F99"/>
    <w:rsid w:val="00B538F3"/>
    <w:rsid w:val="00BA04B3"/>
    <w:rsid w:val="00F018AA"/>
    <w:rsid w:val="00FF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7774"/>
  <w15:chartTrackingRefBased/>
  <w15:docId w15:val="{0B11C9E2-A5E5-4A93-928F-FB536AAF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3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tyl moj,Dot pt,F5 List Paragraph,List Paragraph1,No Spacing1,List Paragraph Char Char Char,Indicator Text,Colorful List - Accent 11,Numbered Para 1,Bullet 1,Bullet Points,List Paragraph2,MAIN CONTENT,Normal numbered,列出段落,Akapit z listą11"/>
    <w:basedOn w:val="Normalny"/>
    <w:link w:val="AkapitzlistZnak"/>
    <w:uiPriority w:val="34"/>
    <w:qFormat/>
    <w:rsid w:val="00570393"/>
    <w:pPr>
      <w:ind w:left="720"/>
      <w:contextualSpacing/>
    </w:pPr>
  </w:style>
  <w:style w:type="character" w:customStyle="1" w:styleId="AkapitzlistZnak">
    <w:name w:val="Akapit z listą Znak"/>
    <w:aliases w:val="Styl moj Znak,Dot pt Znak,F5 List Paragraph Znak,List Paragraph1 Znak,No Spacing1 Znak,List Paragraph Char Char Char Znak,Indicator Text Znak,Colorful List - Accent 11 Znak,Numbered Para 1 Znak,Bullet 1 Znak,Bullet Points Znak"/>
    <w:link w:val="Akapitzlist"/>
    <w:uiPriority w:val="34"/>
    <w:locked/>
    <w:rsid w:val="0057039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qFormat/>
    <w:rsid w:val="00570393"/>
    <w:pPr>
      <w:spacing w:before="240" w:after="0" w:line="360" w:lineRule="auto"/>
      <w:jc w:val="both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570393"/>
    <w:rPr>
      <w:rFonts w:ascii="Calibri" w:eastAsia="Calibri" w:hAnsi="Calibri" w:cs="Times New Roman"/>
      <w:lang w:val="en-US"/>
    </w:rPr>
  </w:style>
  <w:style w:type="paragraph" w:styleId="Listanumerowana">
    <w:name w:val="List Number"/>
    <w:basedOn w:val="Normalny"/>
    <w:uiPriority w:val="4"/>
    <w:qFormat/>
    <w:rsid w:val="00570393"/>
    <w:pPr>
      <w:numPr>
        <w:numId w:val="2"/>
      </w:numPr>
      <w:spacing w:before="120" w:after="0" w:line="360" w:lineRule="auto"/>
      <w:contextualSpacing/>
      <w:jc w:val="both"/>
    </w:pPr>
    <w:rPr>
      <w:lang w:val="en-US"/>
    </w:rPr>
  </w:style>
  <w:style w:type="paragraph" w:styleId="Listanumerowana2">
    <w:name w:val="List Number 2"/>
    <w:basedOn w:val="Normalny"/>
    <w:uiPriority w:val="4"/>
    <w:unhideWhenUsed/>
    <w:rsid w:val="00570393"/>
    <w:pPr>
      <w:numPr>
        <w:ilvl w:val="1"/>
        <w:numId w:val="2"/>
      </w:numPr>
      <w:spacing w:after="0" w:line="360" w:lineRule="auto"/>
      <w:contextualSpacing/>
      <w:jc w:val="both"/>
    </w:pPr>
    <w:rPr>
      <w:lang w:val="en-US"/>
    </w:rPr>
  </w:style>
  <w:style w:type="paragraph" w:styleId="Listanumerowana3">
    <w:name w:val="List Number 3"/>
    <w:basedOn w:val="Normalny"/>
    <w:uiPriority w:val="4"/>
    <w:unhideWhenUsed/>
    <w:rsid w:val="00570393"/>
    <w:pPr>
      <w:numPr>
        <w:ilvl w:val="2"/>
        <w:numId w:val="2"/>
      </w:numPr>
      <w:spacing w:after="0" w:line="360" w:lineRule="auto"/>
      <w:contextualSpacing/>
      <w:jc w:val="both"/>
    </w:pPr>
    <w:rPr>
      <w:lang w:val="en-US"/>
    </w:rPr>
  </w:style>
  <w:style w:type="paragraph" w:styleId="Listanumerowana4">
    <w:name w:val="List Number 4"/>
    <w:basedOn w:val="Normalny"/>
    <w:uiPriority w:val="4"/>
    <w:unhideWhenUsed/>
    <w:rsid w:val="00570393"/>
    <w:pPr>
      <w:numPr>
        <w:ilvl w:val="3"/>
        <w:numId w:val="2"/>
      </w:numPr>
      <w:spacing w:after="0" w:line="360" w:lineRule="auto"/>
      <w:contextualSpacing/>
      <w:jc w:val="both"/>
    </w:pPr>
    <w:rPr>
      <w:lang w:val="en-US"/>
    </w:rPr>
  </w:style>
  <w:style w:type="paragraph" w:styleId="Listanumerowana5">
    <w:name w:val="List Number 5"/>
    <w:basedOn w:val="Normalny"/>
    <w:uiPriority w:val="4"/>
    <w:unhideWhenUsed/>
    <w:rsid w:val="00570393"/>
    <w:pPr>
      <w:numPr>
        <w:ilvl w:val="4"/>
        <w:numId w:val="2"/>
      </w:numPr>
      <w:spacing w:after="0" w:line="360" w:lineRule="auto"/>
      <w:contextualSpacing/>
      <w:jc w:val="both"/>
    </w:pPr>
    <w:rPr>
      <w:lang w:val="en-US"/>
    </w:rPr>
  </w:style>
  <w:style w:type="character" w:styleId="Wyrnienieintensywne">
    <w:name w:val="Intense Emphasis"/>
    <w:uiPriority w:val="1"/>
    <w:qFormat/>
    <w:rsid w:val="00570393"/>
    <w:rPr>
      <w:b/>
      <w:bCs/>
    </w:rPr>
  </w:style>
  <w:style w:type="paragraph" w:customStyle="1" w:styleId="Base-Tabela-Tekstlist">
    <w:name w:val="Base - Tabela - Tekst list"/>
    <w:basedOn w:val="Normalny"/>
    <w:next w:val="Normalny"/>
    <w:uiPriority w:val="99"/>
    <w:rsid w:val="00570393"/>
    <w:pPr>
      <w:numPr>
        <w:ilvl w:val="1"/>
        <w:numId w:val="3"/>
      </w:numPr>
      <w:spacing w:after="0" w:line="240" w:lineRule="auto"/>
      <w:jc w:val="both"/>
    </w:pPr>
    <w:rPr>
      <w:sz w:val="16"/>
      <w:lang w:val="en-US"/>
    </w:rPr>
  </w:style>
  <w:style w:type="numbering" w:customStyle="1" w:styleId="HTA-Listanumerowana1">
    <w:name w:val="HTA - Lista numerowana 1"/>
    <w:uiPriority w:val="99"/>
    <w:rsid w:val="00570393"/>
    <w:pPr>
      <w:numPr>
        <w:numId w:val="2"/>
      </w:numPr>
    </w:pPr>
  </w:style>
  <w:style w:type="paragraph" w:customStyle="1" w:styleId="Nagwek2beznumeracji">
    <w:name w:val="Nagłówek 2 (bez numeracji)"/>
    <w:basedOn w:val="Normalny"/>
    <w:next w:val="Tekstpodstawowy"/>
    <w:uiPriority w:val="10"/>
    <w:qFormat/>
    <w:rsid w:val="00570393"/>
    <w:pPr>
      <w:keepNext/>
      <w:keepLines/>
      <w:spacing w:before="480" w:after="240" w:line="360" w:lineRule="auto"/>
      <w:jc w:val="both"/>
    </w:pPr>
    <w:rPr>
      <w:b/>
      <w:sz w:val="24"/>
      <w:lang w:val="en-US"/>
    </w:rPr>
  </w:style>
  <w:style w:type="paragraph" w:customStyle="1" w:styleId="Tabela-Listapunktowa">
    <w:name w:val="Tabela - Lista punktowa"/>
    <w:basedOn w:val="Base-Tabela-Tekstlist"/>
    <w:next w:val="Base-Tabela-Tekstlist"/>
    <w:uiPriority w:val="7"/>
    <w:qFormat/>
    <w:rsid w:val="00570393"/>
    <w:pPr>
      <w:numPr>
        <w:ilvl w:val="0"/>
        <w:numId w:val="4"/>
      </w:numPr>
    </w:pPr>
  </w:style>
  <w:style w:type="paragraph" w:customStyle="1" w:styleId="Tabela-TekstnagwekIrzdniebieskieto">
    <w:name w:val="Tabela - Tekst nagłówek I rząd (niebieskie tło)"/>
    <w:basedOn w:val="Normalny"/>
    <w:qFormat/>
    <w:rsid w:val="00570393"/>
    <w:pPr>
      <w:keepNext/>
      <w:keepLines/>
      <w:spacing w:after="0" w:line="240" w:lineRule="auto"/>
      <w:jc w:val="center"/>
    </w:pPr>
    <w:rPr>
      <w:b/>
      <w:color w:val="000000"/>
      <w:sz w:val="16"/>
      <w:lang w:val="en-US"/>
    </w:rPr>
  </w:style>
  <w:style w:type="paragraph" w:customStyle="1" w:styleId="Tabela-TekstpodstawowyDolewej">
    <w:name w:val="Tabela - Tekst podstawowy Do lewej"/>
    <w:basedOn w:val="Normalny"/>
    <w:uiPriority w:val="7"/>
    <w:qFormat/>
    <w:rsid w:val="00570393"/>
    <w:pPr>
      <w:spacing w:after="0" w:line="240" w:lineRule="auto"/>
    </w:pPr>
    <w:rPr>
      <w:sz w:val="16"/>
      <w:lang w:val="en-US"/>
    </w:rPr>
  </w:style>
  <w:style w:type="paragraph" w:customStyle="1" w:styleId="Tabela-TekstpodstawowyJustowany">
    <w:name w:val="Tabela - Tekst podstawowy Justowany"/>
    <w:basedOn w:val="Normalny"/>
    <w:uiPriority w:val="7"/>
    <w:qFormat/>
    <w:rsid w:val="00570393"/>
    <w:pPr>
      <w:spacing w:after="0" w:line="240" w:lineRule="auto"/>
      <w:jc w:val="both"/>
    </w:pPr>
    <w:rPr>
      <w:sz w:val="16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F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2AF67-2C9B-4CFC-AFAB-BDD60A3B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1220</Words>
  <Characters>7321</Characters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2020-08-17T16:10:00Z</dcterms:created>
  <dcterms:modified xsi:type="dcterms:W3CDTF">2020-08-20T16:30:00Z</dcterms:modified>
</cp:coreProperties>
</file>