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14" w:rsidRPr="00442586" w:rsidRDefault="001540CE" w:rsidP="007167CA">
      <w:pPr>
        <w:spacing w:after="0" w:line="312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442586">
        <w:rPr>
          <w:rFonts w:ascii="Times New Roman" w:hAnsi="Times New Roman"/>
          <w:color w:val="000000" w:themeColor="text1"/>
          <w:sz w:val="20"/>
          <w:szCs w:val="20"/>
        </w:rPr>
        <w:t xml:space="preserve">Warszawa, </w:t>
      </w:r>
      <w:bookmarkStart w:id="0" w:name="ezdDataPodpisu"/>
      <w:r w:rsidRPr="00442586">
        <w:rPr>
          <w:rFonts w:ascii="Times New Roman" w:hAnsi="Times New Roman"/>
          <w:color w:val="000000" w:themeColor="text1"/>
          <w:sz w:val="20"/>
          <w:szCs w:val="20"/>
        </w:rPr>
        <w:t>17 marca 2025</w:t>
      </w:r>
      <w:bookmarkEnd w:id="0"/>
      <w:r w:rsidRPr="00442586">
        <w:rPr>
          <w:rFonts w:ascii="Times New Roman" w:hAnsi="Times New Roman"/>
          <w:color w:val="000000" w:themeColor="text1"/>
          <w:sz w:val="20"/>
          <w:szCs w:val="20"/>
        </w:rPr>
        <w:t xml:space="preserve"> r.</w:t>
      </w:r>
    </w:p>
    <w:p w:rsidR="00E71714" w:rsidRPr="00A47F4A" w:rsidRDefault="001540CE" w:rsidP="007167CA">
      <w:pPr>
        <w:spacing w:after="0" w:line="312" w:lineRule="auto"/>
        <w:rPr>
          <w:rFonts w:ascii="Times New Roman" w:hAnsi="Times New Roman"/>
          <w:color w:val="000000" w:themeColor="text1"/>
          <w:sz w:val="20"/>
          <w:szCs w:val="20"/>
        </w:rPr>
      </w:pPr>
      <w:bookmarkStart w:id="1" w:name="ezdSprawaZnak"/>
      <w:r w:rsidRPr="00A47F4A">
        <w:rPr>
          <w:rFonts w:ascii="Times New Roman" w:hAnsi="Times New Roman"/>
          <w:color w:val="000000" w:themeColor="text1"/>
          <w:sz w:val="20"/>
          <w:szCs w:val="20"/>
        </w:rPr>
        <w:t>DOOŚ-WDŚII.420.19.2024</w:t>
      </w:r>
      <w:bookmarkEnd w:id="1"/>
      <w:r w:rsidRPr="00A47F4A">
        <w:rPr>
          <w:rFonts w:ascii="Times New Roman" w:hAnsi="Times New Roman"/>
          <w:color w:val="000000" w:themeColor="text1"/>
          <w:sz w:val="20"/>
          <w:szCs w:val="20"/>
        </w:rPr>
        <w:t>.</w:t>
      </w:r>
      <w:bookmarkStart w:id="2" w:name="ezdAutorInicjaly"/>
      <w:r w:rsidRPr="00A47F4A">
        <w:rPr>
          <w:rFonts w:ascii="Times New Roman" w:hAnsi="Times New Roman"/>
          <w:color w:val="000000" w:themeColor="text1"/>
          <w:sz w:val="20"/>
          <w:szCs w:val="20"/>
        </w:rPr>
        <w:t>MK</w:t>
      </w:r>
      <w:bookmarkEnd w:id="2"/>
      <w:r w:rsidRPr="00A47F4A">
        <w:rPr>
          <w:rFonts w:ascii="Times New Roman" w:hAnsi="Times New Roman"/>
          <w:color w:val="000000" w:themeColor="text1"/>
          <w:sz w:val="20"/>
          <w:szCs w:val="20"/>
        </w:rPr>
        <w:t>W</w:t>
      </w:r>
      <w:r w:rsidRPr="00A47F4A">
        <w:rPr>
          <w:rFonts w:ascii="Times New Roman" w:hAnsi="Times New Roman"/>
          <w:color w:val="000000" w:themeColor="text1"/>
          <w:sz w:val="20"/>
          <w:szCs w:val="20"/>
        </w:rPr>
        <w:t>.1</w:t>
      </w:r>
      <w:r>
        <w:rPr>
          <w:rFonts w:ascii="Times New Roman" w:hAnsi="Times New Roman"/>
          <w:color w:val="000000" w:themeColor="text1"/>
          <w:sz w:val="20"/>
          <w:szCs w:val="20"/>
        </w:rPr>
        <w:t>7</w:t>
      </w:r>
    </w:p>
    <w:p w:rsidR="003E16EC" w:rsidRPr="007167CA" w:rsidRDefault="001540CE" w:rsidP="007167CA">
      <w:pPr>
        <w:pStyle w:val="Nagwek2"/>
        <w:spacing w:before="360" w:after="360" w:line="312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67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DECYZJA</w:t>
      </w:r>
    </w:p>
    <w:p w:rsidR="00FC2F77" w:rsidRPr="007167CA" w:rsidRDefault="001540CE" w:rsidP="007167CA">
      <w:pPr>
        <w:pStyle w:val="Tekstpodstawowy"/>
        <w:spacing w:after="120" w:line="312" w:lineRule="auto"/>
        <w:rPr>
          <w:szCs w:val="24"/>
        </w:rPr>
      </w:pPr>
      <w:bookmarkStart w:id="3" w:name="_Hlk181181675"/>
      <w:r>
        <w:rPr>
          <w:szCs w:val="24"/>
        </w:rPr>
        <w:t>Generalny Dyrektor ochrony Środowiska, n</w:t>
      </w:r>
      <w:r w:rsidRPr="007167CA">
        <w:rPr>
          <w:szCs w:val="24"/>
        </w:rPr>
        <w:t>a podstawie art. 158 § 1 ustawy z dnia 14 czerwca 1960 r. – Kodeks postępowania administracyjnego (Dz. U. z 20</w:t>
      </w:r>
      <w:r>
        <w:rPr>
          <w:szCs w:val="24"/>
        </w:rPr>
        <w:t>24</w:t>
      </w:r>
      <w:r w:rsidRPr="007167CA">
        <w:rPr>
          <w:szCs w:val="24"/>
        </w:rPr>
        <w:t xml:space="preserve"> r. poz. </w:t>
      </w:r>
      <w:r>
        <w:rPr>
          <w:szCs w:val="24"/>
        </w:rPr>
        <w:t>572</w:t>
      </w:r>
      <w:r w:rsidRPr="007167CA">
        <w:rPr>
          <w:szCs w:val="24"/>
        </w:rPr>
        <w:t xml:space="preserve">, ze zm.), dalej </w:t>
      </w:r>
      <w:r w:rsidRPr="007167CA">
        <w:rPr>
          <w:szCs w:val="24"/>
        </w:rPr>
        <w:t>k.p.a.</w:t>
      </w:r>
      <w:r w:rsidRPr="007167CA">
        <w:rPr>
          <w:szCs w:val="24"/>
        </w:rPr>
        <w:t xml:space="preserve">, po </w:t>
      </w:r>
      <w:r>
        <w:rPr>
          <w:szCs w:val="24"/>
        </w:rPr>
        <w:t>rozpatrzeniu wniosku</w:t>
      </w:r>
      <w:r>
        <w:rPr>
          <w:szCs w:val="24"/>
        </w:rPr>
        <w:t xml:space="preserve"> </w:t>
      </w:r>
      <w:r w:rsidR="00902EAD">
        <w:rPr>
          <w:szCs w:val="24"/>
        </w:rPr>
        <w:t>(…)</w:t>
      </w:r>
      <w:r>
        <w:rPr>
          <w:szCs w:val="24"/>
        </w:rPr>
        <w:t xml:space="preserve"> z 19 czerwca 2024 r.</w:t>
      </w:r>
      <w:r>
        <w:rPr>
          <w:szCs w:val="24"/>
        </w:rPr>
        <w:t xml:space="preserve"> </w:t>
      </w:r>
      <w:r>
        <w:rPr>
          <w:szCs w:val="24"/>
        </w:rPr>
        <w:t>o</w:t>
      </w:r>
      <w:r w:rsidRPr="007167CA">
        <w:rPr>
          <w:szCs w:val="24"/>
        </w:rPr>
        <w:t xml:space="preserve"> stwierdzeni</w:t>
      </w:r>
      <w:r>
        <w:rPr>
          <w:szCs w:val="24"/>
        </w:rPr>
        <w:t>e</w:t>
      </w:r>
      <w:r w:rsidRPr="007167CA">
        <w:rPr>
          <w:szCs w:val="24"/>
        </w:rPr>
        <w:t xml:space="preserve"> nieważności decyzji </w:t>
      </w:r>
      <w:bookmarkStart w:id="4" w:name="_Hlk100219709"/>
      <w:r w:rsidRPr="007167CA">
        <w:rPr>
          <w:szCs w:val="24"/>
        </w:rPr>
        <w:t xml:space="preserve">Regionalnego Dyrektora Ochrony Środowiska w Gdańsku </w:t>
      </w:r>
      <w:bookmarkStart w:id="5" w:name="_Hlk181017618"/>
      <w:r w:rsidRPr="007167CA">
        <w:rPr>
          <w:szCs w:val="24"/>
        </w:rPr>
        <w:t>z  28 lipca 2023 r</w:t>
      </w:r>
      <w:r>
        <w:rPr>
          <w:szCs w:val="24"/>
        </w:rPr>
        <w:t>.</w:t>
      </w:r>
      <w:bookmarkEnd w:id="5"/>
      <w:r w:rsidRPr="007167CA">
        <w:rPr>
          <w:szCs w:val="24"/>
        </w:rPr>
        <w:t xml:space="preserve">, znak: RDOŚ-Gd-WOO.420.4.2023.MR.20, o środowiskowych uwarunkowaniach dla przedsięwzięcia pn. </w:t>
      </w:r>
      <w:r>
        <w:rPr>
          <w:szCs w:val="24"/>
        </w:rPr>
        <w:t>„</w:t>
      </w:r>
      <w:r w:rsidRPr="007167CA">
        <w:rPr>
          <w:szCs w:val="24"/>
        </w:rPr>
        <w:t xml:space="preserve">Budowa gazociągu DN300 MOP 8,4 MPA do EC Gdynia wraz ze światłowodem oraz infrastrukturą towarzyszącą realizowanego w ramach inwestycji pt. "Wykonanie projektu </w:t>
      </w:r>
      <w:r w:rsidRPr="007167CA">
        <w:rPr>
          <w:szCs w:val="24"/>
        </w:rPr>
        <w:t>budowlanego dla inwestycji – Realizacja "pod klucz" przyłącza gazowego (PG) do PGE Energia Ciepła S.A. Oddział Wybrzeże – Elektrociepłownia w Gdyni wraz z uzyskaniem decyzji Pozwoleń na Budowę</w:t>
      </w:r>
      <w:r>
        <w:rPr>
          <w:szCs w:val="24"/>
        </w:rPr>
        <w:t>”</w:t>
      </w:r>
      <w:r w:rsidRPr="007167CA">
        <w:rPr>
          <w:szCs w:val="24"/>
        </w:rPr>
        <w:t>,</w:t>
      </w:r>
    </w:p>
    <w:bookmarkEnd w:id="3"/>
    <w:p w:rsidR="00FC2F77" w:rsidRPr="007167CA" w:rsidRDefault="001540CE" w:rsidP="007167CA">
      <w:pPr>
        <w:pStyle w:val="Tekstpodstawowy"/>
        <w:spacing w:before="240" w:after="240" w:line="312" w:lineRule="auto"/>
        <w:jc w:val="center"/>
        <w:rPr>
          <w:b/>
          <w:szCs w:val="24"/>
        </w:rPr>
      </w:pPr>
      <w:r w:rsidRPr="007167CA">
        <w:rPr>
          <w:b/>
          <w:szCs w:val="24"/>
        </w:rPr>
        <w:t>odmawia stwierdzenia nieważności powyższej decyzji</w:t>
      </w:r>
      <w:r>
        <w:rPr>
          <w:b/>
          <w:szCs w:val="24"/>
        </w:rPr>
        <w:t>.</w:t>
      </w:r>
    </w:p>
    <w:p w:rsidR="00FC2F77" w:rsidRPr="007167CA" w:rsidRDefault="001540CE" w:rsidP="007167CA">
      <w:pPr>
        <w:pStyle w:val="Tekstpodstawowy"/>
        <w:spacing w:after="120" w:line="312" w:lineRule="auto"/>
        <w:jc w:val="center"/>
        <w:rPr>
          <w:b/>
          <w:bCs/>
          <w:szCs w:val="24"/>
        </w:rPr>
      </w:pPr>
      <w:r w:rsidRPr="007167CA">
        <w:rPr>
          <w:b/>
          <w:bCs/>
          <w:szCs w:val="24"/>
        </w:rPr>
        <w:t>Uzasadnie</w:t>
      </w:r>
      <w:r w:rsidRPr="007167CA">
        <w:rPr>
          <w:b/>
          <w:bCs/>
          <w:szCs w:val="24"/>
        </w:rPr>
        <w:t>nie</w:t>
      </w:r>
    </w:p>
    <w:p w:rsidR="000115EA" w:rsidRPr="007167CA" w:rsidRDefault="001540CE" w:rsidP="007167CA">
      <w:pPr>
        <w:pStyle w:val="Tekstpodstawowy"/>
        <w:spacing w:line="312" w:lineRule="auto"/>
        <w:rPr>
          <w:color w:val="auto"/>
          <w:szCs w:val="24"/>
        </w:rPr>
      </w:pPr>
      <w:bookmarkStart w:id="6" w:name="_Hlk181181994"/>
      <w:r w:rsidRPr="007167CA">
        <w:rPr>
          <w:color w:val="auto"/>
          <w:szCs w:val="24"/>
        </w:rPr>
        <w:t xml:space="preserve">Cytowaną w sentencji decyzją </w:t>
      </w:r>
      <w:r w:rsidRPr="007167CA">
        <w:rPr>
          <w:color w:val="auto"/>
          <w:szCs w:val="24"/>
        </w:rPr>
        <w:t>z 28 lipca 2023 r.</w:t>
      </w:r>
      <w:r>
        <w:rPr>
          <w:color w:val="auto"/>
          <w:szCs w:val="24"/>
        </w:rPr>
        <w:t xml:space="preserve">, </w:t>
      </w:r>
      <w:r w:rsidRPr="007167CA">
        <w:rPr>
          <w:color w:val="auto"/>
          <w:szCs w:val="24"/>
        </w:rPr>
        <w:t xml:space="preserve">RDOŚ w </w:t>
      </w:r>
      <w:r w:rsidRPr="007167CA">
        <w:rPr>
          <w:color w:val="auto"/>
          <w:szCs w:val="24"/>
        </w:rPr>
        <w:t>Gdańsku</w:t>
      </w:r>
      <w:r w:rsidRPr="007167CA">
        <w:rPr>
          <w:color w:val="auto"/>
          <w:szCs w:val="24"/>
        </w:rPr>
        <w:t xml:space="preserve">, działając na wniosek </w:t>
      </w:r>
      <w:r w:rsidRPr="007167CA">
        <w:rPr>
          <w:color w:val="auto"/>
          <w:szCs w:val="24"/>
        </w:rPr>
        <w:t xml:space="preserve">PGE Energia Ciepła S.A. </w:t>
      </w:r>
      <w:r w:rsidRPr="007167CA">
        <w:rPr>
          <w:color w:val="auto"/>
          <w:szCs w:val="24"/>
        </w:rPr>
        <w:t>z 2</w:t>
      </w:r>
      <w:r>
        <w:rPr>
          <w:color w:val="auto"/>
          <w:szCs w:val="24"/>
        </w:rPr>
        <w:t>8</w:t>
      </w:r>
      <w:r w:rsidRPr="007167CA">
        <w:rPr>
          <w:color w:val="auto"/>
          <w:szCs w:val="24"/>
        </w:rPr>
        <w:t xml:space="preserve"> </w:t>
      </w:r>
      <w:r>
        <w:rPr>
          <w:color w:val="auto"/>
          <w:szCs w:val="24"/>
        </w:rPr>
        <w:t>grudnia</w:t>
      </w:r>
      <w:r w:rsidRPr="007167CA">
        <w:rPr>
          <w:color w:val="auto"/>
          <w:szCs w:val="24"/>
        </w:rPr>
        <w:t xml:space="preserve"> 2023 r.</w:t>
      </w:r>
      <w:r>
        <w:rPr>
          <w:color w:val="auto"/>
          <w:szCs w:val="24"/>
        </w:rPr>
        <w:t xml:space="preserve"> (wpływ do RDOŚ w Gdańsku w dniu 25 stycznia 2023 r.)</w:t>
      </w:r>
      <w:r w:rsidRPr="007167CA">
        <w:rPr>
          <w:color w:val="auto"/>
          <w:szCs w:val="24"/>
        </w:rPr>
        <w:t xml:space="preserve">, na podstawie </w:t>
      </w:r>
      <w:r w:rsidRPr="007167CA">
        <w:rPr>
          <w:color w:val="auto"/>
          <w:szCs w:val="24"/>
        </w:rPr>
        <w:t xml:space="preserve">art. 104 </w:t>
      </w:r>
      <w:r>
        <w:rPr>
          <w:color w:val="auto"/>
          <w:szCs w:val="24"/>
        </w:rPr>
        <w:t xml:space="preserve">k.p.a. </w:t>
      </w:r>
      <w:r w:rsidRPr="007167CA">
        <w:rPr>
          <w:color w:val="auto"/>
          <w:szCs w:val="24"/>
        </w:rPr>
        <w:t xml:space="preserve">oraz </w:t>
      </w:r>
      <w:r w:rsidRPr="007167CA">
        <w:rPr>
          <w:color w:val="auto"/>
          <w:szCs w:val="24"/>
        </w:rPr>
        <w:t>art. 75 ust. 1 pkt 1 lit</w:t>
      </w:r>
      <w:r w:rsidRPr="007167CA">
        <w:rPr>
          <w:color w:val="auto"/>
          <w:szCs w:val="24"/>
        </w:rPr>
        <w:t>.</w:t>
      </w:r>
      <w:r w:rsidRPr="007167CA">
        <w:rPr>
          <w:color w:val="auto"/>
          <w:szCs w:val="24"/>
        </w:rPr>
        <w:t xml:space="preserve"> f w związku z </w:t>
      </w:r>
      <w:r w:rsidRPr="007167CA">
        <w:rPr>
          <w:color w:val="auto"/>
          <w:szCs w:val="24"/>
        </w:rPr>
        <w:t>art. 7</w:t>
      </w:r>
      <w:r w:rsidRPr="007167CA">
        <w:rPr>
          <w:color w:val="auto"/>
          <w:szCs w:val="24"/>
        </w:rPr>
        <w:t>1</w:t>
      </w:r>
      <w:r w:rsidRPr="007167CA">
        <w:rPr>
          <w:color w:val="auto"/>
          <w:szCs w:val="24"/>
        </w:rPr>
        <w:t xml:space="preserve"> ust. 2 pkt 2 oraz art. 8</w:t>
      </w:r>
      <w:r w:rsidRPr="007167CA">
        <w:rPr>
          <w:color w:val="auto"/>
          <w:szCs w:val="24"/>
        </w:rPr>
        <w:t>4</w:t>
      </w:r>
      <w:r w:rsidRPr="007167CA">
        <w:rPr>
          <w:color w:val="auto"/>
          <w:szCs w:val="24"/>
        </w:rPr>
        <w:t xml:space="preserve"> </w:t>
      </w:r>
      <w:bookmarkStart w:id="7" w:name="_Hlk104890633"/>
      <w:r w:rsidRPr="007167CA">
        <w:rPr>
          <w:color w:val="auto"/>
          <w:szCs w:val="24"/>
        </w:rPr>
        <w:t xml:space="preserve">ustawy z dnia 3 października 2008 r. </w:t>
      </w:r>
      <w:r w:rsidRPr="007167CA">
        <w:rPr>
          <w:iCs/>
          <w:color w:val="auto"/>
          <w:szCs w:val="24"/>
        </w:rPr>
        <w:t>o udostępnianiu informacji o środowisku i jego ochronie, udziale społeczeństwa w ochronie środowiska oraz o ocenach oddziaływania na środowisko</w:t>
      </w:r>
      <w:r>
        <w:rPr>
          <w:iCs/>
          <w:color w:val="auto"/>
          <w:szCs w:val="24"/>
        </w:rPr>
        <w:t xml:space="preserve"> </w:t>
      </w:r>
      <w:r>
        <w:rPr>
          <w:color w:val="auto"/>
          <w:szCs w:val="24"/>
        </w:rPr>
        <w:t>(</w:t>
      </w:r>
      <w:r w:rsidRPr="007167CA">
        <w:rPr>
          <w:color w:val="auto"/>
          <w:szCs w:val="24"/>
        </w:rPr>
        <w:t xml:space="preserve">Dz. U. z </w:t>
      </w:r>
      <w:r>
        <w:rPr>
          <w:color w:val="auto"/>
          <w:szCs w:val="24"/>
        </w:rPr>
        <w:t>2023</w:t>
      </w:r>
      <w:r w:rsidRPr="007167CA">
        <w:rPr>
          <w:color w:val="auto"/>
          <w:szCs w:val="24"/>
        </w:rPr>
        <w:t xml:space="preserve"> r. poz. </w:t>
      </w:r>
      <w:r>
        <w:rPr>
          <w:color w:val="auto"/>
          <w:szCs w:val="24"/>
        </w:rPr>
        <w:t>109</w:t>
      </w:r>
      <w:r>
        <w:rPr>
          <w:color w:val="auto"/>
          <w:szCs w:val="24"/>
        </w:rPr>
        <w:t>4</w:t>
      </w:r>
      <w:r w:rsidRPr="007167CA">
        <w:rPr>
          <w:color w:val="auto"/>
          <w:szCs w:val="24"/>
        </w:rPr>
        <w:t>, ze zm.</w:t>
      </w:r>
      <w:r>
        <w:rPr>
          <w:color w:val="auto"/>
          <w:szCs w:val="24"/>
        </w:rPr>
        <w:t>)</w:t>
      </w:r>
      <w:r>
        <w:rPr>
          <w:color w:val="auto"/>
          <w:szCs w:val="24"/>
        </w:rPr>
        <w:t xml:space="preserve">, </w:t>
      </w:r>
      <w:r w:rsidRPr="007167CA">
        <w:rPr>
          <w:color w:val="auto"/>
          <w:szCs w:val="24"/>
        </w:rPr>
        <w:t>dalej u.o.o.ś.</w:t>
      </w:r>
      <w:r>
        <w:rPr>
          <w:color w:val="auto"/>
          <w:szCs w:val="24"/>
        </w:rPr>
        <w:t>,</w:t>
      </w:r>
      <w:bookmarkEnd w:id="7"/>
      <w:r w:rsidRPr="007167CA">
        <w:rPr>
          <w:color w:val="auto"/>
          <w:szCs w:val="24"/>
        </w:rPr>
        <w:t xml:space="preserve"> </w:t>
      </w:r>
      <w:r>
        <w:rPr>
          <w:color w:val="auto"/>
          <w:szCs w:val="24"/>
        </w:rPr>
        <w:t>o</w:t>
      </w:r>
      <w:r w:rsidRPr="007167CA">
        <w:rPr>
          <w:color w:val="auto"/>
          <w:szCs w:val="24"/>
        </w:rPr>
        <w:t>kreślił środowiskowe uwarunkowania realizacji przedmiotowego przedsięwzięcia.</w:t>
      </w:r>
      <w:r>
        <w:rPr>
          <w:color w:val="auto"/>
          <w:szCs w:val="24"/>
        </w:rPr>
        <w:t xml:space="preserve"> </w:t>
      </w:r>
      <w:bookmarkEnd w:id="6"/>
      <w:r>
        <w:rPr>
          <w:color w:val="auto"/>
          <w:szCs w:val="24"/>
        </w:rPr>
        <w:t xml:space="preserve">Następnie, </w:t>
      </w:r>
      <w:r>
        <w:rPr>
          <w:color w:val="auto"/>
          <w:szCs w:val="24"/>
        </w:rPr>
        <w:t xml:space="preserve">postanowieniem z 27 września 2023 r., znak: RDOŚ-Gd-WOO.420.4.2023.MR.24, </w:t>
      </w:r>
      <w:r>
        <w:rPr>
          <w:color w:val="auto"/>
          <w:szCs w:val="24"/>
        </w:rPr>
        <w:t xml:space="preserve">RDOŚ w Gdańsku </w:t>
      </w:r>
      <w:r>
        <w:rPr>
          <w:color w:val="auto"/>
          <w:szCs w:val="24"/>
        </w:rPr>
        <w:t>sprostował</w:t>
      </w:r>
      <w:r>
        <w:rPr>
          <w:color w:val="auto"/>
          <w:szCs w:val="24"/>
        </w:rPr>
        <w:t xml:space="preserve"> oczywistą omyłkę pisarską decyzji własnej z 28 lipca 2023 r.</w:t>
      </w:r>
    </w:p>
    <w:p w:rsidR="009C4D8B" w:rsidRPr="007167CA" w:rsidRDefault="001540CE" w:rsidP="007167C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167CA">
        <w:rPr>
          <w:rFonts w:ascii="Times New Roman" w:hAnsi="Times New Roman"/>
          <w:sz w:val="24"/>
          <w:szCs w:val="24"/>
        </w:rPr>
        <w:tab/>
      </w:r>
      <w:r w:rsidR="00902EAD">
        <w:rPr>
          <w:szCs w:val="24"/>
        </w:rPr>
        <w:t>(…)</w:t>
      </w:r>
      <w:r w:rsidRPr="007167CA">
        <w:rPr>
          <w:rFonts w:ascii="Times New Roman" w:hAnsi="Times New Roman"/>
          <w:sz w:val="24"/>
          <w:szCs w:val="24"/>
        </w:rPr>
        <w:t xml:space="preserve"> pismem z 19 czerwca 2024 r.</w:t>
      </w:r>
      <w:r w:rsidRPr="007167CA">
        <w:rPr>
          <w:rFonts w:ascii="Times New Roman" w:hAnsi="Times New Roman"/>
          <w:sz w:val="24"/>
          <w:szCs w:val="24"/>
        </w:rPr>
        <w:t xml:space="preserve">, powołując się na </w:t>
      </w:r>
      <w:r w:rsidRPr="007167CA">
        <w:rPr>
          <w:rFonts w:ascii="Times New Roman" w:hAnsi="Times New Roman"/>
          <w:sz w:val="24"/>
          <w:szCs w:val="24"/>
        </w:rPr>
        <w:t>art. 156 § 1 pkt 1</w:t>
      </w:r>
      <w:r w:rsidRPr="007167CA">
        <w:rPr>
          <w:rFonts w:ascii="Times New Roman" w:hAnsi="Times New Roman"/>
          <w:sz w:val="24"/>
          <w:szCs w:val="24"/>
        </w:rPr>
        <w:t xml:space="preserve"> oraz art. 159 § 1 k.p.a. wniósł o stwierdzenie nieważności oraz wstrzymanie wykonania decyzji RDOŚ w Gdańsku z </w:t>
      </w:r>
      <w:r w:rsidRPr="007167CA">
        <w:rPr>
          <w:rFonts w:ascii="Times New Roman" w:hAnsi="Times New Roman"/>
          <w:sz w:val="24"/>
          <w:szCs w:val="24"/>
        </w:rPr>
        <w:t xml:space="preserve">28 </w:t>
      </w:r>
      <w:r w:rsidRPr="007167CA">
        <w:rPr>
          <w:rFonts w:ascii="Times New Roman" w:hAnsi="Times New Roman"/>
          <w:sz w:val="24"/>
          <w:szCs w:val="24"/>
        </w:rPr>
        <w:t>lipca 2023 r.</w:t>
      </w:r>
    </w:p>
    <w:p w:rsidR="009D779E" w:rsidRDefault="001540CE" w:rsidP="00E8722B">
      <w:pPr>
        <w:spacing w:after="0" w:line="312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67CA">
        <w:rPr>
          <w:rFonts w:ascii="Times New Roman" w:hAnsi="Times New Roman"/>
          <w:sz w:val="24"/>
          <w:szCs w:val="24"/>
        </w:rPr>
        <w:t xml:space="preserve">W ocenie </w:t>
      </w:r>
      <w:r>
        <w:rPr>
          <w:rFonts w:ascii="Times New Roman" w:hAnsi="Times New Roman"/>
          <w:sz w:val="24"/>
          <w:szCs w:val="24"/>
        </w:rPr>
        <w:t>skarżącego</w:t>
      </w:r>
      <w:r w:rsidRPr="007167CA">
        <w:rPr>
          <w:rFonts w:ascii="Times New Roman" w:hAnsi="Times New Roman"/>
          <w:sz w:val="24"/>
          <w:szCs w:val="24"/>
        </w:rPr>
        <w:t xml:space="preserve"> </w:t>
      </w:r>
      <w:r w:rsidRPr="007167CA">
        <w:rPr>
          <w:rFonts w:ascii="Times New Roman" w:hAnsi="Times New Roman"/>
          <w:sz w:val="24"/>
          <w:szCs w:val="24"/>
        </w:rPr>
        <w:t>omawian</w:t>
      </w:r>
      <w:r>
        <w:rPr>
          <w:rFonts w:ascii="Times New Roman" w:hAnsi="Times New Roman"/>
          <w:sz w:val="24"/>
          <w:szCs w:val="24"/>
        </w:rPr>
        <w:t>a</w:t>
      </w:r>
      <w:r w:rsidRPr="007167CA">
        <w:rPr>
          <w:rFonts w:ascii="Times New Roman" w:hAnsi="Times New Roman"/>
          <w:sz w:val="24"/>
          <w:szCs w:val="24"/>
        </w:rPr>
        <w:t xml:space="preserve"> decyzja RDOŚ w Gdańsku została wydana z naruszeniem przepisów o właściwości (art. 156 § 1 pkt 1 k.p.a.)</w:t>
      </w:r>
      <w:r>
        <w:rPr>
          <w:rFonts w:ascii="Times New Roman" w:hAnsi="Times New Roman"/>
          <w:sz w:val="24"/>
          <w:szCs w:val="24"/>
        </w:rPr>
        <w:t>,</w:t>
      </w:r>
      <w:r w:rsidRPr="007167CA">
        <w:rPr>
          <w:rFonts w:ascii="Times New Roman" w:hAnsi="Times New Roman"/>
          <w:sz w:val="24"/>
          <w:szCs w:val="24"/>
        </w:rPr>
        <w:t xml:space="preserve"> ze względu na to, że przedsięwzięcie nie </w:t>
      </w:r>
      <w:r>
        <w:rPr>
          <w:rFonts w:ascii="Times New Roman" w:hAnsi="Times New Roman"/>
          <w:sz w:val="24"/>
          <w:szCs w:val="24"/>
        </w:rPr>
        <w:t>powinn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być </w:t>
      </w:r>
      <w:r w:rsidRPr="007167CA">
        <w:rPr>
          <w:rFonts w:ascii="Times New Roman" w:hAnsi="Times New Roman"/>
          <w:sz w:val="24"/>
          <w:szCs w:val="24"/>
        </w:rPr>
        <w:t>realizowan</w:t>
      </w:r>
      <w:r>
        <w:rPr>
          <w:rFonts w:ascii="Times New Roman" w:hAnsi="Times New Roman"/>
          <w:sz w:val="24"/>
          <w:szCs w:val="24"/>
        </w:rPr>
        <w:t>e</w:t>
      </w:r>
      <w:r w:rsidRPr="007167CA">
        <w:rPr>
          <w:rFonts w:ascii="Times New Roman" w:hAnsi="Times New Roman"/>
          <w:sz w:val="24"/>
          <w:szCs w:val="24"/>
        </w:rPr>
        <w:t xml:space="preserve"> jako inwestycja w zakresie terminalu </w:t>
      </w:r>
      <w:r>
        <w:rPr>
          <w:rFonts w:ascii="Times New Roman" w:hAnsi="Times New Roman"/>
          <w:sz w:val="24"/>
          <w:szCs w:val="24"/>
        </w:rPr>
        <w:t>(</w:t>
      </w:r>
      <w:r w:rsidRPr="007167CA">
        <w:rPr>
          <w:rFonts w:ascii="Times New Roman" w:hAnsi="Times New Roman"/>
          <w:sz w:val="24"/>
          <w:szCs w:val="24"/>
        </w:rPr>
        <w:t>art. 75 ust. 1 pkt 1 lit. f u.o.o.ś.)</w:t>
      </w:r>
      <w:r>
        <w:rPr>
          <w:rFonts w:ascii="Times New Roman" w:hAnsi="Times New Roman"/>
          <w:sz w:val="24"/>
          <w:szCs w:val="24"/>
        </w:rPr>
        <w:t xml:space="preserve">, a </w:t>
      </w:r>
      <w:r w:rsidRPr="007167CA">
        <w:rPr>
          <w:rFonts w:ascii="Times New Roman" w:hAnsi="Times New Roman"/>
          <w:sz w:val="24"/>
          <w:szCs w:val="24"/>
        </w:rPr>
        <w:t xml:space="preserve">decyzję o środowiskowych uwarunkowaniach powinien był wydać wójt, </w:t>
      </w:r>
      <w:r w:rsidRPr="007167CA">
        <w:rPr>
          <w:rFonts w:ascii="Times New Roman" w:hAnsi="Times New Roman"/>
          <w:sz w:val="24"/>
          <w:szCs w:val="24"/>
        </w:rPr>
        <w:lastRenderedPageBreak/>
        <w:t>burmistrz lub prezydent miasta, na którego obszarze właściwości znajduje się największa część terenu, na którym ma być realizowane dane przedsięwzięc</w:t>
      </w:r>
      <w:r w:rsidRPr="007167CA">
        <w:rPr>
          <w:rFonts w:ascii="Times New Roman" w:hAnsi="Times New Roman"/>
          <w:sz w:val="24"/>
          <w:szCs w:val="24"/>
        </w:rPr>
        <w:t>ie (art. 75 ust. 4 u.o.o.ś.).</w:t>
      </w:r>
      <w:r>
        <w:rPr>
          <w:rFonts w:ascii="Times New Roman" w:hAnsi="Times New Roman"/>
          <w:sz w:val="24"/>
          <w:szCs w:val="24"/>
        </w:rPr>
        <w:t xml:space="preserve"> Skarżący </w:t>
      </w:r>
      <w:r>
        <w:rPr>
          <w:rFonts w:ascii="Times New Roman" w:hAnsi="Times New Roman"/>
          <w:sz w:val="24"/>
          <w:szCs w:val="24"/>
        </w:rPr>
        <w:t xml:space="preserve">na potwierdzenie swojego stanowiska wniósł </w:t>
      </w:r>
      <w:r>
        <w:rPr>
          <w:rFonts w:ascii="Times New Roman" w:hAnsi="Times New Roman"/>
          <w:sz w:val="24"/>
          <w:szCs w:val="24"/>
        </w:rPr>
        <w:t>o przeprowadzenie następujących dowodów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tj.</w:t>
      </w:r>
      <w:r>
        <w:rPr>
          <w:rFonts w:ascii="Times New Roman" w:hAnsi="Times New Roman"/>
          <w:sz w:val="24"/>
          <w:szCs w:val="24"/>
        </w:rPr>
        <w:t xml:space="preserve"> analizy:</w:t>
      </w:r>
    </w:p>
    <w:p w:rsidR="003152B7" w:rsidRDefault="001540CE" w:rsidP="007518B2">
      <w:pPr>
        <w:pStyle w:val="Akapitzlist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niosku</w:t>
      </w:r>
      <w:r>
        <w:rPr>
          <w:rFonts w:ascii="Times New Roman" w:hAnsi="Times New Roman"/>
          <w:sz w:val="24"/>
          <w:szCs w:val="24"/>
        </w:rPr>
        <w:t xml:space="preserve"> PGE Energia Ciepła S.A. z 1 sierpnia 2023 r. do </w:t>
      </w:r>
      <w:r>
        <w:rPr>
          <w:rFonts w:ascii="Times New Roman" w:hAnsi="Times New Roman"/>
          <w:sz w:val="24"/>
          <w:szCs w:val="24"/>
        </w:rPr>
        <w:t>Marszałka Województwa Pomorskiego o ustalenie lokalizacji inwest</w:t>
      </w:r>
      <w:r>
        <w:rPr>
          <w:rFonts w:ascii="Times New Roman" w:hAnsi="Times New Roman"/>
          <w:sz w:val="24"/>
          <w:szCs w:val="24"/>
        </w:rPr>
        <w:t>ycji;</w:t>
      </w:r>
    </w:p>
    <w:p w:rsidR="00391989" w:rsidRPr="00F53FE3" w:rsidRDefault="001540CE" w:rsidP="007518B2">
      <w:pPr>
        <w:pStyle w:val="Akapitzlist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F53FE3">
        <w:rPr>
          <w:rFonts w:ascii="Times New Roman" w:hAnsi="Times New Roman"/>
          <w:sz w:val="24"/>
          <w:szCs w:val="24"/>
        </w:rPr>
        <w:t>ecyzj</w:t>
      </w:r>
      <w:r w:rsidRPr="00F53FE3">
        <w:rPr>
          <w:rFonts w:ascii="Times New Roman" w:hAnsi="Times New Roman"/>
          <w:sz w:val="24"/>
          <w:szCs w:val="24"/>
        </w:rPr>
        <w:t>i</w:t>
      </w:r>
      <w:r w:rsidRPr="00F53FE3">
        <w:rPr>
          <w:rFonts w:ascii="Times New Roman" w:hAnsi="Times New Roman"/>
          <w:sz w:val="24"/>
          <w:szCs w:val="24"/>
        </w:rPr>
        <w:t xml:space="preserve"> Prezesa Urzędu Regulacji Energetyki z 13 października 2023 r., znak: DRE.WRC.4111.1.2.9.2023.1262.ESz</w:t>
      </w:r>
      <w:r w:rsidRPr="00F53FE3">
        <w:rPr>
          <w:rStyle w:val="Uwydatnienie"/>
          <w:rFonts w:ascii="Times New Roman" w:hAnsi="Times New Roman"/>
          <w:color w:val="000000" w:themeColor="text1"/>
        </w:rPr>
        <w:t>, która zmienił</w:t>
      </w:r>
      <w:r w:rsidRPr="00F53FE3">
        <w:rPr>
          <w:rStyle w:val="Uwydatnienie"/>
          <w:rFonts w:ascii="Times New Roman" w:hAnsi="Times New Roman"/>
          <w:color w:val="000000" w:themeColor="text1"/>
        </w:rPr>
        <w:t xml:space="preserve"> swoją</w:t>
      </w:r>
      <w:r w:rsidRPr="00F53FE3">
        <w:rPr>
          <w:rStyle w:val="Uwydatnienie"/>
          <w:rFonts w:ascii="Times New Roman" w:hAnsi="Times New Roman"/>
          <w:color w:val="000000" w:themeColor="text1"/>
        </w:rPr>
        <w:t xml:space="preserve"> decyzję z 29 października 1998 r. nr WEE/29/1262/U/2/98/EB,</w:t>
      </w:r>
      <w:r>
        <w:rPr>
          <w:rStyle w:val="Uwydatnienie"/>
          <w:rFonts w:ascii="Times New Roman" w:hAnsi="Times New Roman"/>
          <w:color w:val="000000" w:themeColor="text1"/>
        </w:rPr>
        <w:t xml:space="preserve"> </w:t>
      </w:r>
      <w:r>
        <w:rPr>
          <w:rStyle w:val="Uwydatnienie"/>
          <w:rFonts w:ascii="Times New Roman" w:hAnsi="Times New Roman"/>
          <w:color w:val="000000" w:themeColor="text1"/>
        </w:rPr>
        <w:t>o udzieleniu</w:t>
      </w:r>
      <w:r>
        <w:rPr>
          <w:rStyle w:val="Uwydatnienie"/>
          <w:rFonts w:ascii="Times New Roman" w:hAnsi="Times New Roman"/>
          <w:color w:val="000000" w:themeColor="text1"/>
        </w:rPr>
        <w:t xml:space="preserve"> koncesji na wytwarzanie energii</w:t>
      </w:r>
      <w:r>
        <w:rPr>
          <w:rStyle w:val="Uwydatnienie"/>
          <w:rFonts w:ascii="Times New Roman" w:hAnsi="Times New Roman"/>
          <w:color w:val="000000" w:themeColor="text1"/>
        </w:rPr>
        <w:t xml:space="preserve"> elektrycznej</w:t>
      </w:r>
      <w:r>
        <w:rPr>
          <w:rStyle w:val="Uwydatnienie"/>
          <w:rFonts w:ascii="Times New Roman" w:hAnsi="Times New Roman"/>
          <w:color w:val="000000" w:themeColor="text1"/>
        </w:rPr>
        <w:t>;</w:t>
      </w:r>
      <w:r w:rsidRPr="00F53FE3">
        <w:rPr>
          <w:rStyle w:val="Uwydatnienie"/>
          <w:rFonts w:ascii="Times New Roman" w:hAnsi="Times New Roman"/>
          <w:color w:val="000000" w:themeColor="text1"/>
        </w:rPr>
        <w:t xml:space="preserve"> </w:t>
      </w:r>
    </w:p>
    <w:p w:rsidR="00391989" w:rsidRPr="0080575A" w:rsidRDefault="001540CE" w:rsidP="007518B2">
      <w:pPr>
        <w:pStyle w:val="Akapitzlist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518B2">
        <w:rPr>
          <w:rFonts w:ascii="Times New Roman" w:hAnsi="Times New Roman"/>
          <w:sz w:val="24"/>
          <w:szCs w:val="24"/>
        </w:rPr>
        <w:t>o</w:t>
      </w:r>
      <w:r w:rsidRPr="007518B2">
        <w:rPr>
          <w:rFonts w:ascii="Times New Roman" w:hAnsi="Times New Roman"/>
          <w:sz w:val="24"/>
          <w:szCs w:val="24"/>
        </w:rPr>
        <w:t>pinii</w:t>
      </w:r>
      <w:r w:rsidRPr="007518B2">
        <w:rPr>
          <w:rFonts w:ascii="Times New Roman" w:hAnsi="Times New Roman"/>
          <w:sz w:val="24"/>
          <w:szCs w:val="24"/>
        </w:rPr>
        <w:t xml:space="preserve"> prawnej </w:t>
      </w:r>
      <w:r w:rsidRPr="007518B2">
        <w:rPr>
          <w:rFonts w:ascii="Times New Roman" w:hAnsi="Times New Roman"/>
          <w:sz w:val="24"/>
          <w:szCs w:val="24"/>
        </w:rPr>
        <w:t>z 6 czerwca 2024 r. zleconej przez skarżącego i wykonanej przez adw. Michała Sowińskiego.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A0950" w:rsidRPr="007167CA" w:rsidRDefault="001540CE" w:rsidP="007518B2">
      <w:pPr>
        <w:spacing w:after="0" w:line="312" w:lineRule="auto"/>
        <w:ind w:firstLine="708"/>
        <w:jc w:val="both"/>
      </w:pPr>
      <w:r w:rsidRPr="0080575A">
        <w:rPr>
          <w:rFonts w:ascii="Times New Roman" w:hAnsi="Times New Roman"/>
          <w:sz w:val="24"/>
          <w:szCs w:val="24"/>
        </w:rPr>
        <w:t xml:space="preserve">GDOŚ zawiadomieniem z 29 lipca 2024 r., znak: DOOŚ-WDŚII.420.19.2024.MKW.5, oraz zawiadomieniem z 30 lipca 2024 r., znak: </w:t>
      </w:r>
      <w:r w:rsidRPr="0080575A">
        <w:rPr>
          <w:rFonts w:ascii="Times New Roman" w:hAnsi="Times New Roman"/>
          <w:sz w:val="24"/>
          <w:szCs w:val="24"/>
        </w:rPr>
        <w:t>DOOŚ-WDŚII.420.19.2024.MKW.6, poinformował strony o wszczęciu postępowania w sprawie stwierdzenia nieważności decyzji</w:t>
      </w:r>
      <w:r w:rsidRPr="0080575A">
        <w:rPr>
          <w:rFonts w:ascii="Times New Roman" w:hAnsi="Times New Roman"/>
          <w:sz w:val="24"/>
          <w:szCs w:val="24"/>
        </w:rPr>
        <w:t xml:space="preserve"> z  28 lipca 2023 r.</w:t>
      </w:r>
      <w:r w:rsidRPr="0080575A">
        <w:rPr>
          <w:rFonts w:ascii="Times New Roman" w:hAnsi="Times New Roman"/>
          <w:sz w:val="24"/>
          <w:szCs w:val="24"/>
        </w:rPr>
        <w:t xml:space="preserve">, a także </w:t>
      </w:r>
      <w:r w:rsidRPr="0080575A">
        <w:rPr>
          <w:rFonts w:ascii="Times New Roman" w:hAnsi="Times New Roman"/>
          <w:sz w:val="24"/>
          <w:szCs w:val="24"/>
        </w:rPr>
        <w:t xml:space="preserve">poinformował strony </w:t>
      </w:r>
      <w:r w:rsidRPr="0080575A">
        <w:rPr>
          <w:rFonts w:ascii="Times New Roman" w:hAnsi="Times New Roman"/>
          <w:sz w:val="24"/>
          <w:szCs w:val="24"/>
        </w:rPr>
        <w:t xml:space="preserve">o możliwości </w:t>
      </w:r>
      <w:r w:rsidRPr="0080575A">
        <w:rPr>
          <w:rFonts w:ascii="Times New Roman" w:hAnsi="Times New Roman"/>
          <w:sz w:val="24"/>
          <w:szCs w:val="24"/>
        </w:rPr>
        <w:t>zapoznania się z aktami sprawy</w:t>
      </w:r>
      <w:r>
        <w:rPr>
          <w:rFonts w:ascii="Times New Roman" w:hAnsi="Times New Roman"/>
          <w:sz w:val="24"/>
          <w:szCs w:val="24"/>
        </w:rPr>
        <w:t>,</w:t>
      </w:r>
      <w:r w:rsidRPr="0080575A">
        <w:rPr>
          <w:rFonts w:ascii="Times New Roman" w:hAnsi="Times New Roman"/>
          <w:sz w:val="24"/>
          <w:szCs w:val="24"/>
        </w:rPr>
        <w:t xml:space="preserve"> jak i o możliwości </w:t>
      </w:r>
      <w:r w:rsidRPr="0080575A">
        <w:rPr>
          <w:rFonts w:ascii="Times New Roman" w:hAnsi="Times New Roman"/>
          <w:sz w:val="24"/>
          <w:szCs w:val="24"/>
        </w:rPr>
        <w:t>wypowiedzeni</w:t>
      </w:r>
      <w:r w:rsidRPr="0080575A">
        <w:rPr>
          <w:rFonts w:ascii="Times New Roman" w:hAnsi="Times New Roman"/>
          <w:sz w:val="24"/>
          <w:szCs w:val="24"/>
        </w:rPr>
        <w:t>a</w:t>
      </w:r>
      <w:r w:rsidRPr="0080575A">
        <w:rPr>
          <w:rFonts w:ascii="Times New Roman" w:hAnsi="Times New Roman"/>
          <w:sz w:val="24"/>
          <w:szCs w:val="24"/>
        </w:rPr>
        <w:t xml:space="preserve"> się co do zebranych dowodów i materiałów oraz zgłoszonych żądań</w:t>
      </w:r>
      <w:r w:rsidRPr="0080575A">
        <w:rPr>
          <w:rFonts w:ascii="Times New Roman" w:hAnsi="Times New Roman"/>
          <w:sz w:val="24"/>
          <w:szCs w:val="24"/>
        </w:rPr>
        <w:t>,</w:t>
      </w:r>
      <w:r w:rsidRPr="0080575A">
        <w:rPr>
          <w:rFonts w:ascii="Times New Roman" w:hAnsi="Times New Roman"/>
          <w:sz w:val="24"/>
          <w:szCs w:val="24"/>
        </w:rPr>
        <w:t xml:space="preserve"> przed wydaniem decyzji</w:t>
      </w:r>
      <w:r w:rsidRPr="0080575A">
        <w:rPr>
          <w:rFonts w:ascii="Times New Roman" w:hAnsi="Times New Roman"/>
          <w:sz w:val="24"/>
          <w:szCs w:val="24"/>
        </w:rPr>
        <w:t xml:space="preserve">, </w:t>
      </w:r>
      <w:r w:rsidRPr="00BD371F">
        <w:rPr>
          <w:rFonts w:ascii="Times New Roman" w:hAnsi="Times New Roman"/>
          <w:color w:val="000000" w:themeColor="text1"/>
          <w:sz w:val="24"/>
          <w:szCs w:val="24"/>
        </w:rPr>
        <w:t>zgodnie z dyspozycja zawartą</w:t>
      </w:r>
      <w:r w:rsidRPr="00BD37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D371F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Pr="00BD371F">
        <w:rPr>
          <w:rFonts w:ascii="Times New Roman" w:hAnsi="Times New Roman"/>
          <w:color w:val="000000" w:themeColor="text1"/>
          <w:sz w:val="24"/>
          <w:szCs w:val="24"/>
        </w:rPr>
        <w:t>art. 10 k.p.a.</w:t>
      </w:r>
      <w:r w:rsidRPr="00BD371F">
        <w:rPr>
          <w:rFonts w:ascii="Times New Roman" w:hAnsi="Times New Roman"/>
          <w:color w:val="000000" w:themeColor="text1"/>
          <w:sz w:val="24"/>
          <w:szCs w:val="24"/>
        </w:rPr>
        <w:t xml:space="preserve"> GDOŚ postanowieniem z </w:t>
      </w:r>
      <w:r w:rsidRPr="00BD371F">
        <w:rPr>
          <w:rFonts w:ascii="Times New Roman" w:hAnsi="Times New Roman"/>
          <w:color w:val="000000" w:themeColor="text1"/>
          <w:sz w:val="24"/>
          <w:szCs w:val="24"/>
        </w:rPr>
        <w:t>6 marca 2025</w:t>
      </w:r>
      <w:r w:rsidRPr="00BD371F">
        <w:rPr>
          <w:rFonts w:ascii="Times New Roman" w:hAnsi="Times New Roman"/>
          <w:color w:val="000000" w:themeColor="text1"/>
          <w:sz w:val="24"/>
          <w:szCs w:val="24"/>
        </w:rPr>
        <w:t xml:space="preserve"> r., znak: DOOŚ-WDŚII.420.19.2024.MKW.11, odmówił wstrzymania wykonania </w:t>
      </w:r>
      <w:r w:rsidRPr="0080575A">
        <w:rPr>
          <w:rFonts w:ascii="Times New Roman" w:hAnsi="Times New Roman"/>
          <w:sz w:val="24"/>
          <w:szCs w:val="24"/>
        </w:rPr>
        <w:t>ww. decyzji.</w:t>
      </w:r>
      <w:r>
        <w:t xml:space="preserve"> </w:t>
      </w:r>
    </w:p>
    <w:p w:rsidR="008A0950" w:rsidRPr="007167CA" w:rsidRDefault="001540CE" w:rsidP="007167CA">
      <w:pPr>
        <w:spacing w:before="120" w:after="120" w:line="312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167CA">
        <w:rPr>
          <w:rFonts w:ascii="Times New Roman" w:hAnsi="Times New Roman"/>
          <w:b/>
          <w:bCs/>
          <w:sz w:val="24"/>
          <w:szCs w:val="24"/>
        </w:rPr>
        <w:t>GDOŚ ustalił i zważył, co następuje.</w:t>
      </w:r>
    </w:p>
    <w:p w:rsidR="006909CF" w:rsidRPr="007167CA" w:rsidRDefault="001540CE" w:rsidP="007167CA">
      <w:pPr>
        <w:spacing w:after="0" w:line="312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67CA">
        <w:rPr>
          <w:rFonts w:ascii="Times New Roman" w:hAnsi="Times New Roman"/>
          <w:sz w:val="24"/>
          <w:szCs w:val="24"/>
        </w:rPr>
        <w:t>Stwierdzenie nieważności decyzji administracyjnej jest jednym z trybów nadzwyczajnych postępowania administracyjnego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67CA">
        <w:rPr>
          <w:rFonts w:ascii="Times New Roman" w:hAnsi="Times New Roman"/>
          <w:sz w:val="24"/>
          <w:szCs w:val="24"/>
        </w:rPr>
        <w:t xml:space="preserve">i, zgodnie z art. 16 k.p.a., może nastąpić tylko w przypadkach przewidzianych w kodeksie lub ustawach </w:t>
      </w:r>
      <w:r w:rsidRPr="007167CA">
        <w:rPr>
          <w:rFonts w:ascii="Times New Roman" w:hAnsi="Times New Roman"/>
          <w:sz w:val="24"/>
          <w:szCs w:val="24"/>
        </w:rPr>
        <w:t xml:space="preserve">szczególnych. Podstawę stwierdzenia nieważności decyzji stanowi sześć wad decyzji wskazanych enumeratywnie w art. 156 § 1 pkt 1-6 </w:t>
      </w:r>
      <w:r w:rsidRPr="007167CA">
        <w:rPr>
          <w:rFonts w:ascii="Times New Roman" w:hAnsi="Times New Roman"/>
          <w:sz w:val="24"/>
          <w:szCs w:val="24"/>
        </w:rPr>
        <w:t>k.p.a.</w:t>
      </w:r>
      <w:r w:rsidRPr="007167CA">
        <w:rPr>
          <w:rFonts w:ascii="Times New Roman" w:hAnsi="Times New Roman"/>
          <w:sz w:val="24"/>
          <w:szCs w:val="24"/>
        </w:rPr>
        <w:t xml:space="preserve"> oraz wady określone w przepisach odrębnych</w:t>
      </w:r>
      <w:r>
        <w:rPr>
          <w:rFonts w:ascii="Times New Roman" w:hAnsi="Times New Roman"/>
          <w:sz w:val="24"/>
          <w:szCs w:val="24"/>
        </w:rPr>
        <w:t xml:space="preserve">, tj. w </w:t>
      </w:r>
      <w:r w:rsidRPr="007167CA">
        <w:rPr>
          <w:rFonts w:ascii="Times New Roman" w:hAnsi="Times New Roman"/>
          <w:sz w:val="24"/>
          <w:szCs w:val="24"/>
        </w:rPr>
        <w:t>art. 156 § 1 pkt</w:t>
      </w:r>
      <w:r w:rsidRPr="007167CA">
        <w:rPr>
          <w:rFonts w:ascii="Times New Roman" w:hAnsi="Times New Roman"/>
          <w:sz w:val="24"/>
          <w:szCs w:val="24"/>
        </w:rPr>
        <w:t xml:space="preserve"> 7 </w:t>
      </w:r>
      <w:r w:rsidRPr="007167CA">
        <w:rPr>
          <w:rFonts w:ascii="Times New Roman" w:hAnsi="Times New Roman"/>
          <w:sz w:val="24"/>
          <w:szCs w:val="24"/>
        </w:rPr>
        <w:t>k.p.a</w:t>
      </w:r>
      <w:r w:rsidRPr="007167CA">
        <w:rPr>
          <w:rFonts w:ascii="Times New Roman" w:hAnsi="Times New Roman"/>
          <w:sz w:val="24"/>
          <w:szCs w:val="24"/>
        </w:rPr>
        <w:t>.</w:t>
      </w:r>
      <w:r w:rsidRPr="007167CA">
        <w:rPr>
          <w:rFonts w:ascii="Times New Roman" w:hAnsi="Times New Roman"/>
          <w:sz w:val="24"/>
          <w:szCs w:val="24"/>
        </w:rPr>
        <w:t xml:space="preserve"> Dopuszczalność stwierdzenia nieważności dec</w:t>
      </w:r>
      <w:r w:rsidRPr="007167CA">
        <w:rPr>
          <w:rFonts w:ascii="Times New Roman" w:hAnsi="Times New Roman"/>
          <w:sz w:val="24"/>
          <w:szCs w:val="24"/>
        </w:rPr>
        <w:t xml:space="preserve">yzji ma miejsce w sytuacji, gdy w sposób bezsporny jest ona dotknięta przynajmniej jedną z wad, o których mowa w art. 156 § 1 </w:t>
      </w:r>
      <w:r w:rsidRPr="007167CA">
        <w:rPr>
          <w:rFonts w:ascii="Times New Roman" w:hAnsi="Times New Roman"/>
          <w:sz w:val="24"/>
          <w:szCs w:val="24"/>
        </w:rPr>
        <w:t>k.p.a.</w:t>
      </w:r>
      <w:r w:rsidRPr="007167CA">
        <w:rPr>
          <w:rFonts w:ascii="Times New Roman" w:hAnsi="Times New Roman"/>
          <w:sz w:val="24"/>
          <w:szCs w:val="24"/>
        </w:rPr>
        <w:t>, z uwzględnieniem przesłanek negatywnych określonych w treści § 2 powyższego przepisu.</w:t>
      </w:r>
    </w:p>
    <w:p w:rsidR="00BA7921" w:rsidRPr="007167CA" w:rsidRDefault="001540CE" w:rsidP="007167CA">
      <w:pPr>
        <w:spacing w:after="0" w:line="312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67CA">
        <w:rPr>
          <w:rFonts w:ascii="Times New Roman" w:hAnsi="Times New Roman"/>
          <w:sz w:val="24"/>
          <w:szCs w:val="24"/>
        </w:rPr>
        <w:t xml:space="preserve">Zgodnie z art. 156 § 1 </w:t>
      </w:r>
      <w:r w:rsidRPr="007167CA">
        <w:rPr>
          <w:rFonts w:ascii="Times New Roman" w:hAnsi="Times New Roman"/>
          <w:sz w:val="24"/>
          <w:szCs w:val="24"/>
        </w:rPr>
        <w:t>k.p.a.</w:t>
      </w:r>
      <w:r w:rsidRPr="007167CA">
        <w:rPr>
          <w:rFonts w:ascii="Times New Roman" w:hAnsi="Times New Roman"/>
          <w:sz w:val="24"/>
          <w:szCs w:val="24"/>
        </w:rPr>
        <w:t xml:space="preserve"> organ </w:t>
      </w:r>
      <w:r w:rsidRPr="007167CA">
        <w:rPr>
          <w:rFonts w:ascii="Times New Roman" w:hAnsi="Times New Roman"/>
          <w:sz w:val="24"/>
          <w:szCs w:val="24"/>
        </w:rPr>
        <w:t>administracji publicznej stwierdza nieważność decyzji, która:</w:t>
      </w:r>
    </w:p>
    <w:p w:rsidR="00BA7921" w:rsidRPr="007167CA" w:rsidRDefault="001540CE" w:rsidP="007167CA">
      <w:pPr>
        <w:pStyle w:val="Akapitzlist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167CA">
        <w:rPr>
          <w:rFonts w:ascii="Times New Roman" w:hAnsi="Times New Roman"/>
          <w:sz w:val="24"/>
          <w:szCs w:val="24"/>
        </w:rPr>
        <w:t>wydana została z naruszeniem przepisów o właściwości,</w:t>
      </w:r>
    </w:p>
    <w:p w:rsidR="00BA7921" w:rsidRPr="007167CA" w:rsidRDefault="001540CE" w:rsidP="007167CA">
      <w:pPr>
        <w:pStyle w:val="Akapitzlist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167CA">
        <w:rPr>
          <w:rFonts w:ascii="Times New Roman" w:hAnsi="Times New Roman"/>
          <w:sz w:val="24"/>
          <w:szCs w:val="24"/>
        </w:rPr>
        <w:t>wydana została bez podstawy prawnej lub z rażącym naruszeniem prawa,</w:t>
      </w:r>
    </w:p>
    <w:p w:rsidR="00BA7921" w:rsidRPr="007167CA" w:rsidRDefault="001540CE" w:rsidP="007167CA">
      <w:pPr>
        <w:pStyle w:val="Akapitzlist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167CA">
        <w:rPr>
          <w:rFonts w:ascii="Times New Roman" w:hAnsi="Times New Roman"/>
          <w:sz w:val="24"/>
          <w:szCs w:val="24"/>
        </w:rPr>
        <w:t>dotyczy sprawy już poprzednio rozstrzygniętej inną decyzją ostateczną a</w:t>
      </w:r>
      <w:r w:rsidRPr="007167CA">
        <w:rPr>
          <w:rFonts w:ascii="Times New Roman" w:hAnsi="Times New Roman"/>
          <w:sz w:val="24"/>
          <w:szCs w:val="24"/>
        </w:rPr>
        <w:t>lbo sprawy, którą załatwiono milcząco,</w:t>
      </w:r>
    </w:p>
    <w:p w:rsidR="00BA7921" w:rsidRPr="007167CA" w:rsidRDefault="001540CE" w:rsidP="007167CA">
      <w:pPr>
        <w:pStyle w:val="Akapitzlist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167CA">
        <w:rPr>
          <w:rFonts w:ascii="Times New Roman" w:hAnsi="Times New Roman"/>
          <w:sz w:val="24"/>
          <w:szCs w:val="24"/>
        </w:rPr>
        <w:t>została skierowana do osoby niebędącej stroną w sprawie,</w:t>
      </w:r>
    </w:p>
    <w:p w:rsidR="00BA7921" w:rsidRPr="007167CA" w:rsidRDefault="001540CE" w:rsidP="007167CA">
      <w:pPr>
        <w:pStyle w:val="Akapitzlist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167CA">
        <w:rPr>
          <w:rFonts w:ascii="Times New Roman" w:hAnsi="Times New Roman"/>
          <w:sz w:val="24"/>
          <w:szCs w:val="24"/>
        </w:rPr>
        <w:t>była niewykonalna w dniu jej wydania i jej niewykonalność ma charakter trwały,</w:t>
      </w:r>
    </w:p>
    <w:p w:rsidR="00BA7921" w:rsidRPr="007167CA" w:rsidRDefault="001540CE" w:rsidP="007167CA">
      <w:pPr>
        <w:pStyle w:val="Akapitzlist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167CA">
        <w:rPr>
          <w:rFonts w:ascii="Times New Roman" w:hAnsi="Times New Roman"/>
          <w:sz w:val="24"/>
          <w:szCs w:val="24"/>
        </w:rPr>
        <w:t>w razie jej wykonania wywołałaby czyn zagrożony karą,</w:t>
      </w:r>
    </w:p>
    <w:p w:rsidR="00BA7921" w:rsidRPr="007167CA" w:rsidRDefault="001540CE" w:rsidP="007167CA">
      <w:pPr>
        <w:pStyle w:val="Akapitzlist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167CA">
        <w:rPr>
          <w:rFonts w:ascii="Times New Roman" w:hAnsi="Times New Roman"/>
          <w:sz w:val="24"/>
          <w:szCs w:val="24"/>
        </w:rPr>
        <w:lastRenderedPageBreak/>
        <w:t>zawiera wadę powodującą jej</w:t>
      </w:r>
      <w:r w:rsidRPr="007167CA">
        <w:rPr>
          <w:rFonts w:ascii="Times New Roman" w:hAnsi="Times New Roman"/>
          <w:sz w:val="24"/>
          <w:szCs w:val="24"/>
        </w:rPr>
        <w:t xml:space="preserve"> nieważność z mocy prawa.</w:t>
      </w:r>
    </w:p>
    <w:p w:rsidR="00DD6A88" w:rsidRPr="007167CA" w:rsidRDefault="001540CE" w:rsidP="007167CA">
      <w:pPr>
        <w:spacing w:after="0" w:line="312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67CA">
        <w:rPr>
          <w:rFonts w:ascii="Times New Roman" w:hAnsi="Times New Roman"/>
          <w:sz w:val="24"/>
          <w:szCs w:val="24"/>
        </w:rPr>
        <w:t>Podkreślenia wymaga fakt, że stwierdzenie nieważności decyzji jest instytucją szczególną, godzącą w zasadę trwałości decyzji administracyjnych, zatem zaistnienie przesłanki powodującej stwierdzenie nieważności musi być oczywiste i</w:t>
      </w:r>
      <w:r w:rsidRPr="007167CA">
        <w:rPr>
          <w:rFonts w:ascii="Times New Roman" w:hAnsi="Times New Roman"/>
          <w:sz w:val="24"/>
          <w:szCs w:val="24"/>
        </w:rPr>
        <w:t xml:space="preserve"> oczywistość tę należy wskazać.</w:t>
      </w:r>
    </w:p>
    <w:p w:rsidR="00DD6A88" w:rsidRDefault="001540CE" w:rsidP="007167CA">
      <w:pPr>
        <w:spacing w:after="0" w:line="312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7167CA">
        <w:rPr>
          <w:rFonts w:ascii="Times New Roman" w:hAnsi="Times New Roman"/>
          <w:sz w:val="24"/>
          <w:szCs w:val="24"/>
        </w:rPr>
        <w:t xml:space="preserve">Mając na uwadze charakter prowadzonego postępowania administracyjnego, którego istotą jest wyeliminowanie z obrotu prawnego decyzji obarczonych wadami kwalifikowanymi, GDOŚ dokonał oceny zaskarżonej decyzji i jej skutków prawnych, </w:t>
      </w:r>
      <w:r w:rsidRPr="005B7D81">
        <w:rPr>
          <w:rFonts w:ascii="Times New Roman" w:hAnsi="Times New Roman"/>
          <w:sz w:val="24"/>
          <w:szCs w:val="24"/>
        </w:rPr>
        <w:t>nie znajdując wad sankcjo</w:t>
      </w:r>
      <w:r w:rsidRPr="005B7D81">
        <w:rPr>
          <w:rFonts w:ascii="Times New Roman" w:hAnsi="Times New Roman"/>
          <w:sz w:val="24"/>
          <w:szCs w:val="24"/>
        </w:rPr>
        <w:t>nujących stwierdzenie jej nieważności.</w:t>
      </w:r>
    </w:p>
    <w:p w:rsidR="00406254" w:rsidRDefault="001540CE" w:rsidP="007167CA">
      <w:pPr>
        <w:spacing w:after="0" w:line="312" w:lineRule="auto"/>
        <w:ind w:firstLine="708"/>
        <w:jc w:val="both"/>
        <w:rPr>
          <w:rStyle w:val="Uwydatnienie"/>
          <w:rFonts w:ascii="Times New Roman" w:hAnsi="Times New Roman"/>
          <w:color w:val="000000" w:themeColor="text1"/>
        </w:rPr>
      </w:pPr>
      <w:r w:rsidRPr="007167CA">
        <w:rPr>
          <w:rFonts w:ascii="Times New Roman" w:hAnsi="Times New Roman"/>
          <w:sz w:val="24"/>
          <w:szCs w:val="24"/>
        </w:rPr>
        <w:t xml:space="preserve">Odnosząc się do przesłanki wyrażonej w art. 156 § 1 pkt 1 k.p.a., tj. wydania decyzji z naruszeniem przepisów o właściwości, należy wskazać, </w:t>
      </w:r>
      <w:r w:rsidRPr="007167CA">
        <w:rPr>
          <w:rFonts w:ascii="Times New Roman" w:hAnsi="Times New Roman"/>
          <w:sz w:val="24"/>
          <w:szCs w:val="24"/>
        </w:rPr>
        <w:t>że</w:t>
      </w:r>
      <w:r w:rsidRPr="007167CA">
        <w:rPr>
          <w:rFonts w:ascii="Times New Roman" w:hAnsi="Times New Roman"/>
          <w:sz w:val="24"/>
          <w:szCs w:val="24"/>
        </w:rPr>
        <w:t xml:space="preserve"> </w:t>
      </w:r>
      <w:r w:rsidRPr="007167CA">
        <w:rPr>
          <w:rFonts w:ascii="Times New Roman" w:hAnsi="Times New Roman"/>
          <w:sz w:val="24"/>
          <w:szCs w:val="24"/>
        </w:rPr>
        <w:t xml:space="preserve">regionalny dyrektor ochrony środowiska jest </w:t>
      </w:r>
      <w:r w:rsidRPr="007167CA">
        <w:rPr>
          <w:rFonts w:ascii="Times New Roman" w:hAnsi="Times New Roman"/>
          <w:sz w:val="24"/>
          <w:szCs w:val="24"/>
        </w:rPr>
        <w:t xml:space="preserve">organem właściwym do wydania </w:t>
      </w:r>
      <w:r w:rsidRPr="007167CA">
        <w:rPr>
          <w:rFonts w:ascii="Times New Roman" w:hAnsi="Times New Roman"/>
          <w:sz w:val="24"/>
          <w:szCs w:val="24"/>
        </w:rPr>
        <w:t xml:space="preserve">decyzji o środowiskowych uwarunkowaniach </w:t>
      </w:r>
      <w:r w:rsidRPr="007167CA">
        <w:rPr>
          <w:rFonts w:ascii="Times New Roman" w:hAnsi="Times New Roman"/>
          <w:sz w:val="24"/>
          <w:szCs w:val="24"/>
        </w:rPr>
        <w:t xml:space="preserve">dla gazociągu w </w:t>
      </w:r>
      <w:r>
        <w:rPr>
          <w:rFonts w:ascii="Times New Roman" w:hAnsi="Times New Roman"/>
          <w:sz w:val="24"/>
          <w:szCs w:val="24"/>
        </w:rPr>
        <w:t>przypadku</w:t>
      </w:r>
      <w:r w:rsidRPr="007167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gdy</w:t>
      </w:r>
      <w:r w:rsidRPr="007167CA">
        <w:rPr>
          <w:rFonts w:ascii="Times New Roman" w:hAnsi="Times New Roman"/>
          <w:sz w:val="24"/>
          <w:szCs w:val="24"/>
        </w:rPr>
        <w:t xml:space="preserve"> </w:t>
      </w:r>
      <w:r w:rsidRPr="007167CA">
        <w:rPr>
          <w:rFonts w:ascii="Times New Roman" w:hAnsi="Times New Roman"/>
          <w:sz w:val="24"/>
          <w:szCs w:val="24"/>
        </w:rPr>
        <w:t>instalacja do przesyłu ropy naftowej, produktów naftowych, substancji chemicznych lub gazu</w:t>
      </w:r>
      <w:r w:rsidRPr="007167CA">
        <w:rPr>
          <w:rFonts w:ascii="Times New Roman" w:hAnsi="Times New Roman"/>
          <w:sz w:val="24"/>
          <w:szCs w:val="24"/>
        </w:rPr>
        <w:t xml:space="preserve"> jest przedsięwzięciem mogącymi zawsze znacząco oddziaływać na środowisko (art. 75 ust. 1 pkt 1</w:t>
      </w:r>
      <w:r w:rsidRPr="007167CA">
        <w:rPr>
          <w:rFonts w:ascii="Times New Roman" w:hAnsi="Times New Roman"/>
          <w:sz w:val="24"/>
          <w:szCs w:val="24"/>
        </w:rPr>
        <w:t xml:space="preserve"> lit. a tiret</w:t>
      </w:r>
      <w:r w:rsidRPr="007167CA">
        <w:rPr>
          <w:rFonts w:ascii="Times New Roman" w:hAnsi="Times New Roman"/>
          <w:sz w:val="24"/>
          <w:szCs w:val="24"/>
        </w:rPr>
        <w:t xml:space="preserve"> czwarte </w:t>
      </w:r>
      <w:r w:rsidRPr="007167CA">
        <w:rPr>
          <w:rFonts w:ascii="Times New Roman" w:hAnsi="Times New Roman"/>
          <w:sz w:val="24"/>
          <w:szCs w:val="24"/>
        </w:rPr>
        <w:t>u.o.o.ś</w:t>
      </w:r>
      <w:r w:rsidRPr="007167CA">
        <w:rPr>
          <w:rFonts w:ascii="Times New Roman" w:hAnsi="Times New Roman"/>
          <w:sz w:val="24"/>
          <w:szCs w:val="24"/>
        </w:rPr>
        <w:t>.)</w:t>
      </w:r>
      <w:r w:rsidRPr="007167CA">
        <w:rPr>
          <w:rFonts w:ascii="Times New Roman" w:hAnsi="Times New Roman"/>
          <w:sz w:val="24"/>
          <w:szCs w:val="24"/>
        </w:rPr>
        <w:t xml:space="preserve"> oraz kiedy </w:t>
      </w:r>
      <w:r w:rsidRPr="007167CA">
        <w:rPr>
          <w:rFonts w:ascii="Times New Roman" w:hAnsi="Times New Roman"/>
          <w:sz w:val="24"/>
          <w:szCs w:val="24"/>
        </w:rPr>
        <w:t xml:space="preserve">przedsięwzięcie jest inwestycją w zakresie terminalu (art. 75 ust. 1 pkt 1 lit. f </w:t>
      </w:r>
      <w:r w:rsidRPr="007167CA">
        <w:rPr>
          <w:rFonts w:ascii="Times New Roman" w:hAnsi="Times New Roman"/>
          <w:sz w:val="24"/>
          <w:szCs w:val="24"/>
        </w:rPr>
        <w:t>u.o.o.ś.</w:t>
      </w:r>
      <w:r w:rsidRPr="007167CA">
        <w:rPr>
          <w:rFonts w:ascii="Times New Roman" w:hAnsi="Times New Roman"/>
          <w:sz w:val="24"/>
          <w:szCs w:val="24"/>
        </w:rPr>
        <w:t>). W</w:t>
      </w:r>
      <w:r>
        <w:rPr>
          <w:rFonts w:ascii="Times New Roman" w:hAnsi="Times New Roman"/>
          <w:sz w:val="24"/>
          <w:szCs w:val="24"/>
        </w:rPr>
        <w:t> </w:t>
      </w:r>
      <w:r w:rsidRPr="007167CA">
        <w:rPr>
          <w:rFonts w:ascii="Times New Roman" w:hAnsi="Times New Roman"/>
          <w:sz w:val="24"/>
          <w:szCs w:val="24"/>
        </w:rPr>
        <w:t xml:space="preserve">omawianym przypadku, ze względu na parametry gazociągu, tj. </w:t>
      </w:r>
      <w:r w:rsidRPr="007167CA">
        <w:rPr>
          <w:rFonts w:ascii="Times New Roman" w:hAnsi="Times New Roman"/>
          <w:sz w:val="24"/>
          <w:szCs w:val="24"/>
        </w:rPr>
        <w:t xml:space="preserve">długość ok. 8,2 km, średnicę nominalną 300 mm oraz </w:t>
      </w:r>
      <w:r w:rsidRPr="007167CA">
        <w:rPr>
          <w:rFonts w:ascii="Times New Roman" w:hAnsi="Times New Roman"/>
          <w:sz w:val="24"/>
          <w:szCs w:val="24"/>
        </w:rPr>
        <w:t>ciśnienie</w:t>
      </w:r>
      <w:r w:rsidRPr="007167CA">
        <w:rPr>
          <w:rFonts w:ascii="Times New Roman" w:hAnsi="Times New Roman"/>
          <w:sz w:val="24"/>
          <w:szCs w:val="24"/>
        </w:rPr>
        <w:t xml:space="preserve"> 8,4 MPa, </w:t>
      </w:r>
      <w:r w:rsidRPr="007167CA">
        <w:rPr>
          <w:rFonts w:ascii="Times New Roman" w:hAnsi="Times New Roman"/>
          <w:sz w:val="24"/>
          <w:szCs w:val="24"/>
        </w:rPr>
        <w:t>przedmiotowe</w:t>
      </w:r>
      <w:r w:rsidRPr="007167CA">
        <w:rPr>
          <w:rFonts w:ascii="Times New Roman" w:hAnsi="Times New Roman"/>
          <w:sz w:val="24"/>
          <w:szCs w:val="24"/>
        </w:rPr>
        <w:t xml:space="preserve"> przedsięwzięcie należ</w:t>
      </w:r>
      <w:r w:rsidRPr="007167CA">
        <w:rPr>
          <w:rFonts w:ascii="Times New Roman" w:hAnsi="Times New Roman"/>
          <w:sz w:val="24"/>
          <w:szCs w:val="24"/>
        </w:rPr>
        <w:t>ało</w:t>
      </w:r>
      <w:r w:rsidRPr="007167CA">
        <w:rPr>
          <w:rFonts w:ascii="Times New Roman" w:hAnsi="Times New Roman"/>
          <w:sz w:val="24"/>
          <w:szCs w:val="24"/>
        </w:rPr>
        <w:t xml:space="preserve"> zakwalifikować do przedsięwzięć potencjalnie mogących znacząco oddziaływać na środowisko</w:t>
      </w:r>
      <w:r w:rsidRPr="007167CA">
        <w:rPr>
          <w:rFonts w:ascii="Times New Roman" w:hAnsi="Times New Roman"/>
          <w:sz w:val="24"/>
          <w:szCs w:val="24"/>
        </w:rPr>
        <w:t xml:space="preserve"> (</w:t>
      </w:r>
      <w:r w:rsidRPr="007167CA">
        <w:rPr>
          <w:rFonts w:ascii="Times New Roman" w:hAnsi="Times New Roman"/>
          <w:color w:val="000000" w:themeColor="text1"/>
          <w:sz w:val="24"/>
          <w:szCs w:val="24"/>
        </w:rPr>
        <w:t xml:space="preserve">§ 3 ust. 1 pkt 31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Rozporządzenia Rady Ministrów z </w:t>
      </w:r>
      <w:r w:rsidRPr="00E519A0">
        <w:rPr>
          <w:rFonts w:ascii="Times New Roman" w:hAnsi="Times New Roman"/>
          <w:color w:val="000000" w:themeColor="text1"/>
          <w:sz w:val="24"/>
          <w:szCs w:val="24"/>
        </w:rPr>
        <w:t xml:space="preserve">dnia 10 września 2019 r. </w:t>
      </w:r>
      <w:r>
        <w:rPr>
          <w:rFonts w:ascii="Times New Roman" w:hAnsi="Times New Roman"/>
          <w:color w:val="000000" w:themeColor="text1"/>
          <w:sz w:val="24"/>
          <w:szCs w:val="24"/>
        </w:rPr>
        <w:t>w sprawie</w:t>
      </w:r>
      <w:r w:rsidRPr="00E519A0">
        <w:t xml:space="preserve"> </w:t>
      </w:r>
      <w:r w:rsidRPr="00E519A0">
        <w:rPr>
          <w:rFonts w:ascii="Times New Roman" w:hAnsi="Times New Roman"/>
          <w:color w:val="000000" w:themeColor="text1"/>
          <w:sz w:val="24"/>
          <w:szCs w:val="24"/>
        </w:rPr>
        <w:t>przedsięwzięć mogących z</w:t>
      </w:r>
      <w:r w:rsidRPr="00E519A0">
        <w:rPr>
          <w:rFonts w:ascii="Times New Roman" w:hAnsi="Times New Roman"/>
          <w:color w:val="000000" w:themeColor="text1"/>
          <w:sz w:val="24"/>
          <w:szCs w:val="24"/>
        </w:rPr>
        <w:t>nacząco oddziaływać na środowisko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(Dz. U. z 2019 r. poz. 1839), dalej </w:t>
      </w:r>
      <w:r w:rsidRPr="007167CA">
        <w:rPr>
          <w:rStyle w:val="Uwydatnienie"/>
          <w:rFonts w:ascii="Times New Roman" w:hAnsi="Times New Roman"/>
          <w:color w:val="000000" w:themeColor="text1"/>
        </w:rPr>
        <w:t>r.o.o.ś.</w:t>
      </w:r>
      <w:r>
        <w:rPr>
          <w:rStyle w:val="Uwydatnienie"/>
          <w:rFonts w:ascii="Times New Roman" w:hAnsi="Times New Roman"/>
          <w:color w:val="000000" w:themeColor="text1"/>
        </w:rPr>
        <w:t>).</w:t>
      </w:r>
      <w:r>
        <w:rPr>
          <w:rStyle w:val="Uwydatnienie"/>
          <w:rFonts w:ascii="Times New Roman" w:hAnsi="Times New Roman"/>
          <w:color w:val="000000" w:themeColor="text1"/>
        </w:rPr>
        <w:t xml:space="preserve"> Oznacza to, że właściwość </w:t>
      </w:r>
      <w:r>
        <w:rPr>
          <w:rStyle w:val="Uwydatnienie"/>
          <w:rFonts w:ascii="Times New Roman" w:hAnsi="Times New Roman"/>
          <w:color w:val="000000" w:themeColor="text1"/>
        </w:rPr>
        <w:t xml:space="preserve">rzeczowa </w:t>
      </w:r>
      <w:r>
        <w:rPr>
          <w:rStyle w:val="Uwydatnienie"/>
          <w:rFonts w:ascii="Times New Roman" w:hAnsi="Times New Roman"/>
          <w:color w:val="000000" w:themeColor="text1"/>
        </w:rPr>
        <w:t xml:space="preserve">RDOŚ w Gdańsku, w omawianym przypadku, </w:t>
      </w:r>
      <w:r>
        <w:rPr>
          <w:rStyle w:val="Uwydatnienie"/>
          <w:rFonts w:ascii="Times New Roman" w:hAnsi="Times New Roman"/>
          <w:color w:val="000000" w:themeColor="text1"/>
        </w:rPr>
        <w:t xml:space="preserve">mogła </w:t>
      </w:r>
      <w:r>
        <w:rPr>
          <w:rStyle w:val="Uwydatnienie"/>
          <w:rFonts w:ascii="Times New Roman" w:hAnsi="Times New Roman"/>
          <w:color w:val="000000" w:themeColor="text1"/>
        </w:rPr>
        <w:t>zaistnieć</w:t>
      </w:r>
      <w:r>
        <w:rPr>
          <w:rStyle w:val="Uwydatnienie"/>
          <w:rFonts w:ascii="Times New Roman" w:hAnsi="Times New Roman"/>
          <w:color w:val="000000" w:themeColor="text1"/>
        </w:rPr>
        <w:t xml:space="preserve"> tylko i wyłącznie z</w:t>
      </w:r>
      <w:r>
        <w:rPr>
          <w:rStyle w:val="Uwydatnienie"/>
          <w:rFonts w:ascii="Times New Roman" w:hAnsi="Times New Roman"/>
          <w:color w:val="000000" w:themeColor="text1"/>
        </w:rPr>
        <w:t xml:space="preserve">e względu na realizację przedsięwzięcia </w:t>
      </w:r>
      <w:bookmarkStart w:id="8" w:name="_Hlk181192915"/>
      <w:r>
        <w:rPr>
          <w:rStyle w:val="Uwydatnienie"/>
          <w:rFonts w:ascii="Times New Roman" w:hAnsi="Times New Roman"/>
          <w:color w:val="000000" w:themeColor="text1"/>
        </w:rPr>
        <w:t xml:space="preserve">na podstawie </w:t>
      </w:r>
      <w:bookmarkStart w:id="9" w:name="_Hlk181193090"/>
      <w:r w:rsidRPr="007167CA">
        <w:rPr>
          <w:rStyle w:val="Uwydatnienie"/>
          <w:rFonts w:ascii="Times New Roman" w:hAnsi="Times New Roman"/>
          <w:color w:val="000000" w:themeColor="text1"/>
        </w:rPr>
        <w:t>ustawy z dnia 24 kwietnia 2009 r. o inwestycjach w zakresie terminalu regazyfikacyjnego skroplonego gazu ziemnego w Świnoujściu</w:t>
      </w:r>
      <w:bookmarkEnd w:id="9"/>
      <w:r w:rsidRPr="007167CA">
        <w:rPr>
          <w:rStyle w:val="Uwydatnienie"/>
          <w:rFonts w:ascii="Times New Roman" w:hAnsi="Times New Roman"/>
          <w:color w:val="000000" w:themeColor="text1"/>
        </w:rPr>
        <w:t>, dalej u.</w:t>
      </w:r>
      <w:r>
        <w:rPr>
          <w:rStyle w:val="Uwydatnienie"/>
          <w:rFonts w:ascii="Times New Roman" w:hAnsi="Times New Roman"/>
          <w:color w:val="000000" w:themeColor="text1"/>
        </w:rPr>
        <w:t>g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</w:t>
      </w:r>
      <w:bookmarkStart w:id="10" w:name="_Hlk181193099"/>
      <w:r w:rsidRPr="007167CA">
        <w:rPr>
          <w:rStyle w:val="Uwydatnienie"/>
          <w:rFonts w:ascii="Times New Roman" w:hAnsi="Times New Roman"/>
          <w:color w:val="000000" w:themeColor="text1"/>
        </w:rPr>
        <w:t>(</w:t>
      </w:r>
      <w:r>
        <w:rPr>
          <w:rStyle w:val="Uwydatnienie"/>
          <w:rFonts w:ascii="Times New Roman" w:hAnsi="Times New Roman"/>
          <w:color w:val="000000" w:themeColor="text1"/>
        </w:rPr>
        <w:t xml:space="preserve">w stanie prawnym obowiązującym na dzień wydania decyzji, tj. </w:t>
      </w:r>
      <w:r w:rsidRPr="007167CA">
        <w:rPr>
          <w:rStyle w:val="Uwydatnienie"/>
          <w:rFonts w:ascii="Times New Roman" w:hAnsi="Times New Roman"/>
          <w:color w:val="000000" w:themeColor="text1"/>
        </w:rPr>
        <w:t>Dz. U. z 2023 poz. 924 ze zm.)</w:t>
      </w:r>
      <w:bookmarkEnd w:id="8"/>
      <w:bookmarkEnd w:id="10"/>
      <w:r w:rsidRPr="007167CA">
        <w:rPr>
          <w:rStyle w:val="Uwydatnienie"/>
          <w:rFonts w:ascii="Times New Roman" w:hAnsi="Times New Roman"/>
          <w:color w:val="000000" w:themeColor="text1"/>
        </w:rPr>
        <w:t>.</w:t>
      </w:r>
    </w:p>
    <w:p w:rsidR="00EE487E" w:rsidRPr="007167CA" w:rsidRDefault="001540CE" w:rsidP="00A2267A">
      <w:pPr>
        <w:spacing w:after="0" w:line="312" w:lineRule="auto"/>
        <w:ind w:firstLine="708"/>
        <w:jc w:val="both"/>
        <w:rPr>
          <w:rStyle w:val="Uwydatnienie"/>
          <w:rFonts w:ascii="Times New Roman" w:hAnsi="Times New Roman"/>
          <w:color w:val="000000" w:themeColor="text1"/>
        </w:rPr>
      </w:pPr>
      <w:r w:rsidRPr="007167CA">
        <w:rPr>
          <w:rStyle w:val="Uwydatnienie"/>
          <w:rFonts w:ascii="Times New Roman" w:hAnsi="Times New Roman"/>
          <w:color w:val="000000" w:themeColor="text1"/>
        </w:rPr>
        <w:t xml:space="preserve">Zgodnie z art. 38 ust.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5 </w:t>
      </w:r>
      <w:r>
        <w:rPr>
          <w:rStyle w:val="Uwydatnienie"/>
          <w:rFonts w:ascii="Times New Roman" w:hAnsi="Times New Roman"/>
          <w:color w:val="000000" w:themeColor="text1"/>
        </w:rPr>
        <w:t>u.g.</w:t>
      </w:r>
      <w:r>
        <w:rPr>
          <w:rStyle w:val="Uwydatnienie"/>
          <w:rFonts w:ascii="Times New Roman" w:hAnsi="Times New Roman"/>
          <w:color w:val="000000" w:themeColor="text1"/>
        </w:rPr>
        <w:t>,</w:t>
      </w:r>
      <w:r>
        <w:rPr>
          <w:rStyle w:val="Uwydatnienie"/>
          <w:rFonts w:ascii="Times New Roman" w:hAnsi="Times New Roman"/>
          <w:color w:val="000000" w:themeColor="text1"/>
        </w:rPr>
        <w:t xml:space="preserve"> </w:t>
      </w:r>
      <w:r w:rsidRPr="007167CA">
        <w:rPr>
          <w:rStyle w:val="Uwydatnienie"/>
          <w:rFonts w:ascii="Times New Roman" w:hAnsi="Times New Roman"/>
          <w:color w:val="000000" w:themeColor="text1"/>
        </w:rPr>
        <w:t>inwestycj</w:t>
      </w:r>
      <w:r>
        <w:rPr>
          <w:rStyle w:val="Uwydatnienie"/>
          <w:rFonts w:ascii="Times New Roman" w:hAnsi="Times New Roman"/>
          <w:color w:val="000000" w:themeColor="text1"/>
        </w:rPr>
        <w:t>ami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towarzysząc</w:t>
      </w:r>
      <w:r>
        <w:rPr>
          <w:rStyle w:val="Uwydatnienie"/>
          <w:rFonts w:ascii="Times New Roman" w:hAnsi="Times New Roman"/>
          <w:color w:val="000000" w:themeColor="text1"/>
        </w:rPr>
        <w:t>ymi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inwestycj</w:t>
      </w:r>
      <w:r>
        <w:rPr>
          <w:rStyle w:val="Uwydatnienie"/>
          <w:rFonts w:ascii="Times New Roman" w:hAnsi="Times New Roman"/>
          <w:color w:val="000000" w:themeColor="text1"/>
        </w:rPr>
        <w:t>om</w:t>
      </w:r>
      <w:r>
        <w:rPr>
          <w:rStyle w:val="Uwydatnienie"/>
          <w:rFonts w:ascii="Times New Roman" w:hAnsi="Times New Roman"/>
          <w:color w:val="000000" w:themeColor="text1"/>
        </w:rPr>
        <w:t xml:space="preserve">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w zakresie terminalu są inwestycje </w:t>
      </w:r>
      <w:r w:rsidRPr="007167CA">
        <w:rPr>
          <w:rStyle w:val="Uwydatnienie"/>
          <w:rFonts w:ascii="Times New Roman" w:hAnsi="Times New Roman"/>
          <w:color w:val="000000" w:themeColor="text1"/>
        </w:rPr>
        <w:t>realizowane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przez odbiorcę końcowego dokonującego zakupu paliw gazowych, w rozumieniu przepisów ustawy z dnia 10 kwietnia 1997 r. Prawo energetyczne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(</w:t>
      </w:r>
      <w:r>
        <w:rPr>
          <w:rStyle w:val="Uwydatnienie"/>
          <w:rFonts w:ascii="Times New Roman" w:hAnsi="Times New Roman"/>
          <w:color w:val="000000" w:themeColor="text1"/>
        </w:rPr>
        <w:t>w</w:t>
      </w:r>
      <w:r>
        <w:rPr>
          <w:rStyle w:val="Uwydatnienie"/>
          <w:rFonts w:ascii="Times New Roman" w:hAnsi="Times New Roman"/>
          <w:color w:val="000000" w:themeColor="text1"/>
        </w:rPr>
        <w:t> </w:t>
      </w:r>
      <w:r>
        <w:rPr>
          <w:rStyle w:val="Uwydatnienie"/>
          <w:rFonts w:ascii="Times New Roman" w:hAnsi="Times New Roman"/>
          <w:color w:val="000000" w:themeColor="text1"/>
        </w:rPr>
        <w:t xml:space="preserve">stanie prawnym obowiązującym na dzień wydania decyzji, tj.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Dz. U. z </w:t>
      </w:r>
      <w:r w:rsidRPr="007167CA">
        <w:rPr>
          <w:rStyle w:val="Uwydatnienie"/>
          <w:rFonts w:ascii="Times New Roman" w:hAnsi="Times New Roman"/>
          <w:color w:val="000000" w:themeColor="text1"/>
        </w:rPr>
        <w:t>2022 r. poz. 1385, ze zm.)</w:t>
      </w:r>
      <w:r w:rsidRPr="007167CA">
        <w:rPr>
          <w:rStyle w:val="Uwydatnienie"/>
          <w:rFonts w:ascii="Times New Roman" w:hAnsi="Times New Roman"/>
          <w:color w:val="000000" w:themeColor="text1"/>
        </w:rPr>
        <w:t>, na potrzeby wytwarzania energii elektrycznej lub ciepła w jednostce wytwórczej lub jednostce kogeneracji - budowa przyłącza lub gazociągu, wraz z infrastrukturą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niezbędną do ich obsługi, łączących tę jednostkę wytwórczą lub jednostkę kogeneracji z siecią gazową przesyłową lub dystrybucyjną.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</w:t>
      </w:r>
      <w:r>
        <w:rPr>
          <w:rStyle w:val="Uwydatnienie"/>
          <w:rFonts w:ascii="Times New Roman" w:hAnsi="Times New Roman"/>
          <w:color w:val="000000" w:themeColor="text1"/>
        </w:rPr>
        <w:t>Z</w:t>
      </w:r>
      <w:r>
        <w:rPr>
          <w:rStyle w:val="Uwydatnienie"/>
          <w:rFonts w:ascii="Times New Roman" w:hAnsi="Times New Roman"/>
          <w:color w:val="000000" w:themeColor="text1"/>
        </w:rPr>
        <w:t xml:space="preserve">godnie </w:t>
      </w:r>
      <w:r>
        <w:rPr>
          <w:rStyle w:val="Uwydatnienie"/>
          <w:rFonts w:ascii="Times New Roman" w:hAnsi="Times New Roman"/>
          <w:color w:val="000000" w:themeColor="text1"/>
        </w:rPr>
        <w:t>bowiem z</w:t>
      </w:r>
      <w:r>
        <w:rPr>
          <w:rStyle w:val="Uwydatnienie"/>
          <w:rFonts w:ascii="Times New Roman" w:hAnsi="Times New Roman"/>
          <w:color w:val="000000" w:themeColor="text1"/>
        </w:rPr>
        <w:t xml:space="preserve"> </w:t>
      </w:r>
      <w:r w:rsidRPr="007167CA">
        <w:rPr>
          <w:rStyle w:val="Uwydatnienie"/>
          <w:rFonts w:ascii="Times New Roman" w:hAnsi="Times New Roman"/>
          <w:color w:val="000000" w:themeColor="text1"/>
        </w:rPr>
        <w:t>art. 3 pkt 13a ustawy z dnia 10 kwietnia 1997 r. Prawo energetyczne (Dz. U. z 2022 r. poz. 1385, ze zm.), d</w:t>
      </w:r>
      <w:r w:rsidRPr="007167CA">
        <w:rPr>
          <w:rStyle w:val="Uwydatnienie"/>
          <w:rFonts w:ascii="Times New Roman" w:hAnsi="Times New Roman"/>
          <w:color w:val="000000" w:themeColor="text1"/>
        </w:rPr>
        <w:t>alej u.p.e, odbiorca końcowy to odbiorca dokonujący zakupu paliw lub energii na własny użytek</w:t>
      </w:r>
      <w:r w:rsidRPr="007167CA">
        <w:rPr>
          <w:rStyle w:val="Uwydatnienie"/>
          <w:rFonts w:ascii="Times New Roman" w:hAnsi="Times New Roman"/>
          <w:color w:val="000000" w:themeColor="text1"/>
        </w:rPr>
        <w:t>, przy czym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do własnego użytku nie zalicza się energii elektrycznej zakupionej w celu jej magazynowania lub zużycia na potrzeby wytwarzania, przesyłania lub dystry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bucji energii elektrycznej oraz paliw gazowych </w:t>
      </w:r>
      <w:r w:rsidRPr="007167CA">
        <w:rPr>
          <w:rStyle w:val="Uwydatnienie"/>
          <w:rFonts w:ascii="Times New Roman" w:hAnsi="Times New Roman"/>
          <w:color w:val="000000" w:themeColor="text1"/>
        </w:rPr>
        <w:lastRenderedPageBreak/>
        <w:t>zakupionych w celu ich zużycia na potrzeby przesyłania, dystrybucji, magazynowania paliw gazowych, skraplania gazu ziemnego lub regazyfikacji skroplonego gazu ziemnego</w:t>
      </w:r>
      <w:r w:rsidRPr="007167CA">
        <w:rPr>
          <w:rStyle w:val="Uwydatnienie"/>
          <w:rFonts w:ascii="Times New Roman" w:hAnsi="Times New Roman"/>
          <w:color w:val="000000" w:themeColor="text1"/>
        </w:rPr>
        <w:t>.</w:t>
      </w:r>
    </w:p>
    <w:p w:rsidR="00050DF9" w:rsidRPr="007167CA" w:rsidRDefault="001540CE" w:rsidP="007167CA">
      <w:pPr>
        <w:spacing w:after="0" w:line="312" w:lineRule="auto"/>
        <w:ind w:firstLine="708"/>
        <w:jc w:val="both"/>
        <w:rPr>
          <w:rStyle w:val="Uwydatnienie"/>
          <w:rFonts w:ascii="Times New Roman" w:hAnsi="Times New Roman"/>
          <w:color w:val="000000" w:themeColor="text1"/>
        </w:rPr>
      </w:pPr>
      <w:r>
        <w:rPr>
          <w:rStyle w:val="Uwydatnienie"/>
          <w:rFonts w:ascii="Times New Roman" w:hAnsi="Times New Roman"/>
          <w:color w:val="000000" w:themeColor="text1"/>
        </w:rPr>
        <w:t>W ocenie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</w:t>
      </w:r>
      <w:r w:rsidR="00902EAD">
        <w:rPr>
          <w:szCs w:val="24"/>
        </w:rPr>
        <w:t>(…)</w:t>
      </w:r>
      <w:r>
        <w:rPr>
          <w:rStyle w:val="Uwydatnienie"/>
          <w:rFonts w:ascii="Times New Roman" w:hAnsi="Times New Roman"/>
          <w:color w:val="000000" w:themeColor="text1"/>
        </w:rPr>
        <w:t xml:space="preserve">,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RDOŚ w Gdańsku nie był organem właściwym do wydania decyzji o środowiskowych </w:t>
      </w:r>
      <w:r w:rsidRPr="007167CA">
        <w:rPr>
          <w:rStyle w:val="Uwydatnienie"/>
          <w:rFonts w:ascii="Times New Roman" w:hAnsi="Times New Roman"/>
          <w:color w:val="000000" w:themeColor="text1"/>
        </w:rPr>
        <w:t>uwarunkowaniach,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gdyż </w:t>
      </w:r>
      <w:r>
        <w:rPr>
          <w:rStyle w:val="Uwydatnienie"/>
          <w:rFonts w:ascii="Times New Roman" w:hAnsi="Times New Roman"/>
          <w:color w:val="000000" w:themeColor="text1"/>
        </w:rPr>
        <w:t xml:space="preserve">jego zdaniem </w:t>
      </w:r>
      <w:r w:rsidRPr="007167CA">
        <w:rPr>
          <w:rStyle w:val="Uwydatnienie"/>
          <w:rFonts w:ascii="Times New Roman" w:hAnsi="Times New Roman"/>
          <w:color w:val="000000" w:themeColor="text1"/>
        </w:rPr>
        <w:t>przedsięwzięci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e nie jest inwestycją towarzyszącą </w:t>
      </w:r>
      <w:r w:rsidRPr="007167CA">
        <w:rPr>
          <w:rStyle w:val="Uwydatnienie"/>
          <w:rFonts w:ascii="Times New Roman" w:hAnsi="Times New Roman"/>
          <w:color w:val="000000" w:themeColor="text1"/>
        </w:rPr>
        <w:t>w rozumieniu art. 38 pkt 5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</w:t>
      </w:r>
      <w:r>
        <w:rPr>
          <w:rStyle w:val="Uwydatnienie"/>
          <w:rFonts w:ascii="Times New Roman" w:hAnsi="Times New Roman"/>
          <w:color w:val="000000" w:themeColor="text1"/>
        </w:rPr>
        <w:t>u.g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. W ocenie </w:t>
      </w:r>
      <w:r>
        <w:rPr>
          <w:rStyle w:val="Uwydatnienie"/>
          <w:rFonts w:ascii="Times New Roman" w:hAnsi="Times New Roman"/>
          <w:color w:val="000000" w:themeColor="text1"/>
        </w:rPr>
        <w:t>skarżącego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</w:t>
      </w:r>
      <w:r w:rsidRPr="007167CA">
        <w:rPr>
          <w:rStyle w:val="Uwydatnienie"/>
          <w:rFonts w:ascii="Times New Roman" w:hAnsi="Times New Roman"/>
          <w:color w:val="000000" w:themeColor="text1"/>
        </w:rPr>
        <w:t>przedsięwzięcie nie spełnia warunków wskaza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nych w cytowanym przepisie ze względu na to, że </w:t>
      </w:r>
      <w:r w:rsidRPr="007167CA">
        <w:rPr>
          <w:rStyle w:val="Uwydatnienie"/>
          <w:rFonts w:ascii="Times New Roman" w:hAnsi="Times New Roman"/>
          <w:color w:val="000000" w:themeColor="text1"/>
        </w:rPr>
        <w:t>elektrociepłownia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w Gdyni</w:t>
      </w:r>
      <w:r>
        <w:rPr>
          <w:rStyle w:val="Uwydatnienie"/>
          <w:rFonts w:ascii="Times New Roman" w:hAnsi="Times New Roman"/>
          <w:color w:val="000000" w:themeColor="text1"/>
        </w:rPr>
        <w:t>,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do której ma prowadzić gazociąg</w:t>
      </w:r>
      <w:r>
        <w:rPr>
          <w:rStyle w:val="Uwydatnienie"/>
          <w:rFonts w:ascii="Times New Roman" w:hAnsi="Times New Roman"/>
          <w:color w:val="000000" w:themeColor="text1"/>
        </w:rPr>
        <w:t>,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nie posiada instalacji przystosowanych do jego spalania, a </w:t>
      </w:r>
      <w:r w:rsidRPr="007167CA">
        <w:rPr>
          <w:rStyle w:val="Uwydatnienie"/>
          <w:rFonts w:ascii="Times New Roman" w:hAnsi="Times New Roman"/>
          <w:color w:val="000000" w:themeColor="text1"/>
        </w:rPr>
        <w:t>PGE Energia Ciepła S.A.,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zgodnie </w:t>
      </w:r>
      <w:r>
        <w:rPr>
          <w:rStyle w:val="Uwydatnienie"/>
          <w:rFonts w:ascii="Times New Roman" w:hAnsi="Times New Roman"/>
          <w:color w:val="000000" w:themeColor="text1"/>
        </w:rPr>
        <w:t xml:space="preserve">z decyzją Prezesa Regulacji Energetyki z </w:t>
      </w:r>
      <w:r w:rsidRPr="00F53FE3">
        <w:rPr>
          <w:rFonts w:ascii="Times New Roman" w:hAnsi="Times New Roman"/>
          <w:sz w:val="24"/>
          <w:szCs w:val="24"/>
        </w:rPr>
        <w:t>13 października</w:t>
      </w:r>
      <w:r w:rsidRPr="00F53FE3">
        <w:rPr>
          <w:rFonts w:ascii="Times New Roman" w:hAnsi="Times New Roman"/>
          <w:sz w:val="24"/>
          <w:szCs w:val="24"/>
        </w:rPr>
        <w:t xml:space="preserve"> 2023 r.</w:t>
      </w:r>
      <w:r w:rsidRPr="007167CA">
        <w:rPr>
          <w:rStyle w:val="Uwydatnienie"/>
          <w:rFonts w:ascii="Times New Roman" w:hAnsi="Times New Roman"/>
          <w:color w:val="000000" w:themeColor="text1"/>
        </w:rPr>
        <w:t>,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posiada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wyłącznie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koncesję do spalania </w:t>
      </w:r>
      <w:r w:rsidRPr="007167CA">
        <w:rPr>
          <w:rStyle w:val="Uwydatnienie"/>
          <w:rFonts w:ascii="Times New Roman" w:hAnsi="Times New Roman"/>
          <w:color w:val="000000" w:themeColor="text1"/>
        </w:rPr>
        <w:t>węgla kamiennego i oleju opałowego.</w:t>
      </w:r>
    </w:p>
    <w:p w:rsidR="004F5843" w:rsidRPr="007167CA" w:rsidRDefault="001540CE" w:rsidP="00DD0C8D">
      <w:pPr>
        <w:spacing w:after="0" w:line="312" w:lineRule="auto"/>
        <w:ind w:firstLine="708"/>
        <w:jc w:val="both"/>
        <w:rPr>
          <w:rStyle w:val="Uwydatnienie"/>
          <w:rFonts w:ascii="Times New Roman" w:hAnsi="Times New Roman"/>
          <w:color w:val="000000" w:themeColor="text1"/>
        </w:rPr>
      </w:pPr>
      <w:r w:rsidRPr="007167CA">
        <w:rPr>
          <w:rStyle w:val="Uwydatnienie"/>
          <w:rFonts w:ascii="Times New Roman" w:hAnsi="Times New Roman"/>
          <w:color w:val="000000" w:themeColor="text1"/>
        </w:rPr>
        <w:t>Z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godnie z </w:t>
      </w:r>
      <w:r w:rsidRPr="007167CA">
        <w:rPr>
          <w:rFonts w:ascii="Times New Roman" w:hAnsi="Times New Roman"/>
          <w:sz w:val="24"/>
          <w:szCs w:val="24"/>
        </w:rPr>
        <w:t>art. 75 ust. 1 pkt 1 lit. f u.o.o.ś,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</w:t>
      </w:r>
      <w:r w:rsidRPr="007167CA">
        <w:rPr>
          <w:rStyle w:val="Uwydatnienie"/>
          <w:rFonts w:ascii="Times New Roman" w:hAnsi="Times New Roman"/>
          <w:color w:val="000000" w:themeColor="text1"/>
        </w:rPr>
        <w:t>organem właściwym do wydania decyzji o środowiskowych uwarunkowaniach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</w:t>
      </w:r>
      <w:r w:rsidRPr="007167CA">
        <w:rPr>
          <w:rStyle w:val="Uwydatnienie"/>
          <w:rFonts w:ascii="Times New Roman" w:hAnsi="Times New Roman"/>
          <w:color w:val="000000" w:themeColor="text1"/>
        </w:rPr>
        <w:t>dla inwestycji w sprawie terminalu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jest regionalny dyrektor ochrony środowiska.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</w:t>
      </w:r>
      <w:r w:rsidRPr="007167CA">
        <w:rPr>
          <w:rStyle w:val="Uwydatnienie"/>
          <w:rFonts w:ascii="Times New Roman" w:hAnsi="Times New Roman"/>
          <w:color w:val="000000" w:themeColor="text1"/>
        </w:rPr>
        <w:t>Do inwestycji w zakresie terminalu należy zakwalifikować prace związane z terminalem regazyfikacyjnym skroplonego gazu ziemnego w Świnoujściu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, które wskazano w art. 2 w związku z art. 1 ust. 2 pkt 1 </w:t>
      </w:r>
      <w:r>
        <w:rPr>
          <w:rStyle w:val="Uwydatnienie"/>
          <w:rFonts w:ascii="Times New Roman" w:hAnsi="Times New Roman"/>
          <w:color w:val="000000" w:themeColor="text1"/>
        </w:rPr>
        <w:t xml:space="preserve">u.g.,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a </w:t>
      </w:r>
      <w:r w:rsidRPr="007167CA">
        <w:rPr>
          <w:rStyle w:val="Uwydatnienie"/>
          <w:rFonts w:ascii="Times New Roman" w:hAnsi="Times New Roman"/>
          <w:color w:val="000000" w:themeColor="text1"/>
        </w:rPr>
        <w:t>także prace związane z inwestycjami towarzyszącymi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, </w:t>
      </w:r>
      <w:r>
        <w:rPr>
          <w:rStyle w:val="Uwydatnienie"/>
          <w:rFonts w:ascii="Times New Roman" w:hAnsi="Times New Roman"/>
          <w:color w:val="000000" w:themeColor="text1"/>
        </w:rPr>
        <w:t>które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wskazano w art. 39 ust. 1 w związku z art. 1 ust. 2 pkt 5 </w:t>
      </w:r>
      <w:r>
        <w:rPr>
          <w:rStyle w:val="Uwydatnienie"/>
          <w:rFonts w:ascii="Times New Roman" w:hAnsi="Times New Roman"/>
          <w:color w:val="000000" w:themeColor="text1"/>
        </w:rPr>
        <w:t>w związku z art. 38 u.g</w:t>
      </w:r>
      <w:r w:rsidRPr="007167CA">
        <w:rPr>
          <w:rStyle w:val="Uwydatnienie"/>
          <w:rFonts w:ascii="Times New Roman" w:hAnsi="Times New Roman"/>
          <w:color w:val="000000" w:themeColor="text1"/>
        </w:rPr>
        <w:t>.</w:t>
      </w:r>
      <w:r>
        <w:rPr>
          <w:rStyle w:val="Uwydatnienie"/>
          <w:rFonts w:ascii="Times New Roman" w:hAnsi="Times New Roman"/>
          <w:color w:val="000000" w:themeColor="text1"/>
        </w:rPr>
        <w:t>, gdzie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</w:t>
      </w:r>
      <w:r>
        <w:rPr>
          <w:rStyle w:val="Uwydatnienie"/>
          <w:rFonts w:ascii="Times New Roman" w:hAnsi="Times New Roman"/>
          <w:color w:val="000000" w:themeColor="text1"/>
        </w:rPr>
        <w:t>umiejscowiono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</w:t>
      </w:r>
      <w:r w:rsidRPr="007167CA">
        <w:rPr>
          <w:rStyle w:val="Uwydatnienie"/>
          <w:rFonts w:ascii="Times New Roman" w:hAnsi="Times New Roman"/>
          <w:color w:val="000000" w:themeColor="text1"/>
        </w:rPr>
        <w:t>katalog inwestycji towarzyszących inwestycjom w zakresie terminalu</w:t>
      </w:r>
      <w:r>
        <w:rPr>
          <w:rStyle w:val="Uwydatnienie"/>
          <w:rFonts w:ascii="Times New Roman" w:hAnsi="Times New Roman"/>
          <w:color w:val="000000" w:themeColor="text1"/>
        </w:rPr>
        <w:t>. Pośród wskazanych tam podm</w:t>
      </w:r>
      <w:r>
        <w:rPr>
          <w:rStyle w:val="Uwydatnienie"/>
          <w:rFonts w:ascii="Times New Roman" w:hAnsi="Times New Roman"/>
          <w:color w:val="000000" w:themeColor="text1"/>
        </w:rPr>
        <w:t xml:space="preserve">iotów ustawodawca nie wskazał </w:t>
      </w:r>
      <w:r>
        <w:rPr>
          <w:rStyle w:val="Uwydatnienie"/>
          <w:rFonts w:ascii="Times New Roman" w:hAnsi="Times New Roman"/>
          <w:color w:val="000000" w:themeColor="text1"/>
        </w:rPr>
        <w:t xml:space="preserve">bezpośrednio </w:t>
      </w:r>
      <w:r>
        <w:rPr>
          <w:rStyle w:val="Uwydatnienie"/>
          <w:rFonts w:ascii="Times New Roman" w:hAnsi="Times New Roman"/>
          <w:color w:val="000000" w:themeColor="text1"/>
        </w:rPr>
        <w:t>PGE Energia Ciep</w:t>
      </w:r>
      <w:r>
        <w:rPr>
          <w:rStyle w:val="Uwydatnienie"/>
          <w:rFonts w:ascii="Times New Roman" w:hAnsi="Times New Roman"/>
          <w:color w:val="000000" w:themeColor="text1"/>
        </w:rPr>
        <w:t>ł</w:t>
      </w:r>
      <w:r>
        <w:rPr>
          <w:rStyle w:val="Uwydatnienie"/>
          <w:rFonts w:ascii="Times New Roman" w:hAnsi="Times New Roman"/>
          <w:color w:val="000000" w:themeColor="text1"/>
        </w:rPr>
        <w:t>a S.</w:t>
      </w:r>
      <w:r>
        <w:rPr>
          <w:rStyle w:val="Uwydatnienie"/>
          <w:rFonts w:ascii="Times New Roman" w:hAnsi="Times New Roman"/>
          <w:color w:val="000000" w:themeColor="text1"/>
        </w:rPr>
        <w:t xml:space="preserve">A. </w:t>
      </w:r>
      <w:r w:rsidRPr="007167CA">
        <w:rPr>
          <w:rStyle w:val="Uwydatnienie"/>
          <w:rFonts w:ascii="Times New Roman" w:hAnsi="Times New Roman"/>
          <w:color w:val="000000" w:themeColor="text1"/>
        </w:rPr>
        <w:t>jako podmiotu, który mógłb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y realizować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inwestycje towarzyszące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wskazane </w:t>
      </w:r>
      <w:r>
        <w:rPr>
          <w:rStyle w:val="Uwydatnienie"/>
          <w:rFonts w:ascii="Times New Roman" w:hAnsi="Times New Roman"/>
          <w:color w:val="000000" w:themeColor="text1"/>
        </w:rPr>
        <w:t>w tym przepisie</w:t>
      </w:r>
      <w:r>
        <w:rPr>
          <w:rStyle w:val="Uwydatnienie"/>
          <w:rFonts w:ascii="Times New Roman" w:hAnsi="Times New Roman"/>
          <w:color w:val="000000" w:themeColor="text1"/>
        </w:rPr>
        <w:t>.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Wobec powyższego w omawianym przypadk</w:t>
      </w:r>
      <w:r>
        <w:rPr>
          <w:rStyle w:val="Uwydatnienie"/>
          <w:rFonts w:ascii="Times New Roman" w:hAnsi="Times New Roman"/>
          <w:color w:val="000000" w:themeColor="text1"/>
        </w:rPr>
        <w:t>u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zakwalifikowanie omawianego przedsięwzięcia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jako „inwestycji </w:t>
      </w:r>
      <w:r w:rsidRPr="007167CA">
        <w:rPr>
          <w:rStyle w:val="Uwydatnienie"/>
          <w:rFonts w:ascii="Times New Roman" w:hAnsi="Times New Roman"/>
          <w:color w:val="000000" w:themeColor="text1"/>
        </w:rPr>
        <w:t>w zakresie terminalu” może mieć miejsce wyłącznie na podstawie art. 38 pkt 5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</w:t>
      </w:r>
      <w:r>
        <w:rPr>
          <w:rStyle w:val="Uwydatnienie"/>
          <w:rFonts w:ascii="Times New Roman" w:hAnsi="Times New Roman"/>
          <w:color w:val="000000" w:themeColor="text1"/>
        </w:rPr>
        <w:t>u.g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., tj.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w sytuacji, w której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PGE Energia Ciepła S.A. </w:t>
      </w:r>
      <w:r w:rsidRPr="007167CA">
        <w:rPr>
          <w:rStyle w:val="Uwydatnienie"/>
          <w:rFonts w:ascii="Times New Roman" w:hAnsi="Times New Roman"/>
          <w:color w:val="000000" w:themeColor="text1"/>
        </w:rPr>
        <w:t>jest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</w:t>
      </w:r>
      <w:r w:rsidRPr="00727B0B">
        <w:rPr>
          <w:rStyle w:val="Uwydatnienie"/>
          <w:rFonts w:ascii="Times New Roman" w:hAnsi="Times New Roman"/>
          <w:color w:val="000000" w:themeColor="text1"/>
        </w:rPr>
        <w:t xml:space="preserve">„odbiorcą końcowym dokonującym zakupu paliw gazowych, w rozumieniu przepisów </w:t>
      </w:r>
      <w:r w:rsidRPr="00727B0B">
        <w:rPr>
          <w:rStyle w:val="Uwydatnienie"/>
          <w:rFonts w:ascii="Times New Roman" w:hAnsi="Times New Roman"/>
          <w:color w:val="000000" w:themeColor="text1"/>
        </w:rPr>
        <w:t>u.p</w:t>
      </w:r>
      <w:r w:rsidRPr="00EB1DDD">
        <w:rPr>
          <w:rStyle w:val="Uwydatnienie"/>
          <w:rFonts w:ascii="Times New Roman" w:hAnsi="Times New Roman"/>
          <w:color w:val="000000" w:themeColor="text1"/>
        </w:rPr>
        <w:t>.e.</w:t>
      </w:r>
      <w:r w:rsidRPr="00EB1DDD">
        <w:rPr>
          <w:rStyle w:val="Uwydatnienie"/>
          <w:rFonts w:ascii="Times New Roman" w:hAnsi="Times New Roman"/>
          <w:color w:val="000000" w:themeColor="text1"/>
        </w:rPr>
        <w:t xml:space="preserve">,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na potrzeby wytwarzania energii </w:t>
      </w:r>
      <w:r w:rsidRPr="007167CA">
        <w:rPr>
          <w:rStyle w:val="Uwydatnienie"/>
          <w:rFonts w:ascii="Times New Roman" w:hAnsi="Times New Roman"/>
          <w:color w:val="000000" w:themeColor="text1"/>
        </w:rPr>
        <w:t>elektrycznej lub ciepła w jednostce wytwórczej lub jednostce kogeneracji - budowa przyłącza lub gazociągu, wraz z infrastrukturą niezbędną do ich obsługi, łączących tę jednostkę wytwórczą lub jednostkę kogeneracji z siecią gazową przesyłową lub dystrybucyj</w:t>
      </w:r>
      <w:r w:rsidRPr="007167CA">
        <w:rPr>
          <w:rStyle w:val="Uwydatnienie"/>
          <w:rFonts w:ascii="Times New Roman" w:hAnsi="Times New Roman"/>
          <w:color w:val="000000" w:themeColor="text1"/>
        </w:rPr>
        <w:t>ną”.</w:t>
      </w:r>
    </w:p>
    <w:p w:rsidR="007B4C59" w:rsidRPr="007167CA" w:rsidRDefault="001540CE" w:rsidP="007167CA">
      <w:pPr>
        <w:spacing w:after="0" w:line="312" w:lineRule="auto"/>
        <w:ind w:firstLine="708"/>
        <w:jc w:val="both"/>
        <w:rPr>
          <w:rStyle w:val="Uwydatnienie"/>
          <w:rFonts w:ascii="Times New Roman" w:hAnsi="Times New Roman"/>
          <w:color w:val="000000" w:themeColor="text1"/>
        </w:rPr>
      </w:pPr>
      <w:r w:rsidRPr="007167CA">
        <w:rPr>
          <w:rStyle w:val="Uwydatnienie"/>
          <w:rFonts w:ascii="Times New Roman" w:hAnsi="Times New Roman"/>
          <w:color w:val="000000" w:themeColor="text1"/>
        </w:rPr>
        <w:t xml:space="preserve">Mając na względzie, że gazociąg ma na celu przetransportowanie gazu ziemnego do elektrociepłowni w Gdyni,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a więc miejsca </w:t>
      </w:r>
      <w:r>
        <w:rPr>
          <w:rStyle w:val="Uwydatnienie"/>
          <w:rFonts w:ascii="Times New Roman" w:hAnsi="Times New Roman"/>
          <w:color w:val="000000" w:themeColor="text1"/>
        </w:rPr>
        <w:t>przeznaczonego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do produkcji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energi</w:t>
      </w:r>
      <w:r w:rsidRPr="007167CA">
        <w:rPr>
          <w:rStyle w:val="Uwydatnienie"/>
          <w:rFonts w:ascii="Times New Roman" w:hAnsi="Times New Roman"/>
          <w:color w:val="000000" w:themeColor="text1"/>
        </w:rPr>
        <w:t>i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elektryczn</w:t>
      </w:r>
      <w:r w:rsidRPr="007167CA">
        <w:rPr>
          <w:rStyle w:val="Uwydatnienie"/>
          <w:rFonts w:ascii="Times New Roman" w:hAnsi="Times New Roman"/>
          <w:color w:val="000000" w:themeColor="text1"/>
        </w:rPr>
        <w:t>ej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i</w:t>
      </w:r>
      <w:r>
        <w:rPr>
          <w:rStyle w:val="Uwydatnienie"/>
          <w:rFonts w:ascii="Times New Roman" w:hAnsi="Times New Roman"/>
          <w:color w:val="000000" w:themeColor="text1"/>
        </w:rPr>
        <w:t> </w:t>
      </w:r>
      <w:r w:rsidRPr="007167CA">
        <w:rPr>
          <w:rStyle w:val="Uwydatnienie"/>
          <w:rFonts w:ascii="Times New Roman" w:hAnsi="Times New Roman"/>
          <w:color w:val="000000" w:themeColor="text1"/>
        </w:rPr>
        <w:t>ciepła</w:t>
      </w:r>
      <w:r w:rsidRPr="007167CA">
        <w:rPr>
          <w:rStyle w:val="Uwydatnienie"/>
          <w:rFonts w:ascii="Times New Roman" w:hAnsi="Times New Roman"/>
          <w:color w:val="000000" w:themeColor="text1"/>
        </w:rPr>
        <w:t>,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</w:t>
      </w:r>
      <w:r w:rsidRPr="007167CA">
        <w:rPr>
          <w:rStyle w:val="Uwydatnienie"/>
          <w:rFonts w:ascii="Times New Roman" w:hAnsi="Times New Roman"/>
          <w:color w:val="000000" w:themeColor="text1"/>
        </w:rPr>
        <w:t>to Spółka wpisuje się w definicj</w:t>
      </w:r>
      <w:r>
        <w:rPr>
          <w:rStyle w:val="Uwydatnienie"/>
          <w:rFonts w:ascii="Times New Roman" w:hAnsi="Times New Roman"/>
          <w:color w:val="000000" w:themeColor="text1"/>
        </w:rPr>
        <w:t>ę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odbiorcy końcowego</w:t>
      </w:r>
      <w:r>
        <w:rPr>
          <w:rStyle w:val="Uwydatnienie"/>
          <w:rFonts w:ascii="Times New Roman" w:hAnsi="Times New Roman"/>
          <w:color w:val="000000" w:themeColor="text1"/>
        </w:rPr>
        <w:t>,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wskazaną w art. 3 pkt 13 u.p.e.</w:t>
      </w:r>
      <w:r w:rsidRPr="007167CA">
        <w:rPr>
          <w:rStyle w:val="Uwydatnienie"/>
          <w:rFonts w:ascii="Times New Roman" w:hAnsi="Times New Roman"/>
          <w:color w:val="000000" w:themeColor="text1"/>
        </w:rPr>
        <w:t>, gdyż będzie ona dokonywała zakupu gazu ziemnego na użytek własny</w:t>
      </w:r>
      <w:r w:rsidRPr="007167CA">
        <w:rPr>
          <w:rStyle w:val="Uwydatnienie"/>
          <w:rFonts w:ascii="Times New Roman" w:hAnsi="Times New Roman"/>
          <w:color w:val="000000" w:themeColor="text1"/>
        </w:rPr>
        <w:t>, a nie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na potrzeby wytwarzania, przesyłania lub dystrybucji energii elektrycznej oraz paliw gazowych zakupionych w celu ich zużycia na potrzeby przesyłania, </w:t>
      </w:r>
      <w:r w:rsidRPr="007167CA">
        <w:rPr>
          <w:rStyle w:val="Uwydatnienie"/>
          <w:rFonts w:ascii="Times New Roman" w:hAnsi="Times New Roman"/>
          <w:color w:val="000000" w:themeColor="text1"/>
        </w:rPr>
        <w:t>dystrybucji, magazynowania paliw gazowych, skraplania gazu ziemnego lub regazyfikacji skroplonego gazu ziemnego.</w:t>
      </w:r>
    </w:p>
    <w:p w:rsidR="00BF535C" w:rsidRDefault="001540CE" w:rsidP="007167CA">
      <w:pPr>
        <w:spacing w:after="0" w:line="312" w:lineRule="auto"/>
        <w:ind w:firstLine="708"/>
        <w:jc w:val="both"/>
        <w:rPr>
          <w:rStyle w:val="Uwydatnienie"/>
          <w:rFonts w:ascii="Times New Roman" w:hAnsi="Times New Roman"/>
          <w:color w:val="000000" w:themeColor="text1"/>
        </w:rPr>
      </w:pPr>
      <w:r w:rsidRPr="007167CA">
        <w:rPr>
          <w:rStyle w:val="Uwydatnienie"/>
          <w:rFonts w:ascii="Times New Roman" w:hAnsi="Times New Roman"/>
          <w:color w:val="000000" w:themeColor="text1"/>
        </w:rPr>
        <w:t>Sam fakt posiadania przymiotu odbiorcy końcowego nie umożliwia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jednak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automatycznego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uznania przedsięwzięcia </w:t>
      </w:r>
      <w:r>
        <w:rPr>
          <w:rStyle w:val="Uwydatnienie"/>
          <w:rFonts w:ascii="Times New Roman" w:hAnsi="Times New Roman"/>
          <w:color w:val="000000" w:themeColor="text1"/>
        </w:rPr>
        <w:t>za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inwestycj</w:t>
      </w:r>
      <w:r>
        <w:rPr>
          <w:rStyle w:val="Uwydatnienie"/>
          <w:rFonts w:ascii="Times New Roman" w:hAnsi="Times New Roman"/>
          <w:color w:val="000000" w:themeColor="text1"/>
        </w:rPr>
        <w:t>ę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w zakresie terminalu</w:t>
      </w:r>
      <w:r w:rsidRPr="007167CA">
        <w:rPr>
          <w:rStyle w:val="Uwydatnienie"/>
          <w:rFonts w:ascii="Times New Roman" w:hAnsi="Times New Roman"/>
          <w:color w:val="000000" w:themeColor="text1"/>
        </w:rPr>
        <w:t>. W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tym celu koniecznym jest spełnienie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dodatkowego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warunku wskazanego w art. 38 pkt 5 </w:t>
      </w:r>
      <w:r>
        <w:rPr>
          <w:rStyle w:val="Uwydatnienie"/>
          <w:rFonts w:ascii="Times New Roman" w:hAnsi="Times New Roman"/>
          <w:color w:val="000000" w:themeColor="text1"/>
        </w:rPr>
        <w:t>u.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g., tj. </w:t>
      </w:r>
      <w:r w:rsidRPr="007167CA">
        <w:rPr>
          <w:rStyle w:val="Uwydatnienie"/>
          <w:rFonts w:ascii="Times New Roman" w:hAnsi="Times New Roman"/>
          <w:color w:val="000000" w:themeColor="text1"/>
        </w:rPr>
        <w:t>paliwo musi być zakupione „na potrzeby wytwarzania energii elektrycznej lub ciepła w jednostce wytwórczej lub jednostce kogeneracj</w:t>
      </w:r>
      <w:r>
        <w:rPr>
          <w:rStyle w:val="Uwydatnienie"/>
          <w:rFonts w:ascii="Times New Roman" w:hAnsi="Times New Roman"/>
          <w:color w:val="000000" w:themeColor="text1"/>
        </w:rPr>
        <w:t>i</w:t>
      </w:r>
      <w:r w:rsidRPr="007167CA">
        <w:rPr>
          <w:rStyle w:val="Uwydatnienie"/>
          <w:rFonts w:ascii="Times New Roman" w:hAnsi="Times New Roman"/>
          <w:color w:val="000000" w:themeColor="text1"/>
        </w:rPr>
        <w:t>”</w:t>
      </w:r>
      <w:r w:rsidRPr="007167CA">
        <w:rPr>
          <w:rStyle w:val="Uwydatnienie"/>
          <w:rFonts w:ascii="Times New Roman" w:hAnsi="Times New Roman"/>
          <w:color w:val="000000" w:themeColor="text1"/>
        </w:rPr>
        <w:t>.</w:t>
      </w:r>
    </w:p>
    <w:p w:rsidR="00BF535C" w:rsidRPr="00BF535C" w:rsidRDefault="001540CE" w:rsidP="00BF535C">
      <w:pPr>
        <w:spacing w:after="0" w:line="312" w:lineRule="auto"/>
        <w:ind w:firstLine="708"/>
        <w:jc w:val="both"/>
        <w:rPr>
          <w:rStyle w:val="Uwydatnienie"/>
          <w:rFonts w:ascii="Times New Roman" w:hAnsi="Times New Roman"/>
          <w:color w:val="000000" w:themeColor="text1"/>
        </w:rPr>
      </w:pPr>
      <w:r w:rsidRPr="00BF535C">
        <w:rPr>
          <w:rStyle w:val="Uwydatnienie"/>
          <w:rFonts w:ascii="Times New Roman" w:hAnsi="Times New Roman"/>
          <w:color w:val="000000" w:themeColor="text1"/>
        </w:rPr>
        <w:lastRenderedPageBreak/>
        <w:t xml:space="preserve">Wskazać należy, że </w:t>
      </w:r>
      <w:r>
        <w:rPr>
          <w:rStyle w:val="Uwydatnienie"/>
          <w:rFonts w:ascii="Times New Roman" w:hAnsi="Times New Roman"/>
          <w:color w:val="000000" w:themeColor="text1"/>
        </w:rPr>
        <w:t>budowa</w:t>
      </w:r>
      <w:r>
        <w:rPr>
          <w:rStyle w:val="Uwydatnienie"/>
          <w:rFonts w:ascii="Times New Roman" w:hAnsi="Times New Roman"/>
          <w:color w:val="000000" w:themeColor="text1"/>
        </w:rPr>
        <w:t xml:space="preserve"> gazociągu</w:t>
      </w:r>
      <w:r w:rsidRPr="00BF535C">
        <w:rPr>
          <w:rStyle w:val="Uwydatnienie"/>
          <w:rFonts w:ascii="Times New Roman" w:hAnsi="Times New Roman"/>
          <w:color w:val="000000" w:themeColor="text1"/>
        </w:rPr>
        <w:t xml:space="preserve"> jest skomplikowanym i czasochłonnym zamierzeniem inwestycyjnym, którego nieprzerwana działalność musi wiązać się z szeregiem ciągłych działań technicznych, organizacyjnych i prawnych, związanych z zabezpieczeniem możliwości jego realizacji. Podk</w:t>
      </w:r>
      <w:r w:rsidRPr="00BF535C">
        <w:rPr>
          <w:rStyle w:val="Uwydatnienie"/>
          <w:rFonts w:ascii="Times New Roman" w:hAnsi="Times New Roman"/>
          <w:color w:val="000000" w:themeColor="text1"/>
        </w:rPr>
        <w:t>reślenia wymaga, że decyzja o środowiskowych uwarunkowaniach jest decyzją inicjującą proces inwestycyjny. Możliwość posługiwania się tą decyzją w celu przeprowadzenia kolejnych postępowań administracyjnych jest zatem niezwykle istotna z punktu widzenia zło</w:t>
      </w:r>
      <w:r w:rsidRPr="00BF535C">
        <w:rPr>
          <w:rStyle w:val="Uwydatnienie"/>
          <w:rFonts w:ascii="Times New Roman" w:hAnsi="Times New Roman"/>
          <w:color w:val="000000" w:themeColor="text1"/>
        </w:rPr>
        <w:t>żonego charakteru procesu inwestycyjnego analizowanego przedsięwzięcia.</w:t>
      </w:r>
    </w:p>
    <w:p w:rsidR="008B3433" w:rsidRDefault="001540CE" w:rsidP="00836BA5">
      <w:pPr>
        <w:spacing w:after="0" w:line="312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535C">
        <w:rPr>
          <w:rStyle w:val="Uwydatnienie"/>
          <w:rFonts w:ascii="Times New Roman" w:hAnsi="Times New Roman"/>
          <w:color w:val="000000" w:themeColor="text1"/>
        </w:rPr>
        <w:t>Zaznaczyć należy, że określenie środowiskowych uwarunkowań realizacji przedsięwzięcia jest pierwszym etapem inwestycji, który warunkuje i determinuje wszystkie późniejsze działania w celu realizacji przedsięwzięcia, a także określa ramy, w jakich przedsięw</w:t>
      </w:r>
      <w:r w:rsidRPr="00BF535C">
        <w:rPr>
          <w:rStyle w:val="Uwydatnienie"/>
          <w:rFonts w:ascii="Times New Roman" w:hAnsi="Times New Roman"/>
          <w:color w:val="000000" w:themeColor="text1"/>
        </w:rPr>
        <w:t xml:space="preserve">zięcie może być realizowane. W orzecznictwie przyjmuje się, że decyzja o środowiskowych uwarunkowaniach ma charakter rozstrzygnięcia wstępnego względem ewentualnego przyszłego zezwolenia na realizację konkretnego przedsięwzięcia i pełni ona względem niego </w:t>
      </w:r>
      <w:r w:rsidRPr="00BF535C">
        <w:rPr>
          <w:rStyle w:val="Uwydatnienie"/>
          <w:rFonts w:ascii="Times New Roman" w:hAnsi="Times New Roman"/>
          <w:color w:val="000000" w:themeColor="text1"/>
        </w:rPr>
        <w:t>funkcję prejudycjalną. Skutki prawne decyzji o środowiskowych uwarunkowaniach określone są w art. 86 u.o.o.ś. Tym samym uzyskanie pozytywnej decyzji o środowiskowych uwarunkowaniach nie przesądza jeszcze o tym, czy inwestor przystąpi do realizacji planowan</w:t>
      </w:r>
      <w:r w:rsidRPr="00BF535C">
        <w:rPr>
          <w:rStyle w:val="Uwydatnienie"/>
          <w:rFonts w:ascii="Times New Roman" w:hAnsi="Times New Roman"/>
          <w:color w:val="000000" w:themeColor="text1"/>
        </w:rPr>
        <w:t>ego przedsięwzięcia. Skoro bowiem decyzja o środowiskowych uwarunkowaniach określa szczegółowe warunki realizowania zamierzonego przedsięwzięcia na danym terenie, to do inwestora będzie należała decyzja, czy przy spełnianiu określonych w decyzji wymagań, i</w:t>
      </w:r>
      <w:r w:rsidRPr="00BF535C">
        <w:rPr>
          <w:rStyle w:val="Uwydatnienie"/>
          <w:rFonts w:ascii="Times New Roman" w:hAnsi="Times New Roman"/>
          <w:color w:val="000000" w:themeColor="text1"/>
        </w:rPr>
        <w:t>nwestycja będzie dla niego nadal opłacalna. Podkreślenia wymaga również, że uzyskanie decyzji o środowiskowych uwarunkowaniach jest jednym z etapów realizacji inwestycji i nie musi oznaczać, że w przypadku pozytywnej decyzji zainteresowany realizacją inwes</w:t>
      </w:r>
      <w:r w:rsidRPr="00BF535C">
        <w:rPr>
          <w:rStyle w:val="Uwydatnienie"/>
          <w:rFonts w:ascii="Times New Roman" w:hAnsi="Times New Roman"/>
          <w:color w:val="000000" w:themeColor="text1"/>
        </w:rPr>
        <w:t>tycji podmiot uzyska również pozostałe, wymagane odrębnymi przepisami pozwolenia umożliwiające mu realizację zamierzonego przedsięwzięcia.</w:t>
      </w:r>
      <w:r>
        <w:rPr>
          <w:rStyle w:val="Uwydatnienie"/>
          <w:rFonts w:ascii="Times New Roman" w:hAnsi="Times New Roman"/>
          <w:color w:val="000000" w:themeColor="text1"/>
        </w:rPr>
        <w:t xml:space="preserve"> </w:t>
      </w:r>
    </w:p>
    <w:p w:rsidR="00CA2AAA" w:rsidRDefault="001540CE" w:rsidP="007167CA">
      <w:pPr>
        <w:spacing w:after="0" w:line="312" w:lineRule="auto"/>
        <w:ind w:firstLine="708"/>
        <w:jc w:val="both"/>
        <w:rPr>
          <w:rStyle w:val="Uwydatnienie"/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sz w:val="24"/>
          <w:szCs w:val="24"/>
        </w:rPr>
        <w:t>C</w:t>
      </w:r>
      <w:r w:rsidRPr="007167CA">
        <w:rPr>
          <w:rFonts w:ascii="Times New Roman" w:hAnsi="Times New Roman"/>
          <w:sz w:val="24"/>
          <w:szCs w:val="24"/>
        </w:rPr>
        <w:t xml:space="preserve">o do zasady decyzje </w:t>
      </w:r>
      <w:r>
        <w:rPr>
          <w:rFonts w:ascii="Times New Roman" w:hAnsi="Times New Roman"/>
          <w:sz w:val="24"/>
          <w:szCs w:val="24"/>
        </w:rPr>
        <w:t xml:space="preserve">o </w:t>
      </w:r>
      <w:r w:rsidRPr="007167CA">
        <w:rPr>
          <w:rFonts w:ascii="Times New Roman" w:hAnsi="Times New Roman"/>
          <w:sz w:val="24"/>
          <w:szCs w:val="24"/>
        </w:rPr>
        <w:t>środowiskow</w:t>
      </w:r>
      <w:r>
        <w:rPr>
          <w:rFonts w:ascii="Times New Roman" w:hAnsi="Times New Roman"/>
          <w:sz w:val="24"/>
          <w:szCs w:val="24"/>
        </w:rPr>
        <w:t>ych uwarunkowaniach</w:t>
      </w:r>
      <w:r w:rsidRPr="007167CA">
        <w:rPr>
          <w:rFonts w:ascii="Times New Roman" w:hAnsi="Times New Roman"/>
          <w:sz w:val="24"/>
          <w:szCs w:val="24"/>
        </w:rPr>
        <w:t xml:space="preserve"> są wydawane dla przedsięwzięć</w:t>
      </w:r>
      <w:r>
        <w:rPr>
          <w:rFonts w:ascii="Times New Roman" w:hAnsi="Times New Roman"/>
          <w:sz w:val="24"/>
          <w:szCs w:val="24"/>
        </w:rPr>
        <w:t xml:space="preserve"> dopiero</w:t>
      </w:r>
      <w:r w:rsidRPr="007167CA">
        <w:rPr>
          <w:rFonts w:ascii="Times New Roman" w:hAnsi="Times New Roman"/>
          <w:sz w:val="24"/>
          <w:szCs w:val="24"/>
        </w:rPr>
        <w:t xml:space="preserve"> planowanych. </w:t>
      </w:r>
      <w:r w:rsidRPr="007167CA">
        <w:rPr>
          <w:rFonts w:ascii="Times New Roman" w:hAnsi="Times New Roman"/>
          <w:sz w:val="24"/>
          <w:szCs w:val="24"/>
        </w:rPr>
        <w:t>Jednocześni</w:t>
      </w:r>
      <w:r w:rsidRPr="007167CA">
        <w:rPr>
          <w:rFonts w:ascii="Times New Roman" w:hAnsi="Times New Roman"/>
          <w:sz w:val="24"/>
          <w:szCs w:val="24"/>
        </w:rPr>
        <w:t xml:space="preserve">e ustalenia decyzji o środowiskowych uwarunkowaniach określają konkretne warunki środowiskowe, </w:t>
      </w:r>
      <w:r>
        <w:rPr>
          <w:rFonts w:ascii="Times New Roman" w:hAnsi="Times New Roman"/>
          <w:sz w:val="24"/>
          <w:szCs w:val="24"/>
        </w:rPr>
        <w:t>od których uzależnione jest zrealizowanie nowego przedsięwzięcia.</w:t>
      </w:r>
      <w:r w:rsidRPr="007167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Skoro więc udzielenie koncesji</w:t>
      </w:r>
      <w:r>
        <w:rPr>
          <w:rFonts w:ascii="Times New Roman" w:hAnsi="Times New Roman"/>
          <w:sz w:val="24"/>
          <w:szCs w:val="24"/>
        </w:rPr>
        <w:t xml:space="preserve"> na wytwarzanie energii elektrycznej</w:t>
      </w:r>
      <w:r>
        <w:rPr>
          <w:rFonts w:ascii="Times New Roman" w:hAnsi="Times New Roman"/>
          <w:sz w:val="24"/>
          <w:szCs w:val="24"/>
        </w:rPr>
        <w:t xml:space="preserve">, zgodnie z art. </w:t>
      </w:r>
      <w:r>
        <w:rPr>
          <w:rFonts w:ascii="Times New Roman" w:hAnsi="Times New Roman"/>
          <w:sz w:val="24"/>
          <w:szCs w:val="24"/>
        </w:rPr>
        <w:t>35a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oraz art</w:t>
      </w:r>
      <w:r>
        <w:rPr>
          <w:rFonts w:ascii="Times New Roman" w:hAnsi="Times New Roman"/>
          <w:sz w:val="24"/>
          <w:szCs w:val="24"/>
        </w:rPr>
        <w:t xml:space="preserve">. 37 ust. 5a </w:t>
      </w:r>
      <w:r>
        <w:rPr>
          <w:rFonts w:ascii="Times New Roman" w:hAnsi="Times New Roman"/>
          <w:sz w:val="24"/>
          <w:szCs w:val="24"/>
        </w:rPr>
        <w:t xml:space="preserve">ustawy z dnia 10 kwietnia 1997 r. Prawo energetyczne (Dz. U. z </w:t>
      </w:r>
      <w:r>
        <w:rPr>
          <w:rFonts w:ascii="Times New Roman" w:hAnsi="Times New Roman"/>
          <w:sz w:val="24"/>
          <w:szCs w:val="24"/>
        </w:rPr>
        <w:t>2022 r. poz. 1385 ze zm.)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jest możliwe</w:t>
      </w:r>
      <w:r>
        <w:rPr>
          <w:rFonts w:ascii="Times New Roman" w:hAnsi="Times New Roman"/>
          <w:sz w:val="24"/>
          <w:szCs w:val="24"/>
        </w:rPr>
        <w:t xml:space="preserve"> po spełnieniu warunków wykonywania działalności gospodarczej objętej koncesją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F53F2">
        <w:rPr>
          <w:rFonts w:ascii="Times New Roman" w:hAnsi="Times New Roman"/>
          <w:sz w:val="24"/>
          <w:szCs w:val="24"/>
        </w:rPr>
        <w:t>zapewnieni</w:t>
      </w:r>
      <w:r>
        <w:rPr>
          <w:rFonts w:ascii="Times New Roman" w:hAnsi="Times New Roman"/>
          <w:sz w:val="24"/>
          <w:szCs w:val="24"/>
        </w:rPr>
        <w:t>u</w:t>
      </w:r>
      <w:r w:rsidRPr="005F53F2">
        <w:rPr>
          <w:rFonts w:ascii="Times New Roman" w:hAnsi="Times New Roman"/>
          <w:sz w:val="24"/>
          <w:szCs w:val="24"/>
        </w:rPr>
        <w:t xml:space="preserve"> zdolności do dostarczania paliw lub energii w sposób ciągły i niezawodny,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niemożność zagwarantowania dostarczeni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paliwa w </w:t>
      </w:r>
      <w:r>
        <w:rPr>
          <w:rFonts w:ascii="Times New Roman" w:hAnsi="Times New Roman"/>
          <w:sz w:val="24"/>
          <w:szCs w:val="24"/>
        </w:rPr>
        <w:t xml:space="preserve">sposób ciągły i niezawodny, uniemożliwia uzyskanie koncesji. </w:t>
      </w:r>
      <w:r>
        <w:rPr>
          <w:rFonts w:ascii="Times New Roman" w:hAnsi="Times New Roman"/>
          <w:sz w:val="24"/>
          <w:szCs w:val="24"/>
        </w:rPr>
        <w:t>Dodatkowo należy zauważyć, że</w:t>
      </w:r>
      <w:r>
        <w:rPr>
          <w:rFonts w:ascii="Times New Roman" w:hAnsi="Times New Roman"/>
          <w:sz w:val="24"/>
          <w:szCs w:val="24"/>
        </w:rPr>
        <w:t xml:space="preserve"> zgodnie z obowiązującymi przepisami, d</w:t>
      </w:r>
      <w:r>
        <w:rPr>
          <w:rFonts w:ascii="Times New Roman" w:hAnsi="Times New Roman"/>
          <w:sz w:val="24"/>
          <w:szCs w:val="24"/>
        </w:rPr>
        <w:t>o wydania decyzji o środowiskowych uwarunkowaniach nie jest koniecznym uprzednie uzyskanie koncesji na wytwarzanie energii elektrycznej</w:t>
      </w:r>
      <w:r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 xml:space="preserve">jej brak w dniu </w:t>
      </w:r>
      <w:r>
        <w:rPr>
          <w:rFonts w:ascii="Times New Roman" w:hAnsi="Times New Roman"/>
          <w:sz w:val="24"/>
          <w:szCs w:val="24"/>
        </w:rPr>
        <w:t>wydania</w:t>
      </w:r>
      <w:r>
        <w:rPr>
          <w:rFonts w:ascii="Times New Roman" w:hAnsi="Times New Roman"/>
          <w:sz w:val="24"/>
          <w:szCs w:val="24"/>
        </w:rPr>
        <w:t xml:space="preserve"> decyzji o środowiskowych uwarunkowaniach </w:t>
      </w:r>
      <w:r>
        <w:rPr>
          <w:rFonts w:ascii="Times New Roman" w:hAnsi="Times New Roman"/>
          <w:sz w:val="24"/>
          <w:szCs w:val="24"/>
        </w:rPr>
        <w:t xml:space="preserve">nie świadczy </w:t>
      </w:r>
      <w:r w:rsidRPr="007167CA">
        <w:rPr>
          <w:rFonts w:ascii="Times New Roman" w:hAnsi="Times New Roman"/>
          <w:sz w:val="24"/>
          <w:szCs w:val="24"/>
        </w:rPr>
        <w:t>o braku możliwości wytwarzania energii z</w:t>
      </w:r>
      <w:r w:rsidRPr="007167CA">
        <w:rPr>
          <w:rFonts w:ascii="Times New Roman" w:hAnsi="Times New Roman"/>
          <w:sz w:val="24"/>
          <w:szCs w:val="24"/>
        </w:rPr>
        <w:t xml:space="preserve"> tego typu paliwa</w:t>
      </w:r>
      <w:r>
        <w:rPr>
          <w:rFonts w:ascii="Times New Roman" w:hAnsi="Times New Roman"/>
          <w:sz w:val="24"/>
          <w:szCs w:val="24"/>
        </w:rPr>
        <w:t xml:space="preserve"> w przyszłości</w:t>
      </w:r>
      <w:r w:rsidRPr="007167CA">
        <w:rPr>
          <w:rFonts w:ascii="Times New Roman" w:hAnsi="Times New Roman"/>
          <w:sz w:val="24"/>
          <w:szCs w:val="24"/>
        </w:rPr>
        <w:t xml:space="preserve">. </w:t>
      </w:r>
      <w:r w:rsidRPr="007167CA">
        <w:rPr>
          <w:rFonts w:ascii="Times New Roman" w:hAnsi="Times New Roman"/>
          <w:sz w:val="24"/>
          <w:szCs w:val="24"/>
        </w:rPr>
        <w:t xml:space="preserve">Tym bardziej, że </w:t>
      </w:r>
      <w:r>
        <w:rPr>
          <w:rFonts w:ascii="Times New Roman" w:hAnsi="Times New Roman"/>
          <w:sz w:val="24"/>
          <w:szCs w:val="24"/>
        </w:rPr>
        <w:t>inwestorem jest Spółka zarządzająca</w:t>
      </w:r>
      <w:r w:rsidRPr="007167CA">
        <w:rPr>
          <w:rFonts w:ascii="Times New Roman" w:hAnsi="Times New Roman"/>
          <w:sz w:val="24"/>
          <w:szCs w:val="24"/>
        </w:rPr>
        <w:t xml:space="preserve"> </w:t>
      </w:r>
      <w:r w:rsidRPr="007167CA">
        <w:rPr>
          <w:rFonts w:ascii="Times New Roman" w:hAnsi="Times New Roman"/>
          <w:sz w:val="24"/>
          <w:szCs w:val="24"/>
        </w:rPr>
        <w:t>istniejąc</w:t>
      </w:r>
      <w:r>
        <w:rPr>
          <w:rFonts w:ascii="Times New Roman" w:hAnsi="Times New Roman"/>
          <w:sz w:val="24"/>
          <w:szCs w:val="24"/>
        </w:rPr>
        <w:t>ą</w:t>
      </w:r>
      <w:r w:rsidRPr="007167CA">
        <w:rPr>
          <w:rFonts w:ascii="Times New Roman" w:hAnsi="Times New Roman"/>
          <w:sz w:val="24"/>
          <w:szCs w:val="24"/>
        </w:rPr>
        <w:t xml:space="preserve"> </w:t>
      </w:r>
      <w:r w:rsidRPr="007167CA">
        <w:rPr>
          <w:rFonts w:ascii="Times New Roman" w:hAnsi="Times New Roman"/>
          <w:sz w:val="24"/>
          <w:szCs w:val="24"/>
        </w:rPr>
        <w:t>elektrociepłownią</w:t>
      </w:r>
      <w:r w:rsidRPr="007167CA">
        <w:rPr>
          <w:rFonts w:ascii="Times New Roman" w:hAnsi="Times New Roman"/>
          <w:sz w:val="24"/>
          <w:szCs w:val="24"/>
        </w:rPr>
        <w:t xml:space="preserve"> </w:t>
      </w:r>
      <w:r w:rsidRPr="007167CA">
        <w:rPr>
          <w:rFonts w:ascii="Times New Roman" w:hAnsi="Times New Roman"/>
          <w:sz w:val="24"/>
          <w:szCs w:val="24"/>
        </w:rPr>
        <w:lastRenderedPageBreak/>
        <w:t>w Gdyni</w:t>
      </w:r>
      <w:r w:rsidRPr="007167CA">
        <w:rPr>
          <w:rFonts w:ascii="Times New Roman" w:hAnsi="Times New Roman"/>
          <w:sz w:val="24"/>
          <w:szCs w:val="24"/>
        </w:rPr>
        <w:t>, któr</w:t>
      </w:r>
      <w:r w:rsidRPr="007167CA">
        <w:rPr>
          <w:rFonts w:ascii="Times New Roman" w:hAnsi="Times New Roman"/>
          <w:sz w:val="24"/>
          <w:szCs w:val="24"/>
        </w:rPr>
        <w:t>ej,</w:t>
      </w:r>
      <w:r w:rsidRPr="007167CA">
        <w:rPr>
          <w:rFonts w:ascii="Times New Roman" w:hAnsi="Times New Roman"/>
          <w:sz w:val="24"/>
          <w:szCs w:val="24"/>
        </w:rPr>
        <w:t xml:space="preserve"> jak wynika z KRS </w:t>
      </w:r>
      <w:r w:rsidRPr="007167CA">
        <w:rPr>
          <w:rStyle w:val="Uwydatnienie"/>
          <w:rFonts w:ascii="Times New Roman" w:hAnsi="Times New Roman"/>
          <w:color w:val="000000" w:themeColor="text1"/>
        </w:rPr>
        <w:t>nr 0000013479</w:t>
      </w:r>
      <w:r w:rsidRPr="007167CA">
        <w:rPr>
          <w:rStyle w:val="Uwydatnienie"/>
          <w:rFonts w:ascii="Times New Roman" w:hAnsi="Times New Roman"/>
          <w:color w:val="000000" w:themeColor="text1"/>
        </w:rPr>
        <w:t>,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przedmiotem przeważającej działalności </w:t>
      </w:r>
      <w:r w:rsidRPr="007167CA">
        <w:rPr>
          <w:rStyle w:val="Uwydatnienie"/>
          <w:rFonts w:ascii="Times New Roman" w:hAnsi="Times New Roman"/>
          <w:color w:val="000000" w:themeColor="text1"/>
        </w:rPr>
        <w:t>było i jest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wytwarzanie energii elektryczne</w:t>
      </w:r>
      <w:r>
        <w:rPr>
          <w:rStyle w:val="Uwydatnienie"/>
          <w:rFonts w:ascii="Times New Roman" w:hAnsi="Times New Roman"/>
          <w:color w:val="000000" w:themeColor="text1"/>
        </w:rPr>
        <w:t>j. Nie</w:t>
      </w:r>
      <w:r>
        <w:rPr>
          <w:rStyle w:val="Uwydatnienie"/>
          <w:rFonts w:ascii="Times New Roman" w:hAnsi="Times New Roman"/>
          <w:color w:val="000000" w:themeColor="text1"/>
        </w:rPr>
        <w:t xml:space="preserve"> ulega </w:t>
      </w:r>
      <w:r>
        <w:rPr>
          <w:rStyle w:val="Uwydatnienie"/>
          <w:rFonts w:ascii="Times New Roman" w:hAnsi="Times New Roman"/>
          <w:color w:val="000000" w:themeColor="text1"/>
        </w:rPr>
        <w:t xml:space="preserve">zatem </w:t>
      </w:r>
      <w:r>
        <w:rPr>
          <w:rStyle w:val="Uwydatnienie"/>
          <w:rFonts w:ascii="Times New Roman" w:hAnsi="Times New Roman"/>
          <w:color w:val="000000" w:themeColor="text1"/>
        </w:rPr>
        <w:t>wątpliwości, że</w:t>
      </w:r>
      <w:r>
        <w:rPr>
          <w:rStyle w:val="Uwydatnienie"/>
          <w:rFonts w:ascii="Times New Roman" w:hAnsi="Times New Roman"/>
          <w:color w:val="000000" w:themeColor="text1"/>
        </w:rPr>
        <w:t xml:space="preserve"> to od możliwości wybudowania gazociąg</w:t>
      </w:r>
      <w:r>
        <w:rPr>
          <w:rStyle w:val="Uwydatnienie"/>
          <w:rFonts w:ascii="Times New Roman" w:hAnsi="Times New Roman"/>
          <w:color w:val="000000" w:themeColor="text1"/>
        </w:rPr>
        <w:t>u</w:t>
      </w:r>
      <w:r>
        <w:rPr>
          <w:rStyle w:val="Uwydatnienie"/>
          <w:rFonts w:ascii="Times New Roman" w:hAnsi="Times New Roman"/>
          <w:color w:val="000000" w:themeColor="text1"/>
        </w:rPr>
        <w:t xml:space="preserve"> zależy czy w elektrociepłowni będzie możliwe </w:t>
      </w:r>
      <w:r>
        <w:rPr>
          <w:rStyle w:val="Uwydatnienie"/>
          <w:rFonts w:ascii="Times New Roman" w:hAnsi="Times New Roman"/>
          <w:color w:val="000000" w:themeColor="text1"/>
        </w:rPr>
        <w:t>wybudowanie źródła spalania gazu ziemnego</w:t>
      </w:r>
      <w:r>
        <w:rPr>
          <w:rStyle w:val="Uwydatnienie"/>
          <w:rFonts w:ascii="Times New Roman" w:hAnsi="Times New Roman"/>
          <w:color w:val="000000" w:themeColor="text1"/>
        </w:rPr>
        <w:t>, a nie odwrotnie.</w:t>
      </w:r>
      <w:r>
        <w:rPr>
          <w:rStyle w:val="Uwydatnienie"/>
          <w:rFonts w:ascii="Times New Roman" w:hAnsi="Times New Roman"/>
          <w:color w:val="000000" w:themeColor="text1"/>
        </w:rPr>
        <w:t xml:space="preserve"> </w:t>
      </w:r>
      <w:r>
        <w:rPr>
          <w:rStyle w:val="Uwydatnienie"/>
          <w:rFonts w:ascii="Times New Roman" w:hAnsi="Times New Roman"/>
          <w:color w:val="000000" w:themeColor="text1"/>
        </w:rPr>
        <w:t>W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decyzji RDOŚ w Gdańsku z 28 lipca 2023 r.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</w:t>
      </w:r>
      <w:r>
        <w:rPr>
          <w:rStyle w:val="Uwydatnienie"/>
          <w:rFonts w:ascii="Times New Roman" w:hAnsi="Times New Roman"/>
          <w:color w:val="000000" w:themeColor="text1"/>
        </w:rPr>
        <w:t xml:space="preserve">wskazano, że </w:t>
      </w:r>
      <w:r>
        <w:rPr>
          <w:rStyle w:val="Uwydatnienie"/>
          <w:rFonts w:ascii="Times New Roman" w:hAnsi="Times New Roman"/>
          <w:color w:val="000000" w:themeColor="text1"/>
        </w:rPr>
        <w:t xml:space="preserve">budowa gazociągu „zapewni dostawę paliwa gazowego do projektowanych bloków gazowych”, co w rzeczy samej pośrednio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umożliwi wybudowanie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bloków energetycznych opalanych gazem.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Logicznym ciągiem </w:t>
      </w:r>
      <w:r w:rsidRPr="007167CA">
        <w:rPr>
          <w:rStyle w:val="Uwydatnienie"/>
          <w:rFonts w:ascii="Times New Roman" w:hAnsi="Times New Roman"/>
          <w:color w:val="000000" w:themeColor="text1"/>
        </w:rPr>
        <w:t>przyczynowo</w:t>
      </w:r>
      <w:r>
        <w:rPr>
          <w:rStyle w:val="Uwydatnienie"/>
          <w:rFonts w:ascii="Times New Roman" w:hAnsi="Times New Roman"/>
          <w:color w:val="000000" w:themeColor="text1"/>
        </w:rPr>
        <w:t>-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skutkowym </w:t>
      </w:r>
      <w:r w:rsidRPr="007167CA">
        <w:rPr>
          <w:rStyle w:val="Uwydatnienie"/>
          <w:rFonts w:ascii="Times New Roman" w:hAnsi="Times New Roman"/>
          <w:color w:val="000000" w:themeColor="text1"/>
        </w:rPr>
        <w:t>jest</w:t>
      </w:r>
      <w:r>
        <w:rPr>
          <w:rStyle w:val="Uwydatnienie"/>
          <w:rFonts w:ascii="Times New Roman" w:hAnsi="Times New Roman"/>
          <w:color w:val="000000" w:themeColor="text1"/>
        </w:rPr>
        <w:t xml:space="preserve"> zatem</w:t>
      </w:r>
      <w:r>
        <w:rPr>
          <w:rStyle w:val="Uwydatnienie"/>
          <w:rFonts w:ascii="Times New Roman" w:hAnsi="Times New Roman"/>
          <w:color w:val="000000" w:themeColor="text1"/>
        </w:rPr>
        <w:t xml:space="preserve"> naj</w:t>
      </w:r>
      <w:r w:rsidRPr="007167CA">
        <w:rPr>
          <w:rStyle w:val="Uwydatnienie"/>
          <w:rFonts w:ascii="Times New Roman" w:hAnsi="Times New Roman"/>
          <w:color w:val="000000" w:themeColor="text1"/>
        </w:rPr>
        <w:t>pierw zapewnienie</w:t>
      </w:r>
      <w:r>
        <w:rPr>
          <w:rStyle w:val="Uwydatnienie"/>
          <w:rFonts w:ascii="Times New Roman" w:hAnsi="Times New Roman"/>
          <w:color w:val="000000" w:themeColor="text1"/>
        </w:rPr>
        <w:t xml:space="preserve"> prawnej i </w:t>
      </w:r>
      <w:r>
        <w:rPr>
          <w:rStyle w:val="Uwydatnienie"/>
          <w:rFonts w:ascii="Times New Roman" w:hAnsi="Times New Roman"/>
          <w:color w:val="000000" w:themeColor="text1"/>
        </w:rPr>
        <w:t>technicznej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możliwości dostarczania gazu ziemnego do zakładu</w:t>
      </w:r>
      <w:r>
        <w:rPr>
          <w:rStyle w:val="Uwydatnienie"/>
          <w:rFonts w:ascii="Times New Roman" w:hAnsi="Times New Roman"/>
          <w:color w:val="000000" w:themeColor="text1"/>
        </w:rPr>
        <w:t>,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a </w:t>
      </w:r>
      <w:r>
        <w:rPr>
          <w:rStyle w:val="Uwydatnienie"/>
          <w:rFonts w:ascii="Times New Roman" w:hAnsi="Times New Roman"/>
          <w:color w:val="000000" w:themeColor="text1"/>
        </w:rPr>
        <w:t xml:space="preserve">dopiero w drugiej kolejności </w:t>
      </w:r>
      <w:r>
        <w:rPr>
          <w:rStyle w:val="Uwydatnienie"/>
          <w:rFonts w:ascii="Times New Roman" w:hAnsi="Times New Roman"/>
          <w:color w:val="000000" w:themeColor="text1"/>
        </w:rPr>
        <w:t xml:space="preserve">dążenie do wybudowania </w:t>
      </w:r>
      <w:r>
        <w:rPr>
          <w:rStyle w:val="Uwydatnienie"/>
          <w:rFonts w:ascii="Times New Roman" w:hAnsi="Times New Roman"/>
          <w:color w:val="000000" w:themeColor="text1"/>
        </w:rPr>
        <w:t>specjalnych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jednostek wytwórczych lub jednostek kogeneracyjnych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, </w:t>
      </w:r>
      <w:r>
        <w:rPr>
          <w:rStyle w:val="Uwydatnienie"/>
          <w:rFonts w:ascii="Times New Roman" w:hAnsi="Times New Roman"/>
          <w:color w:val="000000" w:themeColor="text1"/>
        </w:rPr>
        <w:t>w których gaz ziemny poprzez spalanie, zostanie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</w:t>
      </w:r>
      <w:r>
        <w:rPr>
          <w:rStyle w:val="Uwydatnienie"/>
          <w:rFonts w:ascii="Times New Roman" w:hAnsi="Times New Roman"/>
          <w:color w:val="000000" w:themeColor="text1"/>
        </w:rPr>
        <w:t>przekształcony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w energię el</w:t>
      </w:r>
      <w:r w:rsidRPr="007167CA">
        <w:rPr>
          <w:rStyle w:val="Uwydatnienie"/>
          <w:rFonts w:ascii="Times New Roman" w:hAnsi="Times New Roman"/>
          <w:color w:val="000000" w:themeColor="text1"/>
        </w:rPr>
        <w:t>ektryczn</w:t>
      </w:r>
      <w:r>
        <w:rPr>
          <w:rStyle w:val="Uwydatnienie"/>
          <w:rFonts w:ascii="Times New Roman" w:hAnsi="Times New Roman"/>
          <w:color w:val="000000" w:themeColor="text1"/>
        </w:rPr>
        <w:t>ą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lub ciepł</w:t>
      </w:r>
      <w:r>
        <w:rPr>
          <w:rStyle w:val="Uwydatnienie"/>
          <w:rFonts w:ascii="Times New Roman" w:hAnsi="Times New Roman"/>
          <w:color w:val="000000" w:themeColor="text1"/>
        </w:rPr>
        <w:t>o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.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Odwrotna kolejność działania </w:t>
      </w:r>
      <w:r w:rsidRPr="007167CA">
        <w:rPr>
          <w:rStyle w:val="Uwydatnienie"/>
          <w:rFonts w:ascii="Times New Roman" w:hAnsi="Times New Roman"/>
          <w:color w:val="000000" w:themeColor="text1"/>
        </w:rPr>
        <w:t>oznaczałaby, że art. 38 pkt 5 u</w:t>
      </w:r>
      <w:r>
        <w:rPr>
          <w:rStyle w:val="Uwydatnienie"/>
          <w:rFonts w:ascii="Times New Roman" w:hAnsi="Times New Roman"/>
          <w:color w:val="000000" w:themeColor="text1"/>
        </w:rPr>
        <w:t>.</w:t>
      </w:r>
      <w:r>
        <w:rPr>
          <w:rStyle w:val="Uwydatnienie"/>
          <w:rFonts w:ascii="Times New Roman" w:hAnsi="Times New Roman"/>
          <w:color w:val="000000" w:themeColor="text1"/>
        </w:rPr>
        <w:t>g</w:t>
      </w:r>
      <w:r>
        <w:rPr>
          <w:rStyle w:val="Uwydatnienie"/>
          <w:rFonts w:ascii="Times New Roman" w:hAnsi="Times New Roman"/>
          <w:color w:val="000000" w:themeColor="text1"/>
        </w:rPr>
        <w:t>.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byłby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w gruncie rzeczy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przepisem </w:t>
      </w:r>
      <w:r w:rsidRPr="007167CA">
        <w:rPr>
          <w:rStyle w:val="Uwydatnienie"/>
          <w:rFonts w:ascii="Times New Roman" w:hAnsi="Times New Roman"/>
          <w:color w:val="000000" w:themeColor="text1"/>
        </w:rPr>
        <w:t>martwym,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</w:t>
      </w:r>
      <w:r>
        <w:rPr>
          <w:rStyle w:val="Uwydatnienie"/>
          <w:rFonts w:ascii="Times New Roman" w:hAnsi="Times New Roman"/>
          <w:color w:val="000000" w:themeColor="text1"/>
        </w:rPr>
        <w:t>gdyż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</w:t>
      </w:r>
      <w:r>
        <w:rPr>
          <w:rStyle w:val="Uwydatnienie"/>
          <w:rFonts w:ascii="Times New Roman" w:hAnsi="Times New Roman"/>
          <w:color w:val="000000" w:themeColor="text1"/>
        </w:rPr>
        <w:t xml:space="preserve">stosując retorykę </w:t>
      </w:r>
      <w:r>
        <w:rPr>
          <w:rStyle w:val="Uwydatnienie"/>
          <w:rFonts w:ascii="Times New Roman" w:hAnsi="Times New Roman"/>
          <w:color w:val="000000" w:themeColor="text1"/>
        </w:rPr>
        <w:t>skarżącego</w:t>
      </w:r>
      <w:r>
        <w:rPr>
          <w:rStyle w:val="Uwydatnienie"/>
          <w:rFonts w:ascii="Times New Roman" w:hAnsi="Times New Roman"/>
          <w:color w:val="000000" w:themeColor="text1"/>
        </w:rPr>
        <w:t xml:space="preserve">, ww. przepis mógłby znaleźć zastosowanie tylko w sytuacji, w której odbiorca końcowy </w:t>
      </w:r>
      <w:r>
        <w:rPr>
          <w:rStyle w:val="Uwydatnienie"/>
          <w:rFonts w:ascii="Times New Roman" w:hAnsi="Times New Roman"/>
          <w:color w:val="000000" w:themeColor="text1"/>
        </w:rPr>
        <w:t xml:space="preserve">musiałby </w:t>
      </w:r>
      <w:r>
        <w:rPr>
          <w:rStyle w:val="Uwydatnienie"/>
          <w:rFonts w:ascii="Times New Roman" w:hAnsi="Times New Roman"/>
          <w:color w:val="000000" w:themeColor="text1"/>
        </w:rPr>
        <w:t>zrealizować</w:t>
      </w:r>
      <w:r>
        <w:rPr>
          <w:rStyle w:val="Uwydatnienie"/>
          <w:rFonts w:ascii="Times New Roman" w:hAnsi="Times New Roman"/>
          <w:color w:val="000000" w:themeColor="text1"/>
        </w:rPr>
        <w:t xml:space="preserve"> instalację </w:t>
      </w:r>
      <w:r w:rsidRPr="007167CA">
        <w:rPr>
          <w:rStyle w:val="Uwydatnienie"/>
          <w:rFonts w:ascii="Times New Roman" w:hAnsi="Times New Roman"/>
          <w:color w:val="000000" w:themeColor="text1"/>
        </w:rPr>
        <w:t>przystosowan</w:t>
      </w:r>
      <w:r>
        <w:rPr>
          <w:rStyle w:val="Uwydatnienie"/>
          <w:rFonts w:ascii="Times New Roman" w:hAnsi="Times New Roman"/>
          <w:color w:val="000000" w:themeColor="text1"/>
        </w:rPr>
        <w:t>ą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do spalania gazu ziemnego, bez wcześniejszego zagwarantowania możliwości dostarczenia </w:t>
      </w:r>
      <w:r>
        <w:rPr>
          <w:rStyle w:val="Uwydatnienie"/>
          <w:rFonts w:ascii="Times New Roman" w:hAnsi="Times New Roman"/>
          <w:color w:val="000000" w:themeColor="text1"/>
        </w:rPr>
        <w:t xml:space="preserve">do niej </w:t>
      </w:r>
      <w:r w:rsidRPr="007167CA">
        <w:rPr>
          <w:rStyle w:val="Uwydatnienie"/>
          <w:rFonts w:ascii="Times New Roman" w:hAnsi="Times New Roman"/>
          <w:color w:val="000000" w:themeColor="text1"/>
        </w:rPr>
        <w:t>tego paliwa</w:t>
      </w:r>
      <w:r>
        <w:rPr>
          <w:rStyle w:val="Uwydatnienie"/>
          <w:rFonts w:ascii="Times New Roman" w:hAnsi="Times New Roman"/>
          <w:color w:val="000000" w:themeColor="text1"/>
        </w:rPr>
        <w:t>.</w:t>
      </w:r>
      <w:r>
        <w:rPr>
          <w:rStyle w:val="Uwydatnienie"/>
          <w:rFonts w:ascii="Times New Roman" w:hAnsi="Times New Roman"/>
          <w:color w:val="000000" w:themeColor="text1"/>
        </w:rPr>
        <w:t xml:space="preserve"> </w:t>
      </w:r>
      <w:r>
        <w:rPr>
          <w:rStyle w:val="Uwydatnienie"/>
          <w:rFonts w:ascii="Times New Roman" w:hAnsi="Times New Roman"/>
          <w:color w:val="000000" w:themeColor="text1"/>
        </w:rPr>
        <w:t>Należy pamiętać, że w</w:t>
      </w:r>
      <w:r>
        <w:rPr>
          <w:rStyle w:val="Uwydatnienie"/>
          <w:rFonts w:ascii="Times New Roman" w:hAnsi="Times New Roman"/>
          <w:color w:val="000000" w:themeColor="text1"/>
        </w:rPr>
        <w:t xml:space="preserve"> każdym </w:t>
      </w:r>
      <w:r>
        <w:rPr>
          <w:rStyle w:val="Uwydatnienie"/>
          <w:rFonts w:ascii="Times New Roman" w:hAnsi="Times New Roman"/>
          <w:color w:val="000000" w:themeColor="text1"/>
        </w:rPr>
        <w:t>postępowaniu</w:t>
      </w:r>
      <w:r>
        <w:rPr>
          <w:rStyle w:val="Uwydatnienie"/>
          <w:rFonts w:ascii="Times New Roman" w:hAnsi="Times New Roman"/>
          <w:color w:val="000000" w:themeColor="text1"/>
        </w:rPr>
        <w:t xml:space="preserve"> o wydanie decyzji o środowiskowych uwarunkowaniach istnieje ryzyko odmowy </w:t>
      </w:r>
      <w:r>
        <w:rPr>
          <w:rStyle w:val="Uwydatnienie"/>
          <w:rFonts w:ascii="Times New Roman" w:hAnsi="Times New Roman"/>
          <w:color w:val="000000" w:themeColor="text1"/>
        </w:rPr>
        <w:t xml:space="preserve">zgody na realizację przedsięwzięcia w przypadku wystąpienia ściśle określonych </w:t>
      </w:r>
      <w:r>
        <w:rPr>
          <w:rStyle w:val="Uwydatnienie"/>
          <w:rFonts w:ascii="Times New Roman" w:hAnsi="Times New Roman"/>
          <w:color w:val="000000" w:themeColor="text1"/>
        </w:rPr>
        <w:t>przesłanek</w:t>
      </w:r>
      <w:r>
        <w:rPr>
          <w:rStyle w:val="Uwydatnienie"/>
          <w:rFonts w:ascii="Times New Roman" w:hAnsi="Times New Roman"/>
          <w:color w:val="000000" w:themeColor="text1"/>
        </w:rPr>
        <w:t xml:space="preserve">. </w:t>
      </w:r>
      <w:r>
        <w:rPr>
          <w:rStyle w:val="Uwydatnienie"/>
          <w:rFonts w:ascii="Times New Roman" w:hAnsi="Times New Roman"/>
          <w:color w:val="000000" w:themeColor="text1"/>
        </w:rPr>
        <w:t>Z brzmienia analizowanego przepisu nie wynika</w:t>
      </w:r>
      <w:r>
        <w:rPr>
          <w:rStyle w:val="Uwydatnienie"/>
          <w:rFonts w:ascii="Times New Roman" w:hAnsi="Times New Roman"/>
          <w:color w:val="000000" w:themeColor="text1"/>
        </w:rPr>
        <w:t>,</w:t>
      </w:r>
      <w:r>
        <w:rPr>
          <w:rStyle w:val="Uwydatnienie"/>
          <w:rFonts w:ascii="Times New Roman" w:hAnsi="Times New Roman"/>
          <w:color w:val="000000" w:themeColor="text1"/>
        </w:rPr>
        <w:t xml:space="preserve"> aby intencją ustawodawcy było stworzenie sy</w:t>
      </w:r>
      <w:r>
        <w:rPr>
          <w:rStyle w:val="Uwydatnienie"/>
          <w:rFonts w:ascii="Times New Roman" w:hAnsi="Times New Roman"/>
          <w:color w:val="000000" w:themeColor="text1"/>
        </w:rPr>
        <w:t xml:space="preserve">tuacji prawnej, w której </w:t>
      </w:r>
      <w:r>
        <w:rPr>
          <w:rStyle w:val="Uwydatnienie"/>
          <w:rFonts w:ascii="Times New Roman" w:hAnsi="Times New Roman"/>
          <w:color w:val="000000" w:themeColor="text1"/>
        </w:rPr>
        <w:t>inwestor</w:t>
      </w:r>
      <w:r>
        <w:rPr>
          <w:rStyle w:val="Uwydatnienie"/>
          <w:rFonts w:ascii="Times New Roman" w:hAnsi="Times New Roman"/>
          <w:color w:val="000000" w:themeColor="text1"/>
        </w:rPr>
        <w:t>,</w:t>
      </w:r>
      <w:r>
        <w:rPr>
          <w:rStyle w:val="Uwydatnienie"/>
          <w:rFonts w:ascii="Times New Roman" w:hAnsi="Times New Roman"/>
          <w:color w:val="000000" w:themeColor="text1"/>
        </w:rPr>
        <w:t xml:space="preserve"> chcąc skorzystać z </w:t>
      </w:r>
      <w:r>
        <w:rPr>
          <w:rStyle w:val="Uwydatnienie"/>
          <w:rFonts w:ascii="Times New Roman" w:hAnsi="Times New Roman"/>
          <w:color w:val="000000" w:themeColor="text1"/>
        </w:rPr>
        <w:t xml:space="preserve">przepisów zawartych w </w:t>
      </w:r>
      <w:r>
        <w:rPr>
          <w:rStyle w:val="Uwydatnienie"/>
          <w:rFonts w:ascii="Times New Roman" w:hAnsi="Times New Roman"/>
          <w:color w:val="000000" w:themeColor="text1"/>
        </w:rPr>
        <w:t>u.g.</w:t>
      </w:r>
      <w:r>
        <w:rPr>
          <w:rStyle w:val="Uwydatnienie"/>
          <w:rFonts w:ascii="Times New Roman" w:hAnsi="Times New Roman"/>
          <w:color w:val="000000" w:themeColor="text1"/>
        </w:rPr>
        <w:t>,</w:t>
      </w:r>
      <w:r>
        <w:rPr>
          <w:rStyle w:val="Uwydatnienie"/>
          <w:rFonts w:ascii="Times New Roman" w:hAnsi="Times New Roman"/>
          <w:color w:val="000000" w:themeColor="text1"/>
        </w:rPr>
        <w:t xml:space="preserve"> musiałby wpierw </w:t>
      </w:r>
      <w:r>
        <w:rPr>
          <w:rStyle w:val="Uwydatnienie"/>
          <w:rFonts w:ascii="Times New Roman" w:hAnsi="Times New Roman"/>
          <w:color w:val="000000" w:themeColor="text1"/>
        </w:rPr>
        <w:t>wybudowa</w:t>
      </w:r>
      <w:r>
        <w:rPr>
          <w:rStyle w:val="Uwydatnienie"/>
          <w:rFonts w:ascii="Times New Roman" w:hAnsi="Times New Roman"/>
          <w:color w:val="000000" w:themeColor="text1"/>
        </w:rPr>
        <w:t>ć</w:t>
      </w:r>
      <w:r>
        <w:rPr>
          <w:rStyle w:val="Uwydatnienie"/>
          <w:rFonts w:ascii="Times New Roman" w:hAnsi="Times New Roman"/>
          <w:color w:val="000000" w:themeColor="text1"/>
        </w:rPr>
        <w:t xml:space="preserve"> instalacj</w:t>
      </w:r>
      <w:r>
        <w:rPr>
          <w:rStyle w:val="Uwydatnienie"/>
          <w:rFonts w:ascii="Times New Roman" w:hAnsi="Times New Roman"/>
          <w:color w:val="000000" w:themeColor="text1"/>
        </w:rPr>
        <w:t>ę</w:t>
      </w:r>
      <w:r>
        <w:rPr>
          <w:rStyle w:val="Uwydatnienie"/>
          <w:rFonts w:ascii="Times New Roman" w:hAnsi="Times New Roman"/>
          <w:color w:val="000000" w:themeColor="text1"/>
        </w:rPr>
        <w:t xml:space="preserve"> do spalania gazu ziemnego</w:t>
      </w:r>
      <w:r>
        <w:rPr>
          <w:rStyle w:val="Uwydatnienie"/>
          <w:rFonts w:ascii="Times New Roman" w:hAnsi="Times New Roman"/>
          <w:color w:val="000000" w:themeColor="text1"/>
        </w:rPr>
        <w:t xml:space="preserve">, </w:t>
      </w:r>
      <w:r>
        <w:rPr>
          <w:rStyle w:val="Uwydatnienie"/>
          <w:rFonts w:ascii="Times New Roman" w:hAnsi="Times New Roman"/>
          <w:color w:val="000000" w:themeColor="text1"/>
        </w:rPr>
        <w:t xml:space="preserve">aby w drugiej kolejności uzyskać decyzję o środowiskowych uwarunkowaniach dla </w:t>
      </w:r>
      <w:r>
        <w:rPr>
          <w:rStyle w:val="Uwydatnienie"/>
          <w:rFonts w:ascii="Times New Roman" w:hAnsi="Times New Roman"/>
          <w:color w:val="000000" w:themeColor="text1"/>
        </w:rPr>
        <w:t xml:space="preserve">budowy </w:t>
      </w:r>
      <w:r>
        <w:rPr>
          <w:rStyle w:val="Uwydatnienie"/>
          <w:rFonts w:ascii="Times New Roman" w:hAnsi="Times New Roman"/>
          <w:color w:val="000000" w:themeColor="text1"/>
        </w:rPr>
        <w:t>gazociągu</w:t>
      </w:r>
      <w:r>
        <w:rPr>
          <w:rStyle w:val="Uwydatnienie"/>
          <w:rFonts w:ascii="Times New Roman" w:hAnsi="Times New Roman"/>
          <w:color w:val="000000" w:themeColor="text1"/>
        </w:rPr>
        <w:t>. Brzmienie art. 38 pkt 5 u.g. nie wyklucza sytuacji</w:t>
      </w:r>
      <w:r>
        <w:rPr>
          <w:rStyle w:val="Uwydatnienie"/>
          <w:rFonts w:ascii="Times New Roman" w:hAnsi="Times New Roman"/>
          <w:color w:val="000000" w:themeColor="text1"/>
        </w:rPr>
        <w:t xml:space="preserve">, w której </w:t>
      </w:r>
      <w:r>
        <w:rPr>
          <w:rStyle w:val="Uwydatnienie"/>
          <w:rFonts w:ascii="Times New Roman" w:hAnsi="Times New Roman"/>
          <w:color w:val="000000" w:themeColor="text1"/>
        </w:rPr>
        <w:t>inwestor rozpoczyna wieloetapowy projekt</w:t>
      </w:r>
      <w:r>
        <w:rPr>
          <w:rStyle w:val="Uwydatnienie"/>
          <w:rFonts w:ascii="Times New Roman" w:hAnsi="Times New Roman"/>
          <w:color w:val="000000" w:themeColor="text1"/>
        </w:rPr>
        <w:t xml:space="preserve">, dążący </w:t>
      </w:r>
      <w:r>
        <w:rPr>
          <w:rStyle w:val="Uwydatnienie"/>
          <w:rFonts w:ascii="Times New Roman" w:hAnsi="Times New Roman"/>
          <w:color w:val="000000" w:themeColor="text1"/>
        </w:rPr>
        <w:t xml:space="preserve">do nieistniejących w dniu wydania decyzji o środowiskowych uwarunkowaniach </w:t>
      </w:r>
      <w:r>
        <w:rPr>
          <w:rStyle w:val="Uwydatnienie"/>
          <w:rFonts w:ascii="Times New Roman" w:hAnsi="Times New Roman"/>
          <w:color w:val="000000" w:themeColor="text1"/>
        </w:rPr>
        <w:t>jednost</w:t>
      </w:r>
      <w:r>
        <w:rPr>
          <w:rStyle w:val="Uwydatnienie"/>
          <w:rFonts w:ascii="Times New Roman" w:hAnsi="Times New Roman"/>
          <w:color w:val="000000" w:themeColor="text1"/>
        </w:rPr>
        <w:t>ek</w:t>
      </w:r>
      <w:r>
        <w:rPr>
          <w:rStyle w:val="Uwydatnienie"/>
          <w:rFonts w:ascii="Times New Roman" w:hAnsi="Times New Roman"/>
          <w:color w:val="000000" w:themeColor="text1"/>
        </w:rPr>
        <w:t xml:space="preserve"> wytwórcz</w:t>
      </w:r>
      <w:r>
        <w:rPr>
          <w:rStyle w:val="Uwydatnienie"/>
          <w:rFonts w:ascii="Times New Roman" w:hAnsi="Times New Roman"/>
          <w:color w:val="000000" w:themeColor="text1"/>
        </w:rPr>
        <w:t>ych</w:t>
      </w:r>
      <w:r>
        <w:rPr>
          <w:rStyle w:val="Uwydatnienie"/>
          <w:rFonts w:ascii="Times New Roman" w:hAnsi="Times New Roman"/>
          <w:color w:val="000000" w:themeColor="text1"/>
        </w:rPr>
        <w:t xml:space="preserve"> lub kogeneracyjn</w:t>
      </w:r>
      <w:r>
        <w:rPr>
          <w:rStyle w:val="Uwydatnienie"/>
          <w:rFonts w:ascii="Times New Roman" w:hAnsi="Times New Roman"/>
          <w:color w:val="000000" w:themeColor="text1"/>
        </w:rPr>
        <w:t>ych</w:t>
      </w:r>
      <w:r>
        <w:rPr>
          <w:rStyle w:val="Uwydatnienie"/>
          <w:rFonts w:ascii="Times New Roman" w:hAnsi="Times New Roman"/>
          <w:color w:val="000000" w:themeColor="text1"/>
        </w:rPr>
        <w:t>, począwszy od zagwarantowan</w:t>
      </w:r>
      <w:r>
        <w:rPr>
          <w:rStyle w:val="Uwydatnienie"/>
          <w:rFonts w:ascii="Times New Roman" w:hAnsi="Times New Roman"/>
          <w:color w:val="000000" w:themeColor="text1"/>
        </w:rPr>
        <w:t xml:space="preserve">ia możliwości dostaw gazu ziemnego, </w:t>
      </w:r>
      <w:r>
        <w:rPr>
          <w:rStyle w:val="Uwydatnienie"/>
          <w:rFonts w:ascii="Times New Roman" w:hAnsi="Times New Roman"/>
          <w:color w:val="000000" w:themeColor="text1"/>
        </w:rPr>
        <w:t xml:space="preserve">co wymaga </w:t>
      </w:r>
      <w:r>
        <w:rPr>
          <w:rStyle w:val="Uwydatnienie"/>
          <w:rFonts w:ascii="Times New Roman" w:hAnsi="Times New Roman"/>
          <w:color w:val="000000" w:themeColor="text1"/>
        </w:rPr>
        <w:t>realizacj</w:t>
      </w:r>
      <w:r>
        <w:rPr>
          <w:rStyle w:val="Uwydatnienie"/>
          <w:rFonts w:ascii="Times New Roman" w:hAnsi="Times New Roman"/>
          <w:color w:val="000000" w:themeColor="text1"/>
        </w:rPr>
        <w:t>i</w:t>
      </w:r>
      <w:r>
        <w:rPr>
          <w:rStyle w:val="Uwydatnienie"/>
          <w:rFonts w:ascii="Times New Roman" w:hAnsi="Times New Roman"/>
          <w:color w:val="000000" w:themeColor="text1"/>
        </w:rPr>
        <w:t xml:space="preserve"> gazociągu</w:t>
      </w:r>
      <w:r>
        <w:rPr>
          <w:rStyle w:val="Uwydatnienie"/>
          <w:rFonts w:ascii="Times New Roman" w:hAnsi="Times New Roman"/>
          <w:color w:val="000000" w:themeColor="text1"/>
        </w:rPr>
        <w:t>.</w:t>
      </w:r>
      <w:r>
        <w:rPr>
          <w:rStyle w:val="Uwydatnienie"/>
          <w:rFonts w:ascii="Times New Roman" w:hAnsi="Times New Roman"/>
          <w:color w:val="000000" w:themeColor="text1"/>
        </w:rPr>
        <w:t xml:space="preserve">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Celem wprowadzenia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art. 38 pkt 5 </w:t>
      </w:r>
      <w:r>
        <w:rPr>
          <w:rStyle w:val="Uwydatnienie"/>
          <w:rFonts w:ascii="Times New Roman" w:hAnsi="Times New Roman"/>
          <w:color w:val="000000" w:themeColor="text1"/>
        </w:rPr>
        <w:t>u.g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było zoptymalizowanie </w:t>
      </w:r>
      <w:r w:rsidRPr="007167CA">
        <w:rPr>
          <w:rStyle w:val="Uwydatnienie"/>
          <w:rFonts w:ascii="Times New Roman" w:hAnsi="Times New Roman"/>
          <w:color w:val="000000" w:themeColor="text1"/>
        </w:rPr>
        <w:t>efektywnego rozpływu gazu ziemnego pochodzącego z terminalu nie tylko do sieci przesyłowych</w:t>
      </w:r>
      <w:r>
        <w:rPr>
          <w:rStyle w:val="Uwydatnienie"/>
          <w:rFonts w:ascii="Times New Roman" w:hAnsi="Times New Roman"/>
          <w:color w:val="000000" w:themeColor="text1"/>
        </w:rPr>
        <w:t>, a więc do sieci transportujących gaz</w:t>
      </w:r>
      <w:r>
        <w:rPr>
          <w:rStyle w:val="Uwydatnienie"/>
          <w:rFonts w:ascii="Times New Roman" w:hAnsi="Times New Roman"/>
          <w:color w:val="000000" w:themeColor="text1"/>
        </w:rPr>
        <w:t xml:space="preserve"> ziemny na duże odległości,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lecz również sieci dystrybucyjnyc</w:t>
      </w:r>
      <w:r w:rsidRPr="007167CA">
        <w:rPr>
          <w:rStyle w:val="Uwydatnienie"/>
          <w:rFonts w:ascii="Times New Roman" w:hAnsi="Times New Roman"/>
          <w:color w:val="000000" w:themeColor="text1"/>
        </w:rPr>
        <w:t>h kierujących gaz ziemny do miejsca, w którym w sposób realny może być on wykorzystany.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</w:t>
      </w:r>
      <w:r w:rsidRPr="007167CA">
        <w:rPr>
          <w:rStyle w:val="Uwydatnienie"/>
          <w:rFonts w:ascii="Times New Roman" w:hAnsi="Times New Roman"/>
          <w:color w:val="000000" w:themeColor="text1"/>
        </w:rPr>
        <w:t>Ze względu na to, że to sieć dystrybucyjna stanowi bezpośrednie połączenie odbiorcy końcowego z siecią prze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syłową,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ustawodawca umożliwił budowę gazociągów nie tylko </w:t>
      </w:r>
      <w:r w:rsidRPr="007167CA">
        <w:rPr>
          <w:rStyle w:val="Uwydatnienie"/>
          <w:rFonts w:ascii="Times New Roman" w:hAnsi="Times New Roman"/>
          <w:color w:val="000000" w:themeColor="text1"/>
        </w:rPr>
        <w:t>podmiotom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wymienionym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bezpośrednio </w:t>
      </w:r>
      <w:r w:rsidRPr="007167CA">
        <w:rPr>
          <w:rStyle w:val="Uwydatnienie"/>
          <w:rFonts w:ascii="Times New Roman" w:hAnsi="Times New Roman"/>
          <w:color w:val="000000" w:themeColor="text1"/>
        </w:rPr>
        <w:t>z nazwy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,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lecz również </w:t>
      </w:r>
      <w:r w:rsidRPr="007167CA">
        <w:rPr>
          <w:rStyle w:val="Uwydatnienie"/>
          <w:rFonts w:ascii="Times New Roman" w:hAnsi="Times New Roman"/>
          <w:color w:val="000000" w:themeColor="text1"/>
        </w:rPr>
        <w:t>wszystkim pozostałym podmiotom spełniającym warunki wskazane w art. 38 pkt 5 u</w:t>
      </w:r>
      <w:r>
        <w:rPr>
          <w:rStyle w:val="Uwydatnienie"/>
          <w:rFonts w:ascii="Times New Roman" w:hAnsi="Times New Roman"/>
          <w:color w:val="000000" w:themeColor="text1"/>
        </w:rPr>
        <w:t>.g.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W omawianym przypadku PGE Energia Ciepła S.A spełnia wszystkie warunki wskazane </w:t>
      </w:r>
      <w:r>
        <w:rPr>
          <w:rStyle w:val="Uwydatnienie"/>
          <w:rFonts w:ascii="Times New Roman" w:hAnsi="Times New Roman"/>
          <w:color w:val="000000" w:themeColor="text1"/>
        </w:rPr>
        <w:t xml:space="preserve">w </w:t>
      </w:r>
      <w:r w:rsidRPr="007167CA">
        <w:rPr>
          <w:rStyle w:val="Uwydatnienie"/>
          <w:rFonts w:ascii="Times New Roman" w:hAnsi="Times New Roman"/>
          <w:color w:val="000000" w:themeColor="text1"/>
        </w:rPr>
        <w:t>w</w:t>
      </w:r>
      <w:r>
        <w:rPr>
          <w:rStyle w:val="Uwydatnienie"/>
          <w:rFonts w:ascii="Times New Roman" w:hAnsi="Times New Roman"/>
          <w:color w:val="000000" w:themeColor="text1"/>
        </w:rPr>
        <w:t xml:space="preserve">w. </w:t>
      </w:r>
      <w:r>
        <w:rPr>
          <w:rStyle w:val="Uwydatnienie"/>
          <w:rFonts w:ascii="Times New Roman" w:hAnsi="Times New Roman"/>
          <w:color w:val="000000" w:themeColor="text1"/>
        </w:rPr>
        <w:t>przepisie,</w:t>
      </w:r>
      <w:r>
        <w:rPr>
          <w:rStyle w:val="Uwydatnienie"/>
          <w:rFonts w:ascii="Times New Roman" w:hAnsi="Times New Roman"/>
          <w:color w:val="000000" w:themeColor="text1"/>
        </w:rPr>
        <w:t xml:space="preserve">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gdyż wybudowanie omawianego przedsięwzięcia umożliwi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jej </w:t>
      </w:r>
      <w:r w:rsidRPr="007167CA">
        <w:rPr>
          <w:rStyle w:val="Uwydatnienie"/>
          <w:rFonts w:ascii="Times New Roman" w:hAnsi="Times New Roman"/>
          <w:color w:val="000000" w:themeColor="text1"/>
        </w:rPr>
        <w:t>zakup gazu ziemnego</w:t>
      </w:r>
      <w:r w:rsidRPr="007167CA">
        <w:rPr>
          <w:rStyle w:val="Uwydatnienie"/>
          <w:rFonts w:ascii="Times New Roman" w:hAnsi="Times New Roman"/>
          <w:color w:val="000000" w:themeColor="text1"/>
        </w:rPr>
        <w:t>,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któr</w:t>
      </w:r>
      <w:r>
        <w:rPr>
          <w:rStyle w:val="Uwydatnienie"/>
          <w:rFonts w:ascii="Times New Roman" w:hAnsi="Times New Roman"/>
          <w:color w:val="000000" w:themeColor="text1"/>
        </w:rPr>
        <w:t>y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będzie wy</w:t>
      </w:r>
      <w:r w:rsidRPr="007167CA">
        <w:rPr>
          <w:rStyle w:val="Uwydatnienie"/>
          <w:rFonts w:ascii="Times New Roman" w:hAnsi="Times New Roman"/>
          <w:color w:val="000000" w:themeColor="text1"/>
        </w:rPr>
        <w:t>korzystan</w:t>
      </w:r>
      <w:r>
        <w:rPr>
          <w:rStyle w:val="Uwydatnienie"/>
          <w:rFonts w:ascii="Times New Roman" w:hAnsi="Times New Roman"/>
          <w:color w:val="000000" w:themeColor="text1"/>
        </w:rPr>
        <w:t>y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na potrzeby wytwarzania energii elektrycznej</w:t>
      </w:r>
      <w:r w:rsidRPr="007167CA">
        <w:rPr>
          <w:rStyle w:val="Uwydatnienie"/>
          <w:rFonts w:ascii="Times New Roman" w:hAnsi="Times New Roman"/>
          <w:color w:val="000000" w:themeColor="text1"/>
        </w:rPr>
        <w:t>.</w:t>
      </w:r>
      <w:r>
        <w:rPr>
          <w:rStyle w:val="Uwydatnienie"/>
          <w:rFonts w:ascii="Times New Roman" w:hAnsi="Times New Roman"/>
          <w:color w:val="000000" w:themeColor="text1"/>
        </w:rPr>
        <w:t xml:space="preserve"> </w:t>
      </w:r>
    </w:p>
    <w:p w:rsidR="007D553D" w:rsidRPr="007167CA" w:rsidRDefault="001540CE" w:rsidP="007167CA">
      <w:pPr>
        <w:spacing w:after="0" w:line="312" w:lineRule="auto"/>
        <w:ind w:firstLine="708"/>
        <w:jc w:val="both"/>
        <w:rPr>
          <w:rStyle w:val="Uwydatnienie"/>
          <w:rFonts w:ascii="Times New Roman" w:hAnsi="Times New Roman"/>
          <w:color w:val="000000" w:themeColor="text1"/>
        </w:rPr>
      </w:pPr>
      <w:r>
        <w:rPr>
          <w:rStyle w:val="Uwydatnienie"/>
          <w:rFonts w:ascii="Times New Roman" w:hAnsi="Times New Roman"/>
          <w:color w:val="000000" w:themeColor="text1"/>
        </w:rPr>
        <w:t xml:space="preserve">W związku z powyższym </w:t>
      </w:r>
      <w:r>
        <w:rPr>
          <w:rStyle w:val="Uwydatnienie"/>
          <w:rFonts w:ascii="Times New Roman" w:hAnsi="Times New Roman"/>
          <w:color w:val="000000" w:themeColor="text1"/>
        </w:rPr>
        <w:t>w</w:t>
      </w:r>
      <w:r w:rsidRPr="007B63F5">
        <w:rPr>
          <w:rStyle w:val="Uwydatnienie"/>
          <w:rFonts w:ascii="Times New Roman" w:hAnsi="Times New Roman"/>
          <w:color w:val="000000" w:themeColor="text1"/>
        </w:rPr>
        <w:t>łaściwym miejscowo regionalnym dyrektorem ochrony środowiska, zgodnie z art. 21 § 1 k.p.a., z uwagi na położenie nieruchomości, na któr</w:t>
      </w:r>
      <w:r>
        <w:rPr>
          <w:rStyle w:val="Uwydatnienie"/>
          <w:rFonts w:ascii="Times New Roman" w:hAnsi="Times New Roman"/>
          <w:color w:val="000000" w:themeColor="text1"/>
        </w:rPr>
        <w:t xml:space="preserve">ych </w:t>
      </w:r>
      <w:r w:rsidRPr="007B63F5">
        <w:rPr>
          <w:rStyle w:val="Uwydatnienie"/>
          <w:rFonts w:ascii="Times New Roman" w:hAnsi="Times New Roman"/>
          <w:color w:val="000000" w:themeColor="text1"/>
        </w:rPr>
        <w:t xml:space="preserve">terenie planuje się przedsięwzięcie, tj. </w:t>
      </w:r>
      <w:r>
        <w:rPr>
          <w:rStyle w:val="Uwydatnienie"/>
          <w:rFonts w:ascii="Times New Roman" w:hAnsi="Times New Roman"/>
          <w:color w:val="000000" w:themeColor="text1"/>
        </w:rPr>
        <w:t xml:space="preserve">na terenie </w:t>
      </w:r>
      <w:r w:rsidRPr="007B63F5">
        <w:rPr>
          <w:rStyle w:val="Uwydatnienie"/>
          <w:rFonts w:ascii="Times New Roman" w:hAnsi="Times New Roman"/>
          <w:color w:val="000000" w:themeColor="text1"/>
        </w:rPr>
        <w:t>województw</w:t>
      </w:r>
      <w:r>
        <w:rPr>
          <w:rStyle w:val="Uwydatnienie"/>
          <w:rFonts w:ascii="Times New Roman" w:hAnsi="Times New Roman"/>
          <w:color w:val="000000" w:themeColor="text1"/>
        </w:rPr>
        <w:t>a</w:t>
      </w:r>
      <w:r w:rsidRPr="007B63F5">
        <w:rPr>
          <w:rStyle w:val="Uwydatnienie"/>
          <w:rFonts w:ascii="Times New Roman" w:hAnsi="Times New Roman"/>
          <w:color w:val="000000" w:themeColor="text1"/>
        </w:rPr>
        <w:t xml:space="preserve"> </w:t>
      </w:r>
      <w:r>
        <w:rPr>
          <w:rStyle w:val="Uwydatnienie"/>
          <w:rFonts w:ascii="Times New Roman" w:hAnsi="Times New Roman"/>
          <w:color w:val="000000" w:themeColor="text1"/>
        </w:rPr>
        <w:t>pomorskie</w:t>
      </w:r>
      <w:r>
        <w:rPr>
          <w:rStyle w:val="Uwydatnienie"/>
          <w:rFonts w:ascii="Times New Roman" w:hAnsi="Times New Roman"/>
          <w:color w:val="000000" w:themeColor="text1"/>
        </w:rPr>
        <w:t>go</w:t>
      </w:r>
      <w:r w:rsidRPr="007B63F5">
        <w:rPr>
          <w:rStyle w:val="Uwydatnienie"/>
          <w:rFonts w:ascii="Times New Roman" w:hAnsi="Times New Roman"/>
          <w:color w:val="000000" w:themeColor="text1"/>
        </w:rPr>
        <w:t>, a także z uwagi a</w:t>
      </w:r>
      <w:r w:rsidRPr="007B63F5">
        <w:rPr>
          <w:rStyle w:val="Uwydatnienie"/>
          <w:rFonts w:ascii="Times New Roman" w:hAnsi="Times New Roman"/>
          <w:color w:val="000000" w:themeColor="text1"/>
        </w:rPr>
        <w:t xml:space="preserve">rt. 123 </w:t>
      </w:r>
      <w:r w:rsidRPr="007B63F5">
        <w:rPr>
          <w:rStyle w:val="Uwydatnienie"/>
          <w:rFonts w:ascii="Times New Roman" w:hAnsi="Times New Roman"/>
          <w:color w:val="000000" w:themeColor="text1"/>
        </w:rPr>
        <w:lastRenderedPageBreak/>
        <w:t xml:space="preserve">ust. 1 u.o.o.ś. oraz na § 2 pkt 2 załącznika do rozporządzenia Ministra Środowiska z dnia 10 listopada 2008 r. w sprawie nadania statutu Regionalnej Dyrekcji Ochrony Środowiska w </w:t>
      </w:r>
      <w:r>
        <w:rPr>
          <w:rStyle w:val="Uwydatnienie"/>
          <w:rFonts w:ascii="Times New Roman" w:hAnsi="Times New Roman"/>
          <w:color w:val="000000" w:themeColor="text1"/>
        </w:rPr>
        <w:t>Gdańsku</w:t>
      </w:r>
      <w:r w:rsidRPr="007B63F5">
        <w:rPr>
          <w:rStyle w:val="Uwydatnienie"/>
          <w:rFonts w:ascii="Times New Roman" w:hAnsi="Times New Roman"/>
          <w:color w:val="000000" w:themeColor="text1"/>
        </w:rPr>
        <w:t xml:space="preserve"> (Dz. U. z 20</w:t>
      </w:r>
      <w:r>
        <w:rPr>
          <w:rStyle w:val="Uwydatnienie"/>
          <w:rFonts w:ascii="Times New Roman" w:hAnsi="Times New Roman"/>
          <w:color w:val="000000" w:themeColor="text1"/>
        </w:rPr>
        <w:t>23</w:t>
      </w:r>
      <w:r w:rsidRPr="007B63F5">
        <w:rPr>
          <w:rStyle w:val="Uwydatnienie"/>
          <w:rFonts w:ascii="Times New Roman" w:hAnsi="Times New Roman"/>
          <w:color w:val="000000" w:themeColor="text1"/>
        </w:rPr>
        <w:t xml:space="preserve"> r. poz. </w:t>
      </w:r>
      <w:r>
        <w:rPr>
          <w:rStyle w:val="Uwydatnienie"/>
          <w:rFonts w:ascii="Times New Roman" w:hAnsi="Times New Roman"/>
          <w:color w:val="000000" w:themeColor="text1"/>
        </w:rPr>
        <w:t>2446</w:t>
      </w:r>
      <w:r w:rsidRPr="007B63F5">
        <w:rPr>
          <w:rStyle w:val="Uwydatnienie"/>
          <w:rFonts w:ascii="Times New Roman" w:hAnsi="Times New Roman"/>
          <w:color w:val="000000" w:themeColor="text1"/>
        </w:rPr>
        <w:t xml:space="preserve">, ze zm.), jest RDOŚ w </w:t>
      </w:r>
      <w:r>
        <w:rPr>
          <w:rStyle w:val="Uwydatnienie"/>
          <w:rFonts w:ascii="Times New Roman" w:hAnsi="Times New Roman"/>
          <w:color w:val="000000" w:themeColor="text1"/>
        </w:rPr>
        <w:t>Gdańsku</w:t>
      </w:r>
      <w:r w:rsidRPr="007B63F5">
        <w:rPr>
          <w:rStyle w:val="Uwydatnienie"/>
          <w:rFonts w:ascii="Times New Roman" w:hAnsi="Times New Roman"/>
          <w:color w:val="000000" w:themeColor="text1"/>
        </w:rPr>
        <w:t>.</w:t>
      </w:r>
      <w:r>
        <w:rPr>
          <w:rStyle w:val="Uwydatnienie"/>
          <w:rFonts w:ascii="Times New Roman" w:hAnsi="Times New Roman"/>
          <w:color w:val="000000" w:themeColor="text1"/>
        </w:rPr>
        <w:t xml:space="preserve"> </w:t>
      </w:r>
      <w:r>
        <w:rPr>
          <w:rStyle w:val="Uwydatnienie"/>
          <w:rFonts w:ascii="Times New Roman" w:hAnsi="Times New Roman"/>
          <w:color w:val="000000" w:themeColor="text1"/>
        </w:rPr>
        <w:t>P</w:t>
      </w:r>
      <w:r>
        <w:rPr>
          <w:rStyle w:val="Uwydatnienie"/>
          <w:rFonts w:ascii="Times New Roman" w:hAnsi="Times New Roman"/>
          <w:color w:val="000000" w:themeColor="text1"/>
        </w:rPr>
        <w:t>o</w:t>
      </w:r>
      <w:r>
        <w:rPr>
          <w:rStyle w:val="Uwydatnienie"/>
          <w:rFonts w:ascii="Times New Roman" w:hAnsi="Times New Roman"/>
          <w:color w:val="000000" w:themeColor="text1"/>
        </w:rPr>
        <w:t>wyższ</w:t>
      </w:r>
      <w:r>
        <w:rPr>
          <w:rStyle w:val="Uwydatnienie"/>
          <w:rFonts w:ascii="Times New Roman" w:hAnsi="Times New Roman"/>
          <w:color w:val="000000" w:themeColor="text1"/>
        </w:rPr>
        <w:t>e bezsprzecznie dowodzi</w:t>
      </w:r>
      <w:r>
        <w:rPr>
          <w:rStyle w:val="Uwydatnienie"/>
          <w:rFonts w:ascii="Times New Roman" w:hAnsi="Times New Roman"/>
          <w:color w:val="000000" w:themeColor="text1"/>
        </w:rPr>
        <w:t xml:space="preserve">, że </w:t>
      </w:r>
      <w:r>
        <w:rPr>
          <w:rStyle w:val="Uwydatnienie"/>
          <w:rFonts w:ascii="Times New Roman" w:hAnsi="Times New Roman"/>
          <w:color w:val="000000" w:themeColor="text1"/>
        </w:rPr>
        <w:t>decyzja RDOŚ w Gdańsku z 28 lipca 2023 r. nie została wydana z naruszeniem przepisów o właściwości.</w:t>
      </w:r>
    </w:p>
    <w:bookmarkEnd w:id="4"/>
    <w:p w:rsidR="00453F0E" w:rsidRPr="007167CA" w:rsidRDefault="001540CE" w:rsidP="00494134">
      <w:pPr>
        <w:spacing w:after="0" w:line="312" w:lineRule="auto"/>
        <w:ind w:firstLine="708"/>
        <w:jc w:val="both"/>
        <w:rPr>
          <w:rStyle w:val="Uwydatnienie"/>
          <w:rFonts w:ascii="Times New Roman" w:hAnsi="Times New Roman"/>
          <w:color w:val="000000" w:themeColor="text1"/>
        </w:rPr>
      </w:pPr>
      <w:r w:rsidRPr="007167CA">
        <w:rPr>
          <w:rStyle w:val="Uwydatnienie"/>
          <w:rFonts w:ascii="Times New Roman" w:hAnsi="Times New Roman"/>
          <w:color w:val="000000" w:themeColor="text1"/>
        </w:rPr>
        <w:t xml:space="preserve">Zgodnie z art. 156 § 1 pkt 2 k.p.a. organ administracji publicznej stwierdza </w:t>
      </w:r>
      <w:r>
        <w:rPr>
          <w:rStyle w:val="Uwydatnienie"/>
          <w:rFonts w:ascii="Times New Roman" w:hAnsi="Times New Roman"/>
          <w:color w:val="000000" w:themeColor="text1"/>
        </w:rPr>
        <w:t xml:space="preserve">również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nieważność decyzji, która </w:t>
      </w:r>
      <w:r w:rsidRPr="007167CA">
        <w:rPr>
          <w:rStyle w:val="Uwydatnienie"/>
          <w:rFonts w:ascii="Times New Roman" w:hAnsi="Times New Roman"/>
          <w:color w:val="000000" w:themeColor="text1"/>
        </w:rPr>
        <w:t>została wyda</w:t>
      </w:r>
      <w:r w:rsidRPr="007167CA">
        <w:rPr>
          <w:rStyle w:val="Uwydatnienie"/>
          <w:rFonts w:ascii="Times New Roman" w:hAnsi="Times New Roman"/>
          <w:color w:val="000000" w:themeColor="text1"/>
        </w:rPr>
        <w:t>na została bez podstawy prawnej lub z rażącym naruszeniem prawa.</w:t>
      </w:r>
      <w:r>
        <w:rPr>
          <w:rStyle w:val="Uwydatnienie"/>
          <w:rFonts w:ascii="Times New Roman" w:hAnsi="Times New Roman"/>
          <w:color w:val="000000" w:themeColor="text1"/>
        </w:rPr>
        <w:t xml:space="preserve">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O wydaniu decyzji bez podstawy prawnej możemy mówić w sytuacji, gdy </w:t>
      </w:r>
      <w:r w:rsidRPr="007167CA">
        <w:rPr>
          <w:rStyle w:val="Uwydatnienie"/>
          <w:rFonts w:ascii="Times New Roman" w:hAnsi="Times New Roman"/>
          <w:color w:val="000000" w:themeColor="text1"/>
        </w:rPr>
        <w:t>„</w:t>
      </w:r>
      <w:r>
        <w:rPr>
          <w:rStyle w:val="Uwydatnienie"/>
          <w:rFonts w:ascii="Times New Roman" w:hAnsi="Times New Roman"/>
          <w:color w:val="000000" w:themeColor="text1"/>
        </w:rPr>
        <w:t>a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lbo nie ma przepisu prawnego, który umocowuje administrację publiczną do działania, albo też przepis jest, ale nie </w:t>
      </w:r>
      <w:r w:rsidRPr="007167CA">
        <w:rPr>
          <w:rStyle w:val="Uwydatnienie"/>
          <w:rFonts w:ascii="Times New Roman" w:hAnsi="Times New Roman"/>
          <w:color w:val="000000" w:themeColor="text1"/>
        </w:rPr>
        <w:t>spełnia wymagań podstawy prawnej działania organów tej administracji, polegającego na wydawaniu decyzji administracyjnych i postanowień, rozumianych, jako indywidualne akty administracyjne zewnętrzne. Przepis taki daje podstawy albo do stosowania innych pr</w:t>
      </w:r>
      <w:r w:rsidRPr="007167CA">
        <w:rPr>
          <w:rStyle w:val="Uwydatnienie"/>
          <w:rFonts w:ascii="Times New Roman" w:hAnsi="Times New Roman"/>
          <w:color w:val="000000" w:themeColor="text1"/>
        </w:rPr>
        <w:t>awnych form działania administracji, albo wyznacza ściśle ramy i rodzaje załatwianych spraw przez wydanie decyzji</w:t>
      </w:r>
      <w:r w:rsidRPr="007167CA">
        <w:rPr>
          <w:rStyle w:val="Uwydatnienie"/>
          <w:rFonts w:ascii="Times New Roman" w:hAnsi="Times New Roman"/>
          <w:color w:val="000000" w:themeColor="text1"/>
        </w:rPr>
        <w:t>”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(B. Adamiak, J. Borkowski, Kodeks Postępowania administracyjnego. Komentarz, Wydawnictwo C.H. Beck, Warszawa 2016, str. 760). </w:t>
      </w:r>
    </w:p>
    <w:p w:rsidR="00E71714" w:rsidRPr="007167CA" w:rsidRDefault="001540CE" w:rsidP="007167CA">
      <w:pPr>
        <w:spacing w:after="0" w:line="312" w:lineRule="auto"/>
        <w:ind w:firstLine="708"/>
        <w:jc w:val="both"/>
        <w:rPr>
          <w:rStyle w:val="Uwydatnienie"/>
          <w:rFonts w:ascii="Times New Roman" w:hAnsi="Times New Roman"/>
          <w:color w:val="000000" w:themeColor="text1"/>
        </w:rPr>
      </w:pPr>
      <w:r w:rsidRPr="007167CA">
        <w:rPr>
          <w:rStyle w:val="Uwydatnienie"/>
          <w:rFonts w:ascii="Times New Roman" w:hAnsi="Times New Roman"/>
          <w:color w:val="000000" w:themeColor="text1"/>
        </w:rPr>
        <w:t>Planowane prze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dsięwzięcie, zgodnie z art. 71 ust. 2 </w:t>
      </w:r>
      <w:r w:rsidRPr="007167CA">
        <w:rPr>
          <w:rStyle w:val="Uwydatnienie"/>
          <w:rFonts w:ascii="Times New Roman" w:hAnsi="Times New Roman"/>
          <w:color w:val="000000" w:themeColor="text1"/>
        </w:rPr>
        <w:t>u.o.o.ś.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, należy do grupy przedsięwzięć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mogących </w:t>
      </w:r>
      <w:r w:rsidRPr="007167CA">
        <w:rPr>
          <w:rStyle w:val="Uwydatnienie"/>
          <w:rFonts w:ascii="Times New Roman" w:hAnsi="Times New Roman"/>
          <w:color w:val="000000" w:themeColor="text1"/>
        </w:rPr>
        <w:t>potencjalnie znacząco oddziaływać na środowisko</w:t>
      </w:r>
      <w:r w:rsidRPr="007167CA">
        <w:rPr>
          <w:rStyle w:val="Uwydatnienie"/>
          <w:rFonts w:ascii="Times New Roman" w:hAnsi="Times New Roman"/>
          <w:color w:val="000000" w:themeColor="text1"/>
        </w:rPr>
        <w:t>, a więc przedsięwzięć, które wymagają uzyskania decyzji o środowiskowych uwarunkowaniach.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Należy zatem stwierdzić, że roz</w:t>
      </w:r>
      <w:r w:rsidRPr="007167CA">
        <w:rPr>
          <w:rStyle w:val="Uwydatnienie"/>
          <w:rFonts w:ascii="Times New Roman" w:hAnsi="Times New Roman"/>
          <w:color w:val="000000" w:themeColor="text1"/>
        </w:rPr>
        <w:t>strzygnięcie posiadało podstawę prawną</w:t>
      </w:r>
      <w:r>
        <w:rPr>
          <w:rStyle w:val="Uwydatnienie"/>
          <w:rFonts w:ascii="Times New Roman" w:hAnsi="Times New Roman"/>
          <w:color w:val="000000" w:themeColor="text1"/>
        </w:rPr>
        <w:t>,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uprawniającą RDOŚ w </w:t>
      </w:r>
      <w:r w:rsidRPr="007167CA">
        <w:rPr>
          <w:rStyle w:val="Uwydatnienie"/>
          <w:rFonts w:ascii="Times New Roman" w:hAnsi="Times New Roman"/>
          <w:color w:val="000000" w:themeColor="text1"/>
        </w:rPr>
        <w:t>Gdańsku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do wydania decyzji i w tym względzie brak jest podstaw do stwierdzenia nieważności decyzji w omawianym zakresie.</w:t>
      </w:r>
    </w:p>
    <w:p w:rsidR="00600305" w:rsidRPr="007167CA" w:rsidRDefault="001540CE" w:rsidP="007167CA">
      <w:pPr>
        <w:spacing w:after="0" w:line="312" w:lineRule="auto"/>
        <w:ind w:firstLine="708"/>
        <w:jc w:val="both"/>
        <w:rPr>
          <w:rStyle w:val="Uwydatnienie"/>
          <w:rFonts w:ascii="Times New Roman" w:hAnsi="Times New Roman"/>
          <w:color w:val="000000" w:themeColor="text1"/>
        </w:rPr>
      </w:pPr>
      <w:r w:rsidRPr="007167CA">
        <w:rPr>
          <w:rStyle w:val="Uwydatnienie"/>
          <w:rFonts w:ascii="Times New Roman" w:hAnsi="Times New Roman"/>
          <w:color w:val="000000" w:themeColor="text1"/>
        </w:rPr>
        <w:t>Odnosząc się z kolei do pojęcia „rażącego naruszenia prawa”</w:t>
      </w:r>
      <w:r>
        <w:rPr>
          <w:rStyle w:val="Uwydatnienie"/>
          <w:rFonts w:ascii="Times New Roman" w:hAnsi="Times New Roman"/>
          <w:color w:val="000000" w:themeColor="text1"/>
        </w:rPr>
        <w:t>,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należy wyjaśni</w:t>
      </w:r>
      <w:r w:rsidRPr="007167CA">
        <w:rPr>
          <w:rStyle w:val="Uwydatnienie"/>
          <w:rFonts w:ascii="Times New Roman" w:hAnsi="Times New Roman"/>
          <w:color w:val="000000" w:themeColor="text1"/>
        </w:rPr>
        <w:t>ć, że dotyczy ono przypadku, kiedy przepis został naruszony bezpośrednio i w sposób niepozostawiający wątpliwości. Rażące naruszenie prawa musi być oczywiste, wyraźne i bezsporne, można zatem o nim mówić wówczas, gdy proste zestawienie treści rozstrzygnięc</w:t>
      </w:r>
      <w:r w:rsidRPr="007167CA">
        <w:rPr>
          <w:rStyle w:val="Uwydatnienie"/>
          <w:rFonts w:ascii="Times New Roman" w:hAnsi="Times New Roman"/>
          <w:color w:val="000000" w:themeColor="text1"/>
        </w:rPr>
        <w:t>ia z treścią zastosowanego przepisu wskazuje na ich oczywistą niezgodność (por. wyrok NSA z dnia 14 stycznia 2015 r., sygn. akt I OSK 1380/13). Podkreślić jednak trzeba, że nie każde naruszenie prawa ma charakter naruszenia rażącego, tym samym nie każde na</w:t>
      </w:r>
      <w:r w:rsidRPr="007167CA">
        <w:rPr>
          <w:rStyle w:val="Uwydatnienie"/>
          <w:rFonts w:ascii="Times New Roman" w:hAnsi="Times New Roman"/>
          <w:color w:val="000000" w:themeColor="text1"/>
        </w:rPr>
        <w:t>ruszenie prawa stanowi przesłankę do stwierdzenia nieważności decyzji.</w:t>
      </w:r>
    </w:p>
    <w:p w:rsidR="00600305" w:rsidRPr="007167CA" w:rsidRDefault="001540CE" w:rsidP="007167CA">
      <w:pPr>
        <w:spacing w:after="0" w:line="312" w:lineRule="auto"/>
        <w:ind w:firstLine="708"/>
        <w:jc w:val="both"/>
        <w:rPr>
          <w:rStyle w:val="Uwydatnienie"/>
          <w:rFonts w:ascii="Times New Roman" w:hAnsi="Times New Roman"/>
          <w:color w:val="000000" w:themeColor="text1"/>
        </w:rPr>
      </w:pPr>
      <w:r w:rsidRPr="007167CA">
        <w:rPr>
          <w:rStyle w:val="Uwydatnienie"/>
          <w:rFonts w:ascii="Times New Roman" w:hAnsi="Times New Roman"/>
          <w:color w:val="000000" w:themeColor="text1"/>
        </w:rPr>
        <w:t>GDOŚ w toku prowadzonego postępowania nie stwierdził, aby zaskarżona decyzja w sposób rażący naruszyła jakikolwiek przepis prawa, mający zastosowanie przy jej wydaniu.</w:t>
      </w:r>
    </w:p>
    <w:p w:rsidR="008C584D" w:rsidRPr="007167CA" w:rsidRDefault="001540CE" w:rsidP="007167CA">
      <w:pPr>
        <w:spacing w:after="0" w:line="312" w:lineRule="auto"/>
        <w:ind w:firstLine="708"/>
        <w:jc w:val="both"/>
        <w:rPr>
          <w:rStyle w:val="Uwydatnienie"/>
          <w:rFonts w:ascii="Times New Roman" w:hAnsi="Times New Roman"/>
          <w:color w:val="000000" w:themeColor="text1"/>
        </w:rPr>
      </w:pPr>
      <w:r w:rsidRPr="007167CA">
        <w:rPr>
          <w:rStyle w:val="Uwydatnienie"/>
          <w:rFonts w:ascii="Times New Roman" w:hAnsi="Times New Roman"/>
          <w:color w:val="000000" w:themeColor="text1"/>
        </w:rPr>
        <w:t>Zgodnie z art. 15</w:t>
      </w:r>
      <w:r w:rsidRPr="007167CA">
        <w:rPr>
          <w:rStyle w:val="Uwydatnienie"/>
          <w:rFonts w:ascii="Times New Roman" w:hAnsi="Times New Roman"/>
          <w:color w:val="000000" w:themeColor="text1"/>
        </w:rPr>
        <w:t>6 § 1 pkt 3 k.p.a. organ administracji publicznej stwierdza nieważność decyzji, która dotyczy sprawy już poprzednio rozstrzygniętej inną decyzją ostateczną albo sprawy, którą załatwiono milcząco</w:t>
      </w:r>
      <w:r w:rsidRPr="007167CA">
        <w:rPr>
          <w:rStyle w:val="Uwydatnienie"/>
          <w:rFonts w:ascii="Times New Roman" w:hAnsi="Times New Roman"/>
          <w:color w:val="000000" w:themeColor="text1"/>
        </w:rPr>
        <w:t>.</w:t>
      </w:r>
    </w:p>
    <w:p w:rsidR="00080982" w:rsidRPr="007167CA" w:rsidRDefault="001540CE" w:rsidP="007167CA">
      <w:pPr>
        <w:spacing w:after="0" w:line="312" w:lineRule="auto"/>
        <w:ind w:firstLine="708"/>
        <w:jc w:val="both"/>
        <w:rPr>
          <w:rStyle w:val="Uwydatnienie"/>
          <w:rFonts w:ascii="Times New Roman" w:hAnsi="Times New Roman"/>
          <w:color w:val="000000" w:themeColor="text1"/>
        </w:rPr>
      </w:pPr>
      <w:r w:rsidRPr="007167CA">
        <w:rPr>
          <w:rStyle w:val="Uwydatnienie"/>
          <w:rFonts w:ascii="Times New Roman" w:hAnsi="Times New Roman"/>
          <w:color w:val="000000" w:themeColor="text1"/>
        </w:rPr>
        <w:t>Odnosząc się do ww. przesłanki, należy zauważyć, że naruszenie takie miałoby miejsce wówczas, gdyby tożsama podmiotowo i przedmiotowo sprawa, która została rozstrzygnięta zaskarżoną decyzją, została wcześniej rozstrzygnięta co do istoty inną decyzją ostate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czną. Z akt niniejszej sprawy nie wynika, by PGE Energia Ciepła S.A. uzyskała dla przedmiotowo identycznego przedsięwzięcia inną decyzję o środowiskowych uwarunkowaniach. Należy </w:t>
      </w:r>
      <w:r w:rsidRPr="007167CA">
        <w:rPr>
          <w:rStyle w:val="Uwydatnienie"/>
          <w:rFonts w:ascii="Times New Roman" w:hAnsi="Times New Roman"/>
          <w:color w:val="000000" w:themeColor="text1"/>
        </w:rPr>
        <w:lastRenderedPageBreak/>
        <w:t>zatem stwierdzić, że w omawianym przypadku w obrocie prawnym funkcjonuje jedyn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ie decyzja RDOŚ w </w:t>
      </w:r>
      <w:r w:rsidRPr="007167CA">
        <w:rPr>
          <w:rStyle w:val="Uwydatnienie"/>
          <w:rFonts w:ascii="Times New Roman" w:hAnsi="Times New Roman"/>
          <w:color w:val="000000" w:themeColor="text1"/>
        </w:rPr>
        <w:t>Gdańsku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z </w:t>
      </w:r>
      <w:r w:rsidRPr="007167CA">
        <w:rPr>
          <w:rStyle w:val="Uwydatnienie"/>
          <w:rFonts w:ascii="Times New Roman" w:hAnsi="Times New Roman"/>
          <w:color w:val="000000" w:themeColor="text1"/>
        </w:rPr>
        <w:t>28 lipca 2023 r.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</w:t>
      </w:r>
      <w:r w:rsidRPr="007167CA">
        <w:rPr>
          <w:rStyle w:val="Uwydatnienie"/>
          <w:rFonts w:ascii="Times New Roman" w:hAnsi="Times New Roman"/>
          <w:color w:val="000000" w:themeColor="text1"/>
        </w:rPr>
        <w:t>i posiada ona przymiot rozstrzygnięcia ostatecznego.</w:t>
      </w:r>
    </w:p>
    <w:p w:rsidR="00ED5F21" w:rsidRPr="007167CA" w:rsidRDefault="001540CE" w:rsidP="007167CA">
      <w:pPr>
        <w:spacing w:after="0" w:line="312" w:lineRule="auto"/>
        <w:ind w:firstLine="708"/>
        <w:jc w:val="both"/>
        <w:rPr>
          <w:rStyle w:val="Uwydatnienie"/>
          <w:rFonts w:ascii="Times New Roman" w:hAnsi="Times New Roman"/>
          <w:color w:val="000000" w:themeColor="text1"/>
        </w:rPr>
      </w:pPr>
      <w:r w:rsidRPr="007167CA">
        <w:rPr>
          <w:rStyle w:val="Uwydatnienie"/>
          <w:rFonts w:ascii="Times New Roman" w:hAnsi="Times New Roman"/>
          <w:color w:val="000000" w:themeColor="text1"/>
        </w:rPr>
        <w:t xml:space="preserve">Zgodnie z art. 156 § 1 pkt 3 k.p.a. organ administracji publicznej stwierdza nieważność decyzji, która </w:t>
      </w:r>
      <w:r w:rsidRPr="007167CA">
        <w:rPr>
          <w:rFonts w:ascii="Times New Roman" w:hAnsi="Times New Roman"/>
          <w:sz w:val="24"/>
          <w:szCs w:val="24"/>
        </w:rPr>
        <w:t>została skierowana do osoby niebędącej stroną w sprawie</w:t>
      </w:r>
      <w:r w:rsidRPr="007167CA">
        <w:rPr>
          <w:rFonts w:ascii="Times New Roman" w:hAnsi="Times New Roman"/>
          <w:sz w:val="24"/>
          <w:szCs w:val="24"/>
        </w:rPr>
        <w:t>.</w:t>
      </w:r>
    </w:p>
    <w:p w:rsidR="00930754" w:rsidRPr="007167CA" w:rsidRDefault="001540CE" w:rsidP="007167CA">
      <w:pPr>
        <w:spacing w:after="0" w:line="312" w:lineRule="auto"/>
        <w:ind w:firstLine="708"/>
        <w:jc w:val="both"/>
        <w:rPr>
          <w:rStyle w:val="Uwydatnienie"/>
          <w:rFonts w:ascii="Times New Roman" w:hAnsi="Times New Roman"/>
          <w:color w:val="000000" w:themeColor="text1"/>
        </w:rPr>
      </w:pPr>
      <w:r w:rsidRPr="007167CA">
        <w:rPr>
          <w:rStyle w:val="Uwydatnienie"/>
          <w:rFonts w:ascii="Times New Roman" w:hAnsi="Times New Roman"/>
          <w:color w:val="000000" w:themeColor="text1"/>
        </w:rPr>
        <w:t>N</w:t>
      </w:r>
      <w:r>
        <w:rPr>
          <w:rStyle w:val="Uwydatnienie"/>
          <w:rFonts w:ascii="Times New Roman" w:hAnsi="Times New Roman"/>
          <w:color w:val="000000" w:themeColor="text1"/>
        </w:rPr>
        <w:t>a wstępie n</w:t>
      </w:r>
      <w:r w:rsidRPr="007167CA">
        <w:rPr>
          <w:rStyle w:val="Uwydatnienie"/>
          <w:rFonts w:ascii="Times New Roman" w:hAnsi="Times New Roman"/>
          <w:color w:val="000000" w:themeColor="text1"/>
        </w:rPr>
        <w:t>ależy zauważyć, że zgodnie z wyrokiem NSA z dnia 21 stycznia 2020 r., sygn. akt I OSK 1407/18 wadliwe jest utożsamianie skierowania decyzji do osoby niebędącej stroną postępowania (o czym stanowi art. 156 § 1 pkt 4 k.p.a.) z czynnością doręcz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enia decyzji. Skierowanie decyzji do określonego podmiotu, to wskazanie go w niej jako adresata rozstrzygnięcia, jako podmiotu, którego interesu prawnego decyzja dotyczy. Doręczenie decyzji nie jest </w:t>
      </w:r>
      <w:r>
        <w:rPr>
          <w:rStyle w:val="Uwydatnienie"/>
          <w:rFonts w:ascii="Times New Roman" w:hAnsi="Times New Roman"/>
          <w:color w:val="000000" w:themeColor="text1"/>
        </w:rPr>
        <w:t>„</w:t>
      </w:r>
      <w:r w:rsidRPr="007167CA">
        <w:rPr>
          <w:rStyle w:val="Uwydatnienie"/>
          <w:rFonts w:ascii="Times New Roman" w:hAnsi="Times New Roman"/>
          <w:color w:val="000000" w:themeColor="text1"/>
        </w:rPr>
        <w:t>skierowaniem</w:t>
      </w:r>
      <w:r>
        <w:rPr>
          <w:rStyle w:val="Uwydatnienie"/>
          <w:rFonts w:ascii="Times New Roman" w:hAnsi="Times New Roman"/>
          <w:color w:val="000000" w:themeColor="text1"/>
        </w:rPr>
        <w:t>”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decyzji do adresata przesyłki, lecz wykona</w:t>
      </w:r>
      <w:r w:rsidRPr="007167CA">
        <w:rPr>
          <w:rStyle w:val="Uwydatnienie"/>
          <w:rFonts w:ascii="Times New Roman" w:hAnsi="Times New Roman"/>
          <w:color w:val="000000" w:themeColor="text1"/>
        </w:rPr>
        <w:t>niem czynności związanej z realizacją obowiązku doręczenia decyzji stronom. Inicjatorem postępowania pierwszoinstancyjnego oraz adresatem, który nabył prawa w wyniku decyzji RDOŚ w Gdańsku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z 28 lipca 2023 r. była PGE Energia Ciepła S.A. </w:t>
      </w:r>
      <w:r w:rsidRPr="007167CA">
        <w:rPr>
          <w:rStyle w:val="Uwydatnienie"/>
          <w:rFonts w:ascii="Times New Roman" w:hAnsi="Times New Roman"/>
          <w:color w:val="000000" w:themeColor="text1"/>
        </w:rPr>
        <w:t>Zważając na powyższ</w:t>
      </w:r>
      <w:r w:rsidRPr="007167CA">
        <w:rPr>
          <w:rStyle w:val="Uwydatnienie"/>
          <w:rFonts w:ascii="Times New Roman" w:hAnsi="Times New Roman"/>
          <w:color w:val="000000" w:themeColor="text1"/>
        </w:rPr>
        <w:t>e</w:t>
      </w:r>
      <w:r>
        <w:rPr>
          <w:rStyle w:val="Uwydatnienie"/>
          <w:rFonts w:ascii="Times New Roman" w:hAnsi="Times New Roman"/>
          <w:color w:val="000000" w:themeColor="text1"/>
        </w:rPr>
        <w:t>,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należy stwierdzić, że decyzja nie została skierowana do osoby niebędącej stroną w sprawie zatem nie doszło do naruszenia art. 156 § 1 pkt 4 </w:t>
      </w:r>
      <w:r w:rsidRPr="007167CA">
        <w:rPr>
          <w:rStyle w:val="Uwydatnienie"/>
          <w:rFonts w:ascii="Times New Roman" w:hAnsi="Times New Roman"/>
          <w:color w:val="000000" w:themeColor="text1"/>
        </w:rPr>
        <w:t>k.p.a</w:t>
      </w:r>
      <w:r w:rsidRPr="007167CA">
        <w:rPr>
          <w:rStyle w:val="Uwydatnienie"/>
          <w:rFonts w:ascii="Times New Roman" w:hAnsi="Times New Roman"/>
          <w:color w:val="000000" w:themeColor="text1"/>
        </w:rPr>
        <w:t>. Nadmienić należy, że decyzja została doręczona wnioskodawcy, a także</w:t>
      </w:r>
      <w:r>
        <w:rPr>
          <w:rStyle w:val="Uwydatnienie"/>
          <w:rFonts w:ascii="Times New Roman" w:hAnsi="Times New Roman"/>
          <w:color w:val="000000" w:themeColor="text1"/>
        </w:rPr>
        <w:t xml:space="preserve"> pozostałym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stronom postępowania </w:t>
      </w:r>
      <w:r>
        <w:rPr>
          <w:rStyle w:val="Uwydatnienie"/>
          <w:rFonts w:ascii="Times New Roman" w:hAnsi="Times New Roman"/>
          <w:color w:val="000000" w:themeColor="text1"/>
        </w:rPr>
        <w:t xml:space="preserve">w trybie art. 49 k.p.a. tj.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poprzez upublicznienie zawiadomienia RDOŚ w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Gdańsku </w:t>
      </w:r>
      <w:r w:rsidRPr="00D57BFC">
        <w:rPr>
          <w:rStyle w:val="Uwydatnienie"/>
          <w:rFonts w:ascii="Times New Roman" w:hAnsi="Times New Roman"/>
          <w:color w:val="000000" w:themeColor="text1"/>
        </w:rPr>
        <w:t xml:space="preserve">z </w:t>
      </w:r>
      <w:r w:rsidRPr="00D57BFC">
        <w:rPr>
          <w:rStyle w:val="Uwydatnienie"/>
          <w:rFonts w:ascii="Times New Roman" w:hAnsi="Times New Roman"/>
          <w:color w:val="000000" w:themeColor="text1"/>
        </w:rPr>
        <w:t>28 lipca 2023 r., znak: RDOŚ-Gd-WOO.420.4.2023.MR.21,</w:t>
      </w:r>
      <w:r w:rsidRPr="00D57BFC">
        <w:rPr>
          <w:rStyle w:val="Uwydatnienie"/>
          <w:rFonts w:ascii="Times New Roman" w:hAnsi="Times New Roman"/>
          <w:color w:val="000000" w:themeColor="text1"/>
        </w:rPr>
        <w:t xml:space="preserve"> </w:t>
      </w:r>
      <w:r>
        <w:rPr>
          <w:rStyle w:val="Uwydatnienie"/>
          <w:rFonts w:ascii="Times New Roman" w:hAnsi="Times New Roman"/>
          <w:color w:val="000000" w:themeColor="text1"/>
        </w:rPr>
        <w:t xml:space="preserve">informującym </w:t>
      </w:r>
      <w:r w:rsidRPr="007167CA">
        <w:rPr>
          <w:rStyle w:val="Uwydatnienie"/>
          <w:rFonts w:ascii="Times New Roman" w:hAnsi="Times New Roman"/>
          <w:color w:val="000000" w:themeColor="text1"/>
        </w:rPr>
        <w:t>o wydaniu decyzji o środowiskowych uwarunkowaniach</w:t>
      </w:r>
      <w:r>
        <w:rPr>
          <w:rStyle w:val="Uwydatnienie"/>
          <w:rFonts w:ascii="Times New Roman" w:hAnsi="Times New Roman"/>
          <w:color w:val="000000" w:themeColor="text1"/>
        </w:rPr>
        <w:t>.</w:t>
      </w:r>
      <w:r>
        <w:rPr>
          <w:rStyle w:val="Uwydatnienie"/>
          <w:rFonts w:ascii="Times New Roman" w:hAnsi="Times New Roman"/>
          <w:color w:val="000000" w:themeColor="text1"/>
        </w:rPr>
        <w:t xml:space="preserve"> </w:t>
      </w:r>
    </w:p>
    <w:p w:rsidR="0062556A" w:rsidRPr="007167CA" w:rsidRDefault="001540CE" w:rsidP="007167CA">
      <w:pPr>
        <w:spacing w:after="0" w:line="312" w:lineRule="auto"/>
        <w:ind w:firstLine="708"/>
        <w:jc w:val="both"/>
        <w:rPr>
          <w:rStyle w:val="Uwydatnienie"/>
          <w:rFonts w:ascii="Times New Roman" w:hAnsi="Times New Roman"/>
          <w:color w:val="000000" w:themeColor="text1"/>
        </w:rPr>
      </w:pPr>
      <w:r w:rsidRPr="007167CA">
        <w:rPr>
          <w:rStyle w:val="Uwydatnienie"/>
          <w:rFonts w:ascii="Times New Roman" w:hAnsi="Times New Roman"/>
          <w:color w:val="000000" w:themeColor="text1"/>
        </w:rPr>
        <w:t>Zgodnie z art. 156 § 1 pkt 5 k.p.a. organ administracj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i publicznej stwierdza nieważność decyzji, która </w:t>
      </w:r>
      <w:r w:rsidRPr="007167CA">
        <w:rPr>
          <w:rFonts w:ascii="Times New Roman" w:hAnsi="Times New Roman"/>
          <w:sz w:val="24"/>
          <w:szCs w:val="24"/>
        </w:rPr>
        <w:t>została była niewykonalna w dniu jej wydania i jej niewykonalność ma charakter trwały</w:t>
      </w:r>
      <w:r w:rsidRPr="007167CA">
        <w:rPr>
          <w:rFonts w:ascii="Times New Roman" w:hAnsi="Times New Roman"/>
          <w:sz w:val="24"/>
          <w:szCs w:val="24"/>
        </w:rPr>
        <w:t xml:space="preserve"> oraz</w:t>
      </w:r>
      <w:r>
        <w:rPr>
          <w:rFonts w:ascii="Times New Roman" w:hAnsi="Times New Roman"/>
          <w:sz w:val="24"/>
          <w:szCs w:val="24"/>
        </w:rPr>
        <w:t>,</w:t>
      </w:r>
      <w:r w:rsidRPr="007167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godnie z art. 156 § 1 pkt </w:t>
      </w:r>
      <w:r>
        <w:rPr>
          <w:rStyle w:val="Uwydatnienie"/>
          <w:rFonts w:ascii="Times New Roman" w:hAnsi="Times New Roman"/>
          <w:color w:val="000000" w:themeColor="text1"/>
        </w:rPr>
        <w:t>6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k.p.a</w:t>
      </w:r>
      <w:r>
        <w:rPr>
          <w:rStyle w:val="Uwydatnienie"/>
          <w:rFonts w:ascii="Times New Roman" w:hAnsi="Times New Roman"/>
          <w:color w:val="000000" w:themeColor="text1"/>
        </w:rPr>
        <w:t>,</w:t>
      </w:r>
      <w:r w:rsidRPr="007167CA">
        <w:rPr>
          <w:rFonts w:ascii="Times New Roman" w:hAnsi="Times New Roman"/>
          <w:sz w:val="24"/>
          <w:szCs w:val="24"/>
        </w:rPr>
        <w:t xml:space="preserve"> </w:t>
      </w:r>
      <w:r w:rsidRPr="007167CA">
        <w:rPr>
          <w:rFonts w:ascii="Times New Roman" w:hAnsi="Times New Roman"/>
          <w:sz w:val="24"/>
          <w:szCs w:val="24"/>
        </w:rPr>
        <w:t>która w razie jej wykonania wywołałaby czyn zagrożony karą.</w:t>
      </w:r>
    </w:p>
    <w:p w:rsidR="00A3201F" w:rsidRPr="007167CA" w:rsidRDefault="001540CE" w:rsidP="007167CA">
      <w:pPr>
        <w:spacing w:after="0" w:line="312" w:lineRule="auto"/>
        <w:ind w:firstLine="708"/>
        <w:jc w:val="both"/>
        <w:rPr>
          <w:rStyle w:val="Uwydatnienie"/>
          <w:rFonts w:ascii="Times New Roman" w:hAnsi="Times New Roman"/>
          <w:color w:val="000000" w:themeColor="text1"/>
        </w:rPr>
      </w:pPr>
      <w:r w:rsidRPr="007167CA">
        <w:rPr>
          <w:rStyle w:val="Uwydatnienie"/>
          <w:rFonts w:ascii="Times New Roman" w:hAnsi="Times New Roman"/>
          <w:color w:val="000000" w:themeColor="text1"/>
        </w:rPr>
        <w:t xml:space="preserve">GDOŚ stwierdza, że </w:t>
      </w:r>
      <w:r w:rsidRPr="007167CA">
        <w:rPr>
          <w:rStyle w:val="Uwydatnienie"/>
          <w:rFonts w:ascii="Times New Roman" w:hAnsi="Times New Roman"/>
          <w:color w:val="000000" w:themeColor="text1"/>
        </w:rPr>
        <w:t>zaskarżona decyzja nie zawiera rozstrzygnięcia sprawy, które był</w:t>
      </w:r>
      <w:r>
        <w:rPr>
          <w:rStyle w:val="Uwydatnienie"/>
          <w:rFonts w:ascii="Times New Roman" w:hAnsi="Times New Roman"/>
          <w:color w:val="000000" w:themeColor="text1"/>
        </w:rPr>
        <w:t>o</w:t>
      </w:r>
      <w:r w:rsidRPr="007167CA">
        <w:rPr>
          <w:rStyle w:val="Uwydatnienie"/>
          <w:rFonts w:ascii="Times New Roman" w:hAnsi="Times New Roman"/>
          <w:color w:val="000000" w:themeColor="text1"/>
        </w:rPr>
        <w:t>by niewykonalne w dniu jej wydania</w:t>
      </w:r>
      <w:r>
        <w:rPr>
          <w:rStyle w:val="Uwydatnienie"/>
          <w:rFonts w:ascii="Times New Roman" w:hAnsi="Times New Roman"/>
          <w:color w:val="000000" w:themeColor="text1"/>
        </w:rPr>
        <w:t>, a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niewykonalność </w:t>
      </w:r>
      <w:r>
        <w:rPr>
          <w:rStyle w:val="Uwydatnienie"/>
          <w:rFonts w:ascii="Times New Roman" w:hAnsi="Times New Roman"/>
          <w:color w:val="000000" w:themeColor="text1"/>
        </w:rPr>
        <w:t xml:space="preserve">ta </w:t>
      </w:r>
      <w:r w:rsidRPr="007167CA">
        <w:rPr>
          <w:rStyle w:val="Uwydatnienie"/>
          <w:rFonts w:ascii="Times New Roman" w:hAnsi="Times New Roman"/>
          <w:color w:val="000000" w:themeColor="text1"/>
        </w:rPr>
        <w:t>m</w:t>
      </w:r>
      <w:r>
        <w:rPr>
          <w:rStyle w:val="Uwydatnienie"/>
          <w:rFonts w:ascii="Times New Roman" w:hAnsi="Times New Roman"/>
          <w:color w:val="000000" w:themeColor="text1"/>
        </w:rPr>
        <w:t>iałaby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charakter trwały. W tym miejscu należy wyjaśnić, że decyzja jest niewykonalna w rozumieniu ww. przepisów wówczas, gdy zachodzi </w:t>
      </w:r>
      <w:r w:rsidRPr="007167CA">
        <w:rPr>
          <w:rStyle w:val="Uwydatnienie"/>
          <w:rFonts w:ascii="Times New Roman" w:hAnsi="Times New Roman"/>
          <w:color w:val="000000" w:themeColor="text1"/>
        </w:rPr>
        <w:t>przeszkoda w jej wykonaniu</w:t>
      </w:r>
      <w:r>
        <w:rPr>
          <w:rStyle w:val="Uwydatnienie"/>
          <w:rFonts w:ascii="Times New Roman" w:hAnsi="Times New Roman"/>
          <w:color w:val="000000" w:themeColor="text1"/>
        </w:rPr>
        <w:t>,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wynikająca z określonych przepisów prawa – istnieją prawne nakazy lub zakazy</w:t>
      </w:r>
      <w:r>
        <w:rPr>
          <w:rStyle w:val="Uwydatnienie"/>
          <w:rFonts w:ascii="Times New Roman" w:hAnsi="Times New Roman"/>
          <w:color w:val="000000" w:themeColor="text1"/>
        </w:rPr>
        <w:t>,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lub jest ona faktycznie niemożliwa do wykonania, np. przy istniejącym stanie wiedzy technicznej. GDOŚ nie stwierdził, aby RDOŚ w </w:t>
      </w:r>
      <w:r w:rsidRPr="007167CA">
        <w:rPr>
          <w:rStyle w:val="Uwydatnienie"/>
          <w:rFonts w:ascii="Times New Roman" w:hAnsi="Times New Roman"/>
          <w:color w:val="000000" w:themeColor="text1"/>
        </w:rPr>
        <w:t>Gdańsku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kwestionowaną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decyzją nałożył na wnioskodawcę </w:t>
      </w:r>
      <w:r>
        <w:rPr>
          <w:rStyle w:val="Uwydatnienie"/>
          <w:rFonts w:ascii="Times New Roman" w:hAnsi="Times New Roman"/>
          <w:color w:val="000000" w:themeColor="text1"/>
        </w:rPr>
        <w:t>obowiązki</w:t>
      </w:r>
      <w:r w:rsidRPr="007167CA">
        <w:rPr>
          <w:rStyle w:val="Uwydatnienie"/>
          <w:rFonts w:ascii="Times New Roman" w:hAnsi="Times New Roman"/>
          <w:color w:val="000000" w:themeColor="text1"/>
        </w:rPr>
        <w:t>, które czyniłyby ww. decyzję niewykonalną.</w:t>
      </w:r>
      <w:r>
        <w:rPr>
          <w:rStyle w:val="Uwydatnienie"/>
          <w:rFonts w:ascii="Times New Roman" w:hAnsi="Times New Roman"/>
          <w:color w:val="000000" w:themeColor="text1"/>
        </w:rPr>
        <w:t xml:space="preserve"> </w:t>
      </w:r>
      <w:r>
        <w:rPr>
          <w:rStyle w:val="Uwydatnienie"/>
          <w:rFonts w:ascii="Times New Roman" w:hAnsi="Times New Roman"/>
          <w:color w:val="000000" w:themeColor="text1"/>
        </w:rPr>
        <w:t>Dodatkowo t</w:t>
      </w:r>
      <w:r>
        <w:rPr>
          <w:rStyle w:val="Uwydatnienie"/>
          <w:rFonts w:ascii="Times New Roman" w:hAnsi="Times New Roman"/>
          <w:color w:val="000000" w:themeColor="text1"/>
        </w:rPr>
        <w:t>reść nałożonych praw</w:t>
      </w:r>
      <w:r>
        <w:rPr>
          <w:rStyle w:val="Uwydatnienie"/>
          <w:rFonts w:ascii="Times New Roman" w:hAnsi="Times New Roman"/>
          <w:color w:val="000000" w:themeColor="text1"/>
        </w:rPr>
        <w:t>, w przypadku wykonania decyzji, nie wywołałaby czynu zagrożonego prawem</w:t>
      </w:r>
      <w:r>
        <w:rPr>
          <w:rStyle w:val="Uwydatnienie"/>
          <w:rFonts w:ascii="Times New Roman" w:hAnsi="Times New Roman"/>
          <w:color w:val="000000" w:themeColor="text1"/>
        </w:rPr>
        <w:t>, wobec czego w niniejszej sp</w:t>
      </w:r>
      <w:r>
        <w:rPr>
          <w:rStyle w:val="Uwydatnienie"/>
          <w:rFonts w:ascii="Times New Roman" w:hAnsi="Times New Roman"/>
          <w:color w:val="000000" w:themeColor="text1"/>
        </w:rPr>
        <w:t>r</w:t>
      </w:r>
      <w:r>
        <w:rPr>
          <w:rStyle w:val="Uwydatnienie"/>
          <w:rFonts w:ascii="Times New Roman" w:hAnsi="Times New Roman"/>
          <w:color w:val="000000" w:themeColor="text1"/>
        </w:rPr>
        <w:t xml:space="preserve">awie nie zachodzi przesłanka wskazana w pkt 6 omawianego przepisu. </w:t>
      </w:r>
    </w:p>
    <w:p w:rsidR="00CF1510" w:rsidRPr="007167CA" w:rsidRDefault="001540CE" w:rsidP="007167CA">
      <w:pPr>
        <w:spacing w:after="0" w:line="312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67CA">
        <w:rPr>
          <w:rStyle w:val="Uwydatnienie"/>
          <w:rFonts w:ascii="Times New Roman" w:hAnsi="Times New Roman"/>
          <w:color w:val="000000" w:themeColor="text1"/>
        </w:rPr>
        <w:t xml:space="preserve">Zgodnie z art. 156 § 1 pkt </w:t>
      </w:r>
      <w:r>
        <w:rPr>
          <w:rStyle w:val="Uwydatnienie"/>
          <w:rFonts w:ascii="Times New Roman" w:hAnsi="Times New Roman"/>
          <w:color w:val="000000" w:themeColor="text1"/>
        </w:rPr>
        <w:t>7</w:t>
      </w:r>
      <w:r w:rsidRPr="007167CA">
        <w:rPr>
          <w:rStyle w:val="Uwydatnienie"/>
          <w:rFonts w:ascii="Times New Roman" w:hAnsi="Times New Roman"/>
          <w:color w:val="000000" w:themeColor="text1"/>
        </w:rPr>
        <w:t xml:space="preserve"> k.p.a. organ administracji publicznej stwierdza nieważność decyzji, która </w:t>
      </w:r>
      <w:r w:rsidRPr="007167CA">
        <w:rPr>
          <w:rFonts w:ascii="Times New Roman" w:hAnsi="Times New Roman"/>
          <w:sz w:val="24"/>
          <w:szCs w:val="24"/>
        </w:rPr>
        <w:t>zawiera wadę powodującą jej nieważność z mocy prawa.</w:t>
      </w:r>
    </w:p>
    <w:p w:rsidR="009A35F5" w:rsidRDefault="001540CE" w:rsidP="007167CA">
      <w:pPr>
        <w:spacing w:after="0" w:line="312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67CA">
        <w:rPr>
          <w:rFonts w:ascii="Times New Roman" w:hAnsi="Times New Roman"/>
          <w:sz w:val="24"/>
          <w:szCs w:val="24"/>
        </w:rPr>
        <w:t>Przesłanka wskazana w art. 156 §</w:t>
      </w:r>
      <w:r w:rsidRPr="007167CA">
        <w:rPr>
          <w:rFonts w:ascii="Times New Roman" w:hAnsi="Times New Roman"/>
          <w:sz w:val="24"/>
          <w:szCs w:val="24"/>
        </w:rPr>
        <w:t xml:space="preserve"> 1 pkt 7 k.p.a. stanowi podstawę stwierdzenia nieważności decyzji tylko wtedy, gdy przepis prawa materialnego przewiduje, że określona wadliwość decyzji powoduje jej nieważność</w:t>
      </w:r>
      <w:r>
        <w:rPr>
          <w:rFonts w:ascii="Times New Roman" w:hAnsi="Times New Roman"/>
          <w:sz w:val="24"/>
          <w:szCs w:val="24"/>
        </w:rPr>
        <w:t xml:space="preserve"> z mocy prawa</w:t>
      </w:r>
      <w:r w:rsidRPr="007167CA">
        <w:rPr>
          <w:rFonts w:ascii="Times New Roman" w:hAnsi="Times New Roman"/>
          <w:sz w:val="24"/>
          <w:szCs w:val="24"/>
        </w:rPr>
        <w:t xml:space="preserve"> (wyrok NSA II OSK 1294/16)</w:t>
      </w:r>
      <w:r w:rsidRPr="007167CA">
        <w:rPr>
          <w:rFonts w:ascii="Times New Roman" w:hAnsi="Times New Roman"/>
          <w:sz w:val="24"/>
          <w:szCs w:val="24"/>
        </w:rPr>
        <w:t xml:space="preserve">. </w:t>
      </w:r>
      <w:r w:rsidRPr="007C6CD9">
        <w:rPr>
          <w:rFonts w:ascii="Times New Roman" w:hAnsi="Times New Roman"/>
          <w:sz w:val="24"/>
          <w:szCs w:val="24"/>
        </w:rPr>
        <w:lastRenderedPageBreak/>
        <w:t>Z</w:t>
      </w:r>
      <w:r>
        <w:rPr>
          <w:rFonts w:ascii="Times New Roman" w:hAnsi="Times New Roman"/>
          <w:sz w:val="24"/>
          <w:szCs w:val="24"/>
        </w:rPr>
        <w:t> </w:t>
      </w:r>
      <w:r w:rsidRPr="007C6CD9">
        <w:rPr>
          <w:rFonts w:ascii="Times New Roman" w:hAnsi="Times New Roman"/>
          <w:sz w:val="24"/>
          <w:szCs w:val="24"/>
        </w:rPr>
        <w:t>powyższego wynika, że norma ta stano</w:t>
      </w:r>
      <w:r w:rsidRPr="007C6CD9">
        <w:rPr>
          <w:rFonts w:ascii="Times New Roman" w:hAnsi="Times New Roman"/>
          <w:sz w:val="24"/>
          <w:szCs w:val="24"/>
        </w:rPr>
        <w:t>wi podstawę stwierdzenia nieważności decyzji tylko wtedy, gdy przepis prawa materialnego przewiduje, że określona wadliwość decyzji powoduje jej nieważność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W obowiązujących przepisach prawa brak jest klauzuli nieważności decyzji o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środowiskowych </w:t>
      </w:r>
      <w:r>
        <w:rPr>
          <w:rFonts w:ascii="Times New Roman" w:hAnsi="Times New Roman"/>
          <w:sz w:val="24"/>
          <w:szCs w:val="24"/>
        </w:rPr>
        <w:t>uwarunkowaniach</w:t>
      </w:r>
      <w:r>
        <w:rPr>
          <w:rFonts w:ascii="Times New Roman" w:hAnsi="Times New Roman"/>
          <w:sz w:val="24"/>
          <w:szCs w:val="24"/>
        </w:rPr>
        <w:t xml:space="preserve">, która z mocy prawa sankcjonowałaby wyeliminowanie z obrotu prawnego </w:t>
      </w:r>
      <w:r>
        <w:rPr>
          <w:rFonts w:ascii="Times New Roman" w:hAnsi="Times New Roman"/>
          <w:sz w:val="24"/>
          <w:szCs w:val="24"/>
        </w:rPr>
        <w:t>takiej decyzji, poprzez stwierdzenie jej nieważności.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Tym samym bezsprzecznym jest, że zaskarżona decyzja nie zawiera wady powodującej jej nieważność z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mocy prawa.</w:t>
      </w:r>
    </w:p>
    <w:p w:rsidR="00EE7B73" w:rsidRDefault="001540CE" w:rsidP="000C648D">
      <w:pPr>
        <w:pStyle w:val="Podtytu"/>
        <w:spacing w:after="20" w:line="312" w:lineRule="auto"/>
        <w:ind w:firstLine="708"/>
        <w:rPr>
          <w:rFonts w:ascii="Times New Roman" w:hAnsi="Times New Roman" w:cs="Times New Roman"/>
        </w:rPr>
      </w:pPr>
      <w:r w:rsidRPr="001B49AD">
        <w:rPr>
          <w:rFonts w:ascii="Times New Roman" w:hAnsi="Times New Roman" w:cs="Times New Roman"/>
        </w:rPr>
        <w:t>Mając n</w:t>
      </w:r>
      <w:r w:rsidRPr="001B49AD">
        <w:rPr>
          <w:rFonts w:ascii="Times New Roman" w:hAnsi="Times New Roman" w:cs="Times New Roman"/>
        </w:rPr>
        <w:t xml:space="preserve">a uwadze charakter prowadzonego postępowania administracyjnego, którego istotą jest wyeliminowanie z obrotu prawnego decyzji obarczonych wadami kwalifikowanymi, GDOŚ dokonał oceny skutków prawnych zaskarżonej decyzji RDOŚ w Gdańsku z 28 lipca 2023 r., nie </w:t>
      </w:r>
      <w:r w:rsidRPr="001B49AD">
        <w:rPr>
          <w:rFonts w:ascii="Times New Roman" w:hAnsi="Times New Roman" w:cs="Times New Roman"/>
        </w:rPr>
        <w:t>znajdując wad sankcjonujących stwierdzenie jej nieważności</w:t>
      </w:r>
      <w:r>
        <w:rPr>
          <w:rFonts w:ascii="Times New Roman" w:hAnsi="Times New Roman" w:cs="Times New Roman"/>
        </w:rPr>
        <w:t>.</w:t>
      </w:r>
    </w:p>
    <w:p w:rsidR="009A35F5" w:rsidRPr="009602E7" w:rsidRDefault="001540CE" w:rsidP="000C648D">
      <w:pPr>
        <w:pStyle w:val="Podtytu"/>
        <w:spacing w:after="20" w:line="312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GDOŚ </w:t>
      </w:r>
      <w:r>
        <w:rPr>
          <w:rFonts w:ascii="Times New Roman" w:hAnsi="Times New Roman" w:cs="Times New Roman"/>
        </w:rPr>
        <w:t xml:space="preserve">podkreśla, że </w:t>
      </w:r>
      <w:r>
        <w:rPr>
          <w:rFonts w:ascii="Times New Roman" w:hAnsi="Times New Roman"/>
        </w:rPr>
        <w:t>p</w:t>
      </w:r>
      <w:r w:rsidRPr="001B49AD">
        <w:rPr>
          <w:rFonts w:ascii="Times New Roman" w:hAnsi="Times New Roman"/>
        </w:rPr>
        <w:t>ostępowanie w sprawie stwierdzenia nieważności decyzji jest odrębnym postępowaniem, w którym nie może dochodzić do ponownego rozpatrzenia sprawy, tak jak w postępowaniu odwoław</w:t>
      </w:r>
      <w:r w:rsidRPr="001B49AD">
        <w:rPr>
          <w:rFonts w:ascii="Times New Roman" w:hAnsi="Times New Roman"/>
        </w:rPr>
        <w:t xml:space="preserve">czym. Postępowanie to ma na celu nie merytoryczne rozstrzygnięcie sprawy, ale wyeliminowanie z obrotu prawnego decyzji obarczonych wadami wymienionymi w art. 156 § 1 </w:t>
      </w:r>
      <w:r>
        <w:rPr>
          <w:rFonts w:ascii="Times New Roman" w:hAnsi="Times New Roman"/>
        </w:rPr>
        <w:t xml:space="preserve">k.p.a. </w:t>
      </w:r>
      <w:r w:rsidRPr="001B49AD">
        <w:rPr>
          <w:rFonts w:ascii="Times New Roman" w:hAnsi="Times New Roman"/>
        </w:rPr>
        <w:t xml:space="preserve">Przesłanki stwierdzenia nieważności decyzji, ze względu na to, że stanowią katalog </w:t>
      </w:r>
      <w:r w:rsidRPr="001B49AD">
        <w:rPr>
          <w:rFonts w:ascii="Times New Roman" w:hAnsi="Times New Roman"/>
        </w:rPr>
        <w:t xml:space="preserve">zamknięty, nie mogą podlegać wykładni rozszerzającej. Powinny być one interpretowane dosłownie, a nawet zawężająco (por. B. Adamiak, J. Borkowski, op. cit., str. 742). Stwierdzenie nieważności decyzji jest instytucją szczególną, godzącą w zasadę trwałości </w:t>
      </w:r>
      <w:r w:rsidRPr="001B49AD">
        <w:rPr>
          <w:rFonts w:ascii="Times New Roman" w:hAnsi="Times New Roman"/>
        </w:rPr>
        <w:t>decyzji administracyjnych, zatem zaistnienie przesłanki powodującej stwierdzenie nieważności musi być oczywiste i oczywistość tę należy wykazać. W orzecznictwie podkreśla się, że stwierdzenie nieważności ostatecznej decyzji administracyjnej wymaga bezsporn</w:t>
      </w:r>
      <w:r w:rsidRPr="001B49AD">
        <w:rPr>
          <w:rFonts w:ascii="Times New Roman" w:hAnsi="Times New Roman"/>
        </w:rPr>
        <w:t xml:space="preserve">ego ustalenia, że decyzja ta jest dotknięta jedną z wad wskazanych w powyższym przepisie (por. wyrok Naczelnego Sądu Administracyjnego z dnia 5 kwietnia 2013 r., sygn. akt II OSK </w:t>
      </w:r>
      <w:r w:rsidRPr="009602E7">
        <w:rPr>
          <w:rFonts w:ascii="Times New Roman" w:hAnsi="Times New Roman"/>
        </w:rPr>
        <w:t>2338/11). GDO</w:t>
      </w:r>
      <w:r>
        <w:rPr>
          <w:rFonts w:ascii="Times New Roman" w:hAnsi="Times New Roman"/>
        </w:rPr>
        <w:t>Ś</w:t>
      </w:r>
      <w:r w:rsidRPr="009602E7">
        <w:rPr>
          <w:rFonts w:ascii="Times New Roman" w:hAnsi="Times New Roman"/>
        </w:rPr>
        <w:t xml:space="preserve">, mając powyższe na uwadze, dokonał oceny decyzji RDOŚ w </w:t>
      </w:r>
      <w:r w:rsidRPr="009602E7">
        <w:rPr>
          <w:rFonts w:ascii="Times New Roman" w:hAnsi="Times New Roman"/>
        </w:rPr>
        <w:t>Gdańsk</w:t>
      </w:r>
      <w:r w:rsidRPr="009602E7">
        <w:rPr>
          <w:rFonts w:ascii="Times New Roman" w:hAnsi="Times New Roman"/>
        </w:rPr>
        <w:t>u z</w:t>
      </w:r>
      <w:r w:rsidRPr="009602E7">
        <w:rPr>
          <w:rFonts w:ascii="Times New Roman" w:hAnsi="Times New Roman"/>
        </w:rPr>
        <w:t xml:space="preserve"> </w:t>
      </w:r>
      <w:r w:rsidRPr="009602E7">
        <w:rPr>
          <w:rFonts w:ascii="Times New Roman" w:hAnsi="Times New Roman"/>
        </w:rPr>
        <w:t>28 lipca 2023</w:t>
      </w:r>
      <w:r w:rsidRPr="009602E7">
        <w:rPr>
          <w:rFonts w:ascii="Times New Roman" w:hAnsi="Times New Roman"/>
        </w:rPr>
        <w:t xml:space="preserve"> r. pod względem wystąpienia przesłanek ujętych w art. 156 § 1 </w:t>
      </w:r>
      <w:r w:rsidRPr="009602E7">
        <w:rPr>
          <w:rFonts w:ascii="Times New Roman" w:hAnsi="Times New Roman"/>
        </w:rPr>
        <w:t>k.p.a.</w:t>
      </w:r>
      <w:r w:rsidRPr="009602E7">
        <w:rPr>
          <w:rFonts w:ascii="Times New Roman" w:hAnsi="Times New Roman"/>
        </w:rPr>
        <w:t xml:space="preserve"> Zaskarżona decyzja jest wolna od wad, będących podstawą do stwierdzenia jej nieważności.</w:t>
      </w:r>
    </w:p>
    <w:p w:rsidR="00E50162" w:rsidRPr="009602E7" w:rsidRDefault="001540CE" w:rsidP="00D33434">
      <w:pPr>
        <w:spacing w:after="0" w:line="312" w:lineRule="auto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2E7">
        <w:rPr>
          <w:rFonts w:ascii="Times New Roman" w:hAnsi="Times New Roman"/>
          <w:b/>
          <w:color w:val="000000" w:themeColor="text1"/>
          <w:sz w:val="24"/>
          <w:szCs w:val="24"/>
        </w:rPr>
        <w:t>Wobec powyższego orzeczono jak w sentencji.</w:t>
      </w:r>
    </w:p>
    <w:p w:rsidR="00E50162" w:rsidRPr="009602E7" w:rsidRDefault="001540CE" w:rsidP="007167CA">
      <w:pPr>
        <w:spacing w:after="40" w:line="312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50162" w:rsidRPr="009602E7" w:rsidRDefault="001540CE" w:rsidP="007167CA">
      <w:pPr>
        <w:spacing w:after="40" w:line="312" w:lineRule="auto"/>
        <w:ind w:firstLine="425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2E7">
        <w:rPr>
          <w:rFonts w:ascii="Times New Roman" w:hAnsi="Times New Roman"/>
          <w:b/>
          <w:color w:val="000000" w:themeColor="text1"/>
          <w:sz w:val="24"/>
          <w:szCs w:val="24"/>
        </w:rPr>
        <w:t>Pouczenie</w:t>
      </w:r>
    </w:p>
    <w:p w:rsidR="009602E7" w:rsidRPr="009602E7" w:rsidRDefault="001540CE" w:rsidP="000C2A85">
      <w:pPr>
        <w:numPr>
          <w:ilvl w:val="0"/>
          <w:numId w:val="8"/>
        </w:numPr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602E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strona niezadowolona z niniejszej decyzji, zgodnie z art. 127 </w:t>
      </w:r>
      <w:r w:rsidRPr="009602E7">
        <w:rPr>
          <w:rFonts w:ascii="Times New Roman" w:eastAsia="Times New Roman" w:hAnsi="Times New Roman"/>
          <w:sz w:val="24"/>
          <w:szCs w:val="24"/>
        </w:rPr>
        <w:t>§ 3 oraz art. 129 § 2 k.p.a., może zwrócić się do GDOŚ, w terminie czternastu dni od dnia jej doręczenia, z wnioskiem o ponowne rozpatrzenie sprawy;</w:t>
      </w:r>
    </w:p>
    <w:p w:rsidR="009602E7" w:rsidRPr="009602E7" w:rsidRDefault="001540CE" w:rsidP="000C2A85">
      <w:pPr>
        <w:numPr>
          <w:ilvl w:val="0"/>
          <w:numId w:val="8"/>
        </w:numPr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602E7">
        <w:rPr>
          <w:rFonts w:ascii="Times New Roman" w:eastAsia="Times New Roman" w:hAnsi="Times New Roman"/>
          <w:sz w:val="24"/>
          <w:szCs w:val="24"/>
        </w:rPr>
        <w:t>w trakcie biegu terminu do wniesienia wniosku</w:t>
      </w:r>
      <w:r w:rsidRPr="009602E7">
        <w:rPr>
          <w:rFonts w:ascii="Times New Roman" w:eastAsia="Times New Roman" w:hAnsi="Times New Roman"/>
          <w:sz w:val="24"/>
          <w:szCs w:val="24"/>
        </w:rPr>
        <w:t xml:space="preserve"> o ponowne rozpatrzenia sprawy strona, zgodnie z art. 127a § 1 w związku z art. 127 § 3 k.p.a., może zrzec się prawa do wniesienia wniosku o ponowne rozpatrzenie sprawy wobec GDOŚ;</w:t>
      </w:r>
    </w:p>
    <w:p w:rsidR="009602E7" w:rsidRPr="009602E7" w:rsidRDefault="001540CE" w:rsidP="000C2A85">
      <w:pPr>
        <w:numPr>
          <w:ilvl w:val="0"/>
          <w:numId w:val="8"/>
        </w:numPr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602E7">
        <w:rPr>
          <w:rFonts w:ascii="Times New Roman" w:eastAsia="Times New Roman" w:hAnsi="Times New Roman"/>
          <w:sz w:val="24"/>
          <w:szCs w:val="24"/>
        </w:rPr>
        <w:lastRenderedPageBreak/>
        <w:t>z dniem doręczenia GDOŚ oświadczenia o zrzeczeniu się prawa do wniesienia w</w:t>
      </w:r>
      <w:r w:rsidRPr="009602E7">
        <w:rPr>
          <w:rFonts w:ascii="Times New Roman" w:eastAsia="Times New Roman" w:hAnsi="Times New Roman"/>
          <w:sz w:val="24"/>
          <w:szCs w:val="24"/>
        </w:rPr>
        <w:t>niosku o ponowne rozpatrzenie sprawy przez ostatnią ze stron, zgodnie z art. 127a § 2 w związku z art. 127 § 3 k.p.a., niniejsza decyzja staje się ostateczna i prawomocna;</w:t>
      </w:r>
    </w:p>
    <w:p w:rsidR="009602E7" w:rsidRPr="009602E7" w:rsidRDefault="001540CE" w:rsidP="000C2A85">
      <w:pPr>
        <w:numPr>
          <w:ilvl w:val="0"/>
          <w:numId w:val="8"/>
        </w:numPr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602E7">
        <w:rPr>
          <w:rFonts w:ascii="Times New Roman" w:eastAsia="Times New Roman" w:hAnsi="Times New Roman"/>
          <w:sz w:val="24"/>
          <w:szCs w:val="24"/>
        </w:rPr>
        <w:t>na niniejszą decyzję, zgodnie z art. 52 § 3 w związku z art. 3 § 2 pkt 1 ustawy z dn</w:t>
      </w:r>
      <w:r w:rsidRPr="009602E7">
        <w:rPr>
          <w:rFonts w:ascii="Times New Roman" w:eastAsia="Times New Roman" w:hAnsi="Times New Roman"/>
          <w:sz w:val="24"/>
          <w:szCs w:val="24"/>
        </w:rPr>
        <w:t>ia 30 sierpnia 2002 r. — Prawo o postępowaniu przed sądami administracyjnymi (</w:t>
      </w:r>
      <w:r w:rsidRPr="00663065">
        <w:rPr>
          <w:rFonts w:ascii="Times New Roman" w:eastAsia="Times New Roman" w:hAnsi="Times New Roman"/>
          <w:sz w:val="24"/>
          <w:szCs w:val="24"/>
        </w:rPr>
        <w:t>Dz. U. z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663065">
        <w:rPr>
          <w:rFonts w:ascii="Times New Roman" w:eastAsia="Times New Roman" w:hAnsi="Times New Roman"/>
          <w:sz w:val="24"/>
          <w:szCs w:val="24"/>
        </w:rPr>
        <w:t>2024 r. poz. 935</w:t>
      </w:r>
      <w:r w:rsidRPr="009602E7">
        <w:rPr>
          <w:rFonts w:ascii="Times New Roman" w:eastAsia="Times New Roman" w:hAnsi="Times New Roman"/>
          <w:sz w:val="24"/>
          <w:szCs w:val="24"/>
        </w:rPr>
        <w:t>, ze zm.), dalej p.p.s.a., bez konieczności skorzystania z prawa do wniesienia wniosku o ponowne rozpatrzenie sprawy;</w:t>
      </w:r>
    </w:p>
    <w:p w:rsidR="009602E7" w:rsidRPr="009602E7" w:rsidRDefault="001540CE" w:rsidP="000C2A85">
      <w:pPr>
        <w:numPr>
          <w:ilvl w:val="0"/>
          <w:numId w:val="8"/>
        </w:numPr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602E7">
        <w:rPr>
          <w:rFonts w:ascii="Times New Roman" w:eastAsia="Times New Roman" w:hAnsi="Times New Roman"/>
          <w:sz w:val="24"/>
          <w:szCs w:val="24"/>
        </w:rPr>
        <w:t xml:space="preserve">zgodnie z art. 54 § 1 oraz art. 53 </w:t>
      </w:r>
      <w:r w:rsidRPr="009602E7">
        <w:rPr>
          <w:rFonts w:ascii="Times New Roman" w:eastAsia="Times New Roman" w:hAnsi="Times New Roman"/>
          <w:sz w:val="24"/>
          <w:szCs w:val="24"/>
        </w:rPr>
        <w:t>§ 1 p.p.s.a. skargę wnosi się za pośrednictwem GDOŚ w terminie trzydziestu dni od dnia doręczenia skarżącemu decyzji;</w:t>
      </w:r>
    </w:p>
    <w:p w:rsidR="009602E7" w:rsidRPr="009602E7" w:rsidRDefault="001540CE" w:rsidP="000C2A85">
      <w:pPr>
        <w:numPr>
          <w:ilvl w:val="0"/>
          <w:numId w:val="8"/>
        </w:numPr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602E7">
        <w:rPr>
          <w:rFonts w:ascii="Times New Roman" w:eastAsia="Times New Roman" w:hAnsi="Times New Roman"/>
          <w:sz w:val="24"/>
          <w:szCs w:val="24"/>
        </w:rPr>
        <w:t>skarżący, zgodnie z art. 230 p.p.s.a. w związku z § 2 ust. 5 rozporządzenia Rady Ministrów z dnia 16 grudnia 2003 r. w sprawie wysokości o</w:t>
      </w:r>
      <w:r w:rsidRPr="009602E7">
        <w:rPr>
          <w:rFonts w:ascii="Times New Roman" w:eastAsia="Times New Roman" w:hAnsi="Times New Roman"/>
          <w:sz w:val="24"/>
          <w:szCs w:val="24"/>
        </w:rPr>
        <w:t>raz szczegółowych zasad pobierania wpisu w postępowaniu przed sądami administracyjnymi (Dz. U. z 2021 r. poz. 535), obowiązany jest do uiszczenia wpisu od skargi w kwocie 200 zł. Skarżący, co wynika z art. 239 p.p.s.a., może być zwolniona z obowiązku uiszc</w:t>
      </w:r>
      <w:r w:rsidRPr="009602E7">
        <w:rPr>
          <w:rFonts w:ascii="Times New Roman" w:eastAsia="Times New Roman" w:hAnsi="Times New Roman"/>
          <w:sz w:val="24"/>
          <w:szCs w:val="24"/>
        </w:rPr>
        <w:t>zenia kosztów sądowych;</w:t>
      </w:r>
    </w:p>
    <w:p w:rsidR="009602E7" w:rsidRPr="009602E7" w:rsidRDefault="001540CE" w:rsidP="000C2A85">
      <w:pPr>
        <w:numPr>
          <w:ilvl w:val="0"/>
          <w:numId w:val="8"/>
        </w:numPr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602E7">
        <w:rPr>
          <w:rFonts w:ascii="Times New Roman" w:eastAsia="Times New Roman" w:hAnsi="Times New Roman"/>
          <w:sz w:val="24"/>
          <w:szCs w:val="24"/>
        </w:rPr>
        <w:t>skarżącemu, zgodnie z art. 243 p.p.s.a., może być przyznane na jego wniosek prawo do pomocy. Wniosek ten jest wolny od opłat sądowych.</w:t>
      </w:r>
    </w:p>
    <w:p w:rsidR="00E71714" w:rsidRPr="007167CA" w:rsidRDefault="001540CE" w:rsidP="007167C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167CA"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220345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1714" w:rsidRPr="001561A1" w:rsidRDefault="001540CE" w:rsidP="007C0A7B">
                            <w:pPr>
                              <w:pStyle w:val="menfont"/>
                              <w:ind w:left="3969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11" w:name="ezdPracownikPodpisNazwa"/>
                            <w:r w:rsidRPr="001561A1">
                              <w:rPr>
                                <w:rFonts w:ascii="Times New Roman" w:hAnsi="Times New Roman" w:cs="Times New Roman"/>
                              </w:rPr>
                              <w:t>Piotr Otawski</w:t>
                            </w:r>
                            <w:bookmarkEnd w:id="11"/>
                          </w:p>
                          <w:p w:rsidR="00E71714" w:rsidRPr="001561A1" w:rsidRDefault="001540CE" w:rsidP="007C0A7B">
                            <w:pPr>
                              <w:pStyle w:val="menfont"/>
                              <w:ind w:left="3969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12" w:name="ezdPracownikPodpisStanowisko"/>
                            <w:r w:rsidRPr="001561A1">
                              <w:rPr>
                                <w:rFonts w:ascii="Times New Roman" w:hAnsi="Times New Roman" w:cs="Times New Roman"/>
                              </w:rPr>
                              <w:t>Generalny Dyrektor Ochrony Środowiska</w:t>
                            </w:r>
                            <w:bookmarkEnd w:id="12"/>
                          </w:p>
                          <w:p w:rsidR="00E71714" w:rsidRPr="001561A1" w:rsidRDefault="001540CE" w:rsidP="007C0A7B">
                            <w:pPr>
                              <w:pStyle w:val="menfont"/>
                              <w:spacing w:line="276" w:lineRule="auto"/>
                              <w:ind w:left="3969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61A1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</w:rPr>
                              <w:t>/ – podpisany cyfrowo –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5" type="#_x0000_t202" style="height:65.9pt;margin-left:0;margin-top:17.35pt;mso-position-horizontal-relative:margin;mso-width-percent:0;mso-width-relative:margin;mso-wrap-distance-bottom:0;mso-wrap-distance-left:9pt;mso-wrap-distance-right:9pt;mso-wrap-distance-top:0;position:absolute;width:453.6pt;z-index:-251658240" filled="f" fillcolor="this" stroked="f" strokeweight="0.5pt">
                <v:textbox style="mso-fit-shape-to-text:t">
                  <w:txbxContent>
                    <w:p w:rsidR="00E71714" w:rsidRPr="001561A1" w:rsidP="007C0A7B">
                      <w:pPr>
                        <w:pStyle w:val="menfont"/>
                        <w:ind w:left="3969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bookmarkStart w:id="11" w:name="ezdPracownikPodpisNazwa"/>
                      <w:r w:rsidRPr="001561A1">
                        <w:rPr>
                          <w:rFonts w:ascii="Times New Roman" w:hAnsi="Times New Roman" w:cs="Times New Roman"/>
                        </w:rPr>
                        <w:t>Piotr Otawski</w:t>
                      </w:r>
                      <w:bookmarkEnd w:id="11"/>
                    </w:p>
                    <w:p w:rsidR="00E71714" w:rsidRPr="001561A1" w:rsidP="007C0A7B">
                      <w:pPr>
                        <w:pStyle w:val="menfont"/>
                        <w:ind w:left="3969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bookmarkStart w:id="12" w:name="ezdPracownikPodpisStanowisko"/>
                      <w:r w:rsidRPr="001561A1">
                        <w:rPr>
                          <w:rFonts w:ascii="Times New Roman" w:hAnsi="Times New Roman" w:cs="Times New Roman"/>
                        </w:rPr>
                        <w:t>Generalny Dyrektor Ochrony Środowiska</w:t>
                      </w:r>
                      <w:bookmarkEnd w:id="12"/>
                    </w:p>
                    <w:p w:rsidR="00E71714" w:rsidRPr="001561A1" w:rsidP="007C0A7B">
                      <w:pPr>
                        <w:pStyle w:val="menfont"/>
                        <w:spacing w:line="276" w:lineRule="auto"/>
                        <w:ind w:left="3969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561A1">
                        <w:rPr>
                          <w:rFonts w:ascii="Times New Roman" w:hAnsi="Times New Roman" w:cs="Times New Roman"/>
                          <w:color w:val="7F7F7F" w:themeColor="text1" w:themeTint="80"/>
                        </w:rPr>
                        <w:t>/ – podpisany cyfrowo – 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50162" w:rsidRPr="007167CA" w:rsidRDefault="001540CE" w:rsidP="007167CA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D059AD" w:rsidRDefault="001540CE" w:rsidP="007167CA">
      <w:pPr>
        <w:spacing w:after="0" w:line="312" w:lineRule="auto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bookmarkStart w:id="13" w:name="_Hlk181192016"/>
    </w:p>
    <w:p w:rsidR="00D059AD" w:rsidRDefault="001540CE" w:rsidP="007167CA">
      <w:pPr>
        <w:spacing w:after="0" w:line="312" w:lineRule="auto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:rsidR="00D059AD" w:rsidRDefault="001540CE" w:rsidP="007167CA">
      <w:pPr>
        <w:spacing w:after="0" w:line="312" w:lineRule="auto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:rsidR="00D059AD" w:rsidRDefault="001540CE" w:rsidP="007167CA">
      <w:pPr>
        <w:spacing w:after="0" w:line="312" w:lineRule="auto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:rsidR="00D059AD" w:rsidRDefault="001540CE" w:rsidP="007167CA">
      <w:pPr>
        <w:spacing w:after="0" w:line="312" w:lineRule="auto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:rsidR="00D059AD" w:rsidRDefault="001540CE" w:rsidP="007167CA">
      <w:pPr>
        <w:spacing w:after="0" w:line="312" w:lineRule="auto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:rsidR="00D059AD" w:rsidRDefault="001540CE" w:rsidP="007167CA">
      <w:pPr>
        <w:spacing w:after="0" w:line="312" w:lineRule="auto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:rsidR="00D059AD" w:rsidRDefault="001540CE" w:rsidP="007167CA">
      <w:pPr>
        <w:spacing w:after="0" w:line="312" w:lineRule="auto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:rsidR="00D059AD" w:rsidRDefault="001540CE" w:rsidP="007167CA">
      <w:pPr>
        <w:spacing w:after="0" w:line="312" w:lineRule="auto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:rsidR="00D059AD" w:rsidRDefault="001540CE" w:rsidP="007167CA">
      <w:pPr>
        <w:spacing w:after="0" w:line="312" w:lineRule="auto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:rsidR="00D059AD" w:rsidRDefault="001540CE" w:rsidP="007167CA">
      <w:pPr>
        <w:spacing w:after="0" w:line="312" w:lineRule="auto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:rsidR="00D059AD" w:rsidRDefault="001540CE" w:rsidP="007167CA">
      <w:pPr>
        <w:spacing w:after="0" w:line="312" w:lineRule="auto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:rsidR="00D059AD" w:rsidRDefault="001540CE" w:rsidP="007167CA">
      <w:pPr>
        <w:spacing w:after="0" w:line="312" w:lineRule="auto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:rsidR="00E50162" w:rsidRPr="00555674" w:rsidRDefault="001540CE" w:rsidP="007167CA">
      <w:pPr>
        <w:spacing w:after="0" w:line="312" w:lineRule="auto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555674">
        <w:rPr>
          <w:rFonts w:ascii="Times New Roman" w:hAnsi="Times New Roman"/>
          <w:b/>
          <w:bCs/>
          <w:color w:val="000000" w:themeColor="text1"/>
          <w:sz w:val="20"/>
          <w:szCs w:val="20"/>
        </w:rPr>
        <w:t>Otrzymują:</w:t>
      </w:r>
    </w:p>
    <w:p w:rsidR="00E50162" w:rsidRPr="00555674" w:rsidRDefault="00902EAD" w:rsidP="00F1574F">
      <w:pPr>
        <w:pStyle w:val="Akapitzlist"/>
        <w:numPr>
          <w:ilvl w:val="0"/>
          <w:numId w:val="3"/>
        </w:numPr>
        <w:tabs>
          <w:tab w:val="clear" w:pos="454"/>
          <w:tab w:val="num" w:pos="284"/>
        </w:tabs>
        <w:spacing w:after="0" w:line="312" w:lineRule="auto"/>
        <w:ind w:left="680" w:hanging="34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szCs w:val="24"/>
        </w:rPr>
        <w:t>(…)</w:t>
      </w:r>
      <w:bookmarkStart w:id="14" w:name="_GoBack"/>
      <w:bookmarkEnd w:id="14"/>
      <w:r w:rsidR="001540C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1540CE" w:rsidRPr="00555674">
        <w:rPr>
          <w:rFonts w:ascii="Times New Roman" w:hAnsi="Times New Roman"/>
          <w:color w:val="000000" w:themeColor="text1"/>
          <w:sz w:val="20"/>
          <w:szCs w:val="20"/>
        </w:rPr>
        <w:t>(za pośrednictwem e-</w:t>
      </w:r>
      <w:proofErr w:type="spellStart"/>
      <w:r w:rsidR="001540CE" w:rsidRPr="00555674">
        <w:rPr>
          <w:rFonts w:ascii="Times New Roman" w:hAnsi="Times New Roman"/>
          <w:color w:val="000000" w:themeColor="text1"/>
          <w:sz w:val="20"/>
          <w:szCs w:val="20"/>
        </w:rPr>
        <w:t>Puap</w:t>
      </w:r>
      <w:proofErr w:type="spellEnd"/>
      <w:r w:rsidR="001540CE" w:rsidRPr="00555674">
        <w:rPr>
          <w:rFonts w:ascii="Times New Roman" w:hAnsi="Times New Roman"/>
          <w:color w:val="000000" w:themeColor="text1"/>
          <w:sz w:val="20"/>
          <w:szCs w:val="20"/>
        </w:rPr>
        <w:t>);</w:t>
      </w:r>
    </w:p>
    <w:p w:rsidR="00562FA9" w:rsidRPr="00555674" w:rsidRDefault="001540CE" w:rsidP="00F1574F">
      <w:pPr>
        <w:pStyle w:val="Akapitzlist"/>
        <w:numPr>
          <w:ilvl w:val="0"/>
          <w:numId w:val="3"/>
        </w:numPr>
        <w:tabs>
          <w:tab w:val="clear" w:pos="454"/>
          <w:tab w:val="num" w:pos="284"/>
        </w:tabs>
        <w:spacing w:after="0" w:line="312" w:lineRule="auto"/>
        <w:ind w:left="680" w:hanging="34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55674">
        <w:rPr>
          <w:rFonts w:ascii="Times New Roman" w:hAnsi="Times New Roman"/>
          <w:color w:val="000000" w:themeColor="text1"/>
          <w:sz w:val="20"/>
          <w:szCs w:val="20"/>
        </w:rPr>
        <w:t>PGE Energia Ciepła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S.A.</w:t>
      </w:r>
      <w:r w:rsidRPr="00555674">
        <w:rPr>
          <w:rFonts w:ascii="Times New Roman" w:hAnsi="Times New Roman"/>
          <w:color w:val="000000" w:themeColor="text1"/>
          <w:sz w:val="20"/>
          <w:szCs w:val="20"/>
        </w:rPr>
        <w:t>, ul. Złota 59, 00-120 Warszawa</w:t>
      </w:r>
      <w:r w:rsidRPr="00555674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080C6F" w:rsidRPr="00555674" w:rsidRDefault="001540CE" w:rsidP="00F1574F">
      <w:pPr>
        <w:pStyle w:val="Akapitzlist"/>
        <w:numPr>
          <w:ilvl w:val="0"/>
          <w:numId w:val="3"/>
        </w:numPr>
        <w:tabs>
          <w:tab w:val="clear" w:pos="454"/>
          <w:tab w:val="num" w:pos="284"/>
        </w:tabs>
        <w:spacing w:after="0" w:line="312" w:lineRule="auto"/>
        <w:ind w:left="680" w:hanging="34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p</w:t>
      </w:r>
      <w:r w:rsidRPr="00555674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ozostałe strony postępowania na podstawie art. 49 </w:t>
      </w:r>
      <w:r w:rsidRPr="00555674">
        <w:rPr>
          <w:rFonts w:ascii="Times New Roman" w:eastAsia="Times New Roman" w:hAnsi="Times New Roman"/>
          <w:sz w:val="20"/>
          <w:szCs w:val="20"/>
          <w:lang w:eastAsia="pl-PL"/>
        </w:rPr>
        <w:t>§ 1 k.p.a. w związku z art. 74 ust. 3 u.o.o.ś.</w:t>
      </w:r>
    </w:p>
    <w:p w:rsidR="00E50162" w:rsidRPr="00555674" w:rsidRDefault="001540CE" w:rsidP="007167CA">
      <w:pPr>
        <w:spacing w:before="60" w:after="0" w:line="312" w:lineRule="auto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555674">
        <w:rPr>
          <w:rFonts w:ascii="Times New Roman" w:hAnsi="Times New Roman"/>
          <w:b/>
          <w:bCs/>
          <w:color w:val="000000" w:themeColor="text1"/>
          <w:sz w:val="20"/>
          <w:szCs w:val="20"/>
        </w:rPr>
        <w:t>Do wiadomości:</w:t>
      </w:r>
    </w:p>
    <w:p w:rsidR="00E50162" w:rsidRPr="00555674" w:rsidRDefault="001540CE" w:rsidP="00F1574F">
      <w:pPr>
        <w:numPr>
          <w:ilvl w:val="0"/>
          <w:numId w:val="4"/>
        </w:numPr>
        <w:spacing w:after="0" w:line="312" w:lineRule="auto"/>
        <w:ind w:left="680" w:hanging="34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55674">
        <w:rPr>
          <w:rFonts w:ascii="Times New Roman" w:hAnsi="Times New Roman"/>
          <w:color w:val="000000" w:themeColor="text1"/>
          <w:sz w:val="20"/>
          <w:szCs w:val="20"/>
        </w:rPr>
        <w:t>R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egionalny </w:t>
      </w:r>
      <w:r w:rsidRPr="00555674">
        <w:rPr>
          <w:rFonts w:ascii="Times New Roman" w:hAnsi="Times New Roman"/>
          <w:color w:val="000000" w:themeColor="text1"/>
          <w:sz w:val="20"/>
          <w:szCs w:val="20"/>
        </w:rPr>
        <w:t>D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yrektor </w:t>
      </w:r>
      <w:r w:rsidRPr="00555674">
        <w:rPr>
          <w:rFonts w:ascii="Times New Roman" w:hAnsi="Times New Roman"/>
          <w:color w:val="000000" w:themeColor="text1"/>
          <w:sz w:val="20"/>
          <w:szCs w:val="20"/>
        </w:rPr>
        <w:t>O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chrony </w:t>
      </w:r>
      <w:r w:rsidRPr="00555674">
        <w:rPr>
          <w:rFonts w:ascii="Times New Roman" w:hAnsi="Times New Roman"/>
          <w:color w:val="000000" w:themeColor="text1"/>
          <w:sz w:val="20"/>
          <w:szCs w:val="20"/>
        </w:rPr>
        <w:t>Ś</w:t>
      </w:r>
      <w:r>
        <w:rPr>
          <w:rFonts w:ascii="Times New Roman" w:hAnsi="Times New Roman"/>
          <w:color w:val="000000" w:themeColor="text1"/>
          <w:sz w:val="20"/>
          <w:szCs w:val="20"/>
        </w:rPr>
        <w:t>rodowiska</w:t>
      </w:r>
      <w:r w:rsidRPr="00555674">
        <w:rPr>
          <w:rFonts w:ascii="Times New Roman" w:hAnsi="Times New Roman"/>
          <w:color w:val="000000" w:themeColor="text1"/>
          <w:sz w:val="20"/>
          <w:szCs w:val="20"/>
        </w:rPr>
        <w:t xml:space="preserve"> w </w:t>
      </w:r>
      <w:r w:rsidRPr="00555674">
        <w:rPr>
          <w:rFonts w:ascii="Times New Roman" w:hAnsi="Times New Roman"/>
          <w:color w:val="000000" w:themeColor="text1"/>
          <w:sz w:val="20"/>
          <w:szCs w:val="20"/>
        </w:rPr>
        <w:t>Gdańsku</w:t>
      </w:r>
      <w:bookmarkEnd w:id="13"/>
      <w:r>
        <w:rPr>
          <w:rFonts w:ascii="Times New Roman" w:hAnsi="Times New Roman"/>
          <w:color w:val="000000" w:themeColor="text1"/>
          <w:sz w:val="20"/>
          <w:szCs w:val="20"/>
        </w:rPr>
        <w:t xml:space="preserve"> (za pośrednictwem e-Puap).</w:t>
      </w:r>
    </w:p>
    <w:sectPr w:rsidR="00E50162" w:rsidRPr="00555674" w:rsidSect="00A3212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0CE" w:rsidRDefault="001540CE">
      <w:pPr>
        <w:spacing w:after="0" w:line="240" w:lineRule="auto"/>
      </w:pPr>
      <w:r>
        <w:separator/>
      </w:r>
    </w:p>
  </w:endnote>
  <w:endnote w:type="continuationSeparator" w:id="0">
    <w:p w:rsidR="001540CE" w:rsidRDefault="00154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945972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sdt>
        <w:sdtPr>
          <w:rPr>
            <w:rFonts w:ascii="Times New Roman" w:hAnsi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2778E" w:rsidRPr="00F2778E" w:rsidRDefault="001540CE">
            <w:pPr>
              <w:pStyle w:val="Stopka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F2778E">
              <w:rPr>
                <w:rFonts w:ascii="Times New Roman" w:hAnsi="Times New Roman"/>
                <w:sz w:val="20"/>
                <w:szCs w:val="20"/>
              </w:rPr>
              <w:t xml:space="preserve">trona </w:t>
            </w:r>
            <w:r w:rsidRPr="00F2778E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F2778E">
              <w:rPr>
                <w:rFonts w:ascii="Times New Roman" w:hAnsi="Times New Roman"/>
                <w:sz w:val="20"/>
                <w:szCs w:val="20"/>
              </w:rPr>
              <w:instrText>PAGE</w:instrText>
            </w:r>
            <w:r w:rsidRPr="00F2778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902EAD">
              <w:rPr>
                <w:rFonts w:ascii="Times New Roman" w:hAnsi="Times New Roman"/>
                <w:noProof/>
                <w:sz w:val="20"/>
                <w:szCs w:val="20"/>
              </w:rPr>
              <w:t>10</w:t>
            </w:r>
            <w:r w:rsidRPr="00F2778E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2778E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F2778E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F2778E">
              <w:rPr>
                <w:rFonts w:ascii="Times New Roman" w:hAnsi="Times New Roman"/>
                <w:sz w:val="20"/>
                <w:szCs w:val="20"/>
              </w:rPr>
              <w:instrText>NUMPAGES</w:instrText>
            </w:r>
            <w:r w:rsidRPr="00F2778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902EAD">
              <w:rPr>
                <w:rFonts w:ascii="Times New Roman" w:hAnsi="Times New Roman"/>
                <w:noProof/>
                <w:sz w:val="20"/>
                <w:szCs w:val="20"/>
              </w:rPr>
              <w:t>10</w:t>
            </w:r>
            <w:r w:rsidRPr="00F2778E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sdtContent>
      </w:sdt>
    </w:sdtContent>
  </w:sdt>
  <w:p w:rsidR="00E71714" w:rsidRDefault="001540CE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13628266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562838343"/>
          <w:docPartObj>
            <w:docPartGallery w:val="Page Numbers (Top of Page)"/>
            <w:docPartUnique/>
          </w:docPartObj>
        </w:sdtPr>
        <w:sdtEndPr/>
        <w:sdtContent>
          <w:p w:rsidR="00F01314" w:rsidRPr="00F01314" w:rsidRDefault="001540CE">
            <w:pPr>
              <w:pStyle w:val="Stopka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F01314">
              <w:rPr>
                <w:rFonts w:ascii="Times New Roman" w:hAnsi="Times New Roman"/>
              </w:rPr>
              <w:t xml:space="preserve">trona </w:t>
            </w:r>
            <w:r w:rsidRPr="00F0131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01314">
              <w:rPr>
                <w:rFonts w:ascii="Times New Roman" w:hAnsi="Times New Roman"/>
              </w:rPr>
              <w:instrText>PAGE</w:instrText>
            </w:r>
            <w:r w:rsidRPr="00F0131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02EAD">
              <w:rPr>
                <w:rFonts w:ascii="Times New Roman" w:hAnsi="Times New Roman"/>
                <w:noProof/>
              </w:rPr>
              <w:t>1</w:t>
            </w:r>
            <w:r w:rsidRPr="00F0131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F01314">
              <w:rPr>
                <w:rFonts w:ascii="Times New Roman" w:hAnsi="Times New Roman"/>
              </w:rPr>
              <w:t xml:space="preserve"> z </w:t>
            </w:r>
            <w:r w:rsidRPr="00F0131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01314">
              <w:rPr>
                <w:rFonts w:ascii="Times New Roman" w:hAnsi="Times New Roman"/>
              </w:rPr>
              <w:instrText>NUMPAGES</w:instrText>
            </w:r>
            <w:r w:rsidRPr="00F0131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02EAD">
              <w:rPr>
                <w:rFonts w:ascii="Times New Roman" w:hAnsi="Times New Roman"/>
                <w:noProof/>
              </w:rPr>
              <w:t>10</w:t>
            </w:r>
            <w:r w:rsidRPr="00F0131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sdtContent>
      </w:sdt>
    </w:sdtContent>
  </w:sdt>
  <w:p w:rsidR="00F01314" w:rsidRDefault="001540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0CE" w:rsidRDefault="001540CE">
      <w:pPr>
        <w:spacing w:after="0" w:line="240" w:lineRule="auto"/>
      </w:pPr>
      <w:r>
        <w:separator/>
      </w:r>
    </w:p>
  </w:footnote>
  <w:footnote w:type="continuationSeparator" w:id="0">
    <w:p w:rsidR="001540CE" w:rsidRDefault="00154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714" w:rsidRDefault="001540C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E334F4" w:rsidTr="00B92515">
      <w:trPr>
        <w:trHeight w:val="470"/>
      </w:trPr>
      <w:tc>
        <w:tcPr>
          <w:tcW w:w="4641" w:type="dxa"/>
          <w:vAlign w:val="center"/>
        </w:tcPr>
        <w:p w:rsidR="00E71714" w:rsidRPr="00B92515" w:rsidRDefault="001540CE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71714" w:rsidRPr="00B92515" w:rsidRDefault="001540CE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B92515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:rsidR="00E71714" w:rsidRPr="00A65CAB" w:rsidRDefault="001540CE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B92515">
            <w:rPr>
              <w:rFonts w:ascii="Garamond" w:hAnsi="Garamond"/>
              <w:b/>
              <w:smallCaps/>
              <w:sz w:val="40"/>
              <w:szCs w:val="40"/>
            </w:rPr>
            <w:t>Ochrony Środowiska</w:t>
          </w:r>
        </w:p>
      </w:tc>
    </w:tr>
  </w:tbl>
  <w:p w:rsidR="00E71714" w:rsidRDefault="001540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C21B6"/>
    <w:multiLevelType w:val="hybridMultilevel"/>
    <w:tmpl w:val="1C9839BA"/>
    <w:lvl w:ilvl="0" w:tplc="E466D640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B424BB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9CEECC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1CBB3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EEE1A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1089D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2181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7A4C7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C208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0D4D93"/>
    <w:multiLevelType w:val="hybridMultilevel"/>
    <w:tmpl w:val="681687BE"/>
    <w:lvl w:ilvl="0" w:tplc="7B6AF09A">
      <w:start w:val="1"/>
      <w:numFmt w:val="decimal"/>
      <w:lvlText w:val="%1."/>
      <w:lvlJc w:val="left"/>
      <w:pPr>
        <w:ind w:left="720" w:hanging="360"/>
      </w:pPr>
    </w:lvl>
    <w:lvl w:ilvl="1" w:tplc="E998101C" w:tentative="1">
      <w:start w:val="1"/>
      <w:numFmt w:val="lowerLetter"/>
      <w:lvlText w:val="%2."/>
      <w:lvlJc w:val="left"/>
      <w:pPr>
        <w:ind w:left="1440" w:hanging="360"/>
      </w:pPr>
    </w:lvl>
    <w:lvl w:ilvl="2" w:tplc="426A706A" w:tentative="1">
      <w:start w:val="1"/>
      <w:numFmt w:val="lowerRoman"/>
      <w:lvlText w:val="%3."/>
      <w:lvlJc w:val="right"/>
      <w:pPr>
        <w:ind w:left="2160" w:hanging="180"/>
      </w:pPr>
    </w:lvl>
    <w:lvl w:ilvl="3" w:tplc="0E7AB25E" w:tentative="1">
      <w:start w:val="1"/>
      <w:numFmt w:val="decimal"/>
      <w:lvlText w:val="%4."/>
      <w:lvlJc w:val="left"/>
      <w:pPr>
        <w:ind w:left="2880" w:hanging="360"/>
      </w:pPr>
    </w:lvl>
    <w:lvl w:ilvl="4" w:tplc="387663F6" w:tentative="1">
      <w:start w:val="1"/>
      <w:numFmt w:val="lowerLetter"/>
      <w:lvlText w:val="%5."/>
      <w:lvlJc w:val="left"/>
      <w:pPr>
        <w:ind w:left="3600" w:hanging="360"/>
      </w:pPr>
    </w:lvl>
    <w:lvl w:ilvl="5" w:tplc="64A21EF8" w:tentative="1">
      <w:start w:val="1"/>
      <w:numFmt w:val="lowerRoman"/>
      <w:lvlText w:val="%6."/>
      <w:lvlJc w:val="right"/>
      <w:pPr>
        <w:ind w:left="4320" w:hanging="180"/>
      </w:pPr>
    </w:lvl>
    <w:lvl w:ilvl="6" w:tplc="5162AE84" w:tentative="1">
      <w:start w:val="1"/>
      <w:numFmt w:val="decimal"/>
      <w:lvlText w:val="%7."/>
      <w:lvlJc w:val="left"/>
      <w:pPr>
        <w:ind w:left="5040" w:hanging="360"/>
      </w:pPr>
    </w:lvl>
    <w:lvl w:ilvl="7" w:tplc="B4548D14" w:tentative="1">
      <w:start w:val="1"/>
      <w:numFmt w:val="lowerLetter"/>
      <w:lvlText w:val="%8."/>
      <w:lvlJc w:val="left"/>
      <w:pPr>
        <w:ind w:left="5760" w:hanging="360"/>
      </w:pPr>
    </w:lvl>
    <w:lvl w:ilvl="8" w:tplc="B49E9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A7390"/>
    <w:multiLevelType w:val="hybridMultilevel"/>
    <w:tmpl w:val="AEE2B2EC"/>
    <w:lvl w:ilvl="0" w:tplc="629A28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A427F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080F8B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2865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BECC5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AE4A9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42DF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6ADD2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87C68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EE7376"/>
    <w:multiLevelType w:val="hybridMultilevel"/>
    <w:tmpl w:val="91E8F82E"/>
    <w:lvl w:ilvl="0" w:tplc="9564A526">
      <w:start w:val="1"/>
      <w:numFmt w:val="decimal"/>
      <w:lvlText w:val="%1)"/>
      <w:lvlJc w:val="left"/>
      <w:pPr>
        <w:ind w:left="720" w:hanging="360"/>
      </w:pPr>
    </w:lvl>
    <w:lvl w:ilvl="1" w:tplc="5100ED22" w:tentative="1">
      <w:start w:val="1"/>
      <w:numFmt w:val="lowerLetter"/>
      <w:lvlText w:val="%2."/>
      <w:lvlJc w:val="left"/>
      <w:pPr>
        <w:ind w:left="1440" w:hanging="360"/>
      </w:pPr>
    </w:lvl>
    <w:lvl w:ilvl="2" w:tplc="E014EB1A" w:tentative="1">
      <w:start w:val="1"/>
      <w:numFmt w:val="lowerRoman"/>
      <w:lvlText w:val="%3."/>
      <w:lvlJc w:val="right"/>
      <w:pPr>
        <w:ind w:left="2160" w:hanging="180"/>
      </w:pPr>
    </w:lvl>
    <w:lvl w:ilvl="3" w:tplc="FC4EC878" w:tentative="1">
      <w:start w:val="1"/>
      <w:numFmt w:val="decimal"/>
      <w:lvlText w:val="%4."/>
      <w:lvlJc w:val="left"/>
      <w:pPr>
        <w:ind w:left="2880" w:hanging="360"/>
      </w:pPr>
    </w:lvl>
    <w:lvl w:ilvl="4" w:tplc="56183F04" w:tentative="1">
      <w:start w:val="1"/>
      <w:numFmt w:val="lowerLetter"/>
      <w:lvlText w:val="%5."/>
      <w:lvlJc w:val="left"/>
      <w:pPr>
        <w:ind w:left="3600" w:hanging="360"/>
      </w:pPr>
    </w:lvl>
    <w:lvl w:ilvl="5" w:tplc="D5DCD5E2" w:tentative="1">
      <w:start w:val="1"/>
      <w:numFmt w:val="lowerRoman"/>
      <w:lvlText w:val="%6."/>
      <w:lvlJc w:val="right"/>
      <w:pPr>
        <w:ind w:left="4320" w:hanging="180"/>
      </w:pPr>
    </w:lvl>
    <w:lvl w:ilvl="6" w:tplc="C19AD97A" w:tentative="1">
      <w:start w:val="1"/>
      <w:numFmt w:val="decimal"/>
      <w:lvlText w:val="%7."/>
      <w:lvlJc w:val="left"/>
      <w:pPr>
        <w:ind w:left="5040" w:hanging="360"/>
      </w:pPr>
    </w:lvl>
    <w:lvl w:ilvl="7" w:tplc="A27E4C74" w:tentative="1">
      <w:start w:val="1"/>
      <w:numFmt w:val="lowerLetter"/>
      <w:lvlText w:val="%8."/>
      <w:lvlJc w:val="left"/>
      <w:pPr>
        <w:ind w:left="5760" w:hanging="360"/>
      </w:pPr>
    </w:lvl>
    <w:lvl w:ilvl="8" w:tplc="53185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A02B9"/>
    <w:multiLevelType w:val="hybridMultilevel"/>
    <w:tmpl w:val="5AE68286"/>
    <w:lvl w:ilvl="0" w:tplc="F67CBCF4">
      <w:start w:val="1"/>
      <w:numFmt w:val="decimal"/>
      <w:lvlText w:val="%1."/>
      <w:lvlJc w:val="left"/>
      <w:pPr>
        <w:tabs>
          <w:tab w:val="num" w:pos="454"/>
        </w:tabs>
        <w:ind w:left="567" w:hanging="283"/>
      </w:pPr>
      <w:rPr>
        <w:rFonts w:hint="default"/>
      </w:rPr>
    </w:lvl>
    <w:lvl w:ilvl="1" w:tplc="5EB47F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9879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EE3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30E9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663B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E6C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D4ED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3687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EE0277"/>
    <w:multiLevelType w:val="hybridMultilevel"/>
    <w:tmpl w:val="57327B8C"/>
    <w:lvl w:ilvl="0" w:tplc="0250079E">
      <w:start w:val="1"/>
      <w:numFmt w:val="decimal"/>
      <w:lvlText w:val="%1."/>
      <w:lvlJc w:val="left"/>
      <w:pPr>
        <w:ind w:left="720" w:hanging="360"/>
      </w:pPr>
    </w:lvl>
    <w:lvl w:ilvl="1" w:tplc="742659D2" w:tentative="1">
      <w:start w:val="1"/>
      <w:numFmt w:val="lowerLetter"/>
      <w:lvlText w:val="%2."/>
      <w:lvlJc w:val="left"/>
      <w:pPr>
        <w:ind w:left="1440" w:hanging="360"/>
      </w:pPr>
    </w:lvl>
    <w:lvl w:ilvl="2" w:tplc="20F6C50C" w:tentative="1">
      <w:start w:val="1"/>
      <w:numFmt w:val="lowerRoman"/>
      <w:lvlText w:val="%3."/>
      <w:lvlJc w:val="right"/>
      <w:pPr>
        <w:ind w:left="2160" w:hanging="180"/>
      </w:pPr>
    </w:lvl>
    <w:lvl w:ilvl="3" w:tplc="15E2EA16" w:tentative="1">
      <w:start w:val="1"/>
      <w:numFmt w:val="decimal"/>
      <w:lvlText w:val="%4."/>
      <w:lvlJc w:val="left"/>
      <w:pPr>
        <w:ind w:left="2880" w:hanging="360"/>
      </w:pPr>
    </w:lvl>
    <w:lvl w:ilvl="4" w:tplc="0CD47F5C" w:tentative="1">
      <w:start w:val="1"/>
      <w:numFmt w:val="lowerLetter"/>
      <w:lvlText w:val="%5."/>
      <w:lvlJc w:val="left"/>
      <w:pPr>
        <w:ind w:left="3600" w:hanging="360"/>
      </w:pPr>
    </w:lvl>
    <w:lvl w:ilvl="5" w:tplc="7F8A4DB2" w:tentative="1">
      <w:start w:val="1"/>
      <w:numFmt w:val="lowerRoman"/>
      <w:lvlText w:val="%6."/>
      <w:lvlJc w:val="right"/>
      <w:pPr>
        <w:ind w:left="4320" w:hanging="180"/>
      </w:pPr>
    </w:lvl>
    <w:lvl w:ilvl="6" w:tplc="24D6A60C" w:tentative="1">
      <w:start w:val="1"/>
      <w:numFmt w:val="decimal"/>
      <w:lvlText w:val="%7."/>
      <w:lvlJc w:val="left"/>
      <w:pPr>
        <w:ind w:left="5040" w:hanging="360"/>
      </w:pPr>
    </w:lvl>
    <w:lvl w:ilvl="7" w:tplc="A3A68604" w:tentative="1">
      <w:start w:val="1"/>
      <w:numFmt w:val="lowerLetter"/>
      <w:lvlText w:val="%8."/>
      <w:lvlJc w:val="left"/>
      <w:pPr>
        <w:ind w:left="5760" w:hanging="360"/>
      </w:pPr>
    </w:lvl>
    <w:lvl w:ilvl="8" w:tplc="CF5809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D4610"/>
    <w:multiLevelType w:val="hybridMultilevel"/>
    <w:tmpl w:val="5AE68286"/>
    <w:lvl w:ilvl="0" w:tplc="13F4EED6">
      <w:start w:val="1"/>
      <w:numFmt w:val="decimal"/>
      <w:lvlText w:val="%1."/>
      <w:lvlJc w:val="left"/>
      <w:pPr>
        <w:tabs>
          <w:tab w:val="num" w:pos="454"/>
        </w:tabs>
        <w:ind w:left="567" w:hanging="283"/>
      </w:pPr>
      <w:rPr>
        <w:rFonts w:hint="default"/>
      </w:rPr>
    </w:lvl>
    <w:lvl w:ilvl="1" w:tplc="4F48F4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CEE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483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AA9E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18FB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E8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E474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08F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1737BE"/>
    <w:multiLevelType w:val="hybridMultilevel"/>
    <w:tmpl w:val="9BF81C2E"/>
    <w:lvl w:ilvl="0" w:tplc="530449D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ED60004C" w:tentative="1">
      <w:start w:val="1"/>
      <w:numFmt w:val="lowerLetter"/>
      <w:lvlText w:val="%2."/>
      <w:lvlJc w:val="left"/>
      <w:pPr>
        <w:ind w:left="1080" w:hanging="360"/>
      </w:pPr>
    </w:lvl>
    <w:lvl w:ilvl="2" w:tplc="CDFCD8FE" w:tentative="1">
      <w:start w:val="1"/>
      <w:numFmt w:val="lowerRoman"/>
      <w:lvlText w:val="%3."/>
      <w:lvlJc w:val="right"/>
      <w:pPr>
        <w:ind w:left="1800" w:hanging="180"/>
      </w:pPr>
    </w:lvl>
    <w:lvl w:ilvl="3" w:tplc="189679EE" w:tentative="1">
      <w:start w:val="1"/>
      <w:numFmt w:val="decimal"/>
      <w:lvlText w:val="%4."/>
      <w:lvlJc w:val="left"/>
      <w:pPr>
        <w:ind w:left="2520" w:hanging="360"/>
      </w:pPr>
    </w:lvl>
    <w:lvl w:ilvl="4" w:tplc="415CE5BA" w:tentative="1">
      <w:start w:val="1"/>
      <w:numFmt w:val="lowerLetter"/>
      <w:lvlText w:val="%5."/>
      <w:lvlJc w:val="left"/>
      <w:pPr>
        <w:ind w:left="3240" w:hanging="360"/>
      </w:pPr>
    </w:lvl>
    <w:lvl w:ilvl="5" w:tplc="97D0733C" w:tentative="1">
      <w:start w:val="1"/>
      <w:numFmt w:val="lowerRoman"/>
      <w:lvlText w:val="%6."/>
      <w:lvlJc w:val="right"/>
      <w:pPr>
        <w:ind w:left="3960" w:hanging="180"/>
      </w:pPr>
    </w:lvl>
    <w:lvl w:ilvl="6" w:tplc="606CA55C" w:tentative="1">
      <w:start w:val="1"/>
      <w:numFmt w:val="decimal"/>
      <w:lvlText w:val="%7."/>
      <w:lvlJc w:val="left"/>
      <w:pPr>
        <w:ind w:left="4680" w:hanging="360"/>
      </w:pPr>
    </w:lvl>
    <w:lvl w:ilvl="7" w:tplc="2B7CA9AA" w:tentative="1">
      <w:start w:val="1"/>
      <w:numFmt w:val="lowerLetter"/>
      <w:lvlText w:val="%8."/>
      <w:lvlJc w:val="left"/>
      <w:pPr>
        <w:ind w:left="5400" w:hanging="360"/>
      </w:pPr>
    </w:lvl>
    <w:lvl w:ilvl="8" w:tplc="85CEC44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F4"/>
    <w:rsid w:val="001540CE"/>
    <w:rsid w:val="00902EAD"/>
    <w:rsid w:val="00E3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B5C7"/>
  <w15:docId w15:val="{5D06A2DF-78FD-4E0C-A635-BF656AE2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16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E16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Podtytu">
    <w:name w:val="Subtitle"/>
    <w:aliases w:val="inne"/>
    <w:basedOn w:val="Normalny"/>
    <w:next w:val="Normalny"/>
    <w:link w:val="PodtytuZnak"/>
    <w:uiPriority w:val="11"/>
    <w:qFormat/>
    <w:rsid w:val="003E16EC"/>
    <w:pPr>
      <w:spacing w:after="60" w:line="360" w:lineRule="auto"/>
      <w:ind w:firstLine="425"/>
      <w:jc w:val="both"/>
    </w:pPr>
    <w:rPr>
      <w:rFonts w:ascii="Garamond" w:hAnsi="Garamond" w:cs="Arial"/>
      <w:color w:val="000000" w:themeColor="text1"/>
      <w:sz w:val="24"/>
      <w:szCs w:val="24"/>
    </w:rPr>
  </w:style>
  <w:style w:type="character" w:customStyle="1" w:styleId="PodtytuZnak">
    <w:name w:val="Podtytuł Znak"/>
    <w:aliases w:val="inne Znak"/>
    <w:basedOn w:val="Domylnaczcionkaakapitu"/>
    <w:link w:val="Podtytu"/>
    <w:uiPriority w:val="11"/>
    <w:rsid w:val="003E16EC"/>
    <w:rPr>
      <w:rFonts w:ascii="Garamond" w:hAnsi="Garamond" w:cs="Arial"/>
      <w:color w:val="000000" w:themeColor="text1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semiHidden/>
    <w:rsid w:val="003E280D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E280D"/>
    <w:rPr>
      <w:rFonts w:ascii="Times New Roman" w:eastAsia="Times New Roman" w:hAnsi="Times New Roman"/>
      <w:color w:val="000000"/>
      <w:sz w:val="24"/>
    </w:rPr>
  </w:style>
  <w:style w:type="paragraph" w:styleId="Akapitzlist">
    <w:name w:val="List Paragraph"/>
    <w:aliases w:val="List Paragraph_0,Wyliczanie"/>
    <w:basedOn w:val="Normalny"/>
    <w:link w:val="AkapitzlistZnak"/>
    <w:uiPriority w:val="34"/>
    <w:qFormat/>
    <w:rsid w:val="00BA7921"/>
    <w:pPr>
      <w:ind w:left="720"/>
      <w:contextualSpacing/>
    </w:pPr>
  </w:style>
  <w:style w:type="character" w:styleId="Uwydatnienie">
    <w:name w:val="Emphasis"/>
    <w:aliases w:val="text"/>
    <w:qFormat/>
    <w:rsid w:val="00472810"/>
    <w:rPr>
      <w:rFonts w:ascii="Garamond" w:hAnsi="Garamond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68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68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68C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68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68C8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42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423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4239"/>
    <w:rPr>
      <w:vertAlign w:val="superscript"/>
    </w:rPr>
  </w:style>
  <w:style w:type="character" w:customStyle="1" w:styleId="AkapitzlistZnak">
    <w:name w:val="Akapit z listą Znak"/>
    <w:aliases w:val="List Paragraph_0 Znak,Wyliczanie Znak"/>
    <w:link w:val="Akapitzlist"/>
    <w:uiPriority w:val="34"/>
    <w:rsid w:val="00E50162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FF39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45B26-0857-4ED3-AB1F-DC001A49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2169</TotalTime>
  <Pages>1</Pages>
  <Words>4041</Words>
  <Characters>24252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Iwona Domaszewska</cp:lastModifiedBy>
  <cp:revision>69</cp:revision>
  <cp:lastPrinted>2010-12-24T09:23:00Z</cp:lastPrinted>
  <dcterms:created xsi:type="dcterms:W3CDTF">2022-11-06T06:10:00Z</dcterms:created>
  <dcterms:modified xsi:type="dcterms:W3CDTF">2025-03-19T09:45:00Z</dcterms:modified>
</cp:coreProperties>
</file>