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A2" w:rsidRDefault="008459A2" w:rsidP="008459A2">
      <w:pPr>
        <w:spacing w:after="0" w:line="240" w:lineRule="auto"/>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 xml:space="preserve">Załącznik nr 4 </w:t>
      </w:r>
      <w:r w:rsidR="00DB3273">
        <w:rPr>
          <w:rFonts w:ascii="Times New Roman" w:eastAsia="Times New Roman" w:hAnsi="Times New Roman" w:cs="Times New Roman"/>
          <w:lang w:eastAsia="pl-PL"/>
        </w:rPr>
        <w:t>A</w:t>
      </w:r>
      <w:r w:rsidRPr="008459A2">
        <w:rPr>
          <w:rFonts w:ascii="Times New Roman" w:eastAsia="Times New Roman" w:hAnsi="Times New Roman" w:cs="Times New Roman"/>
          <w:lang w:eastAsia="pl-PL"/>
        </w:rPr>
        <w:t>– środki prawne służące pokrzywdzonemu</w:t>
      </w:r>
    </w:p>
    <w:p w:rsidR="008459A2" w:rsidRPr="008459A2" w:rsidRDefault="008459A2" w:rsidP="008459A2">
      <w:pPr>
        <w:spacing w:after="0" w:line="240" w:lineRule="auto"/>
        <w:rPr>
          <w:rFonts w:ascii="Times New Roman" w:eastAsia="Times New Roman" w:hAnsi="Times New Roman" w:cs="Times New Roman"/>
          <w:lang w:eastAsia="pl-PL"/>
        </w:rPr>
      </w:pPr>
    </w:p>
    <w:p w:rsidR="008459A2" w:rsidRPr="008459A2" w:rsidRDefault="008459A2" w:rsidP="00372F45">
      <w:pPr>
        <w:spacing w:after="0" w:line="240" w:lineRule="auto"/>
        <w:ind w:firstLine="708"/>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Prawo karne nie przewiduje szczególnych środków dla ofiar handlu ludźmi. Pokrzywdzeni tym przestępstwem mogą korzystać ze środków przysługujących na zasadach ogólnych wszystkim pokrzywdzonym.</w:t>
      </w:r>
    </w:p>
    <w:p w:rsidR="008459A2" w:rsidRPr="008459A2" w:rsidRDefault="008459A2" w:rsidP="00372F45">
      <w:pPr>
        <w:spacing w:after="0" w:line="240" w:lineRule="auto"/>
        <w:ind w:firstLine="708"/>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Pokrzywdzony ma prawo do:</w:t>
      </w:r>
    </w:p>
    <w:p w:rsidR="008459A2" w:rsidRPr="008459A2" w:rsidRDefault="008459A2" w:rsidP="008459A2">
      <w:pPr>
        <w:spacing w:after="0" w:line="240" w:lineRule="auto"/>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 xml:space="preserve">- złożenia zażalenia na postanowienie o odmowie wszczęcia lub umorzeniu śledztwa bądź dochodzenia, a także do przejrzenia akt (art. 306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xml:space="preserve">, art. 325a par. 2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w:t>
      </w:r>
    </w:p>
    <w:p w:rsidR="008459A2" w:rsidRPr="008459A2" w:rsidRDefault="008459A2" w:rsidP="008459A2">
      <w:pPr>
        <w:spacing w:after="0" w:line="240" w:lineRule="auto"/>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 xml:space="preserve">- wystąpienia z aktem oskarżenia w przypadku ponownego, tj. po rozpatrzeniu ww. zażalenia wniesionego przez tego pokrzywdzonego, wydania postanowienia o odmowie lub umorzeniu postępowania (art. 55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xml:space="preserve">, art. 330 par 2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Pokrzywdzony na wystąpienie z aktem oskarżenia ma miesiąc od doręczenia mu postanowienia o ponownym umorzeniu lub odmowie.  Do postępowania wszczętego w wyniku wniesienia aktu oskarżenia mogą przyłączyć się również inni pokrzywdzeni danym czynem. Akt oskarżenia pokrzywdzonego musi zostać sporządzony i podpisany przez pełnomocnika wyznaczonego z urzędu bądź ustanowionego z wyboru.</w:t>
      </w:r>
    </w:p>
    <w:p w:rsidR="008459A2" w:rsidRPr="008459A2" w:rsidRDefault="008459A2" w:rsidP="008459A2">
      <w:pPr>
        <w:spacing w:after="0" w:line="240" w:lineRule="auto"/>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 xml:space="preserve">- złożenia apelacji od wyroku sądu I instancji w sytuacji, gdy jest stroną postępowania karnego (art. 425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xml:space="preserve">). Status strony pokrzywdzony zyskuje poprzez przystąpienie do postępowania w charakterze oskarżyciela posiłkowego, który może działać obok bądź zamiast oskarżyciela publicznego (art. 53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xml:space="preserve">). Oskarżycielem posiłkowym pokrzywdzony staje się poprzez złożenie aktu oskarżenia w okolicznościach, o których mowa w art. 55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xml:space="preserve">, bądź złożenie oświadczenia o przystąpieniu do postępowania w takim charakterze, jeśli akt oskarżenia złożył prokurator (art. 54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w:t>
      </w:r>
    </w:p>
    <w:p w:rsidR="008459A2" w:rsidRPr="008459A2" w:rsidRDefault="008459A2" w:rsidP="008459A2">
      <w:pPr>
        <w:spacing w:after="0" w:line="240" w:lineRule="auto"/>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 xml:space="preserve">Jeśli pokrzywdzony działający w charakterze oskarżyciela posiłkowego nie włada językiem polskim w wystarczającym stopniu, doręcza mu się w tłumaczeniu na język, którym włada, orzeczenie podlegające zaskarżeniu lub kończące postępowanie  w sprawie, chyba że wyrazi on zgodę na ogłoszenie ustne przetłumaczonego orzeczenia kończącego postępowanie i niepodlegającego zaskarżeniu (art. 56a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w:t>
      </w:r>
    </w:p>
    <w:p w:rsidR="008459A2" w:rsidRPr="008459A2" w:rsidRDefault="008459A2" w:rsidP="008459A2">
      <w:pPr>
        <w:spacing w:after="0" w:line="240" w:lineRule="auto"/>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 xml:space="preserve">- złożenia apelacji od wyroku warunkowo umarzającego postępowanie wydanego na posiedzeniu (art. 444 </w:t>
      </w:r>
      <w:proofErr w:type="spellStart"/>
      <w:r w:rsidRPr="008459A2">
        <w:rPr>
          <w:rFonts w:ascii="Times New Roman" w:eastAsia="Times New Roman" w:hAnsi="Times New Roman" w:cs="Times New Roman"/>
          <w:lang w:eastAsia="pl-PL"/>
        </w:rPr>
        <w:t>kpk</w:t>
      </w:r>
      <w:proofErr w:type="spellEnd"/>
      <w:r w:rsidRPr="008459A2">
        <w:rPr>
          <w:rFonts w:ascii="Times New Roman" w:eastAsia="Times New Roman" w:hAnsi="Times New Roman" w:cs="Times New Roman"/>
          <w:lang w:eastAsia="pl-PL"/>
        </w:rPr>
        <w:t>). Możliwość dla pokrzywdzonego (nie będącego jeszcze stroną postępowania) złożenia apelacji od tego typu rozstrzygnięcia uzasadnione jest etapem, na którym ono zapada. Posiedzenie, na którym rozstrzygana jest kwestia warunkowego umorzenia postępowania, ma miejsce na posiedzeniu przed ewentualną rozprawą sądu. Pokrzywdzony zaś ma prawo do złożenia oświadczenia o chęci występowania w postępowaniu jako oskarżyciel posiłkowy aż do rozpoczęcia przewodu sądowego na rozprawie głównej.</w:t>
      </w:r>
    </w:p>
    <w:p w:rsidR="008459A2" w:rsidRDefault="008459A2" w:rsidP="00372F45">
      <w:pPr>
        <w:spacing w:after="0" w:line="240" w:lineRule="auto"/>
        <w:ind w:firstLine="708"/>
        <w:jc w:val="both"/>
        <w:rPr>
          <w:rFonts w:ascii="Times New Roman" w:eastAsia="Times New Roman" w:hAnsi="Times New Roman" w:cs="Times New Roman"/>
          <w:lang w:eastAsia="pl-PL"/>
        </w:rPr>
      </w:pPr>
      <w:r w:rsidRPr="008459A2">
        <w:rPr>
          <w:rFonts w:ascii="Times New Roman" w:eastAsia="Times New Roman" w:hAnsi="Times New Roman" w:cs="Times New Roman"/>
          <w:lang w:eastAsia="pl-PL"/>
        </w:rPr>
        <w:t>Odnośnie do przysługujących pokrzywdzonemu świadczeń, tj. odszkodowania, zadośćuczynienia, kompensaty, czy wsparcia finansowego ze strony Państwa, to istnieją odpowiednie regulacje w prawie karnym i cywilnym umożliwiające dochodzenie roszczeń, a także odrębne przepisy dotyczące uzyskiwania pomocy ze strony Państwa. Również i w tym wypadku nie ma szczególnych rozwiązań odnoszących się do ofiar handlu ludźmi. Poniżej – tabela zawierającą zestawienie rozwiązań prawnych w tym zakresie.</w:t>
      </w:r>
    </w:p>
    <w:p w:rsidR="00DB729D" w:rsidRDefault="00DB729D" w:rsidP="00372F45">
      <w:pPr>
        <w:spacing w:after="0" w:line="240" w:lineRule="auto"/>
        <w:ind w:firstLine="708"/>
        <w:jc w:val="both"/>
        <w:rPr>
          <w:rFonts w:ascii="Times New Roman" w:eastAsia="Times New Roman" w:hAnsi="Times New Roman" w:cs="Times New Roman"/>
          <w:lang w:eastAsia="pl-PL"/>
        </w:rPr>
      </w:pPr>
    </w:p>
    <w:p w:rsidR="00DB729D" w:rsidRDefault="00DB729D" w:rsidP="00372F45">
      <w:pPr>
        <w:spacing w:after="0" w:line="240" w:lineRule="auto"/>
        <w:ind w:firstLine="708"/>
        <w:jc w:val="both"/>
        <w:rPr>
          <w:rFonts w:ascii="Times New Roman" w:eastAsia="Times New Roman" w:hAnsi="Times New Roman" w:cs="Times New Roman"/>
          <w:lang w:eastAsia="pl-PL"/>
        </w:rPr>
      </w:pPr>
    </w:p>
    <w:p w:rsidR="00DB729D" w:rsidRDefault="00DB729D" w:rsidP="00372F45">
      <w:pPr>
        <w:spacing w:after="0" w:line="240" w:lineRule="auto"/>
        <w:ind w:firstLine="708"/>
        <w:jc w:val="both"/>
        <w:rPr>
          <w:rFonts w:ascii="Times New Roman" w:eastAsia="Times New Roman" w:hAnsi="Times New Roman" w:cs="Times New Roman"/>
          <w:lang w:eastAsia="pl-PL"/>
        </w:rPr>
      </w:pPr>
      <w:bookmarkStart w:id="0" w:name="_GoBack"/>
      <w:bookmarkEnd w:id="0"/>
    </w:p>
    <w:sectPr w:rsidR="00DB7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A2"/>
    <w:rsid w:val="00372F45"/>
    <w:rsid w:val="00374867"/>
    <w:rsid w:val="008459A2"/>
    <w:rsid w:val="00AC4931"/>
    <w:rsid w:val="00CE5764"/>
    <w:rsid w:val="00DB3273"/>
    <w:rsid w:val="00DB7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59A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459A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845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59A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459A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84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3800">
      <w:bodyDiv w:val="1"/>
      <w:marLeft w:val="0"/>
      <w:marRight w:val="0"/>
      <w:marTop w:val="0"/>
      <w:marBottom w:val="0"/>
      <w:divBdr>
        <w:top w:val="none" w:sz="0" w:space="0" w:color="auto"/>
        <w:left w:val="none" w:sz="0" w:space="0" w:color="auto"/>
        <w:bottom w:val="none" w:sz="0" w:space="0" w:color="auto"/>
        <w:right w:val="none" w:sz="0" w:space="0" w:color="auto"/>
      </w:divBdr>
      <w:divsChild>
        <w:div w:id="150308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B5F3-F23E-466D-8B54-67E20A98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2639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Grochulska</dc:creator>
  <cp:lastModifiedBy>Kaczor Paweł  (DWMPC)</cp:lastModifiedBy>
  <cp:revision>3</cp:revision>
  <cp:lastPrinted>2017-09-25T07:46:00Z</cp:lastPrinted>
  <dcterms:created xsi:type="dcterms:W3CDTF">2017-09-25T07:46:00Z</dcterms:created>
  <dcterms:modified xsi:type="dcterms:W3CDTF">2017-09-25T07:48:00Z</dcterms:modified>
</cp:coreProperties>
</file>