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320" w:after="340" w:line="240" w:lineRule="auto"/>
        <w:ind w:left="0" w:right="0" w:firstLine="0"/>
        <w:jc w:val="right"/>
      </w:pPr>
      <w:r>
        <w:rPr>
          <w:rStyle w:val="CharStyle3"/>
        </w:rPr>
        <w:t>Białystok, 2026-05-11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left"/>
      </w:pPr>
      <w:r>
        <w:rPr>
          <w:rStyle w:val="CharStyle3"/>
        </w:rPr>
        <w:t>DR-III.7131.25.2026.RŁ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5"/>
          <w:b/>
          <w:bCs/>
        </w:rPr>
        <w:t>Pani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  <w:b/>
          <w:bCs/>
        </w:rPr>
        <w:t>Paulina Hennig-Kloska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820" w:line="240" w:lineRule="auto"/>
        <w:ind w:right="0" w:firstLine="0"/>
        <w:jc w:val="left"/>
      </w:pPr>
      <w:r>
        <w:rPr>
          <w:rStyle w:val="CharStyle5"/>
          <w:b/>
          <w:bCs/>
        </w:rPr>
        <w:t>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720"/>
        <w:jc w:val="both"/>
      </w:pPr>
      <w:r>
        <w:rPr>
          <w:rStyle w:val="CharStyle3"/>
        </w:rPr>
        <w:t>Szanowna Pani Minister,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3"/>
        </w:rPr>
        <w:t>zwracam się z uprzejmą prośbą o rozważenia wprowadzenia zmian zapisów ustawy z dnia 13 października 1995 r. – Prawo łowieckie (Dz.U. z 2025 r. poz. 539 z późn. zm.), w poniżej wymienionym zakresie. Dotychczasowe doświadczenia związane z realizacją zadania Rządowego zleconego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3"/>
        </w:rPr>
        <w:t>w przedmiotowej ustawie wskazują, że brak precyzyjnych regulacji skutkuje powstawaniem sporów pomiędzy stronami w szczególności w procesie szacowania szkód łowieckich, utrudnieniami w prawidłowym ustaleniu zakresu odpowiedzialności za szkody łowieckie oraz wydłużeniem postępowań.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350" w:lineRule="auto"/>
        <w:ind w:left="0" w:right="0" w:firstLine="740"/>
        <w:jc w:val="both"/>
      </w:pPr>
      <w:r>
        <w:rPr>
          <w:rStyle w:val="CharStyle3"/>
        </w:rPr>
        <w:t>W procedowanych sprawach występują nieścisłości związane z szacowaniem szkód łowieckich oraz procesem aktualizacji obwodów łowieckich, co w praktyce prowadzi do rozbieżności interpretacyjnych oraz trudności w jednolitym stosowaniu przepisów.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740"/>
        <w:jc w:val="both"/>
      </w:pPr>
      <w:r>
        <w:rPr>
          <w:rStyle w:val="CharStyle3"/>
          <w:b/>
          <w:bCs/>
        </w:rPr>
        <w:t>Bazując na dotychczasowym doświadczeniu proponujemy: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8" w:val="left"/>
        </w:tabs>
        <w:bidi w:val="0"/>
        <w:spacing w:before="0" w:after="60"/>
        <w:ind w:left="720" w:right="0" w:hanging="340"/>
        <w:jc w:val="both"/>
      </w:pPr>
      <w:r>
        <w:rPr>
          <w:rStyle w:val="CharStyle3"/>
          <w:b/>
          <w:bCs/>
        </w:rPr>
        <w:t xml:space="preserve">dopisanie do art. 46 ust. 3 obowiązku dołączania do wniosku dokumentu potwierdzającego tytuł prawny do gruntu </w:t>
      </w:r>
      <w:r>
        <w:rPr>
          <w:rStyle w:val="CharStyle3"/>
        </w:rPr>
        <w:t>np. wypis z rejestru i nr księgi wieczystej, ponieważ brak jednoznacznego wymogu rodzi spory z poszkodowanymi i może prowadzić do składania wniosków przez osoby nieuprawnione,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8" w:val="left"/>
        </w:tabs>
        <w:bidi w:val="0"/>
        <w:spacing w:before="0" w:after="60"/>
        <w:ind w:left="720" w:right="0" w:hanging="340"/>
        <w:jc w:val="both"/>
      </w:pPr>
      <w:r>
        <w:rPr>
          <w:rStyle w:val="CharStyle3"/>
          <w:b/>
          <w:bCs/>
        </w:rPr>
        <w:t>wydłużenie terminu dokonania oględzin szkody łowieckiej do 14 dni kalendarzowych (art. 46a ust. 2)</w:t>
      </w:r>
      <w:r>
        <w:rPr>
          <w:rStyle w:val="CharStyle3"/>
        </w:rPr>
        <w:t>, konieczność ta wynika z praktycznych trudności w dotrzymaniu dotychczasowego terminu, z powodu dużej ilości wpływających do urzędu wniosków, zwłaszcza w okresie dni kiedy występują dodatkowe dni wolne od pracy,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line="350" w:lineRule="auto"/>
        <w:ind w:left="720" w:right="0" w:hanging="340"/>
        <w:jc w:val="both"/>
      </w:pPr>
      <w:r>
        <w:rPr>
          <w:rStyle w:val="CharStyle3"/>
          <w:b/>
          <w:bCs/>
        </w:rPr>
        <w:t xml:space="preserve">wprowadzenie obowiązku informowania właściwego marszałka województwa przez starostę o złożeniu oświadczenia, jak również o jego cofnięciu przez właściciela albo użytkownika wieczystego oświadczenia o zakazie wykonywania polowania (art. 27b ust. 1), </w:t>
      </w:r>
      <w:r>
        <w:rPr>
          <w:rStyle w:val="CharStyle3"/>
        </w:rPr>
        <w:t>ponieważ posiadanie danej informacji jest niezbędne dla prawidłowego zarządzania obwodami łowieckimi oraz prowadzenia procesu odszkodowawczego zgodnie z art. 48 pkt.7,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/>
        <w:ind w:left="720" w:right="0" w:hanging="340"/>
        <w:jc w:val="both"/>
      </w:pPr>
      <w:r>
        <w:rPr>
          <w:rStyle w:val="CharStyle3"/>
          <w:b/>
          <w:bCs/>
        </w:rPr>
        <w:t xml:space="preserve">rozszerzenie art. 48 pkt.6 </w:t>
      </w:r>
      <w:r>
        <w:rPr>
          <w:rStyle w:val="CharStyle3"/>
        </w:rPr>
        <w:t>o założenie i prowadzenie upraw rolnych z rażącym naruszeniem zasad agrotechnicznych (zwłaszcza upraw wieloletnich)</w:t>
      </w:r>
      <w:r>
        <w:rPr>
          <w:rStyle w:val="CharStyle3"/>
          <w:b/>
          <w:bCs/>
        </w:rPr>
        <w:t>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/>
        <w:ind w:left="720" w:right="0" w:hanging="340"/>
        <w:jc w:val="both"/>
      </w:pPr>
      <w:r>
        <w:rPr>
          <w:rStyle w:val="CharStyle3"/>
          <w:b/>
          <w:bCs/>
        </w:rPr>
        <w:t xml:space="preserve">doprecyzowanie art. 50 ust. 1b </w:t>
      </w:r>
      <w:r>
        <w:rPr>
          <w:rStyle w:val="CharStyle3"/>
        </w:rPr>
        <w:t>poprzez jednoznaczne wskazanie zakresu szkód, za które odpowiada Skarb Państwa, ponieważ obecny zapis może prowadzić do rozbieżności interpretacyjnych oraz sporów pomiędzy stronami. Jasne określenie zakresu odpowiedzialności ułatwi stosowanie przepisu w praktyce,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 w:line="350" w:lineRule="auto"/>
        <w:ind w:left="720" w:right="0" w:hanging="340"/>
        <w:jc w:val="both"/>
      </w:pPr>
      <w:r>
        <w:rPr>
          <w:rStyle w:val="CharStyle3"/>
        </w:rPr>
        <w:t xml:space="preserve">uzupełnienie </w:t>
      </w:r>
      <w:r>
        <w:rPr>
          <w:rStyle w:val="CharStyle3"/>
          <w:b/>
          <w:bCs/>
        </w:rPr>
        <w:t xml:space="preserve">Rozporządzenia z dnia 16 kwietnia 2019 r. (Dz.U. 2019 poz. 776) </w:t>
      </w:r>
      <w:r>
        <w:rPr>
          <w:rStyle w:val="CharStyle3"/>
          <w:b/>
          <w:bCs/>
          <w:i/>
          <w:iCs/>
          <w:sz w:val="19"/>
          <w:szCs w:val="19"/>
        </w:rPr>
        <w:t>w sprawie szczegółowychwarunków szacowania szkódw uprawach ipłodach rolnych</w:t>
      </w:r>
      <w:r>
        <w:rPr>
          <w:rStyle w:val="CharStyle3"/>
        </w:rPr>
        <w:t xml:space="preserve"> poprzez określenie metodologii szacowania szkód w uprawach wieloletnich,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5" w:val="left"/>
        </w:tabs>
        <w:bidi w:val="0"/>
        <w:spacing w:before="0"/>
        <w:ind w:left="720" w:right="0" w:hanging="340"/>
        <w:jc w:val="both"/>
      </w:pPr>
      <w:r>
        <w:rPr>
          <w:rStyle w:val="CharStyle3"/>
          <w:b/>
          <w:bCs/>
        </w:rPr>
        <w:t xml:space="preserve">zmiany w uchwalaniu podziału województwa na obwody łowieckie (art. 27), </w:t>
      </w:r>
      <w:r>
        <w:rPr>
          <w:rStyle w:val="CharStyle3"/>
        </w:rPr>
        <w:t>w przypadkach dotyczących zmian obwodu łowieckiego, tj.: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06" w:val="left"/>
        </w:tabs>
        <w:bidi w:val="0"/>
        <w:spacing w:before="0"/>
        <w:ind w:left="0" w:right="0" w:firstLine="720"/>
        <w:jc w:val="both"/>
      </w:pPr>
      <w:r>
        <w:rPr>
          <w:rStyle w:val="CharStyle3"/>
        </w:rPr>
        <w:t>zmiany powierzchni i przebiegu granicy wynikającej z powstania lub zwiększenia powierzchni parków krajobrazowych i rezerwatów (art. 26 pkt 1),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5" w:val="left"/>
        </w:tabs>
        <w:bidi w:val="0"/>
        <w:spacing w:before="0" w:line="348" w:lineRule="auto"/>
        <w:ind w:left="0" w:right="0" w:firstLine="720"/>
        <w:jc w:val="both"/>
      </w:pPr>
      <w:r>
        <w:rPr>
          <w:rStyle w:val="CharStyle3"/>
        </w:rPr>
        <w:t>zmiany powierzchni i przebiegu granicy obwodu łowieckiego wynikającej z rozrostu terenów zurbanizowanych należących do miast (art. 26 pkt 2),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27" w:val="left"/>
        </w:tabs>
        <w:bidi w:val="0"/>
        <w:spacing w:before="0" w:line="350" w:lineRule="auto"/>
        <w:ind w:left="0" w:right="0" w:firstLine="720"/>
        <w:jc w:val="both"/>
      </w:pPr>
      <w:r>
        <w:rPr>
          <w:rStyle w:val="CharStyle3"/>
        </w:rPr>
        <w:t>zmiany przebiegu granicy wynikającej z powstania dróg ekspresowych,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627" w:val="left"/>
        </w:tabs>
        <w:bidi w:val="0"/>
        <w:spacing w:before="0" w:line="350" w:lineRule="auto"/>
        <w:ind w:left="0" w:right="0" w:firstLine="720"/>
        <w:jc w:val="both"/>
      </w:pPr>
      <w:r>
        <w:rPr>
          <w:rStyle w:val="CharStyle3"/>
        </w:rPr>
        <w:t>zmiany kategoryzacji obwodu łowieckiego,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720"/>
        <w:jc w:val="left"/>
      </w:pPr>
      <w:r>
        <w:rPr>
          <w:rStyle w:val="CharStyle3"/>
        </w:rPr>
        <w:t>proponuje się odstąpienie od stosowania procedur określonych w art. 27 ust. 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720"/>
        <w:jc w:val="both"/>
      </w:pPr>
      <w:r>
        <w:rPr>
          <w:rStyle w:val="CharStyle3"/>
        </w:rPr>
        <w:t>Wymienione wyżej przypadki mają charakter techniczny i wynikają z rzeczywistych zmian zachodzących w terenie. Stosowanie pełnej procedury w tych sytuacjach jest nadmiernie czasochłonne, co może prowadzić do opóźnień w dostosowaniu granic obwodów do stanu faktycznego w terenie.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720"/>
        <w:jc w:val="both"/>
      </w:pPr>
      <w:r>
        <w:rPr>
          <w:rStyle w:val="CharStyle3"/>
        </w:rPr>
        <w:t>Dodatkowo w przypadku prac związanych ze ustanowieniem lub zmianą obwodów łowieckich zasadne jest wskazanie właściwego organu administracji samorządowej odpowiedzialnego za opracowania kartograficzne i analityczne, posiadającego kompetencje w zakresie geodezji, kartografii, geografii oraz technologii informatycznych. Należy podkreślić, że zmiany granic obwodów wymagają specjalistycznej wiedzy oraz narzędzi. Wskazanie właściwego podmiotu zapewni spójność danych, poprawność opracowań oraz ograniczy ryzyko błędów.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3"/>
        </w:rPr>
        <w:t>W związku z powyższym uprzejmie proszę o uwzględnienie proponowanych zmian w w/w zakresie.</w:t>
      </w:r>
    </w:p>
    <w:sectPr>
      <w:footnotePr>
        <w:pos w:val="pageBottom"/>
        <w:numFmt w:val="decimal"/>
        <w:numRestart w:val="continuous"/>
      </w:footnotePr>
      <w:pgSz w:w="11900" w:h="16840"/>
      <w:pgMar w:top="1983" w:right="1318" w:bottom="2273" w:left="1390" w:header="1555" w:footer="18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80" w:line="35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spacing w:after="410"/>
      <w:ind w:left="5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Nask</dc:creator>
  <cp:keywords/>
</cp:coreProperties>
</file>