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</w:p>
    <w:p w:rsidR="00004832" w:rsidRDefault="00004832" w:rsidP="00531623">
      <w:pPr>
        <w:spacing w:after="0" w:line="240" w:lineRule="auto"/>
        <w:rPr>
          <w:rFonts w:ascii="Lato" w:hAnsi="Lato"/>
          <w:sz w:val="18"/>
        </w:rPr>
      </w:pPr>
    </w:p>
    <w:p w:rsidR="00B47FB0" w:rsidRDefault="00B47FB0" w:rsidP="00B47FB0">
      <w:pPr>
        <w:spacing w:after="0" w:line="240" w:lineRule="auto"/>
        <w:rPr>
          <w:rFonts w:ascii="Lato" w:hAnsi="Lato"/>
          <w:sz w:val="20"/>
          <w:szCs w:val="20"/>
        </w:rPr>
      </w:pPr>
    </w:p>
    <w:p w:rsidR="00465F82" w:rsidRPr="003D0DD3" w:rsidRDefault="00465F82" w:rsidP="00465F82">
      <w:pPr>
        <w:spacing w:after="0" w:line="240" w:lineRule="auto"/>
        <w:rPr>
          <w:rFonts w:ascii="Lato" w:hAnsi="Lato"/>
          <w:sz w:val="24"/>
          <w:szCs w:val="24"/>
        </w:rPr>
      </w:pPr>
      <w:r w:rsidRPr="003D0DD3">
        <w:rPr>
          <w:rFonts w:ascii="Lato" w:hAnsi="Lato"/>
          <w:sz w:val="24"/>
          <w:szCs w:val="24"/>
        </w:rPr>
        <w:t xml:space="preserve">Warszawa, </w:t>
      </w:r>
      <w:r w:rsidR="00FD6EDF">
        <w:rPr>
          <w:rFonts w:ascii="Lato" w:hAnsi="Lato"/>
          <w:sz w:val="24"/>
          <w:szCs w:val="24"/>
        </w:rPr>
        <w:t>4</w:t>
      </w:r>
      <w:r w:rsidR="00CB0F89">
        <w:rPr>
          <w:rFonts w:ascii="Lato" w:hAnsi="Lato"/>
          <w:sz w:val="24"/>
          <w:szCs w:val="24"/>
        </w:rPr>
        <w:t xml:space="preserve"> października </w:t>
      </w:r>
      <w:r w:rsidRPr="003D0DD3">
        <w:rPr>
          <w:rFonts w:ascii="Lato" w:hAnsi="Lato"/>
          <w:sz w:val="24"/>
          <w:szCs w:val="24"/>
        </w:rPr>
        <w:t>202</w:t>
      </w:r>
      <w:r w:rsidR="00465CE9">
        <w:rPr>
          <w:rFonts w:ascii="Lato" w:hAnsi="Lato"/>
          <w:sz w:val="24"/>
          <w:szCs w:val="24"/>
        </w:rPr>
        <w:t>3</w:t>
      </w:r>
      <w:r w:rsidRPr="003D0DD3">
        <w:rPr>
          <w:rFonts w:ascii="Lato" w:hAnsi="Lato"/>
          <w:sz w:val="24"/>
          <w:szCs w:val="24"/>
        </w:rPr>
        <w:t xml:space="preserve"> r. </w:t>
      </w:r>
    </w:p>
    <w:p w:rsidR="00465F82" w:rsidRPr="003D0DD3" w:rsidRDefault="00465F82" w:rsidP="00465F82">
      <w:pPr>
        <w:spacing w:after="0" w:line="240" w:lineRule="auto"/>
        <w:rPr>
          <w:rFonts w:ascii="Lato" w:hAnsi="Lato"/>
          <w:sz w:val="24"/>
          <w:szCs w:val="24"/>
        </w:rPr>
      </w:pPr>
    </w:p>
    <w:p w:rsidR="000856A8" w:rsidRDefault="000856A8" w:rsidP="008E4A03">
      <w:pPr>
        <w:spacing w:after="120" w:line="276" w:lineRule="auto"/>
        <w:jc w:val="both"/>
        <w:rPr>
          <w:rFonts w:ascii="Lato" w:hAnsi="Lato" w:cs="Calibri"/>
          <w:i/>
        </w:rPr>
      </w:pPr>
    </w:p>
    <w:p w:rsidR="00513A07" w:rsidRDefault="00513A07" w:rsidP="008E4A03">
      <w:pPr>
        <w:spacing w:after="120" w:line="276" w:lineRule="auto"/>
        <w:jc w:val="both"/>
        <w:rPr>
          <w:rFonts w:ascii="Lato" w:hAnsi="Lato" w:cs="Calibri"/>
          <w:i/>
        </w:rPr>
      </w:pPr>
    </w:p>
    <w:p w:rsidR="00513A07" w:rsidRPr="009C0A33" w:rsidRDefault="00513A07" w:rsidP="008E4A03">
      <w:pPr>
        <w:spacing w:after="120" w:line="276" w:lineRule="auto"/>
        <w:jc w:val="both"/>
        <w:rPr>
          <w:rFonts w:ascii="Lato" w:hAnsi="Lato" w:cs="Calibri"/>
          <w:i/>
        </w:rPr>
      </w:pPr>
    </w:p>
    <w:p w:rsidR="000856A8" w:rsidRPr="00FD6EDF" w:rsidRDefault="009C0A33" w:rsidP="008E4A03">
      <w:pPr>
        <w:spacing w:after="120" w:line="276" w:lineRule="auto"/>
        <w:jc w:val="both"/>
        <w:rPr>
          <w:rFonts w:ascii="Lato" w:hAnsi="Lato" w:cs="Calibri"/>
          <w:i/>
        </w:rPr>
      </w:pPr>
      <w:r w:rsidRPr="00FD6EDF">
        <w:rPr>
          <w:rFonts w:ascii="Lato" w:hAnsi="Lato" w:cs="Calibri"/>
          <w:i/>
        </w:rPr>
        <w:t>Szanowni Państwo,</w:t>
      </w:r>
    </w:p>
    <w:p w:rsidR="00F12AB5" w:rsidRPr="00FD6EDF" w:rsidRDefault="00F12AB5" w:rsidP="00B12259">
      <w:pPr>
        <w:spacing w:after="120" w:line="276" w:lineRule="auto"/>
        <w:jc w:val="both"/>
        <w:rPr>
          <w:rFonts w:ascii="Lato" w:hAnsi="Lato" w:cs="Calibri"/>
        </w:rPr>
      </w:pPr>
      <w:r w:rsidRPr="00FD6EDF">
        <w:rPr>
          <w:rFonts w:ascii="Lato" w:hAnsi="Lato" w:cs="Calibri"/>
        </w:rPr>
        <w:t xml:space="preserve">odpowiadając na petycję </w:t>
      </w:r>
      <w:r w:rsidRPr="00FD6EDF">
        <w:rPr>
          <w:rFonts w:ascii="Lato" w:hAnsi="Lato" w:cs="Calibri"/>
          <w:bCs/>
        </w:rPr>
        <w:t>dotyczącą</w:t>
      </w:r>
      <w:r w:rsidRPr="00FD6EDF">
        <w:rPr>
          <w:rFonts w:ascii="Lato" w:hAnsi="Lato" w:cstheme="minorHAnsi"/>
          <w:bCs/>
        </w:rPr>
        <w:t xml:space="preserve"> </w:t>
      </w:r>
      <w:r w:rsidR="00BD680C" w:rsidRPr="00FD6EDF">
        <w:rPr>
          <w:rFonts w:ascii="Lato" w:hAnsi="Lato" w:cs="Calibri"/>
          <w:bCs/>
        </w:rPr>
        <w:t>zmiany przepis</w:t>
      </w:r>
      <w:r w:rsidR="002E56C2" w:rsidRPr="00FD6EDF">
        <w:rPr>
          <w:rFonts w:ascii="Lato" w:hAnsi="Lato" w:cs="Calibri"/>
          <w:bCs/>
        </w:rPr>
        <w:t>u</w:t>
      </w:r>
      <w:r w:rsidRPr="00FD6EDF">
        <w:rPr>
          <w:rFonts w:ascii="Lato" w:hAnsi="Lato" w:cs="Calibri"/>
          <w:bCs/>
        </w:rPr>
        <w:t xml:space="preserve"> </w:t>
      </w:r>
      <w:r w:rsidR="00B12259" w:rsidRPr="00FD6EDF">
        <w:rPr>
          <w:rFonts w:ascii="Lato" w:hAnsi="Lato" w:cs="Calibri"/>
          <w:bCs/>
        </w:rPr>
        <w:t xml:space="preserve">art. 27a ustawy z dnia 4 września </w:t>
      </w:r>
      <w:r w:rsidR="00B12259" w:rsidRPr="00FD6EDF">
        <w:rPr>
          <w:rFonts w:ascii="Lato" w:hAnsi="Lato" w:cs="Calibri"/>
          <w:bCs/>
        </w:rPr>
        <w:br/>
        <w:t xml:space="preserve">2008 r. </w:t>
      </w:r>
      <w:r w:rsidR="00B12259" w:rsidRPr="00FD6EDF">
        <w:rPr>
          <w:rFonts w:ascii="Lato" w:hAnsi="Lato" w:cs="Calibri"/>
          <w:bCs/>
          <w:i/>
        </w:rPr>
        <w:t xml:space="preserve">o ochronie żeglugi i portów morskich </w:t>
      </w:r>
      <w:r w:rsidR="00B12259" w:rsidRPr="00FD6EDF">
        <w:rPr>
          <w:rFonts w:ascii="Lato" w:hAnsi="Lato" w:cs="Calibri"/>
          <w:bCs/>
        </w:rPr>
        <w:t>(Dz. U. z 202</w:t>
      </w:r>
      <w:r w:rsidR="000D7882" w:rsidRPr="00FD6EDF">
        <w:rPr>
          <w:rFonts w:ascii="Lato" w:hAnsi="Lato" w:cs="Calibri"/>
          <w:bCs/>
        </w:rPr>
        <w:t>3</w:t>
      </w:r>
      <w:r w:rsidR="00B12259" w:rsidRPr="00FD6EDF">
        <w:rPr>
          <w:rFonts w:ascii="Lato" w:hAnsi="Lato" w:cs="Calibri"/>
          <w:bCs/>
        </w:rPr>
        <w:t xml:space="preserve"> r. poz. </w:t>
      </w:r>
      <w:r w:rsidR="000D7882" w:rsidRPr="00FD6EDF">
        <w:rPr>
          <w:rFonts w:ascii="Lato" w:hAnsi="Lato" w:cs="Calibri"/>
          <w:bCs/>
        </w:rPr>
        <w:t>1433</w:t>
      </w:r>
      <w:r w:rsidR="00B12259" w:rsidRPr="00FD6EDF">
        <w:rPr>
          <w:rFonts w:ascii="Lato" w:hAnsi="Lato" w:cs="Calibri"/>
          <w:bCs/>
        </w:rPr>
        <w:t xml:space="preserve">), w części dotyczącej właściwości Ministerstwa Spraw Wewnętrznych i Administracji </w:t>
      </w:r>
      <w:r w:rsidRPr="00FD6EDF">
        <w:rPr>
          <w:rFonts w:ascii="Lato" w:hAnsi="Lato" w:cs="Calibri"/>
          <w:bCs/>
        </w:rPr>
        <w:t>przekazuję następujące informacje.</w:t>
      </w:r>
    </w:p>
    <w:p w:rsidR="00B12259" w:rsidRPr="00FD6EDF" w:rsidRDefault="00B12259" w:rsidP="00B12259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bookmarkStart w:id="1" w:name="bookmarkbrzeg"/>
      <w:bookmarkEnd w:id="1"/>
      <w:r w:rsidRPr="00FD6EDF">
        <w:rPr>
          <w:rFonts w:ascii="Lato" w:hAnsi="Lato" w:cs="Calibri"/>
        </w:rPr>
        <w:t xml:space="preserve">W pierwszej kolejności wskazać należy, że przedmiotowy przepis przewiduje możliwość wprowadzenia zakazu przebywania na określonym obszarze w odległości do 200 m od granicy nieruchomości, na której znajduje się terminal </w:t>
      </w:r>
      <w:proofErr w:type="spellStart"/>
      <w:r w:rsidRPr="00FD6EDF">
        <w:rPr>
          <w:rFonts w:ascii="Lato" w:hAnsi="Lato" w:cs="Calibri"/>
        </w:rPr>
        <w:t>regazyfikacyjny</w:t>
      </w:r>
      <w:proofErr w:type="spellEnd"/>
      <w:r w:rsidRPr="00FD6EDF">
        <w:rPr>
          <w:rFonts w:ascii="Lato" w:hAnsi="Lato" w:cs="Calibri"/>
        </w:rPr>
        <w:t xml:space="preserve"> skroplonego gazu ziemnego </w:t>
      </w:r>
      <w:r w:rsidR="002E56C2" w:rsidRPr="00FD6EDF">
        <w:rPr>
          <w:rFonts w:ascii="Lato" w:hAnsi="Lato" w:cs="Calibri"/>
        </w:rPr>
        <w:br/>
      </w:r>
      <w:r w:rsidRPr="00FD6EDF">
        <w:rPr>
          <w:rFonts w:ascii="Lato" w:hAnsi="Lato" w:cs="Calibri"/>
        </w:rPr>
        <w:t xml:space="preserve">w Świnoujściu. Przepis ten został dodany ustawą z dnia 13 stycznia 2023 r. </w:t>
      </w:r>
      <w:r w:rsidRPr="00FD6EDF">
        <w:rPr>
          <w:rFonts w:ascii="Lato" w:hAnsi="Lato" w:cs="Calibri"/>
          <w:i/>
        </w:rPr>
        <w:t xml:space="preserve">o zmianie ustawy </w:t>
      </w:r>
      <w:r w:rsidR="002E56C2" w:rsidRPr="00FD6EDF">
        <w:rPr>
          <w:rFonts w:ascii="Lato" w:hAnsi="Lato" w:cs="Calibri"/>
          <w:i/>
        </w:rPr>
        <w:br/>
      </w:r>
      <w:r w:rsidRPr="00FD6EDF">
        <w:rPr>
          <w:rFonts w:ascii="Lato" w:hAnsi="Lato" w:cs="Calibri"/>
          <w:i/>
        </w:rPr>
        <w:t>o bezpieczeństwie morskim oraz niektórych innych ustaw</w:t>
      </w:r>
      <w:r w:rsidRPr="00FD6EDF">
        <w:rPr>
          <w:rFonts w:ascii="Lato" w:hAnsi="Lato" w:cs="Calibri"/>
        </w:rPr>
        <w:t xml:space="preserve"> </w:t>
      </w:r>
      <w:r w:rsidR="000D7882" w:rsidRPr="00FD6EDF">
        <w:rPr>
          <w:rFonts w:ascii="Lato" w:hAnsi="Lato" w:cs="Calibri"/>
        </w:rPr>
        <w:t xml:space="preserve">(Dz. U. z 2023 r. poz. 261) </w:t>
      </w:r>
      <w:r w:rsidRPr="00FD6EDF">
        <w:rPr>
          <w:rFonts w:ascii="Lato" w:hAnsi="Lato" w:cs="Calibri"/>
        </w:rPr>
        <w:t>w celu umożliwienia wzmocnienia ochrony tego terminala, jako obiektu krytycznego dla bezpieczeństwa państwa.</w:t>
      </w:r>
    </w:p>
    <w:p w:rsidR="00B12259" w:rsidRPr="00FD6EDF" w:rsidRDefault="00B12259" w:rsidP="000D7882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FD6EDF">
        <w:rPr>
          <w:rFonts w:ascii="Lato" w:hAnsi="Lato" w:cs="Calibri"/>
        </w:rPr>
        <w:t xml:space="preserve">Zgodnie z ustawą zakaz może zostać wprowadzony w celu zapobieżenia, ograniczenia lub usunięcia poważnego niebezpieczeństwa, w tym wystąpienia zdarzenia o charakterze terrorystycznym, o którym mowa w art. 2 pkt 7 ustawy z dnia 10 czerwca 2016 r. </w:t>
      </w:r>
      <w:r w:rsidRPr="00FD6EDF">
        <w:rPr>
          <w:rFonts w:ascii="Lato" w:hAnsi="Lato" w:cs="Calibri"/>
          <w:i/>
        </w:rPr>
        <w:t>o działaniach antyterrorystycznych</w:t>
      </w:r>
      <w:r w:rsidR="000D7882" w:rsidRPr="00FD6EDF">
        <w:rPr>
          <w:rFonts w:ascii="Lato" w:hAnsi="Lato" w:cs="Calibri"/>
        </w:rPr>
        <w:t xml:space="preserve"> (Dz. U. z 2022 r. poz. 2632)</w:t>
      </w:r>
      <w:r w:rsidRPr="00FD6EDF">
        <w:rPr>
          <w:rFonts w:ascii="Lato" w:hAnsi="Lato" w:cs="Calibri"/>
        </w:rPr>
        <w:t xml:space="preserve">, grożącego terminalowi </w:t>
      </w:r>
      <w:proofErr w:type="spellStart"/>
      <w:r w:rsidRPr="00FD6EDF">
        <w:rPr>
          <w:rFonts w:ascii="Lato" w:hAnsi="Lato" w:cs="Calibri"/>
        </w:rPr>
        <w:t>regazyfikacyjnemu</w:t>
      </w:r>
      <w:proofErr w:type="spellEnd"/>
      <w:r w:rsidRPr="00FD6EDF">
        <w:rPr>
          <w:rFonts w:ascii="Lato" w:hAnsi="Lato" w:cs="Calibri"/>
        </w:rPr>
        <w:t xml:space="preserve"> skroplonego gazu ziemnego w Świnoujściu. </w:t>
      </w:r>
    </w:p>
    <w:p w:rsidR="00B12259" w:rsidRPr="00FD6EDF" w:rsidRDefault="00B12259" w:rsidP="00B12259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FD6EDF">
        <w:rPr>
          <w:rFonts w:ascii="Lato" w:hAnsi="Lato" w:cs="Calibri"/>
        </w:rPr>
        <w:t xml:space="preserve">Należy zauważyć, że obecnie z uwagi na panujące zagrożenie dla bezpieczeństwa Rzeczypospolitej Polskiej, w tym również zagrożenie o charakterze terrorystycznym, ze strony Federacji Rosyjskiej oraz Białorusi, na całym terytorium Polski obowiązują: drugi stopień alarmowy (BRAVO) oraz trzeci stopień alarmowy CRP (CHARLIE-CRP). Ponadto w związku </w:t>
      </w:r>
      <w:r w:rsidR="002E56C2" w:rsidRPr="00FD6EDF">
        <w:rPr>
          <w:rFonts w:ascii="Lato" w:hAnsi="Lato" w:cs="Calibri"/>
        </w:rPr>
        <w:br/>
      </w:r>
      <w:r w:rsidRPr="00FD6EDF">
        <w:rPr>
          <w:rFonts w:ascii="Lato" w:hAnsi="Lato" w:cs="Calibri"/>
        </w:rPr>
        <w:t xml:space="preserve">z wystąpieniem ataków sabotażowych na gazociągi </w:t>
      </w:r>
      <w:proofErr w:type="spellStart"/>
      <w:r w:rsidRPr="00FD6EDF">
        <w:rPr>
          <w:rFonts w:ascii="Lato" w:hAnsi="Lato" w:cs="Calibri"/>
        </w:rPr>
        <w:t>Nord</w:t>
      </w:r>
      <w:proofErr w:type="spellEnd"/>
      <w:r w:rsidRPr="00FD6EDF">
        <w:rPr>
          <w:rFonts w:ascii="Lato" w:hAnsi="Lato" w:cs="Calibri"/>
        </w:rPr>
        <w:t xml:space="preserve"> </w:t>
      </w:r>
      <w:proofErr w:type="spellStart"/>
      <w:r w:rsidRPr="00FD6EDF">
        <w:rPr>
          <w:rFonts w:ascii="Lato" w:hAnsi="Lato" w:cs="Calibri"/>
        </w:rPr>
        <w:t>Stream</w:t>
      </w:r>
      <w:proofErr w:type="spellEnd"/>
      <w:r w:rsidRPr="00FD6EDF">
        <w:rPr>
          <w:rFonts w:ascii="Lato" w:hAnsi="Lato" w:cs="Calibri"/>
        </w:rPr>
        <w:t xml:space="preserve"> 1 i 2 od 6 października </w:t>
      </w:r>
      <w:r w:rsidR="002E56C2" w:rsidRPr="00FD6EDF">
        <w:rPr>
          <w:rFonts w:ascii="Lato" w:hAnsi="Lato" w:cs="Calibri"/>
        </w:rPr>
        <w:br/>
      </w:r>
      <w:r w:rsidRPr="00FD6EDF">
        <w:rPr>
          <w:rFonts w:ascii="Lato" w:hAnsi="Lato" w:cs="Calibri"/>
        </w:rPr>
        <w:t>2022 r. obowiązuje drugi stopień alarmowy (BRAVO) również w odniesieniu do polskiej infrastruktury energetycznej mieszczącej się poza granicami Polski.</w:t>
      </w:r>
    </w:p>
    <w:p w:rsidR="00B12259" w:rsidRPr="00FD6EDF" w:rsidRDefault="00B12259" w:rsidP="00B12259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FD6EDF">
        <w:rPr>
          <w:rFonts w:ascii="Lato" w:hAnsi="Lato" w:cs="Calibri"/>
        </w:rPr>
        <w:t xml:space="preserve">Mając na uwadze powyżej przywołane ustawowe przesłanki oraz w świetle zaistniałej sytuacji geopolitycznej Wojewoda Zachodniopomorski, na wniosek Komendanta Morskiego Oddziału Straży Granicznej i po zasięgnięciu opinii Dyrektora Delegatury Agencji Bezpieczeństwa Wewnętrznego w Gdańsku, zarządził zakaz przebywania na określonym obszarze </w:t>
      </w:r>
      <w:r w:rsidR="00AE67DA" w:rsidRPr="00FD6EDF">
        <w:rPr>
          <w:rFonts w:ascii="Lato" w:hAnsi="Lato" w:cs="Calibri"/>
        </w:rPr>
        <w:br/>
      </w:r>
      <w:r w:rsidRPr="00FD6EDF">
        <w:rPr>
          <w:rFonts w:ascii="Lato" w:hAnsi="Lato" w:cs="Calibri"/>
        </w:rPr>
        <w:t xml:space="preserve">w Świnoujściu, tj. w odległości do 200 m od granicy nieruchomości, na której znajduje się terminal </w:t>
      </w:r>
      <w:proofErr w:type="spellStart"/>
      <w:r w:rsidRPr="00FD6EDF">
        <w:rPr>
          <w:rFonts w:ascii="Lato" w:hAnsi="Lato" w:cs="Calibri"/>
        </w:rPr>
        <w:t>regazyfikacyjny</w:t>
      </w:r>
      <w:proofErr w:type="spellEnd"/>
      <w:r w:rsidRPr="00FD6EDF">
        <w:rPr>
          <w:rFonts w:ascii="Lato" w:hAnsi="Lato" w:cs="Calibri"/>
        </w:rPr>
        <w:t xml:space="preserve">. </w:t>
      </w:r>
    </w:p>
    <w:p w:rsidR="00B12259" w:rsidRPr="00FD6EDF" w:rsidRDefault="00B12259" w:rsidP="00B12259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FD6EDF">
        <w:rPr>
          <w:rFonts w:ascii="Lato" w:hAnsi="Lato" w:cs="Calibri"/>
        </w:rPr>
        <w:t xml:space="preserve">Wojewoda Zachodniopomorski wprowadzając zakaz kierował się przede wszystkim względami bezpieczeństwa państwa i jego obywateli. Równolegle jednak dążył do zminimalizowania niedogodności, jakie z tego tytułu powstały dla mieszkańców Świnoujścia oraz turystów </w:t>
      </w:r>
      <w:r w:rsidR="00AE67DA" w:rsidRPr="00FD6EDF">
        <w:rPr>
          <w:rFonts w:ascii="Lato" w:hAnsi="Lato" w:cs="Calibri"/>
        </w:rPr>
        <w:br/>
      </w:r>
      <w:r w:rsidRPr="00FD6EDF">
        <w:rPr>
          <w:rFonts w:ascii="Lato" w:hAnsi="Lato" w:cs="Calibri"/>
        </w:rPr>
        <w:t>i przedsiębiorców. W rezultacie Wojewoda uczestniczył w szeregu spotka</w:t>
      </w:r>
      <w:r w:rsidR="00CB4F20" w:rsidRPr="00FD6EDF">
        <w:rPr>
          <w:rFonts w:ascii="Lato" w:hAnsi="Lato" w:cs="Calibri"/>
        </w:rPr>
        <w:t>niach</w:t>
      </w:r>
      <w:r w:rsidRPr="00FD6EDF">
        <w:rPr>
          <w:rFonts w:ascii="Lato" w:hAnsi="Lato" w:cs="Calibri"/>
        </w:rPr>
        <w:t xml:space="preserve"> </w:t>
      </w:r>
      <w:r w:rsidRPr="00FD6EDF">
        <w:rPr>
          <w:rFonts w:ascii="Lato" w:hAnsi="Lato" w:cs="Calibri"/>
        </w:rPr>
        <w:lastRenderedPageBreak/>
        <w:t xml:space="preserve">zorganizowanych w tym celu, m.in. z udziałem przedstawicieli Urzędu Miasta Świnoujście, spółki GAZ-SYSTEM, Lasów Państwowych, Urzędu Morskiego w Szczecinie oraz mieszkańców dzielnic </w:t>
      </w:r>
      <w:proofErr w:type="spellStart"/>
      <w:r w:rsidRPr="00FD6EDF">
        <w:rPr>
          <w:rFonts w:ascii="Lato" w:hAnsi="Lato" w:cs="Calibri"/>
        </w:rPr>
        <w:t>Warszów</w:t>
      </w:r>
      <w:proofErr w:type="spellEnd"/>
      <w:r w:rsidRPr="00FD6EDF">
        <w:rPr>
          <w:rFonts w:ascii="Lato" w:hAnsi="Lato" w:cs="Calibri"/>
        </w:rPr>
        <w:t xml:space="preserve">, Przytór i Karsibór. Efektem tych rozmów było doprowadzenie do zawarcia w dniu 29 czerwca 2023 r. porozumienia między Prezydentem Miasta Świnoujście a Prezesem Zarządu Spółki GAZ-SYSTEM w sprawie dostępu do plaży na wyspie </w:t>
      </w:r>
      <w:proofErr w:type="spellStart"/>
      <w:r w:rsidRPr="00FD6EDF">
        <w:rPr>
          <w:rFonts w:ascii="Lato" w:hAnsi="Lato" w:cs="Calibri"/>
        </w:rPr>
        <w:t>Warszów</w:t>
      </w:r>
      <w:proofErr w:type="spellEnd"/>
      <w:r w:rsidRPr="00FD6EDF">
        <w:rPr>
          <w:rFonts w:ascii="Lato" w:hAnsi="Lato" w:cs="Calibri"/>
        </w:rPr>
        <w:t xml:space="preserve"> oraz znajdujących się tam atrakcji turystycznych. </w:t>
      </w:r>
    </w:p>
    <w:p w:rsidR="00B12259" w:rsidRPr="00FD6EDF" w:rsidRDefault="00B12259" w:rsidP="00B12259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FD6EDF">
        <w:rPr>
          <w:rFonts w:ascii="Lato" w:hAnsi="Lato" w:cs="Calibri"/>
        </w:rPr>
        <w:t xml:space="preserve">W ramach porozumienia spółka państwowa GAZ-SYSTEM zobowiązała się do sfinansowania utwardzenia drogi, uruchomienia nowej biletowanej linii autobusowej do plaży w okolicy obiektu turystycznego o nazwie Podziemne Miasto oraz przekazania środków finansowych na dopłaty do biletów rejsowych białej floty do Fortu Gerharda i Latarni Morskiej przez kolejne miesiące. </w:t>
      </w:r>
    </w:p>
    <w:p w:rsidR="00B12259" w:rsidRPr="00FD6EDF" w:rsidRDefault="00B12259" w:rsidP="00B12259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FD6EDF">
        <w:rPr>
          <w:rFonts w:ascii="Lato" w:hAnsi="Lato" w:cs="Calibri"/>
        </w:rPr>
        <w:t xml:space="preserve">Porozumienie zatem przewiduje tymczasowe rozwiązania, które wychodzą naprzeciw oczekiwaniom mieszkańców. Jednocześnie Urząd Miasta Świnoujście, spółka GAZ-SYSTEM oraz Wojewoda Zachodniopomorski będą w dalszym ciągu współpracować w celu wprowadzenia rozwiązań mających charakter bardziej długoterminowy i polegających np. na ustanowieniu alternatywnych rozwiązań transportowych zapewniających łatwiejszy dostęp do miejsc turystycznych Świnoujścia. </w:t>
      </w:r>
    </w:p>
    <w:p w:rsidR="00BD680C" w:rsidRPr="00FD6EDF" w:rsidRDefault="00B12259" w:rsidP="00B12259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FD6EDF">
        <w:rPr>
          <w:rFonts w:ascii="Lato" w:hAnsi="Lato" w:cs="Calibri"/>
        </w:rPr>
        <w:t xml:space="preserve">Niezależnie od powyższego wskazać należy, że sama ustawa również przewiduje szereg odstępstw od obowiązywania zakazu. Zgodnie z art. 27a ust. 2 ustawy </w:t>
      </w:r>
      <w:r w:rsidRPr="00FD6EDF">
        <w:rPr>
          <w:rFonts w:ascii="Lato" w:hAnsi="Lato" w:cs="Calibri"/>
          <w:i/>
        </w:rPr>
        <w:t>o ochronie żeglugi i portów morskich</w:t>
      </w:r>
      <w:r w:rsidRPr="00FD6EDF">
        <w:rPr>
          <w:rFonts w:ascii="Lato" w:hAnsi="Lato" w:cs="Calibri"/>
        </w:rPr>
        <w:t xml:space="preserve"> zakaz nie dotyczy m.in. osób, które stale zamieszkują, prowadzą działalność gospodarczą, wykonują pracę zarobkową, wykonują pracę w gospodarstwach rolnych znajdujących się na obszarze objętym zakazem, pobierają naukę lub są opiekunami osób pobierających naukę na obszarze objętym zakazem.</w:t>
      </w:r>
    </w:p>
    <w:p w:rsidR="00AE67DA" w:rsidRPr="00FD6EDF" w:rsidRDefault="00AE67DA" w:rsidP="00933C48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FD6EDF">
        <w:rPr>
          <w:rFonts w:ascii="Lato" w:hAnsi="Lato" w:cs="Calibri"/>
        </w:rPr>
        <w:t xml:space="preserve">Ponadto </w:t>
      </w:r>
      <w:r w:rsidR="00B12259" w:rsidRPr="00FD6EDF">
        <w:rPr>
          <w:rFonts w:ascii="Lato" w:hAnsi="Lato" w:cs="Calibri"/>
        </w:rPr>
        <w:t xml:space="preserve">w dniu 13 lipca 2023 r. Wojewoda Zachodniopomorski, po zasięgnięciu opinii Straży Granicznej i Agencji Bezpieczeństwa Wewnętrznego, wydał rozporządzenie nr 15/2023 </w:t>
      </w:r>
      <w:r w:rsidR="00B12259" w:rsidRPr="00FD6EDF">
        <w:rPr>
          <w:rFonts w:ascii="Lato" w:hAnsi="Lato" w:cs="Calibri"/>
          <w:i/>
        </w:rPr>
        <w:t>zmieniające rozporządzenie w sprawie wprowadzenia czasowego zakazu przebywania na określonym obszarze w Świnoujściu</w:t>
      </w:r>
      <w:r w:rsidR="00933C48" w:rsidRPr="00FD6EDF">
        <w:rPr>
          <w:rFonts w:ascii="Lato" w:hAnsi="Lato" w:cs="Calibri"/>
        </w:rPr>
        <w:t xml:space="preserve"> (Dz. Urz. Woj. Zach. Z 2023 r. poz. 4089)</w:t>
      </w:r>
      <w:r w:rsidR="00B12259" w:rsidRPr="00FD6EDF">
        <w:rPr>
          <w:rFonts w:ascii="Lato" w:hAnsi="Lato" w:cs="Calibri"/>
        </w:rPr>
        <w:t xml:space="preserve">. Głównym celem przedmiotowej nowelizacji jest udostępnienie dla ruchu pieszego i rowerowego utwardzonej ścieżki pieszo-rowerowej biegnącej przez wiadukt a następnie wzdłuż ul. Ku Morzu docelowo skierowanej na plażę. Zmiana granic strefy objętej zakazem, o którym mowa w art. 27a ustawy o ochronie żeglugi i portów morskich, umożliwi realizację </w:t>
      </w:r>
      <w:r w:rsidRPr="00FD6EDF">
        <w:rPr>
          <w:rFonts w:ascii="Lato" w:hAnsi="Lato" w:cs="Calibri"/>
        </w:rPr>
        <w:t xml:space="preserve">wspomnianego </w:t>
      </w:r>
      <w:r w:rsidR="00B12259" w:rsidRPr="00FD6EDF">
        <w:rPr>
          <w:rFonts w:ascii="Lato" w:hAnsi="Lato" w:cs="Calibri"/>
        </w:rPr>
        <w:t xml:space="preserve">porozumienia zawartego w dniu 29 czerwca 2023 r. pomiędzy Prezydentem Miasta Świnoujście a Prezesem Zarządu Spółki GAZ-SYSTEM. </w:t>
      </w:r>
    </w:p>
    <w:p w:rsidR="00FD6EDF" w:rsidRDefault="00FD6EDF" w:rsidP="00643281">
      <w:pPr>
        <w:tabs>
          <w:tab w:val="left" w:pos="4678"/>
        </w:tabs>
        <w:spacing w:after="120"/>
        <w:jc w:val="both"/>
        <w:rPr>
          <w:rFonts w:ascii="Lato" w:hAnsi="Lato" w:cs="Calibri"/>
          <w:i/>
        </w:rPr>
      </w:pPr>
    </w:p>
    <w:p w:rsidR="00643281" w:rsidRPr="00FD6EDF" w:rsidRDefault="00C61056" w:rsidP="00643281">
      <w:pPr>
        <w:tabs>
          <w:tab w:val="left" w:pos="4678"/>
        </w:tabs>
        <w:spacing w:after="120"/>
        <w:jc w:val="both"/>
        <w:rPr>
          <w:rFonts w:ascii="Lato" w:hAnsi="Lato" w:cs="Calibri"/>
          <w:i/>
        </w:rPr>
      </w:pPr>
      <w:r w:rsidRPr="00FD6EDF">
        <w:rPr>
          <w:rFonts w:ascii="Lato" w:hAnsi="Lato" w:cs="Calibri"/>
          <w:i/>
        </w:rPr>
        <w:t>Z poważaniem</w:t>
      </w:r>
    </w:p>
    <w:p w:rsidR="00D13323" w:rsidRPr="00D13323" w:rsidRDefault="00D13323" w:rsidP="00D13323">
      <w:pPr>
        <w:tabs>
          <w:tab w:val="left" w:pos="4678"/>
        </w:tabs>
        <w:spacing w:after="120" w:line="276" w:lineRule="auto"/>
        <w:jc w:val="both"/>
        <w:rPr>
          <w:rFonts w:ascii="Lato" w:hAnsi="Lato"/>
          <w:i/>
          <w:sz w:val="20"/>
          <w:szCs w:val="20"/>
        </w:rPr>
      </w:pPr>
      <w:r w:rsidRPr="00D13323">
        <w:rPr>
          <w:rFonts w:ascii="Lato" w:hAnsi="Lato"/>
          <w:i/>
          <w:sz w:val="20"/>
          <w:szCs w:val="20"/>
        </w:rPr>
        <w:t>Zastępca Dyrektora</w:t>
      </w:r>
    </w:p>
    <w:p w:rsidR="00D13323" w:rsidRPr="00D13323" w:rsidRDefault="00D13323" w:rsidP="00D13323">
      <w:pPr>
        <w:tabs>
          <w:tab w:val="left" w:pos="4678"/>
        </w:tabs>
        <w:spacing w:after="120" w:line="276" w:lineRule="auto"/>
        <w:jc w:val="both"/>
        <w:rPr>
          <w:rFonts w:ascii="Lato" w:hAnsi="Lato"/>
          <w:i/>
          <w:sz w:val="20"/>
          <w:szCs w:val="20"/>
        </w:rPr>
      </w:pPr>
      <w:r w:rsidRPr="00D13323">
        <w:rPr>
          <w:rFonts w:ascii="Lato" w:hAnsi="Lato"/>
          <w:i/>
          <w:sz w:val="20"/>
          <w:szCs w:val="20"/>
        </w:rPr>
        <w:t>Biura Ministra MSWiA</w:t>
      </w:r>
    </w:p>
    <w:p w:rsidR="00D13323" w:rsidRPr="00D13323" w:rsidRDefault="00D13323" w:rsidP="00D13323">
      <w:pPr>
        <w:tabs>
          <w:tab w:val="left" w:pos="4678"/>
        </w:tabs>
        <w:spacing w:after="120" w:line="276" w:lineRule="auto"/>
        <w:jc w:val="both"/>
        <w:rPr>
          <w:rFonts w:ascii="Lato" w:hAnsi="Lato"/>
          <w:i/>
          <w:sz w:val="20"/>
          <w:szCs w:val="20"/>
        </w:rPr>
      </w:pPr>
      <w:r w:rsidRPr="00D13323">
        <w:rPr>
          <w:rFonts w:ascii="Lato" w:hAnsi="Lato"/>
          <w:i/>
          <w:sz w:val="20"/>
          <w:szCs w:val="20"/>
        </w:rPr>
        <w:t>Anna Wilanek-Kińska</w:t>
      </w:r>
    </w:p>
    <w:p w:rsidR="00465F82" w:rsidRPr="001D453C" w:rsidRDefault="00465F82" w:rsidP="001D453C">
      <w:pPr>
        <w:tabs>
          <w:tab w:val="left" w:pos="4678"/>
        </w:tabs>
        <w:spacing w:after="120" w:line="276" w:lineRule="auto"/>
        <w:jc w:val="both"/>
        <w:rPr>
          <w:rFonts w:ascii="Lato" w:hAnsi="Lato"/>
          <w:b/>
          <w:sz w:val="20"/>
          <w:szCs w:val="20"/>
        </w:rPr>
      </w:pPr>
      <w:r w:rsidRPr="001D453C">
        <w:rPr>
          <w:rFonts w:ascii="Lato" w:hAnsi="Lato"/>
          <w:b/>
          <w:sz w:val="20"/>
          <w:szCs w:val="20"/>
        </w:rPr>
        <w:tab/>
      </w:r>
    </w:p>
    <w:sectPr w:rsidR="00465F82" w:rsidRPr="001D453C" w:rsidSect="00B47F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8D2" w:rsidRDefault="001438D2" w:rsidP="009276B2">
      <w:pPr>
        <w:spacing w:after="0" w:line="240" w:lineRule="auto"/>
      </w:pPr>
      <w:r>
        <w:separator/>
      </w:r>
    </w:p>
  </w:endnote>
  <w:endnote w:type="continuationSeparator" w:id="0">
    <w:p w:rsidR="001438D2" w:rsidRDefault="001438D2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5D" w:rsidRPr="000E64CF" w:rsidRDefault="0064065D" w:rsidP="00590C4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C5C4E">
      <w:rPr>
        <w:rFonts w:ascii="Lato" w:hAnsi="Lato"/>
        <w:sz w:val="16"/>
      </w:rPr>
      <w:t xml:space="preserve">Strona </w:t>
    </w:r>
    <w:r w:rsidRPr="000C5C4E">
      <w:rPr>
        <w:rFonts w:ascii="Lato" w:hAnsi="Lato"/>
        <w:b/>
        <w:bCs/>
        <w:sz w:val="16"/>
      </w:rPr>
      <w:fldChar w:fldCharType="begin"/>
    </w:r>
    <w:r w:rsidRPr="000C5C4E">
      <w:rPr>
        <w:rFonts w:ascii="Lato" w:hAnsi="Lato"/>
        <w:b/>
        <w:bCs/>
        <w:sz w:val="16"/>
      </w:rPr>
      <w:instrText>PAGE  \* Arabic  \* MERGEFORMAT</w:instrText>
    </w:r>
    <w:r w:rsidRPr="000C5C4E">
      <w:rPr>
        <w:rFonts w:ascii="Lato" w:hAnsi="Lato"/>
        <w:b/>
        <w:bCs/>
        <w:sz w:val="16"/>
      </w:rPr>
      <w:fldChar w:fldCharType="separate"/>
    </w:r>
    <w:r w:rsidR="008B763B">
      <w:rPr>
        <w:rFonts w:ascii="Lato" w:hAnsi="Lato"/>
        <w:b/>
        <w:bCs/>
        <w:noProof/>
        <w:sz w:val="16"/>
      </w:rPr>
      <w:t>2</w:t>
    </w:r>
    <w:r w:rsidRPr="000C5C4E">
      <w:rPr>
        <w:rFonts w:ascii="Lato" w:hAnsi="Lato"/>
        <w:b/>
        <w:bCs/>
        <w:sz w:val="16"/>
      </w:rPr>
      <w:fldChar w:fldCharType="end"/>
    </w:r>
    <w:r w:rsidRPr="000C5C4E">
      <w:rPr>
        <w:rFonts w:ascii="Lato" w:hAnsi="Lato"/>
        <w:sz w:val="16"/>
      </w:rPr>
      <w:t xml:space="preserve"> z </w:t>
    </w:r>
    <w:r w:rsidRPr="000C5C4E">
      <w:rPr>
        <w:rFonts w:ascii="Lato" w:hAnsi="Lato"/>
        <w:b/>
        <w:bCs/>
        <w:sz w:val="16"/>
      </w:rPr>
      <w:fldChar w:fldCharType="begin"/>
    </w:r>
    <w:r w:rsidRPr="000C5C4E">
      <w:rPr>
        <w:rFonts w:ascii="Lato" w:hAnsi="Lato"/>
        <w:b/>
        <w:bCs/>
        <w:sz w:val="16"/>
      </w:rPr>
      <w:instrText>NUMPAGES  \* Arabic  \* MERGEFORMAT</w:instrText>
    </w:r>
    <w:r w:rsidRPr="000C5C4E">
      <w:rPr>
        <w:rFonts w:ascii="Lato" w:hAnsi="Lato"/>
        <w:b/>
        <w:bCs/>
        <w:sz w:val="16"/>
      </w:rPr>
      <w:fldChar w:fldCharType="separate"/>
    </w:r>
    <w:r w:rsidR="008B763B">
      <w:rPr>
        <w:rFonts w:ascii="Lato" w:hAnsi="Lato"/>
        <w:b/>
        <w:bCs/>
        <w:noProof/>
        <w:sz w:val="16"/>
      </w:rPr>
      <w:t>2</w:t>
    </w:r>
    <w:r w:rsidRPr="000C5C4E">
      <w:rPr>
        <w:rFonts w:ascii="Lato" w:hAnsi="Lato"/>
        <w:b/>
        <w:bCs/>
        <w:sz w:val="16"/>
      </w:rPr>
      <w:fldChar w:fldCharType="end"/>
    </w:r>
    <w:r w:rsidRPr="000E64CF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B6C0B9C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0E64CF">
      <w:rPr>
        <w:rFonts w:ascii="Lato" w:hAnsi="Lato"/>
        <w:sz w:val="16"/>
      </w:rPr>
      <w:tab/>
    </w:r>
    <w:r w:rsidRPr="000E64CF">
      <w:rPr>
        <w:rFonts w:ascii="Lato" w:hAnsi="Lato"/>
        <w:sz w:val="16"/>
        <w:szCs w:val="16"/>
      </w:rPr>
      <w:t>ul. Stefana Batorego 5</w:t>
    </w:r>
  </w:p>
  <w:p w:rsidR="0064065D" w:rsidRPr="000E64CF" w:rsidRDefault="0064065D" w:rsidP="00590C4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E64CF">
      <w:rPr>
        <w:rFonts w:ascii="Lato" w:hAnsi="Lato"/>
        <w:sz w:val="16"/>
      </w:rPr>
      <w:tab/>
    </w:r>
    <w:r w:rsidRPr="000E64CF">
      <w:rPr>
        <w:rFonts w:ascii="Lato" w:hAnsi="Lato"/>
        <w:sz w:val="16"/>
        <w:szCs w:val="16"/>
      </w:rPr>
      <w:t>02-591 Warszawa, Polska</w:t>
    </w:r>
  </w:p>
  <w:p w:rsidR="0064065D" w:rsidRPr="002279D4" w:rsidRDefault="0064065D">
    <w:pPr>
      <w:pStyle w:val="Stopka"/>
      <w:rPr>
        <w:rFonts w:ascii="Lato" w:hAnsi="Lato"/>
        <w:sz w:val="14"/>
      </w:rPr>
    </w:pPr>
  </w:p>
  <w:p w:rsidR="0064065D" w:rsidRPr="002279D4" w:rsidRDefault="0064065D">
    <w:pPr>
      <w:pStyle w:val="Stopka"/>
      <w:rPr>
        <w:rFonts w:ascii="Lato" w:hAnsi="Lato"/>
        <w:sz w:val="14"/>
      </w:rPr>
    </w:pPr>
  </w:p>
  <w:p w:rsidR="0064065D" w:rsidRPr="002279D4" w:rsidRDefault="0064065D">
    <w:pPr>
      <w:pStyle w:val="Stopka"/>
      <w:rPr>
        <w:rFonts w:ascii="Lato" w:hAnsi="Lato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5D" w:rsidRDefault="0064065D" w:rsidP="00465F82">
    <w:pPr>
      <w:pStyle w:val="Stopka"/>
      <w:tabs>
        <w:tab w:val="clear" w:pos="4536"/>
        <w:tab w:val="clear" w:pos="9072"/>
        <w:tab w:val="left" w:pos="5954"/>
      </w:tabs>
      <w:jc w:val="both"/>
      <w:rPr>
        <w:rFonts w:ascii="Lato" w:hAnsi="Lato"/>
        <w:sz w:val="16"/>
        <w:szCs w:val="16"/>
        <w:lang w:val="x-none"/>
      </w:rPr>
    </w:pPr>
  </w:p>
  <w:p w:rsidR="0064065D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  <w:lang w:val="x-none"/>
      </w:rPr>
    </w:pPr>
  </w:p>
  <w:p w:rsidR="0064065D" w:rsidRPr="008C1DF7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  <w:lang w:val="x-none"/>
      </w:rPr>
    </w:pPr>
  </w:p>
  <w:p w:rsidR="0064065D" w:rsidRPr="000012FE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E64CF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AF2249" wp14:editId="2EC32A94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0" cy="9525"/>
              <wp:effectExtent l="0" t="0" r="19050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2B08C30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0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C2563E" wp14:editId="14733FF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0CA7AFA" id="Łącznik prosty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9nbz8tUB&#10;AAAB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ul. Stefana Batorego 5</w:t>
    </w:r>
  </w:p>
  <w:p w:rsidR="0064065D" w:rsidRPr="000012FE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02-591 Warszawa, Polska</w:t>
    </w:r>
  </w:p>
  <w:p w:rsidR="0064065D" w:rsidRPr="000E64CF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>
      <w:rPr>
        <w:rFonts w:ascii="Lato" w:hAnsi="Lato"/>
        <w:sz w:val="16"/>
      </w:rPr>
      <w:t>st</w:t>
    </w:r>
    <w:r w:rsidRPr="000C5C4E">
      <w:rPr>
        <w:rFonts w:ascii="Lato" w:hAnsi="Lato"/>
        <w:sz w:val="16"/>
      </w:rPr>
      <w:t xml:space="preserve">rona </w:t>
    </w:r>
    <w:r w:rsidRPr="000C5C4E">
      <w:rPr>
        <w:rFonts w:ascii="Lato" w:hAnsi="Lato"/>
        <w:b/>
        <w:bCs/>
        <w:sz w:val="16"/>
      </w:rPr>
      <w:fldChar w:fldCharType="begin"/>
    </w:r>
    <w:r w:rsidRPr="000C5C4E">
      <w:rPr>
        <w:rFonts w:ascii="Lato" w:hAnsi="Lato"/>
        <w:b/>
        <w:bCs/>
        <w:sz w:val="16"/>
      </w:rPr>
      <w:instrText>PAGE  \* Arabic  \* MERGEFORMAT</w:instrText>
    </w:r>
    <w:r w:rsidRPr="000C5C4E">
      <w:rPr>
        <w:rFonts w:ascii="Lato" w:hAnsi="Lato"/>
        <w:b/>
        <w:bCs/>
        <w:sz w:val="16"/>
      </w:rPr>
      <w:fldChar w:fldCharType="separate"/>
    </w:r>
    <w:r w:rsidR="008B763B">
      <w:rPr>
        <w:rFonts w:ascii="Lato" w:hAnsi="Lato"/>
        <w:b/>
        <w:bCs/>
        <w:noProof/>
        <w:sz w:val="16"/>
      </w:rPr>
      <w:t>1</w:t>
    </w:r>
    <w:r w:rsidRPr="000C5C4E">
      <w:rPr>
        <w:rFonts w:ascii="Lato" w:hAnsi="Lato"/>
        <w:b/>
        <w:bCs/>
        <w:sz w:val="16"/>
      </w:rPr>
      <w:fldChar w:fldCharType="end"/>
    </w:r>
    <w:r w:rsidRPr="000C5C4E">
      <w:rPr>
        <w:rFonts w:ascii="Lato" w:hAnsi="Lato"/>
        <w:sz w:val="16"/>
      </w:rPr>
      <w:t xml:space="preserve"> z </w:t>
    </w:r>
    <w:r w:rsidRPr="000C5C4E">
      <w:rPr>
        <w:rFonts w:ascii="Lato" w:hAnsi="Lato"/>
        <w:b/>
        <w:bCs/>
        <w:sz w:val="16"/>
      </w:rPr>
      <w:fldChar w:fldCharType="begin"/>
    </w:r>
    <w:r w:rsidRPr="000C5C4E">
      <w:rPr>
        <w:rFonts w:ascii="Lato" w:hAnsi="Lato"/>
        <w:b/>
        <w:bCs/>
        <w:sz w:val="16"/>
      </w:rPr>
      <w:instrText>NUMPAGES  \* Arabic  \* MERGEFORMAT</w:instrText>
    </w:r>
    <w:r w:rsidRPr="000C5C4E">
      <w:rPr>
        <w:rFonts w:ascii="Lato" w:hAnsi="Lato"/>
        <w:b/>
        <w:bCs/>
        <w:sz w:val="16"/>
      </w:rPr>
      <w:fldChar w:fldCharType="separate"/>
    </w:r>
    <w:r w:rsidR="008B763B">
      <w:rPr>
        <w:rFonts w:ascii="Lato" w:hAnsi="Lato"/>
        <w:b/>
        <w:bCs/>
        <w:noProof/>
        <w:sz w:val="16"/>
      </w:rPr>
      <w:t>2</w:t>
    </w:r>
    <w:r w:rsidRPr="000C5C4E">
      <w:rPr>
        <w:rFonts w:ascii="Lato" w:hAnsi="Lato"/>
        <w:b/>
        <w:bCs/>
        <w:sz w:val="16"/>
      </w:rPr>
      <w:fldChar w:fldCharType="end"/>
    </w:r>
    <w:r w:rsidRPr="000E64CF">
      <w:rPr>
        <w:rFonts w:ascii="Lato" w:hAnsi="Lato"/>
        <w:sz w:val="16"/>
      </w:rPr>
      <w:tab/>
    </w:r>
  </w:p>
  <w:p w:rsidR="0064065D" w:rsidRPr="00004832" w:rsidRDefault="0064065D">
    <w:pPr>
      <w:pStyle w:val="Stopka"/>
      <w:rPr>
        <w:rFonts w:ascii="Lato" w:hAnsi="Lato"/>
        <w:sz w:val="14"/>
        <w:szCs w:val="14"/>
      </w:rPr>
    </w:pPr>
  </w:p>
  <w:p w:rsidR="0064065D" w:rsidRPr="00004832" w:rsidRDefault="0064065D">
    <w:pPr>
      <w:pStyle w:val="Stopka"/>
      <w:rPr>
        <w:rFonts w:ascii="Lato" w:hAnsi="Lato"/>
        <w:sz w:val="14"/>
        <w:szCs w:val="14"/>
      </w:rPr>
    </w:pPr>
  </w:p>
  <w:p w:rsidR="0064065D" w:rsidRPr="00004832" w:rsidRDefault="0064065D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8D2" w:rsidRDefault="001438D2" w:rsidP="009276B2">
      <w:pPr>
        <w:spacing w:after="0" w:line="240" w:lineRule="auto"/>
      </w:pPr>
      <w:r>
        <w:separator/>
      </w:r>
    </w:p>
  </w:footnote>
  <w:footnote w:type="continuationSeparator" w:id="0">
    <w:p w:rsidR="001438D2" w:rsidRDefault="001438D2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5D" w:rsidRDefault="0064065D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5D" w:rsidRDefault="006406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95B8AB5" wp14:editId="37E51B38">
          <wp:simplePos x="0" y="0"/>
          <wp:positionH relativeFrom="page">
            <wp:posOffset>31750</wp:posOffset>
          </wp:positionH>
          <wp:positionV relativeFrom="paragraph">
            <wp:posOffset>-419735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72A96"/>
    <w:multiLevelType w:val="hybridMultilevel"/>
    <w:tmpl w:val="D7BE5306"/>
    <w:lvl w:ilvl="0" w:tplc="04E0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4832"/>
    <w:rsid w:val="00047C4E"/>
    <w:rsid w:val="00055F10"/>
    <w:rsid w:val="000856A8"/>
    <w:rsid w:val="000B3CA3"/>
    <w:rsid w:val="000C01D9"/>
    <w:rsid w:val="000C5C4E"/>
    <w:rsid w:val="000D7882"/>
    <w:rsid w:val="000E64CF"/>
    <w:rsid w:val="000F661D"/>
    <w:rsid w:val="00100315"/>
    <w:rsid w:val="001218FD"/>
    <w:rsid w:val="001236B0"/>
    <w:rsid w:val="001438D2"/>
    <w:rsid w:val="00145A76"/>
    <w:rsid w:val="001533A6"/>
    <w:rsid w:val="00166A88"/>
    <w:rsid w:val="00183B62"/>
    <w:rsid w:val="001B70EB"/>
    <w:rsid w:val="001D453C"/>
    <w:rsid w:val="001E1B01"/>
    <w:rsid w:val="001F079A"/>
    <w:rsid w:val="0020092F"/>
    <w:rsid w:val="002279D4"/>
    <w:rsid w:val="00243B06"/>
    <w:rsid w:val="002558C7"/>
    <w:rsid w:val="002741C6"/>
    <w:rsid w:val="00275898"/>
    <w:rsid w:val="00294A81"/>
    <w:rsid w:val="002A12A1"/>
    <w:rsid w:val="002A7065"/>
    <w:rsid w:val="002E0C9D"/>
    <w:rsid w:val="002E44C4"/>
    <w:rsid w:val="002E56C2"/>
    <w:rsid w:val="002F6A98"/>
    <w:rsid w:val="00307ED4"/>
    <w:rsid w:val="003229B1"/>
    <w:rsid w:val="003B48A8"/>
    <w:rsid w:val="003D0DD3"/>
    <w:rsid w:val="00407148"/>
    <w:rsid w:val="00437E36"/>
    <w:rsid w:val="00454C5B"/>
    <w:rsid w:val="00465CE9"/>
    <w:rsid w:val="00465F82"/>
    <w:rsid w:val="00483BC8"/>
    <w:rsid w:val="00487E26"/>
    <w:rsid w:val="0049491C"/>
    <w:rsid w:val="004A0D6E"/>
    <w:rsid w:val="004A0E40"/>
    <w:rsid w:val="004A2223"/>
    <w:rsid w:val="004E0640"/>
    <w:rsid w:val="004F5D02"/>
    <w:rsid w:val="00513A07"/>
    <w:rsid w:val="00521223"/>
    <w:rsid w:val="005241AF"/>
    <w:rsid w:val="00531623"/>
    <w:rsid w:val="00554F9D"/>
    <w:rsid w:val="00590C4E"/>
    <w:rsid w:val="0059434A"/>
    <w:rsid w:val="005D01A8"/>
    <w:rsid w:val="005D41D2"/>
    <w:rsid w:val="005D7319"/>
    <w:rsid w:val="005E0FEE"/>
    <w:rsid w:val="0064065D"/>
    <w:rsid w:val="00643281"/>
    <w:rsid w:val="00643B6C"/>
    <w:rsid w:val="00646C5D"/>
    <w:rsid w:val="00673E82"/>
    <w:rsid w:val="006C7435"/>
    <w:rsid w:val="006D13D0"/>
    <w:rsid w:val="006F059A"/>
    <w:rsid w:val="0070631E"/>
    <w:rsid w:val="00716214"/>
    <w:rsid w:val="0071731C"/>
    <w:rsid w:val="0074732B"/>
    <w:rsid w:val="00797577"/>
    <w:rsid w:val="007C248F"/>
    <w:rsid w:val="008173A4"/>
    <w:rsid w:val="00822E4C"/>
    <w:rsid w:val="008415C2"/>
    <w:rsid w:val="00842B22"/>
    <w:rsid w:val="008512AF"/>
    <w:rsid w:val="008B10E0"/>
    <w:rsid w:val="008B4555"/>
    <w:rsid w:val="008B763B"/>
    <w:rsid w:val="008E4A03"/>
    <w:rsid w:val="008E6339"/>
    <w:rsid w:val="0090390E"/>
    <w:rsid w:val="009269B0"/>
    <w:rsid w:val="009276B2"/>
    <w:rsid w:val="00933C48"/>
    <w:rsid w:val="00963530"/>
    <w:rsid w:val="009C0A33"/>
    <w:rsid w:val="00A34C36"/>
    <w:rsid w:val="00A35459"/>
    <w:rsid w:val="00A45649"/>
    <w:rsid w:val="00AC4113"/>
    <w:rsid w:val="00AC4826"/>
    <w:rsid w:val="00AD6984"/>
    <w:rsid w:val="00AE6415"/>
    <w:rsid w:val="00AE67DA"/>
    <w:rsid w:val="00AE7D8A"/>
    <w:rsid w:val="00B03650"/>
    <w:rsid w:val="00B12259"/>
    <w:rsid w:val="00B20AD8"/>
    <w:rsid w:val="00B24BE9"/>
    <w:rsid w:val="00B26A90"/>
    <w:rsid w:val="00B44834"/>
    <w:rsid w:val="00B47FB0"/>
    <w:rsid w:val="00B84D3E"/>
    <w:rsid w:val="00B87744"/>
    <w:rsid w:val="00B9589E"/>
    <w:rsid w:val="00BD680C"/>
    <w:rsid w:val="00BE6444"/>
    <w:rsid w:val="00C14044"/>
    <w:rsid w:val="00C61056"/>
    <w:rsid w:val="00C759C5"/>
    <w:rsid w:val="00C8064A"/>
    <w:rsid w:val="00C85B83"/>
    <w:rsid w:val="00C85D56"/>
    <w:rsid w:val="00CA2DE0"/>
    <w:rsid w:val="00CB0F89"/>
    <w:rsid w:val="00CB4F20"/>
    <w:rsid w:val="00CC35DA"/>
    <w:rsid w:val="00CF21C3"/>
    <w:rsid w:val="00D033A7"/>
    <w:rsid w:val="00D0707D"/>
    <w:rsid w:val="00D132C0"/>
    <w:rsid w:val="00D13323"/>
    <w:rsid w:val="00D73437"/>
    <w:rsid w:val="00D8242C"/>
    <w:rsid w:val="00D95447"/>
    <w:rsid w:val="00DA46CC"/>
    <w:rsid w:val="00DD54C0"/>
    <w:rsid w:val="00DD7377"/>
    <w:rsid w:val="00E10CFC"/>
    <w:rsid w:val="00E22980"/>
    <w:rsid w:val="00E33355"/>
    <w:rsid w:val="00E3400A"/>
    <w:rsid w:val="00E93A33"/>
    <w:rsid w:val="00EE033E"/>
    <w:rsid w:val="00EF43CE"/>
    <w:rsid w:val="00F05F16"/>
    <w:rsid w:val="00F12AB5"/>
    <w:rsid w:val="00F13890"/>
    <w:rsid w:val="00F20A2A"/>
    <w:rsid w:val="00F26F56"/>
    <w:rsid w:val="00F34B6F"/>
    <w:rsid w:val="00F40743"/>
    <w:rsid w:val="00F7501A"/>
    <w:rsid w:val="00FA6BD4"/>
    <w:rsid w:val="00FB0CC4"/>
    <w:rsid w:val="00FC1BF6"/>
    <w:rsid w:val="00F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FC1B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2B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2B22"/>
    <w:rPr>
      <w:sz w:val="20"/>
      <w:szCs w:val="20"/>
    </w:rPr>
  </w:style>
  <w:style w:type="character" w:styleId="Odwoanieprzypisudolnego">
    <w:name w:val="footnote reference"/>
    <w:aliases w:val="Odwołanie przypisu,Footnote Reference/,marek-odwołanie przypisu dolnego,Znak,FZ,(Voetnootmarkering),Footnote Reference Number,Footnote symbol,Footnote reference number,note TESI,Footnote Reference Superscript,SUPERS,Znak Znak"/>
    <w:uiPriority w:val="99"/>
    <w:unhideWhenUsed/>
    <w:qFormat/>
    <w:rsid w:val="00842B2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42B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42B22"/>
  </w:style>
  <w:style w:type="character" w:customStyle="1" w:styleId="Teksttreci">
    <w:name w:val="Tekst treści_"/>
    <w:link w:val="Teksttreci0"/>
    <w:rsid w:val="00842B2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42B22"/>
    <w:pPr>
      <w:widowControl w:val="0"/>
      <w:shd w:val="clear" w:color="auto" w:fill="FFFFFF"/>
      <w:spacing w:before="480" w:after="0" w:line="0" w:lineRule="atLeast"/>
      <w:jc w:val="center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A774-E3B4-4A83-A60B-EF3706CA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Zając Kinga</cp:lastModifiedBy>
  <cp:revision>2</cp:revision>
  <cp:lastPrinted>2022-09-08T13:34:00Z</cp:lastPrinted>
  <dcterms:created xsi:type="dcterms:W3CDTF">2023-10-06T09:41:00Z</dcterms:created>
  <dcterms:modified xsi:type="dcterms:W3CDTF">2023-10-06T09:41:00Z</dcterms:modified>
</cp:coreProperties>
</file>