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D16D8" w14:textId="641DCF81" w:rsidR="006444E4" w:rsidRPr="006444E4" w:rsidRDefault="006444E4" w:rsidP="006444E4">
      <w:pPr>
        <w:spacing w:after="0" w:line="240" w:lineRule="auto"/>
        <w:ind w:left="43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44E4">
        <w:rPr>
          <w:rFonts w:ascii="Times New Roman" w:eastAsia="Times New Roman" w:hAnsi="Times New Roman" w:cs="Times New Roman"/>
          <w:b/>
          <w:sz w:val="24"/>
          <w:szCs w:val="24"/>
        </w:rPr>
        <w:t xml:space="preserve">Załącznik nr 5 do Umowy nr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……………………….</w:t>
      </w:r>
    </w:p>
    <w:p w14:paraId="173695F8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/>
          <w:iCs/>
          <w:sz w:val="20"/>
          <w:szCs w:val="20"/>
        </w:rPr>
      </w:pPr>
    </w:p>
    <w:p w14:paraId="24240E62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16487D6D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982784">
        <w:rPr>
          <w:rFonts w:ascii="Calibri" w:hAnsi="Calibri" w:cs="Calibri"/>
          <w:sz w:val="20"/>
          <w:szCs w:val="20"/>
        </w:rPr>
        <w:t>.........................................</w:t>
      </w:r>
    </w:p>
    <w:p w14:paraId="76007E6F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ind w:left="7080"/>
        <w:rPr>
          <w:rFonts w:ascii="Calibri" w:hAnsi="Calibri" w:cs="Calibri"/>
          <w:sz w:val="16"/>
          <w:szCs w:val="16"/>
        </w:rPr>
      </w:pPr>
      <w:r w:rsidRPr="00982784">
        <w:rPr>
          <w:rFonts w:ascii="Calibri" w:hAnsi="Calibri" w:cs="Calibri"/>
          <w:sz w:val="16"/>
          <w:szCs w:val="16"/>
        </w:rPr>
        <w:t xml:space="preserve">          (miejscowość i data)</w:t>
      </w:r>
      <w:r w:rsidRPr="00982784">
        <w:rPr>
          <w:rFonts w:ascii="Calibri" w:hAnsi="Calibri" w:cs="Calibri"/>
          <w:sz w:val="16"/>
          <w:szCs w:val="16"/>
          <w:vertAlign w:val="superscript"/>
        </w:rPr>
        <w:footnoteReference w:id="1"/>
      </w:r>
      <w:r w:rsidRPr="00982784">
        <w:rPr>
          <w:rFonts w:ascii="Calibri" w:hAnsi="Calibri" w:cs="Calibri"/>
          <w:sz w:val="16"/>
          <w:szCs w:val="16"/>
        </w:rPr>
        <w:t xml:space="preserve"> </w:t>
      </w:r>
    </w:p>
    <w:p w14:paraId="0BFF5F3D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82784">
        <w:rPr>
          <w:rFonts w:ascii="Calibri" w:hAnsi="Calibri" w:cs="Calibri"/>
          <w:sz w:val="20"/>
          <w:szCs w:val="20"/>
        </w:rPr>
        <w:t>..........................................................</w:t>
      </w:r>
    </w:p>
    <w:p w14:paraId="5EF564D3" w14:textId="77777777" w:rsidR="00982784" w:rsidRPr="00982784" w:rsidRDefault="00982784" w:rsidP="00982784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sz w:val="16"/>
          <w:szCs w:val="16"/>
        </w:rPr>
      </w:pPr>
      <w:r w:rsidRPr="00982784">
        <w:rPr>
          <w:rFonts w:ascii="Calibri" w:hAnsi="Calibri" w:cs="Calibri"/>
          <w:sz w:val="16"/>
          <w:szCs w:val="16"/>
        </w:rPr>
        <w:t xml:space="preserve">                      (Nazwisko i Imię)</w:t>
      </w:r>
    </w:p>
    <w:p w14:paraId="0729DF4D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82784">
        <w:rPr>
          <w:rFonts w:ascii="Calibri" w:hAnsi="Calibri" w:cs="Calibri"/>
          <w:sz w:val="20"/>
          <w:szCs w:val="20"/>
        </w:rPr>
        <w:t>..........................................................</w:t>
      </w:r>
    </w:p>
    <w:p w14:paraId="6C684EFB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 w:rsidRPr="00982784">
        <w:rPr>
          <w:rFonts w:ascii="Calibri" w:hAnsi="Calibri" w:cs="Calibri"/>
          <w:sz w:val="16"/>
          <w:szCs w:val="16"/>
        </w:rPr>
        <w:t xml:space="preserve">(Nazwa podmiotu zewnętrznego realizującego </w:t>
      </w:r>
    </w:p>
    <w:p w14:paraId="78AAF45B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 w:rsidRPr="00982784">
        <w:rPr>
          <w:rFonts w:ascii="Calibri" w:hAnsi="Calibri" w:cs="Calibri"/>
          <w:sz w:val="16"/>
          <w:szCs w:val="16"/>
        </w:rPr>
        <w:t xml:space="preserve">           usługi na rzecz Resortu Finansów)</w:t>
      </w:r>
    </w:p>
    <w:p w14:paraId="516D4CF4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692E1D41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82784">
        <w:rPr>
          <w:rFonts w:ascii="Calibri" w:hAnsi="Calibri" w:cs="Calibri"/>
          <w:sz w:val="20"/>
          <w:szCs w:val="20"/>
        </w:rPr>
        <w:t>..........................................................</w:t>
      </w:r>
    </w:p>
    <w:p w14:paraId="2925470B" w14:textId="77777777" w:rsidR="00982784" w:rsidRPr="00982784" w:rsidRDefault="00982784" w:rsidP="00982784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sz w:val="16"/>
          <w:szCs w:val="16"/>
        </w:rPr>
      </w:pPr>
      <w:r w:rsidRPr="00982784">
        <w:rPr>
          <w:rFonts w:ascii="Calibri" w:hAnsi="Calibri" w:cs="Calibri"/>
          <w:sz w:val="16"/>
          <w:szCs w:val="16"/>
        </w:rPr>
        <w:t xml:space="preserve">                    (Stanowisko/funkcja)</w:t>
      </w:r>
    </w:p>
    <w:p w14:paraId="16233136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5F23B1A4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7762D64A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5C3BC70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6120C95C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41D9C2DC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82784">
        <w:rPr>
          <w:rFonts w:cstheme="minorHAnsi"/>
          <w:b/>
          <w:bCs/>
          <w:sz w:val="24"/>
          <w:szCs w:val="24"/>
        </w:rPr>
        <w:t>OŚWIADCZENIE</w:t>
      </w:r>
    </w:p>
    <w:p w14:paraId="5A15561A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982784">
        <w:rPr>
          <w:rFonts w:cstheme="minorHAnsi"/>
          <w:b/>
          <w:bCs/>
          <w:sz w:val="24"/>
          <w:szCs w:val="24"/>
        </w:rPr>
        <w:t xml:space="preserve">o zapoznaniu się z </w:t>
      </w:r>
      <w:r w:rsidRPr="00982784">
        <w:rPr>
          <w:rFonts w:cstheme="minorHAnsi"/>
          <w:b/>
          <w:bCs/>
        </w:rPr>
        <w:t xml:space="preserve">zasadami bezpieczeństwa informacji w Resorcie Finansów </w:t>
      </w:r>
    </w:p>
    <w:p w14:paraId="7F94F7A9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82784">
        <w:rPr>
          <w:rFonts w:cstheme="minorHAnsi"/>
          <w:b/>
          <w:bCs/>
        </w:rPr>
        <w:t xml:space="preserve">we współpracy z podmiotami zewnętrznymi </w:t>
      </w:r>
    </w:p>
    <w:p w14:paraId="10EE14E5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18A44A78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1C996B0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DA6C783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240C3E1" w14:textId="77777777" w:rsidR="00982784" w:rsidRPr="00982784" w:rsidRDefault="00982784" w:rsidP="0098278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982784">
        <w:rPr>
          <w:rFonts w:cstheme="minorHAnsi"/>
          <w:sz w:val="24"/>
          <w:szCs w:val="24"/>
        </w:rPr>
        <w:t>W związku z realizacją zobowiązań z tytułu Umowy/Porozumienia</w:t>
      </w:r>
      <w:r w:rsidRPr="00982784">
        <w:rPr>
          <w:rFonts w:cstheme="minorHAnsi"/>
          <w:sz w:val="24"/>
          <w:szCs w:val="24"/>
          <w:vertAlign w:val="superscript"/>
        </w:rPr>
        <w:footnoteReference w:id="2"/>
      </w:r>
      <w:r w:rsidRPr="00982784">
        <w:rPr>
          <w:rFonts w:cstheme="minorHAnsi"/>
          <w:sz w:val="24"/>
          <w:szCs w:val="24"/>
        </w:rPr>
        <w:t xml:space="preserve"> Nr…………….. z dnia ……………….... oświadczam, że zapoznałam/em się z</w:t>
      </w:r>
      <w:r w:rsidRPr="00982784">
        <w:rPr>
          <w:rFonts w:cstheme="minorHAnsi"/>
          <w:b/>
          <w:bCs/>
          <w:sz w:val="24"/>
          <w:szCs w:val="24"/>
        </w:rPr>
        <w:t xml:space="preserve"> </w:t>
      </w:r>
      <w:r w:rsidRPr="00982784">
        <w:rPr>
          <w:rFonts w:cstheme="minorHAnsi"/>
          <w:i/>
          <w:iCs/>
        </w:rPr>
        <w:t xml:space="preserve">Zasadami bezpieczeństwa informacji w Resorcie Finansów we współpracy z podmiotami zewnętrznymi, </w:t>
      </w:r>
      <w:r w:rsidRPr="00982784">
        <w:rPr>
          <w:rFonts w:cstheme="minorHAnsi"/>
        </w:rPr>
        <w:t>stanowiącymi załącznik do niniejszego oświadczenia</w:t>
      </w:r>
      <w:r w:rsidRPr="00982784">
        <w:rPr>
          <w:rFonts w:cstheme="minorHAnsi"/>
          <w:sz w:val="24"/>
          <w:szCs w:val="24"/>
        </w:rPr>
        <w:t xml:space="preserve">. </w:t>
      </w:r>
    </w:p>
    <w:p w14:paraId="69A78007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59E77EF5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20FE64DB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0"/>
          <w:szCs w:val="20"/>
        </w:rPr>
      </w:pPr>
      <w:r w:rsidRPr="00982784">
        <w:rPr>
          <w:rFonts w:cstheme="minorHAnsi"/>
          <w:sz w:val="20"/>
          <w:szCs w:val="20"/>
        </w:rPr>
        <w:t>..............................................</w:t>
      </w:r>
    </w:p>
    <w:p w14:paraId="5A6FF5F5" w14:textId="77777777" w:rsidR="00982784" w:rsidRPr="00982784" w:rsidRDefault="00982784" w:rsidP="00982784">
      <w:pPr>
        <w:autoSpaceDE w:val="0"/>
        <w:autoSpaceDN w:val="0"/>
        <w:adjustRightInd w:val="0"/>
        <w:spacing w:after="0" w:line="240" w:lineRule="auto"/>
        <w:ind w:left="7080"/>
        <w:rPr>
          <w:rFonts w:cstheme="minorHAnsi"/>
          <w:sz w:val="16"/>
          <w:szCs w:val="16"/>
        </w:rPr>
      </w:pPr>
      <w:r w:rsidRPr="00982784">
        <w:rPr>
          <w:rFonts w:cstheme="minorHAnsi"/>
          <w:sz w:val="16"/>
          <w:szCs w:val="16"/>
        </w:rPr>
        <w:t xml:space="preserve">          (czytelny podpis)</w:t>
      </w:r>
      <w:r w:rsidRPr="00982784">
        <w:rPr>
          <w:rFonts w:cstheme="minorHAnsi"/>
          <w:sz w:val="16"/>
          <w:szCs w:val="16"/>
          <w:vertAlign w:val="superscript"/>
        </w:rPr>
        <w:footnoteReference w:id="3"/>
      </w:r>
    </w:p>
    <w:p w14:paraId="143B8E06" w14:textId="77777777" w:rsidR="00982784" w:rsidRPr="00982784" w:rsidRDefault="00982784" w:rsidP="00982784">
      <w:pPr>
        <w:rPr>
          <w:rFonts w:cstheme="minorHAnsi"/>
        </w:rPr>
      </w:pPr>
      <w:r w:rsidRPr="00982784">
        <w:rPr>
          <w:rFonts w:cstheme="minorHAnsi"/>
        </w:rPr>
        <w:t xml:space="preserve">  </w:t>
      </w:r>
    </w:p>
    <w:p w14:paraId="4BC443BC" w14:textId="77777777" w:rsidR="00982784" w:rsidRPr="00982784" w:rsidRDefault="00982784" w:rsidP="00982784">
      <w:pPr>
        <w:rPr>
          <w:rFonts w:cstheme="minorHAnsi"/>
        </w:rPr>
      </w:pPr>
    </w:p>
    <w:p w14:paraId="43676F0B" w14:textId="77777777" w:rsidR="00982784" w:rsidRPr="00982784" w:rsidRDefault="00982784" w:rsidP="00982784">
      <w:pPr>
        <w:keepNext/>
        <w:keepLines/>
        <w:spacing w:before="120" w:after="120" w:line="360" w:lineRule="auto"/>
        <w:jc w:val="center"/>
        <w:outlineLvl w:val="1"/>
        <w:rPr>
          <w:rFonts w:eastAsiaTheme="majorEastAsia" w:cstheme="minorHAnsi"/>
          <w:b/>
          <w:sz w:val="24"/>
          <w:szCs w:val="26"/>
        </w:rPr>
      </w:pPr>
    </w:p>
    <w:p w14:paraId="721BDA7A" w14:textId="77777777" w:rsidR="00982784" w:rsidRPr="00982784" w:rsidRDefault="00982784" w:rsidP="00982784">
      <w:pPr>
        <w:rPr>
          <w:rFonts w:eastAsiaTheme="majorEastAsia" w:cstheme="minorHAnsi"/>
          <w:b/>
          <w:sz w:val="24"/>
          <w:szCs w:val="26"/>
        </w:rPr>
      </w:pPr>
      <w:r w:rsidRPr="00982784">
        <w:rPr>
          <w:rFonts w:cstheme="minorHAnsi"/>
        </w:rPr>
        <w:br w:type="page"/>
      </w:r>
    </w:p>
    <w:p w14:paraId="31996039" w14:textId="77777777" w:rsidR="00982784" w:rsidRPr="00982784" w:rsidRDefault="00982784" w:rsidP="00982784">
      <w:pPr>
        <w:keepNext/>
        <w:keepLines/>
        <w:spacing w:before="120" w:after="120" w:line="360" w:lineRule="auto"/>
        <w:jc w:val="right"/>
        <w:outlineLvl w:val="1"/>
        <w:rPr>
          <w:rFonts w:eastAsiaTheme="majorEastAsia" w:cstheme="minorHAnsi"/>
          <w:bCs/>
          <w:i/>
          <w:iCs/>
          <w:sz w:val="24"/>
          <w:szCs w:val="26"/>
        </w:rPr>
      </w:pPr>
      <w:r w:rsidRPr="00982784">
        <w:rPr>
          <w:rFonts w:eastAsiaTheme="majorEastAsia" w:cstheme="minorHAnsi"/>
          <w:bCs/>
          <w:i/>
          <w:iCs/>
          <w:sz w:val="24"/>
          <w:szCs w:val="26"/>
        </w:rPr>
        <w:lastRenderedPageBreak/>
        <w:t>Załącznik do oświadczenia</w:t>
      </w:r>
    </w:p>
    <w:p w14:paraId="640D45BE" w14:textId="77777777" w:rsidR="00982784" w:rsidRPr="00982784" w:rsidRDefault="00982784" w:rsidP="00982784">
      <w:pPr>
        <w:keepNext/>
        <w:keepLines/>
        <w:spacing w:before="120" w:after="120" w:line="360" w:lineRule="auto"/>
        <w:jc w:val="center"/>
        <w:outlineLvl w:val="1"/>
        <w:rPr>
          <w:rFonts w:eastAsiaTheme="majorEastAsia" w:cstheme="minorHAnsi"/>
          <w:b/>
          <w:sz w:val="24"/>
          <w:szCs w:val="26"/>
        </w:rPr>
      </w:pPr>
    </w:p>
    <w:p w14:paraId="6C397E76" w14:textId="77777777" w:rsidR="00982784" w:rsidRPr="00982784" w:rsidRDefault="00982784" w:rsidP="00982784">
      <w:pPr>
        <w:keepNext/>
        <w:keepLines/>
        <w:spacing w:before="120" w:after="120" w:line="360" w:lineRule="auto"/>
        <w:jc w:val="center"/>
        <w:outlineLvl w:val="1"/>
        <w:rPr>
          <w:rFonts w:eastAsiaTheme="majorEastAsia" w:cstheme="minorHAnsi"/>
          <w:b/>
          <w:sz w:val="24"/>
          <w:szCs w:val="26"/>
        </w:rPr>
      </w:pPr>
      <w:r w:rsidRPr="00982784">
        <w:rPr>
          <w:rFonts w:eastAsiaTheme="majorEastAsia" w:cstheme="minorHAnsi"/>
          <w:b/>
          <w:sz w:val="24"/>
          <w:szCs w:val="26"/>
        </w:rPr>
        <w:t xml:space="preserve">Zasady bezpieczeństwa informacji w Resorcie Finansów </w:t>
      </w:r>
    </w:p>
    <w:p w14:paraId="74B5590B" w14:textId="77777777" w:rsidR="00982784" w:rsidRPr="00982784" w:rsidRDefault="00982784" w:rsidP="00982784">
      <w:pPr>
        <w:keepNext/>
        <w:keepLines/>
        <w:spacing w:before="120" w:after="120" w:line="360" w:lineRule="auto"/>
        <w:jc w:val="center"/>
        <w:outlineLvl w:val="1"/>
        <w:rPr>
          <w:rFonts w:eastAsiaTheme="majorEastAsia" w:cstheme="minorHAnsi"/>
          <w:b/>
          <w:sz w:val="24"/>
          <w:szCs w:val="26"/>
        </w:rPr>
      </w:pPr>
      <w:r w:rsidRPr="00982784">
        <w:rPr>
          <w:rFonts w:eastAsiaTheme="majorEastAsia" w:cstheme="minorHAnsi"/>
          <w:b/>
          <w:sz w:val="24"/>
          <w:szCs w:val="26"/>
        </w:rPr>
        <w:t>we współpracy z podmiotami zewnętrznymi</w:t>
      </w:r>
    </w:p>
    <w:p w14:paraId="6C25F5A7" w14:textId="77777777" w:rsidR="00982784" w:rsidRPr="00982784" w:rsidRDefault="00982784" w:rsidP="00982784">
      <w:pPr>
        <w:keepNext/>
        <w:keepLines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W Resorcie Finansów w ramach współpracy z podmiotami zewnętrznymi stosuje się następujące zasady dotyczące bezpieczeństwa informacji:</w:t>
      </w:r>
    </w:p>
    <w:p w14:paraId="074DEED9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zasada wiedzy koniecznej (ograniczonego dostępu do informacji) – pracownicy posiadają dostęp tylko do tych informacji, które są konieczne do realizacji powierzonych im zadań (różne zadania oznaczają różną wiedzę konieczną do ich wykonania, a tym samym inny profil dostępu);</w:t>
      </w:r>
    </w:p>
    <w:p w14:paraId="53D0B2F4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zasada potrzeby koniecznej - pracownicy mają zapewniony dostęp tylko do środków przetwarzania informacji (urządzeń teleinformatycznych, systemów, aplikacji, pomieszczeń), które są im konieczne do wykonania powierzonych im zadań;</w:t>
      </w:r>
    </w:p>
    <w:p w14:paraId="086E165B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zasada uprawnionego dostępu – pracownicy są dopuszczeni do przetwarzania informacji prawnie chronionych i przeznaczonych wyłącznie do użytku wewnętrznego po uzyskaniu wiedzy z zasad postępowania, w tym ochrony, określonych grup informacj</w:t>
      </w:r>
      <w:r w:rsidRPr="00982784">
        <w:rPr>
          <w:rFonts w:cstheme="minorHAnsi"/>
          <w:strike/>
        </w:rPr>
        <w:t>i,</w:t>
      </w:r>
      <w:r w:rsidRPr="00982784">
        <w:rPr>
          <w:rFonts w:cstheme="minorHAnsi"/>
        </w:rPr>
        <w:t xml:space="preserve"> oraz do odbycia szkolenia z zasad ochrony informacji (w celu spełnienia kryteria dopuszczenia do przetwarzania określonych informacji i danych); </w:t>
      </w:r>
    </w:p>
    <w:p w14:paraId="025C6120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zasada obecności koniecznej – prawo przebywania w obszarze przetwarzania, w tym przechowywania informacji i danych prawnie chronionych i wrażliwych, mogą mieć tylko osoby upoważnione. Przebywanie osób nieupoważnionych w tym obszarze jest możliwe wyłącznie w obecności upoważnionych pracowników;</w:t>
      </w:r>
    </w:p>
    <w:p w14:paraId="2D06C7B7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zasada świadomości zbiorowej - wszyscy pracownicy mają świadomość konieczności ochrony aktywów informacyjnych i aktywnie uczestniczą w tym procesie; świadomość pracowników w zakresie istniejących zagrożeń i zasad ochrony informacji jest podnoszona, w szczególności przez szkolenia i działania informacyjne;</w:t>
      </w:r>
    </w:p>
    <w:p w14:paraId="78288F12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 xml:space="preserve">indywidualnej odpowiedzialności – za utrzymanie odpowiedniego poziomu bezpieczeństwa poszczególnych aktywów lub ich elementów odpowiadają konkretne osoby, w zakresie nałożonych na nich obowiązków i nadanych im uprawnień. Zasada ta dotyczy np. powierzonego sprzętu: </w:t>
      </w:r>
    </w:p>
    <w:p w14:paraId="4705A358" w14:textId="77777777" w:rsidR="00982784" w:rsidRPr="00982784" w:rsidRDefault="00982784" w:rsidP="00982784">
      <w:pPr>
        <w:keepNext/>
        <w:keepLines/>
        <w:tabs>
          <w:tab w:val="center" w:pos="4536"/>
          <w:tab w:val="right" w:pos="9072"/>
        </w:tabs>
        <w:spacing w:after="0" w:line="360" w:lineRule="auto"/>
        <w:ind w:left="1077"/>
        <w:rPr>
          <w:rFonts w:cstheme="minorHAnsi"/>
        </w:rPr>
      </w:pPr>
      <w:r w:rsidRPr="00982784">
        <w:rPr>
          <w:rFonts w:cstheme="minorHAnsi"/>
        </w:rPr>
        <w:t xml:space="preserve">- każdy pracownik odpowiada za powierzony mu do użytkowania sprzęt komputerowy, wydruków z systemu centralnego wydruku, </w:t>
      </w:r>
    </w:p>
    <w:p w14:paraId="3E583FE9" w14:textId="77777777" w:rsidR="00982784" w:rsidRPr="00982784" w:rsidRDefault="00982784" w:rsidP="00982784">
      <w:pPr>
        <w:keepNext/>
        <w:keepLines/>
        <w:tabs>
          <w:tab w:val="center" w:pos="4536"/>
          <w:tab w:val="right" w:pos="9072"/>
        </w:tabs>
        <w:spacing w:after="0" w:line="360" w:lineRule="auto"/>
        <w:ind w:left="1077"/>
        <w:rPr>
          <w:rFonts w:cstheme="minorHAnsi"/>
        </w:rPr>
      </w:pPr>
      <w:r w:rsidRPr="00982784">
        <w:rPr>
          <w:rFonts w:cstheme="minorHAnsi"/>
        </w:rPr>
        <w:t>- każdy pracownik odpowiada za sporządzony przez siebie wydruk;</w:t>
      </w:r>
    </w:p>
    <w:p w14:paraId="5A98986C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lastRenderedPageBreak/>
        <w:t xml:space="preserve">rozdzielenia obowiązków - zadania krytyczne z punktu widzenia bezpieczeństwa systemu nie mogą być realizowane przez jedną osobę. Obowiązki i odpowiedzialności pozostające w konflikcie ze sobą należy rozdzielić w celu ograniczenia okazji do nieuprawnionej lub nieumyślnej modyfikacji lub nadużycia aktywów organizacji, w szczególności należy rozdzielić realizację funkcji operacyjnych od nadzorczych i kontrolnych; </w:t>
      </w:r>
    </w:p>
    <w:p w14:paraId="2B1C4BB7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czystego biurka - podczas nieobecności pracownika na stanowisku pracy, także w przypadku krótkotrwałego opuszczenia pomieszczenia, dokumenty i informatyczne nośniki danych zawierające informacje prawnie chronione lub przeznaczone wyłącznie do użytku wewnętrznego należy zabezpieczyć przed dostępem osób postronnych i nieupoważnionych. Środki organizacyjno-techniczne dot. przechowywania dokumentów i informatycznych nośników danych dostosowywane są zidentyfikowanego ryzyka, z wykorzystaniem m.in. nieprzeszklonych, zamykanych na klucz mebli biurowych, szaf metalowych zamykanych na klucz lub kod, przeznaczonych do tego pomieszczeń zamykanych na klucz lub wyposażonych w system kontroli dostępu;</w:t>
      </w:r>
    </w:p>
    <w:p w14:paraId="77917535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czystego ekranu - na czas nieobecności pracownika dostęp do komputera jest blokowany, a po zakończeniu pracy komputer jest wyłączany, chyba że dany komputer musi pracować w trybie ciągłym – w szczególności dotyczy to serwera obsługującego systemy alarmowe, komputerów administratorów, serwerów do monitoringu. W czasie obecności pracownika monitor jest ustawiony tak, aby nie pozwalał na zapoznawanie się z wyświetlanymi treściami przez osoby postronne, nieupoważnione;</w:t>
      </w:r>
    </w:p>
    <w:p w14:paraId="224A6845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czystego kosza – dokumenty papierowe, z wyjątkiem materiałów zawierających informacje publicznie dostępne, w tym promocyjno-informacyjne, muszą być niszczone w sposób uniemożliwiający ich odczytanie lub odtworzenie. W celu zniszczenia dokumentów papierowych zawierających informacje   prawnie chronione i przeznaczone wyłącznie do użytku wewnętrznego należy korzystać z udostępnionych niszczarek o odpowiedniej klasie niszczenia, adekwatnej do informacji oraz danych utrwalonych na niszczonych dokumentach. Niszczenie informatycznych nośników danych należy przeprowadzić zgodnie z zasadami określonymi w umowie/porozumieniu;</w:t>
      </w:r>
    </w:p>
    <w:p w14:paraId="1B8ED5D7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 xml:space="preserve">czystej tablicy - po zakończonym spotkaniu należy uprzątnąć wszystkie materiały oraz wyczyścić tablice oraz flipchart (tablice do szkoleń); </w:t>
      </w:r>
    </w:p>
    <w:p w14:paraId="51AE6A7A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czystych drukarek – w przypadku drukowania dokumentów z użyciem ogólnodostępnej drukarki drukowane informacje są zabierane z drukarek niezwłocznie po wydrukowaniu. W przypadku nieudanej próby wydrukowania użytkownik ma obowiązek skontaktować się z osobą odpowiedzialną za eksploatację urządzenia, jeżeli zachodzi podejrzenie, iż wydruk zostanie wydrukowany bez nadzoru;</w:t>
      </w:r>
    </w:p>
    <w:p w14:paraId="2B37AE34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lastRenderedPageBreak/>
        <w:t>poufności informacji uwierzytelniających – każdy pracownik jest  obowiązany do zachowania poufności udostępnionych mu haseł, kodów dostępu, kodów PIN, w szczególności do systemów informacyjnych;</w:t>
      </w:r>
    </w:p>
    <w:p w14:paraId="1222B93D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 xml:space="preserve">prywatności kont w systemach – każdy użytkownik jest obowiązany do pracy w systemach informacyjnych wyłącznie na przypisanych lub udostępnionych mu kontach, które jednoznacznie go identyfikują. Zabronione jest udostępnianie własnych kont osobom trzecim. Zasada ta ma również zastosowanie do kart wykorzystywanych w systemach kontroli dostępu funkcjonujących w Resorcie Finansów. Stosowanie się do tej reguły pozwala zachować rozliczalność działań użytkowników; </w:t>
      </w:r>
    </w:p>
    <w:p w14:paraId="5929236A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 xml:space="preserve">dyskrecji – wszelkie informacje służbowe mogą być przekazywane innym osobom uprawnionym do pozyskania tych informacji zgodnie z obowiązującymi przepisami prawa i przyjętymi w Resorcie Finansów zasadami; </w:t>
      </w:r>
    </w:p>
    <w:p w14:paraId="1A407393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zamkniętego pomieszczenia – niedopuszczalne jest pozostawienie pod nieobecność pracownika niezabezpieczonego pomieszczenia służbowego, zarówno w godzinach pracy, jak i po jej zakończeniu. Na zakończenie dnia pracy ostatnia wychodząca z pomieszczenia osoba jest obowiązana zamknąć wszystkie okna i drzwi oraz zabezpieczyć klucze do pomieszczenia;</w:t>
      </w:r>
    </w:p>
    <w:p w14:paraId="359E8E9E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zgłaszania incydentów bezpieczeństwa informacji i naruszeń ochrony danych osobowych – każdy użytkownik ma obowiązek niezwłocznie zgłosić wystąpienie lub podejrzenie wystąpienia incydentu lub naruszenia mającego lub mogącego mieć wpływ na bezpieczeństwo informacji, w tym danych osobowych w Resorcie Finansów;</w:t>
      </w:r>
    </w:p>
    <w:p w14:paraId="1ED2106D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bezpiecznej współpracy z podmiotami zewnętrznymi – dokumenty regulujące współpracę, w tym umowy, porozumienia, zawierają stosowne klauzule bezpieczeństwa, w tym o zachowaniu poufności, zasadach postępowania z pozyskaną informacją, niszczenia lub zwrotu aktywów informacyjnych po zakończeniu współpracy;</w:t>
      </w:r>
    </w:p>
    <w:p w14:paraId="7BCCF4F2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automatyzacji backupu - procesy tworzenia kopii zapasowych są odpowiednio zaplanowane z uwzględnieniem wymogów prawnych i potrzeb Resortu Finansów, jak również są zautomatyzowane oraz niemożliwe do przerwania przez pracownika;</w:t>
      </w:r>
    </w:p>
    <w:p w14:paraId="00DDCF78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legalnego oprogramowania – na serwerach i stacjach roboczych jest zainstalowane wyłącznie legalne oprogramowanie;</w:t>
      </w:r>
    </w:p>
    <w:p w14:paraId="586CE344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lastRenderedPageBreak/>
        <w:t xml:space="preserve">ochrony zewnętrznych (wymiennych) nośników danych – dane i informacje utrwalone na zewnętrznych nośnikach danych i wynoszone poza pomieszczenia użytkowane przez Resort Finansów są odpowiednio zabezpieczone przed nieuprawnionym dostępem, zniszczeniem oraz utratą integralności w czasie transportu i przechowywania. W szczególności dotyczy to informacji prawnie chronionych np. tajemnicy skarbowej, tajemnicy celnej, danych osobowych. </w:t>
      </w:r>
    </w:p>
    <w:p w14:paraId="64579C24" w14:textId="77777777" w:rsidR="00982784" w:rsidRPr="00982784" w:rsidRDefault="00982784" w:rsidP="00982784">
      <w:pPr>
        <w:keepNext/>
        <w:keepLines/>
        <w:numPr>
          <w:ilvl w:val="0"/>
          <w:numId w:val="2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zasada bezpieczeństwa informacji w usługach chmurowych - wszystkie dane przetwarzane w usługach chmurowych muszą być lokalizowane w regionach Europejskiego Obszaru Gospodarczego (EOG), z preferencją regionów zlokalizowanych w Polsce. Odstępstwa od tej zasady wymagają uprzedniej zgody DBE MF, opartej na analizie ryzyka wraz z zastosowaniem mechanizmów transferowych i technicznych środków ochrony (np. szyfrowanie, kontrola kluczy). W przypadku, gdy przetwarzanie obejmuje dane osobowe, odstępstwa od lokalizacji EOG wymagają również oceny zgodności transferu danych zgodnie z RODO oraz zastosowania adekwatnych mechanizmów transferowych i środków technicznych.</w:t>
      </w:r>
    </w:p>
    <w:p w14:paraId="100E00B9" w14:textId="77777777" w:rsidR="00982784" w:rsidRPr="00982784" w:rsidRDefault="00982784" w:rsidP="00982784">
      <w:pPr>
        <w:keepNext/>
        <w:keepLines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Stosowanie zabezpieczeń lub ich grup uwzględnia następujące zasady:</w:t>
      </w:r>
    </w:p>
    <w:p w14:paraId="043E856A" w14:textId="77777777" w:rsidR="00982784" w:rsidRPr="00982784" w:rsidRDefault="00982784" w:rsidP="00982784">
      <w:pPr>
        <w:keepNext/>
        <w:keepLines/>
        <w:numPr>
          <w:ilvl w:val="0"/>
          <w:numId w:val="4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minimalny stosowany poziom zabezpieczeń odpowiada wymogom obowiązujących przepisów prawa;</w:t>
      </w:r>
    </w:p>
    <w:p w14:paraId="6D90DC91" w14:textId="77777777" w:rsidR="00982784" w:rsidRPr="00982784" w:rsidRDefault="00982784" w:rsidP="00982784">
      <w:pPr>
        <w:keepNext/>
        <w:keepLines/>
        <w:numPr>
          <w:ilvl w:val="0"/>
          <w:numId w:val="4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zabezpieczenia są wdrażane we wszystkich obszarach określonych w deklaracji stosowania zabezpieczeń, zgodnie z wymogami normy ISO/IEC 27001 i zasadami określonymi w normie ISO/IEC 27002;</w:t>
      </w:r>
    </w:p>
    <w:p w14:paraId="696A9531" w14:textId="77777777" w:rsidR="00982784" w:rsidRPr="00982784" w:rsidRDefault="00982784" w:rsidP="00982784">
      <w:pPr>
        <w:keepNext/>
        <w:keepLines/>
        <w:numPr>
          <w:ilvl w:val="0"/>
          <w:numId w:val="4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używane mechanizmy zabezpieczeń są adekwatne (odpowiednie) do zagrożeń, podatności, wartości aktywów oraz wyników szacowania ryzyka w bezpieczeństwie informacji;</w:t>
      </w:r>
    </w:p>
    <w:p w14:paraId="38EA7602" w14:textId="77777777" w:rsidR="00982784" w:rsidRPr="00982784" w:rsidRDefault="00982784" w:rsidP="00982784">
      <w:pPr>
        <w:keepNext/>
        <w:keepLines/>
        <w:numPr>
          <w:ilvl w:val="0"/>
          <w:numId w:val="4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w doborze zabezpieczeń należy uwzględnić zalecenia i rekomendacje sformułowane w wyniku przeprowadzonych audytów bezpieczeństwa i kontroli;</w:t>
      </w:r>
    </w:p>
    <w:p w14:paraId="15BDF236" w14:textId="77777777" w:rsidR="00982784" w:rsidRPr="00982784" w:rsidRDefault="00982784" w:rsidP="00982784">
      <w:pPr>
        <w:keepNext/>
        <w:keepLines/>
        <w:numPr>
          <w:ilvl w:val="0"/>
          <w:numId w:val="4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 xml:space="preserve">zabezpieczenia fizyczne, techniczne, prawne i organizacyjne uzupełniają się wzajemnie (grupy zabezpieczeń), zapewniając wymagany poziom bezpieczeństwa informacji; </w:t>
      </w:r>
    </w:p>
    <w:p w14:paraId="3301C009" w14:textId="77777777" w:rsidR="00982784" w:rsidRPr="00982784" w:rsidRDefault="00982784" w:rsidP="00982784">
      <w:pPr>
        <w:keepNext/>
        <w:keepLines/>
        <w:numPr>
          <w:ilvl w:val="0"/>
          <w:numId w:val="4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należy unikać niepotrzebnego dublowania zabezpieczeń, przy uwzględnieniu racjonalnego gospodarowania środkami publicznymi, optymalizacji potrzeb oraz ograniczeń i uwarunkowań prawno-organizacyjnych Resortu Finansów;</w:t>
      </w:r>
    </w:p>
    <w:p w14:paraId="6530D882" w14:textId="77777777" w:rsidR="00982784" w:rsidRPr="00982784" w:rsidRDefault="00982784" w:rsidP="00982784">
      <w:pPr>
        <w:keepNext/>
        <w:keepLines/>
        <w:numPr>
          <w:ilvl w:val="0"/>
          <w:numId w:val="4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niedopuszczalne jest tymczasowe wyłączanie mechanizmów zabezpieczających systemy informacyjne funkcjonujące w Resorcie Finansów bez zastosowania alternatywnych mechanizmów; systemy są sprawne i przygotowane na wystąpienie zidentyfikowanych zagrożeń;</w:t>
      </w:r>
    </w:p>
    <w:p w14:paraId="1DEED8C2" w14:textId="77777777" w:rsidR="00982784" w:rsidRPr="00982784" w:rsidRDefault="00982784" w:rsidP="00982784">
      <w:pPr>
        <w:keepNext/>
        <w:keepLines/>
        <w:numPr>
          <w:ilvl w:val="0"/>
          <w:numId w:val="4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lastRenderedPageBreak/>
        <w:t>domniemanej odmowy - przyjęcia jako standardowych najbardziej restrykcyjnych ustawień, które można zwolnić jedynie w określonych sytuacjach („to, co nie jest dozwolone, jest zabronione”);</w:t>
      </w:r>
    </w:p>
    <w:p w14:paraId="6EFE42AC" w14:textId="77777777" w:rsidR="00982784" w:rsidRPr="00982784" w:rsidRDefault="00982784" w:rsidP="00982784">
      <w:pPr>
        <w:keepNext/>
        <w:keepLines/>
        <w:numPr>
          <w:ilvl w:val="0"/>
          <w:numId w:val="4"/>
        </w:numPr>
        <w:tabs>
          <w:tab w:val="center" w:pos="4536"/>
          <w:tab w:val="right" w:pos="9072"/>
        </w:tabs>
        <w:spacing w:after="0" w:line="360" w:lineRule="auto"/>
        <w:rPr>
          <w:rFonts w:cstheme="minorHAnsi"/>
        </w:rPr>
      </w:pPr>
      <w:r w:rsidRPr="00982784">
        <w:rPr>
          <w:rFonts w:cstheme="minorHAnsi"/>
        </w:rPr>
        <w:t>ciągłego doskonalenia – SZBI jest stale monitorowany, stosowane zabezpieczenia są dostosowywane do zmieniających się warunków wewnętrznych i zewnętrznych, w celu zapewnienia ich przydatności, adekwatności i skuteczności.</w:t>
      </w:r>
    </w:p>
    <w:p w14:paraId="2B50A32B" w14:textId="77777777" w:rsidR="00982784" w:rsidRPr="00982784" w:rsidRDefault="00982784" w:rsidP="00982784">
      <w:pPr>
        <w:rPr>
          <w:rFonts w:cstheme="minorHAnsi"/>
        </w:rPr>
      </w:pPr>
    </w:p>
    <w:p w14:paraId="4F9064A3" w14:textId="77777777" w:rsidR="00982784" w:rsidRPr="00982784" w:rsidRDefault="00982784" w:rsidP="00982784">
      <w:pPr>
        <w:rPr>
          <w:rFonts w:cstheme="minorHAnsi"/>
        </w:rPr>
      </w:pPr>
    </w:p>
    <w:p w14:paraId="7CE6B07F" w14:textId="7361BEE9" w:rsidR="008536B5" w:rsidRDefault="008536B5" w:rsidP="00982784">
      <w:pPr>
        <w:spacing w:after="0" w:line="320" w:lineRule="atLeast"/>
      </w:pPr>
    </w:p>
    <w:sectPr w:rsidR="00853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72EA3" w14:textId="77777777" w:rsidR="00F905FC" w:rsidRDefault="00F905FC" w:rsidP="006444E4">
      <w:pPr>
        <w:spacing w:after="0" w:line="240" w:lineRule="auto"/>
      </w:pPr>
      <w:r>
        <w:separator/>
      </w:r>
    </w:p>
  </w:endnote>
  <w:endnote w:type="continuationSeparator" w:id="0">
    <w:p w14:paraId="61F21B5F" w14:textId="77777777" w:rsidR="00F905FC" w:rsidRDefault="00F905FC" w:rsidP="00644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4B5F6" w14:textId="77777777" w:rsidR="00F905FC" w:rsidRDefault="00F905FC" w:rsidP="006444E4">
      <w:pPr>
        <w:spacing w:after="0" w:line="240" w:lineRule="auto"/>
      </w:pPr>
      <w:r>
        <w:separator/>
      </w:r>
    </w:p>
  </w:footnote>
  <w:footnote w:type="continuationSeparator" w:id="0">
    <w:p w14:paraId="6E9C3FAA" w14:textId="77777777" w:rsidR="00F905FC" w:rsidRDefault="00F905FC" w:rsidP="006444E4">
      <w:pPr>
        <w:spacing w:after="0" w:line="240" w:lineRule="auto"/>
      </w:pPr>
      <w:r>
        <w:continuationSeparator/>
      </w:r>
    </w:p>
  </w:footnote>
  <w:footnote w:id="1">
    <w:p w14:paraId="7171AE02" w14:textId="77777777" w:rsidR="00982784" w:rsidRDefault="00982784" w:rsidP="00982784">
      <w:pPr>
        <w:pStyle w:val="Tekstprzypisudolnego"/>
      </w:pPr>
      <w:r>
        <w:rPr>
          <w:rStyle w:val="Odwoanieprzypisudolnego"/>
        </w:rPr>
        <w:footnoteRef/>
      </w:r>
      <w:r>
        <w:t xml:space="preserve"> wypełnić tylko w wersji papierowej</w:t>
      </w:r>
    </w:p>
  </w:footnote>
  <w:footnote w:id="2">
    <w:p w14:paraId="312D790A" w14:textId="77777777" w:rsidR="00982784" w:rsidRDefault="00982784" w:rsidP="00982784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3">
    <w:p w14:paraId="38894748" w14:textId="77777777" w:rsidR="00982784" w:rsidRDefault="00982784" w:rsidP="00982784">
      <w:pPr>
        <w:pStyle w:val="Tekstprzypisudolnego"/>
      </w:pPr>
      <w:r>
        <w:rPr>
          <w:rStyle w:val="Odwoanieprzypisudolnego"/>
        </w:rPr>
        <w:footnoteRef/>
      </w:r>
      <w:r>
        <w:t xml:space="preserve"> wypełnić tylko w wersji papierowej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9573A"/>
    <w:multiLevelType w:val="hybridMultilevel"/>
    <w:tmpl w:val="2138C6DA"/>
    <w:lvl w:ilvl="0" w:tplc="2BDE4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52780"/>
    <w:multiLevelType w:val="hybridMultilevel"/>
    <w:tmpl w:val="1F685B8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30BE1D72"/>
    <w:multiLevelType w:val="hybridMultilevel"/>
    <w:tmpl w:val="C4A6B87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3A06420B"/>
    <w:multiLevelType w:val="hybridMultilevel"/>
    <w:tmpl w:val="A99A18A0"/>
    <w:lvl w:ilvl="0" w:tplc="74901F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816"/>
    <w:rsid w:val="000D6816"/>
    <w:rsid w:val="006444E4"/>
    <w:rsid w:val="007B5E27"/>
    <w:rsid w:val="008536B5"/>
    <w:rsid w:val="00982784"/>
    <w:rsid w:val="009E50C9"/>
    <w:rsid w:val="009E70C5"/>
    <w:rsid w:val="00C41365"/>
    <w:rsid w:val="00F9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46C32"/>
  <w15:chartTrackingRefBased/>
  <w15:docId w15:val="{BDD618A8-D93D-4D12-A943-CE645F15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4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644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44E4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6444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1546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Wójcicka Bożena</dc:creator>
  <cp:keywords/>
  <dc:description/>
  <cp:lastModifiedBy>Zaremba Ewelina</cp:lastModifiedBy>
  <cp:revision>2</cp:revision>
  <dcterms:created xsi:type="dcterms:W3CDTF">2026-09-21T14:38:00Z</dcterms:created>
  <dcterms:modified xsi:type="dcterms:W3CDTF">2026-09-21T14:38:00Z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UxC4dwLulzfINJ8nQH+xvX5LNGipWa4BRSZhPgxsCvkQhpqK5aHwnkXyz7Kcg0WGOrWqwRDXwBnPkCPlST+u9g==</vt:lpwstr>
  </property>
  <property fmtid="{D5CDD505-2E9C-101B-9397-08002B2CF9AE}" pid="4" name="MFClassificationDate">
    <vt:lpwstr>2026-08-19T12:23:19.4133870+02:00</vt:lpwstr>
  </property>
  <property fmtid="{D5CDD505-2E9C-101B-9397-08002B2CF9AE}" pid="5" name="MFClassifiedBySID">
    <vt:lpwstr>UxC4dwLulzfINJ8nQH+xvX5LNGipWa4BRSZhPgxsCvm42mrIC/DSDv0ggS+FjUN/2v1BBotkLlY5aAiEhoi6uZuRQ+G0gdKUF7sRFzdCJduyIpPRurMp9e1yvxxe6/wI</vt:lpwstr>
  </property>
  <property fmtid="{D5CDD505-2E9C-101B-9397-08002B2CF9AE}" pid="6" name="MFGRNItemId">
    <vt:lpwstr>GRN-4f4867e4-0f11-49fa-864e-8dd5a6009c49</vt:lpwstr>
  </property>
  <property fmtid="{D5CDD505-2E9C-101B-9397-08002B2CF9AE}" pid="7" name="MFHash">
    <vt:lpwstr>5hjgroPvazdqRRKOlwcBZ2Ine2AUv0+kzZAaPrBc7l4=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