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01312" w:rsidRPr="00401312" w14:paraId="091C1E0F" w14:textId="77777777" w:rsidTr="00401312">
        <w:tc>
          <w:tcPr>
            <w:tcW w:w="93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27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051FACEC" w14:textId="001465BA" w:rsidR="00401312" w:rsidRPr="00401312" w:rsidRDefault="00401312" w:rsidP="00401312">
            <w:pPr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Rezolucja CM/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ResCMN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(2020)12</w:t>
            </w:r>
          </w:p>
          <w:p w14:paraId="2B398D5D" w14:textId="35B82C86" w:rsidR="00401312" w:rsidRPr="00401312" w:rsidRDefault="00B8172C" w:rsidP="00401312">
            <w:pPr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w sprawie wdra</w:t>
            </w:r>
            <w:r w:rsidR="00401312">
              <w:rPr>
                <w:rFonts w:ascii="Arial Narrow" w:hAnsi="Arial Narrow"/>
                <w:b/>
                <w:bCs/>
                <w:sz w:val="28"/>
                <w:szCs w:val="28"/>
              </w:rPr>
              <w:t>ż</w:t>
            </w:r>
            <w:r w:rsidR="00CD5EB8">
              <w:rPr>
                <w:rFonts w:ascii="Arial Narrow" w:hAnsi="Arial Narrow"/>
                <w:b/>
                <w:bCs/>
                <w:sz w:val="28"/>
                <w:szCs w:val="28"/>
              </w:rPr>
              <w:t>a</w:t>
            </w:r>
            <w:r w:rsidR="00401312">
              <w:rPr>
                <w:rFonts w:ascii="Arial Narrow" w:hAnsi="Arial Narrow"/>
                <w:b/>
                <w:bCs/>
                <w:sz w:val="28"/>
                <w:szCs w:val="28"/>
              </w:rPr>
              <w:t>nia przez Polskę Konwencji ramowej o ochronie mniejszości narodowych</w:t>
            </w:r>
          </w:p>
          <w:p w14:paraId="59F0E207" w14:textId="261173E7" w:rsidR="00401312" w:rsidRPr="00401312" w:rsidRDefault="00401312" w:rsidP="00401312">
            <w:pPr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/>
                <w:i/>
                <w:iCs/>
              </w:rPr>
              <w:t>(</w:t>
            </w:r>
            <w:r w:rsidR="001E0979">
              <w:rPr>
                <w:rFonts w:ascii="Arial Narrow" w:hAnsi="Arial Narrow"/>
                <w:i/>
                <w:iCs/>
              </w:rPr>
              <w:t>P</w:t>
            </w:r>
            <w:r>
              <w:rPr>
                <w:rFonts w:ascii="Arial Narrow" w:hAnsi="Arial Narrow"/>
                <w:i/>
                <w:iCs/>
              </w:rPr>
              <w:t>rzyjęta przez Komitet Ministrów w dniu 21 października 2020 r.</w:t>
            </w:r>
            <w:r>
              <w:rPr>
                <w:rFonts w:ascii="Arial Narrow" w:hAnsi="Arial Narrow"/>
                <w:i/>
                <w:iCs/>
              </w:rPr>
              <w:br/>
              <w:t>na 1386</w:t>
            </w:r>
            <w:r w:rsidR="001E0979">
              <w:rPr>
                <w:rFonts w:ascii="Arial Narrow" w:hAnsi="Arial Narrow"/>
                <w:i/>
                <w:iCs/>
              </w:rPr>
              <w:t xml:space="preserve">. </w:t>
            </w:r>
            <w:r>
              <w:rPr>
                <w:rFonts w:ascii="Arial Narrow" w:hAnsi="Arial Narrow"/>
                <w:i/>
                <w:iCs/>
              </w:rPr>
              <w:t>posiedzeniu Delegatów Ministrów)</w:t>
            </w:r>
          </w:p>
        </w:tc>
      </w:tr>
    </w:tbl>
    <w:p w14:paraId="16B9CE10" w14:textId="77777777" w:rsidR="00401312" w:rsidRPr="00401312" w:rsidRDefault="00401312" w:rsidP="00401312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 </w:t>
      </w:r>
    </w:p>
    <w:p w14:paraId="71230085" w14:textId="77777777" w:rsidR="00401312" w:rsidRPr="00401312" w:rsidRDefault="00401312" w:rsidP="00401312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 </w:t>
      </w:r>
    </w:p>
    <w:p w14:paraId="66D7DDCF" w14:textId="122FC446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Komitet Ministrów, zgodnie z p</w:t>
      </w:r>
      <w:r w:rsidR="001E0979">
        <w:rPr>
          <w:rFonts w:ascii="Times New Roman" w:hAnsi="Times New Roman"/>
          <w:color w:val="333333"/>
          <w:sz w:val="24"/>
          <w:szCs w:val="24"/>
        </w:rPr>
        <w:t>rzepisa</w:t>
      </w:r>
      <w:r>
        <w:rPr>
          <w:rFonts w:ascii="Times New Roman" w:hAnsi="Times New Roman"/>
          <w:color w:val="333333"/>
          <w:sz w:val="24"/>
          <w:szCs w:val="24"/>
        </w:rPr>
        <w:t xml:space="preserve">mi </w:t>
      </w:r>
      <w:r w:rsidR="00F93490">
        <w:rPr>
          <w:rFonts w:ascii="Times New Roman" w:hAnsi="Times New Roman"/>
          <w:color w:val="333333"/>
          <w:sz w:val="24"/>
          <w:szCs w:val="24"/>
        </w:rPr>
        <w:t>art.</w:t>
      </w:r>
      <w:r>
        <w:rPr>
          <w:rFonts w:ascii="Times New Roman" w:hAnsi="Times New Roman"/>
          <w:color w:val="333333"/>
          <w:sz w:val="24"/>
          <w:szCs w:val="24"/>
        </w:rPr>
        <w:t xml:space="preserve"> 24–26 Konwencji ramowej o ochronie mniejszości narodowych (zwanej dalej </w:t>
      </w:r>
      <w:r w:rsidR="001E0979">
        <w:rPr>
          <w:rFonts w:ascii="Times New Roman" w:hAnsi="Times New Roman"/>
          <w:color w:val="333333"/>
          <w:sz w:val="24"/>
          <w:szCs w:val="24"/>
        </w:rPr>
        <w:t>„</w:t>
      </w:r>
      <w:r>
        <w:rPr>
          <w:rFonts w:ascii="Times New Roman" w:hAnsi="Times New Roman"/>
          <w:color w:val="333333"/>
          <w:sz w:val="24"/>
          <w:szCs w:val="24"/>
        </w:rPr>
        <w:t>Konwencją ramową</w:t>
      </w:r>
      <w:r w:rsidR="001E0979">
        <w:rPr>
          <w:rFonts w:ascii="Times New Roman" w:hAnsi="Times New Roman"/>
          <w:color w:val="333333"/>
          <w:sz w:val="24"/>
          <w:szCs w:val="24"/>
        </w:rPr>
        <w:t>”</w:t>
      </w:r>
      <w:r>
        <w:rPr>
          <w:rFonts w:ascii="Times New Roman" w:hAnsi="Times New Roman"/>
          <w:color w:val="333333"/>
          <w:sz w:val="24"/>
          <w:szCs w:val="24"/>
        </w:rPr>
        <w:t>),</w:t>
      </w:r>
    </w:p>
    <w:p w14:paraId="026532D5" w14:textId="47F0A664" w:rsidR="00401312" w:rsidRPr="00401312" w:rsidRDefault="00254C2A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u</w:t>
      </w:r>
      <w:r w:rsidR="00401312">
        <w:rPr>
          <w:rFonts w:ascii="Times New Roman" w:hAnsi="Times New Roman"/>
          <w:color w:val="333333"/>
          <w:sz w:val="24"/>
          <w:szCs w:val="24"/>
        </w:rPr>
        <w:t>względniając rezolucję </w:t>
      </w:r>
      <w:hyperlink r:id="rId4" w:tooltip="Rezolucja w sprawie zmienionych ustaleń dotyczących monitorowania na podstawie art. 24–26 Konwencji ramowej o ochronie mniejszości narodowych (przyjęta przez Komitet Ministrów w dniu 11 grudnia 2019 r. na 1363. posiedzeniu Delegatów Ministrów)" w:history="1">
        <w:r w:rsidR="00401312">
          <w:rPr>
            <w:rFonts w:ascii="Times New Roman" w:hAnsi="Times New Roman"/>
            <w:color w:val="129AF0"/>
            <w:sz w:val="24"/>
            <w:szCs w:val="24"/>
            <w:u w:val="single"/>
          </w:rPr>
          <w:t>CM/Res(2019)49</w:t>
        </w:r>
      </w:hyperlink>
      <w:r w:rsidRPr="00254C2A">
        <w:rPr>
          <w:rFonts w:ascii="Times New Roman" w:hAnsi="Times New Roman"/>
          <w:color w:val="129AF0"/>
          <w:sz w:val="24"/>
          <w:szCs w:val="24"/>
        </w:rPr>
        <w:t xml:space="preserve"> </w:t>
      </w:r>
      <w:r w:rsidR="00401312">
        <w:rPr>
          <w:rFonts w:ascii="Times New Roman" w:hAnsi="Times New Roman"/>
          <w:color w:val="333333"/>
          <w:sz w:val="24"/>
          <w:szCs w:val="24"/>
        </w:rPr>
        <w:t xml:space="preserve">z dnia 11 grudnia 2019 r. w sprawie zmienionych ustaleń dotyczących monitorowania na podstawie </w:t>
      </w:r>
      <w:r w:rsidR="00F93490">
        <w:rPr>
          <w:rFonts w:ascii="Times New Roman" w:hAnsi="Times New Roman"/>
          <w:color w:val="333333"/>
          <w:sz w:val="24"/>
          <w:szCs w:val="24"/>
        </w:rPr>
        <w:t>art.</w:t>
      </w:r>
      <w:r w:rsidR="00401312">
        <w:rPr>
          <w:rFonts w:ascii="Times New Roman" w:hAnsi="Times New Roman"/>
          <w:color w:val="333333"/>
          <w:sz w:val="24"/>
          <w:szCs w:val="24"/>
        </w:rPr>
        <w:t xml:space="preserve"> 24–26 Konwencji ramowej</w:t>
      </w:r>
      <w:r>
        <w:rPr>
          <w:rFonts w:ascii="Times New Roman" w:hAnsi="Times New Roman"/>
          <w:color w:val="333333"/>
          <w:sz w:val="24"/>
          <w:szCs w:val="24"/>
        </w:rPr>
        <w:t>,</w:t>
      </w:r>
    </w:p>
    <w:p w14:paraId="7F5BC6AE" w14:textId="5D33EF98" w:rsidR="00401312" w:rsidRPr="00254C2A" w:rsidRDefault="00254C2A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u</w:t>
      </w:r>
      <w:r w:rsidR="00401312">
        <w:rPr>
          <w:rFonts w:ascii="Times New Roman" w:hAnsi="Times New Roman"/>
          <w:color w:val="333333"/>
          <w:sz w:val="24"/>
          <w:szCs w:val="24"/>
        </w:rPr>
        <w:t>względniając obowiązującą zasadę głosowania</w:t>
      </w:r>
      <w:r w:rsidRPr="00F93490">
        <w:rPr>
          <w:rFonts w:ascii="Times New Roman" w:hAnsi="Times New Roman" w:cs="Times New Roman"/>
          <w:sz w:val="24"/>
          <w:szCs w:val="24"/>
        </w:rPr>
        <w:t>,</w:t>
      </w:r>
      <w:hyperlink r:id="rId5" w:anchor="_ftn1" w:history="1">
        <w:r w:rsidR="00F93490">
          <w:rPr>
            <w:rFonts w:ascii="Arial" w:hAnsi="Arial"/>
            <w:color w:val="129AF0"/>
            <w:sz w:val="20"/>
            <w:szCs w:val="20"/>
            <w:u w:val="single"/>
          </w:rPr>
          <w:t>[1]</w:t>
        </w:r>
      </w:hyperlink>
    </w:p>
    <w:p w14:paraId="7EE1EEFB" w14:textId="34CFC6BF" w:rsidR="00401312" w:rsidRPr="00401312" w:rsidRDefault="00254C2A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u</w:t>
      </w:r>
      <w:r w:rsidR="00401312">
        <w:rPr>
          <w:rFonts w:ascii="Times New Roman" w:hAnsi="Times New Roman"/>
          <w:color w:val="333333"/>
          <w:sz w:val="24"/>
          <w:szCs w:val="24"/>
        </w:rPr>
        <w:t>względniając dokument ratyfikacyjny złożony przez Polskę w dniu 20 grudnia 2000 r.</w:t>
      </w:r>
      <w:r>
        <w:rPr>
          <w:rFonts w:ascii="Times New Roman" w:hAnsi="Times New Roman"/>
          <w:color w:val="333333"/>
          <w:sz w:val="24"/>
          <w:szCs w:val="24"/>
        </w:rPr>
        <w:t>,</w:t>
      </w:r>
    </w:p>
    <w:p w14:paraId="3C9A07FF" w14:textId="6B5EFC7C" w:rsidR="00401312" w:rsidRPr="00401312" w:rsidRDefault="00254C2A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p</w:t>
      </w:r>
      <w:r w:rsidR="00401312">
        <w:rPr>
          <w:rFonts w:ascii="Times New Roman" w:hAnsi="Times New Roman"/>
          <w:color w:val="333333"/>
          <w:sz w:val="24"/>
          <w:szCs w:val="24"/>
        </w:rPr>
        <w:t xml:space="preserve">rzypominając, że Rząd Rzeczypospolitej Polskiej przekazał swój raport </w:t>
      </w:r>
      <w:r w:rsidR="00F93490">
        <w:rPr>
          <w:rFonts w:ascii="Times New Roman" w:hAnsi="Times New Roman"/>
          <w:color w:val="333333"/>
          <w:sz w:val="24"/>
          <w:szCs w:val="24"/>
        </w:rPr>
        <w:t>krajowy</w:t>
      </w:r>
      <w:r w:rsidR="00401312">
        <w:rPr>
          <w:rFonts w:ascii="Times New Roman" w:hAnsi="Times New Roman"/>
          <w:color w:val="333333"/>
          <w:sz w:val="24"/>
          <w:szCs w:val="24"/>
        </w:rPr>
        <w:t xml:space="preserve"> w</w:t>
      </w:r>
      <w:r w:rsidR="001E0979">
        <w:rPr>
          <w:rFonts w:ascii="Times New Roman" w:hAnsi="Times New Roman"/>
          <w:color w:val="333333"/>
          <w:sz w:val="24"/>
          <w:szCs w:val="24"/>
        </w:rPr>
        <w:t> </w:t>
      </w:r>
      <w:r w:rsidR="00401312">
        <w:rPr>
          <w:rFonts w:ascii="Times New Roman" w:hAnsi="Times New Roman"/>
          <w:color w:val="333333"/>
          <w:sz w:val="24"/>
          <w:szCs w:val="24"/>
        </w:rPr>
        <w:t>odniesieniu do czwartego cyklu monitorowania w ramach Konwencji ramowej w dniu 9</w:t>
      </w:r>
      <w:r w:rsidR="001E0979">
        <w:rPr>
          <w:rFonts w:ascii="Times New Roman" w:hAnsi="Times New Roman"/>
          <w:color w:val="333333"/>
          <w:sz w:val="24"/>
          <w:szCs w:val="24"/>
        </w:rPr>
        <w:t> </w:t>
      </w:r>
      <w:r w:rsidR="00401312">
        <w:rPr>
          <w:rFonts w:ascii="Times New Roman" w:hAnsi="Times New Roman"/>
          <w:color w:val="333333"/>
          <w:sz w:val="24"/>
          <w:szCs w:val="24"/>
        </w:rPr>
        <w:t>kwietnia 2019 r.</w:t>
      </w:r>
      <w:r>
        <w:rPr>
          <w:rFonts w:ascii="Times New Roman" w:hAnsi="Times New Roman"/>
          <w:color w:val="333333"/>
          <w:sz w:val="24"/>
          <w:szCs w:val="24"/>
        </w:rPr>
        <w:t>,</w:t>
      </w:r>
    </w:p>
    <w:p w14:paraId="7C31A25E" w14:textId="3608FE7C" w:rsidR="00401312" w:rsidRPr="00401312" w:rsidRDefault="00F93490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p</w:t>
      </w:r>
      <w:r w:rsidR="00401312">
        <w:rPr>
          <w:rFonts w:ascii="Times New Roman" w:hAnsi="Times New Roman"/>
          <w:color w:val="333333"/>
          <w:sz w:val="24"/>
          <w:szCs w:val="24"/>
        </w:rPr>
        <w:t>o przeanalizowaniu czwartej opinii Komitetu Doradczego w sprawie Polski</w:t>
      </w:r>
      <w:r>
        <w:rPr>
          <w:rFonts w:ascii="Times New Roman" w:hAnsi="Times New Roman"/>
          <w:color w:val="333333"/>
          <w:sz w:val="24"/>
          <w:szCs w:val="24"/>
        </w:rPr>
        <w:t>,</w:t>
      </w:r>
      <w:r w:rsidR="00401312">
        <w:rPr>
          <w:rFonts w:ascii="Times New Roman" w:hAnsi="Times New Roman"/>
          <w:color w:val="333333"/>
          <w:sz w:val="24"/>
          <w:szCs w:val="24"/>
        </w:rPr>
        <w:t xml:space="preserve"> przyjętej w dniu 6 listopada 2019 r.</w:t>
      </w:r>
      <w:r>
        <w:rPr>
          <w:rFonts w:ascii="Times New Roman" w:hAnsi="Times New Roman"/>
          <w:color w:val="333333"/>
          <w:sz w:val="24"/>
          <w:szCs w:val="24"/>
        </w:rPr>
        <w:t>,</w:t>
      </w:r>
    </w:p>
    <w:p w14:paraId="172EDD19" w14:textId="4F3C9EFB" w:rsidR="00401312" w:rsidRPr="00401312" w:rsidRDefault="00F93490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p</w:t>
      </w:r>
      <w:r w:rsidR="00401312">
        <w:rPr>
          <w:rFonts w:ascii="Times New Roman" w:hAnsi="Times New Roman"/>
          <w:color w:val="333333"/>
          <w:sz w:val="24"/>
          <w:szCs w:val="24"/>
        </w:rPr>
        <w:t xml:space="preserve">rzyjmuje następujące </w:t>
      </w:r>
      <w:r w:rsidR="001E0979">
        <w:rPr>
          <w:rFonts w:ascii="Times New Roman" w:hAnsi="Times New Roman"/>
          <w:color w:val="333333"/>
          <w:sz w:val="24"/>
          <w:szCs w:val="24"/>
        </w:rPr>
        <w:t xml:space="preserve">wnioski </w:t>
      </w:r>
      <w:r w:rsidR="00401312">
        <w:rPr>
          <w:rFonts w:ascii="Times New Roman" w:hAnsi="Times New Roman"/>
          <w:color w:val="333333"/>
          <w:sz w:val="24"/>
          <w:szCs w:val="24"/>
        </w:rPr>
        <w:t>w odniesieniu do Polski:</w:t>
      </w:r>
    </w:p>
    <w:p w14:paraId="7BE4BFC0" w14:textId="77777777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Zachęca się władze do uwzględnienia uwag i zaleceń zawartych w sekcjach I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II czwartej opinii Komitetu Doradczego. W szczególności powinny one podjąć następujące środki w celu dalszej poprawy wdrażania Konwencji ramowej:</w:t>
      </w:r>
    </w:p>
    <w:p w14:paraId="119D2762" w14:textId="77777777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Zalecenia dotyczące natychmiastowego działania:</w:t>
      </w:r>
      <w:hyperlink r:id="rId6" w:anchor="_ftn2" w:history="1">
        <w:r>
          <w:rPr>
            <w:rFonts w:ascii="Arial" w:hAnsi="Arial"/>
            <w:color w:val="129AF0"/>
            <w:sz w:val="20"/>
            <w:szCs w:val="20"/>
            <w:u w:val="single"/>
            <w:vertAlign w:val="superscript"/>
          </w:rPr>
          <w:t>[2]</w:t>
        </w:r>
      </w:hyperlink>
    </w:p>
    <w:p w14:paraId="54FC8D2D" w14:textId="42AF9F18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1.         przyjąć, wdrożyć, monitorować i regularnie oceniać, z udziałem Romów, program integracji Romów na okres od 2020 r., obejmujący środki skierowane do </w:t>
      </w:r>
      <w:r w:rsidR="006F40CC">
        <w:rPr>
          <w:rFonts w:ascii="Times New Roman" w:hAnsi="Times New Roman"/>
          <w:color w:val="333333"/>
          <w:sz w:val="24"/>
          <w:szCs w:val="24"/>
        </w:rPr>
        <w:t>społeczności</w:t>
      </w:r>
      <w:r>
        <w:rPr>
          <w:rFonts w:ascii="Times New Roman" w:hAnsi="Times New Roman"/>
          <w:color w:val="333333"/>
          <w:sz w:val="24"/>
          <w:szCs w:val="24"/>
        </w:rPr>
        <w:t xml:space="preserve"> większościowej w celu zwalczania niechęci wobec Romów, rozwijając mechanizmy konsultacji na szczeblu lokalnym i </w:t>
      </w:r>
      <w:r w:rsidR="000931EE">
        <w:rPr>
          <w:rFonts w:ascii="Times New Roman" w:hAnsi="Times New Roman"/>
          <w:color w:val="333333"/>
          <w:sz w:val="24"/>
          <w:szCs w:val="24"/>
        </w:rPr>
        <w:t xml:space="preserve">– </w:t>
      </w:r>
      <w:r>
        <w:rPr>
          <w:rFonts w:ascii="Times New Roman" w:hAnsi="Times New Roman"/>
          <w:color w:val="333333"/>
          <w:sz w:val="24"/>
          <w:szCs w:val="24"/>
        </w:rPr>
        <w:t xml:space="preserve">w razie potrzeby </w:t>
      </w:r>
      <w:r w:rsidR="000931EE">
        <w:rPr>
          <w:rFonts w:ascii="Times New Roman" w:hAnsi="Times New Roman"/>
          <w:color w:val="333333"/>
          <w:sz w:val="24"/>
          <w:szCs w:val="24"/>
        </w:rPr>
        <w:t xml:space="preserve">– </w:t>
      </w:r>
      <w:r>
        <w:rPr>
          <w:rFonts w:ascii="Times New Roman" w:hAnsi="Times New Roman"/>
          <w:color w:val="333333"/>
          <w:sz w:val="24"/>
          <w:szCs w:val="24"/>
        </w:rPr>
        <w:t xml:space="preserve">przyznając wieloletnie wsparcie finansowe projektom; w ramach tego programu rozszerzyć program asystentów </w:t>
      </w:r>
      <w:r w:rsidR="006F40CC">
        <w:rPr>
          <w:rFonts w:ascii="Times New Roman" w:hAnsi="Times New Roman"/>
          <w:color w:val="333333"/>
          <w:sz w:val="24"/>
          <w:szCs w:val="24"/>
        </w:rPr>
        <w:t xml:space="preserve">edukacji romskiej </w:t>
      </w:r>
      <w:r>
        <w:rPr>
          <w:rFonts w:ascii="Times New Roman" w:hAnsi="Times New Roman"/>
          <w:color w:val="333333"/>
          <w:sz w:val="24"/>
          <w:szCs w:val="24"/>
        </w:rPr>
        <w:t>i podjąć środki mające na celu zwiększenie udziału dzieci romskich, zwłaszcza w</w:t>
      </w:r>
      <w:r w:rsidR="001E0979"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</w:rPr>
        <w:t>edukacji przedszkolnej i średniej; ponadto dopilnować, aby wszystkie fundusze przeznaczone na poprawę warunków mieszkaniowych Romów były rzeczywiście wydawane na ten cel;</w:t>
      </w:r>
    </w:p>
    <w:p w14:paraId="77C0E87C" w14:textId="6F389058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2.         wzmocnić ochronę i propagować kultury i tożsamości osób należących do mniejszości narodowych, skutecznie zaspokajając potrzeby mniej licznych mniejszości, w tym poprzez zapewnienie odpowiedniego finansowania stowarzyszeń mniejszości narodowych i</w:t>
      </w:r>
      <w:r w:rsidR="001E0979"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</w:rPr>
        <w:t>zapewnienie jego większej trwałości w perspektywie długoterminowej;</w:t>
      </w:r>
    </w:p>
    <w:p w14:paraId="3EA3E7E4" w14:textId="3E198843" w:rsidR="00401312" w:rsidRPr="00401312" w:rsidRDefault="00401312" w:rsidP="00401312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14:paraId="3103DFA2" w14:textId="4157F41A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3.         podjąć zdecydowane środki w celu promowania dialogu międzykulturowego i</w:t>
      </w:r>
      <w:r w:rsidR="00DE5AEA"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</w:rPr>
        <w:t>wzajemnego zrozumienia między większością i różnymi grupami mniejszościowymi, a także wspólnotami religijnymi w Polsce; potępić na najwyższym szczeblu politycznym wszelkie przejawy nietolerancji i wrogości o podłożu etnicznym w dyskursie politycznym i w mediach oraz aktywnie promować poczucie przynależności do wspólnego kraju, w oparciu o</w:t>
      </w:r>
      <w:r w:rsidR="00DE5AEA"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</w:rPr>
        <w:t xml:space="preserve">akceptację </w:t>
      </w:r>
      <w:r>
        <w:rPr>
          <w:rFonts w:ascii="Times New Roman" w:hAnsi="Times New Roman"/>
          <w:color w:val="333333"/>
          <w:sz w:val="24"/>
          <w:szCs w:val="24"/>
        </w:rPr>
        <w:lastRenderedPageBreak/>
        <w:t>złożoności historii Polski; zwiększyć wysiłki na rzecz zwalczania mowy nienawiści i skuteczn</w:t>
      </w:r>
      <w:r w:rsidR="00DE5AEA">
        <w:rPr>
          <w:rFonts w:ascii="Times New Roman" w:hAnsi="Times New Roman"/>
          <w:color w:val="333333"/>
          <w:sz w:val="24"/>
          <w:szCs w:val="24"/>
        </w:rPr>
        <w:t>i</w:t>
      </w:r>
      <w:r>
        <w:rPr>
          <w:rFonts w:ascii="Times New Roman" w:hAnsi="Times New Roman"/>
          <w:color w:val="333333"/>
          <w:sz w:val="24"/>
          <w:szCs w:val="24"/>
        </w:rPr>
        <w:t>e identyfikowa</w:t>
      </w:r>
      <w:r w:rsidR="00DE5AEA">
        <w:rPr>
          <w:rFonts w:ascii="Times New Roman" w:hAnsi="Times New Roman"/>
          <w:color w:val="333333"/>
          <w:sz w:val="24"/>
          <w:szCs w:val="24"/>
        </w:rPr>
        <w:t>ć</w:t>
      </w:r>
      <w:r>
        <w:rPr>
          <w:rFonts w:ascii="Times New Roman" w:hAnsi="Times New Roman"/>
          <w:color w:val="333333"/>
          <w:sz w:val="24"/>
          <w:szCs w:val="24"/>
        </w:rPr>
        <w:t>, rejestrowa</w:t>
      </w:r>
      <w:r w:rsidR="00DE5AEA">
        <w:rPr>
          <w:rFonts w:ascii="Times New Roman" w:hAnsi="Times New Roman"/>
          <w:color w:val="333333"/>
          <w:sz w:val="24"/>
          <w:szCs w:val="24"/>
        </w:rPr>
        <w:t>ć</w:t>
      </w:r>
      <w:r>
        <w:rPr>
          <w:rFonts w:ascii="Times New Roman" w:hAnsi="Times New Roman"/>
          <w:color w:val="333333"/>
          <w:sz w:val="24"/>
          <w:szCs w:val="24"/>
        </w:rPr>
        <w:t xml:space="preserve"> i bada</w:t>
      </w:r>
      <w:r w:rsidR="00DE5AEA">
        <w:rPr>
          <w:rFonts w:ascii="Times New Roman" w:hAnsi="Times New Roman"/>
          <w:color w:val="333333"/>
          <w:sz w:val="24"/>
          <w:szCs w:val="24"/>
        </w:rPr>
        <w:t>ć</w:t>
      </w:r>
      <w:r>
        <w:rPr>
          <w:rFonts w:ascii="Times New Roman" w:hAnsi="Times New Roman"/>
          <w:color w:val="333333"/>
          <w:sz w:val="24"/>
          <w:szCs w:val="24"/>
        </w:rPr>
        <w:t xml:space="preserve"> przypadk</w:t>
      </w:r>
      <w:r w:rsidR="00DE5AEA">
        <w:rPr>
          <w:rFonts w:ascii="Times New Roman" w:hAnsi="Times New Roman"/>
          <w:color w:val="333333"/>
          <w:sz w:val="24"/>
          <w:szCs w:val="24"/>
        </w:rPr>
        <w:t>i</w:t>
      </w:r>
      <w:r>
        <w:rPr>
          <w:rFonts w:ascii="Times New Roman" w:hAnsi="Times New Roman"/>
          <w:color w:val="333333"/>
          <w:sz w:val="24"/>
          <w:szCs w:val="24"/>
        </w:rPr>
        <w:t xml:space="preserve"> domniemanych przestępstw z nienawiści, a także ściga</w:t>
      </w:r>
      <w:r w:rsidR="00DE5AEA">
        <w:rPr>
          <w:rFonts w:ascii="Times New Roman" w:hAnsi="Times New Roman"/>
          <w:color w:val="333333"/>
          <w:sz w:val="24"/>
          <w:szCs w:val="24"/>
        </w:rPr>
        <w:t>ć</w:t>
      </w:r>
      <w:r>
        <w:rPr>
          <w:rFonts w:ascii="Times New Roman" w:hAnsi="Times New Roman"/>
          <w:color w:val="333333"/>
          <w:sz w:val="24"/>
          <w:szCs w:val="24"/>
        </w:rPr>
        <w:t xml:space="preserve"> i kara</w:t>
      </w:r>
      <w:r w:rsidR="00DE5AEA">
        <w:rPr>
          <w:rFonts w:ascii="Times New Roman" w:hAnsi="Times New Roman"/>
          <w:color w:val="333333"/>
          <w:sz w:val="24"/>
          <w:szCs w:val="24"/>
        </w:rPr>
        <w:t>ć</w:t>
      </w:r>
      <w:r>
        <w:rPr>
          <w:rFonts w:ascii="Times New Roman" w:hAnsi="Times New Roman"/>
          <w:color w:val="333333"/>
          <w:sz w:val="24"/>
          <w:szCs w:val="24"/>
        </w:rPr>
        <w:t xml:space="preserve"> os</w:t>
      </w:r>
      <w:r w:rsidR="00DE5AEA">
        <w:rPr>
          <w:rFonts w:ascii="Times New Roman" w:hAnsi="Times New Roman"/>
          <w:color w:val="333333"/>
          <w:sz w:val="24"/>
          <w:szCs w:val="24"/>
        </w:rPr>
        <w:t>oby</w:t>
      </w:r>
      <w:r>
        <w:rPr>
          <w:rFonts w:ascii="Times New Roman" w:hAnsi="Times New Roman"/>
          <w:color w:val="333333"/>
          <w:sz w:val="24"/>
          <w:szCs w:val="24"/>
        </w:rPr>
        <w:t xml:space="preserve"> odpowiedzialn</w:t>
      </w:r>
      <w:r w:rsidR="00DE5AEA">
        <w:rPr>
          <w:rFonts w:ascii="Times New Roman" w:hAnsi="Times New Roman"/>
          <w:color w:val="333333"/>
          <w:sz w:val="24"/>
          <w:szCs w:val="24"/>
        </w:rPr>
        <w:t>e</w:t>
      </w:r>
      <w:r>
        <w:rPr>
          <w:rFonts w:ascii="Times New Roman" w:hAnsi="Times New Roman"/>
          <w:color w:val="333333"/>
          <w:sz w:val="24"/>
          <w:szCs w:val="24"/>
        </w:rPr>
        <w:t>;</w:t>
      </w:r>
    </w:p>
    <w:p w14:paraId="7CA72077" w14:textId="6A8B0072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4.         podjąć działania mające na celu podniesienie jakości nauczania języków mniejszości poprzez przyjęcie większej odpowiedzialności za </w:t>
      </w:r>
      <w:r w:rsidR="00A43C68">
        <w:rPr>
          <w:rFonts w:ascii="Times New Roman" w:hAnsi="Times New Roman"/>
          <w:color w:val="333333"/>
          <w:sz w:val="24"/>
          <w:szCs w:val="24"/>
        </w:rPr>
        <w:t>wydanie</w:t>
      </w:r>
      <w:r>
        <w:rPr>
          <w:rFonts w:ascii="Times New Roman" w:hAnsi="Times New Roman"/>
          <w:color w:val="333333"/>
          <w:sz w:val="24"/>
          <w:szCs w:val="24"/>
        </w:rPr>
        <w:t xml:space="preserve"> nowych materiałów dydaktycznych, za</w:t>
      </w:r>
      <w:r w:rsidR="00A43C68">
        <w:rPr>
          <w:rFonts w:ascii="Times New Roman" w:hAnsi="Times New Roman"/>
          <w:color w:val="333333"/>
          <w:sz w:val="24"/>
          <w:szCs w:val="24"/>
        </w:rPr>
        <w:t>pewniając</w:t>
      </w:r>
      <w:r>
        <w:rPr>
          <w:rFonts w:ascii="Times New Roman" w:hAnsi="Times New Roman"/>
          <w:color w:val="333333"/>
          <w:sz w:val="24"/>
          <w:szCs w:val="24"/>
        </w:rPr>
        <w:t xml:space="preserve">, że środki przekazywane samorządom lokalnym na nauczanie języków mniejszości są przeznaczane na ten cel, </w:t>
      </w:r>
      <w:r w:rsidR="00A43C68">
        <w:rPr>
          <w:rFonts w:ascii="Times New Roman" w:hAnsi="Times New Roman"/>
          <w:color w:val="333333"/>
          <w:sz w:val="24"/>
          <w:szCs w:val="24"/>
        </w:rPr>
        <w:t>a także zapewniając</w:t>
      </w:r>
      <w:r>
        <w:rPr>
          <w:rFonts w:ascii="Times New Roman" w:hAnsi="Times New Roman"/>
          <w:color w:val="333333"/>
          <w:sz w:val="24"/>
          <w:szCs w:val="24"/>
        </w:rPr>
        <w:t xml:space="preserve"> dostępnoś</w:t>
      </w:r>
      <w:r w:rsidR="00A43C68">
        <w:rPr>
          <w:rFonts w:ascii="Times New Roman" w:hAnsi="Times New Roman"/>
          <w:color w:val="333333"/>
          <w:sz w:val="24"/>
          <w:szCs w:val="24"/>
        </w:rPr>
        <w:t>ć</w:t>
      </w:r>
      <w:r>
        <w:rPr>
          <w:rFonts w:ascii="Times New Roman" w:hAnsi="Times New Roman"/>
          <w:color w:val="333333"/>
          <w:sz w:val="24"/>
          <w:szCs w:val="24"/>
        </w:rPr>
        <w:t xml:space="preserve"> wykwalifikowanych nauczycieli, w szczególności języka kaszubskiego.</w:t>
      </w:r>
    </w:p>
    <w:p w14:paraId="32957489" w14:textId="77777777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Dalsze rekomendacje:</w:t>
      </w:r>
    </w:p>
    <w:p w14:paraId="2AA476A0" w14:textId="5C842B5B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5.         przyjąć pragmatyczne i konstruktywne podejście w dialogu z grupami, które wyraziły zainteresowanie ochroną wynikającą z Konwencji ramowej, w tym ze Ślązakami, oraz rozważ</w:t>
      </w:r>
      <w:r w:rsidR="009113B3">
        <w:rPr>
          <w:rFonts w:ascii="Times New Roman" w:hAnsi="Times New Roman"/>
          <w:color w:val="333333"/>
          <w:sz w:val="24"/>
          <w:szCs w:val="24"/>
        </w:rPr>
        <w:t>yć</w:t>
      </w:r>
      <w:r>
        <w:rPr>
          <w:rFonts w:ascii="Times New Roman" w:hAnsi="Times New Roman"/>
          <w:color w:val="333333"/>
          <w:sz w:val="24"/>
          <w:szCs w:val="24"/>
        </w:rPr>
        <w:t xml:space="preserve"> stosowani</w:t>
      </w:r>
      <w:r w:rsidR="009113B3">
        <w:rPr>
          <w:rFonts w:ascii="Times New Roman" w:hAnsi="Times New Roman"/>
          <w:color w:val="333333"/>
          <w:sz w:val="24"/>
          <w:szCs w:val="24"/>
        </w:rPr>
        <w:t>e</w:t>
      </w:r>
      <w:r>
        <w:rPr>
          <w:rFonts w:ascii="Times New Roman" w:hAnsi="Times New Roman"/>
          <w:color w:val="333333"/>
          <w:sz w:val="24"/>
          <w:szCs w:val="24"/>
        </w:rPr>
        <w:t xml:space="preserve"> Konwencji ramowej w oparciu o poszczególne artykuły;</w:t>
      </w:r>
    </w:p>
    <w:p w14:paraId="02679D37" w14:textId="2C4E727F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6.         zintensyfikować wysiłki mające na celu podniesienie świadomości na temat norm prawnych i środków odwoławczych dostępnych dla ofiar dyskryminacji, w szczególności wśród grup najczęściej narażonych na dyskryminację, takich jak Romowie; zapewnić odpowiednie wsparcie polityczne i finansowe Biur</w:t>
      </w:r>
      <w:r w:rsidR="006F40CC">
        <w:rPr>
          <w:rFonts w:ascii="Times New Roman" w:hAnsi="Times New Roman"/>
          <w:color w:val="333333"/>
          <w:sz w:val="24"/>
          <w:szCs w:val="24"/>
        </w:rPr>
        <w:t>a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6F40CC">
        <w:rPr>
          <w:rFonts w:ascii="Times New Roman" w:hAnsi="Times New Roman"/>
          <w:color w:val="333333"/>
          <w:sz w:val="24"/>
          <w:szCs w:val="24"/>
        </w:rPr>
        <w:t>Rzecznika Praw Obywatelskich</w:t>
      </w:r>
      <w:r>
        <w:rPr>
          <w:rFonts w:ascii="Times New Roman" w:hAnsi="Times New Roman"/>
          <w:color w:val="333333"/>
          <w:sz w:val="24"/>
          <w:szCs w:val="24"/>
        </w:rPr>
        <w:t>, aby umożliwić mu skuteczne dążenie do niezależności i wypełnianie mandatu w zakresie ochrony osób należących do mniejszości narodowych;</w:t>
      </w:r>
    </w:p>
    <w:p w14:paraId="5C06E639" w14:textId="0E5E70FD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7.         zapewnić, w razie potrzeby poprzez podjęcie środków legislacyjnych, skuteczny udział mniejszości narodowych w regionalnych radach programowych publicznego radia i</w:t>
      </w:r>
      <w:r w:rsidR="001E0979"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</w:rPr>
        <w:t>telewizji; stale monitorować wpływ ustawodawstwa medialnego na prawa przyznane mniejszościom narodowym oraz zapewnić, że wszystkie języki i kultury mniejszości narodowych istniejące w społeczeństwie są w sposób widoczny i słyszalny obecne zarówno w</w:t>
      </w:r>
      <w:r w:rsidR="001E0979"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</w:rPr>
        <w:t>regionalnych, jak i krajowych programach nadawczych;</w:t>
      </w:r>
    </w:p>
    <w:p w14:paraId="0FBB0F19" w14:textId="0B0776F6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8.         zwiększyć wysiłki na rzecz gromadzenia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zdezagregowanych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danych dotyczących udziału społeczno-gospodarczego mniejszości romskiej w Polsce, zwłaszcza w zakresie mieszkalnictwa i zatrudnienia, oraz zapewnić na tej podstawie skuteczny udział Romów w</w:t>
      </w:r>
      <w:r w:rsidR="001E0979"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</w:rPr>
        <w:t>życiu gospodarczym i społecznym poprzez opracowanie i wdrożenie kompleksowych i</w:t>
      </w:r>
      <w:r w:rsidR="001E0979"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</w:rPr>
        <w:t>dających się dostosować środków politycznych;</w:t>
      </w:r>
    </w:p>
    <w:p w14:paraId="163EFC44" w14:textId="77777777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9.         podjąć dialog z przedstawicielami mniejszości narodowych na temat reformy mechanizmu pracy Komisji Wspólnej Rządu i Mniejszości Narodowych i Etnicznych w celu wzmocnienia jej mandatu i zrewidowania procedury mianowania, tak aby lepiej odzwierciedlała różnorodność w obrębie mniejszości;</w:t>
      </w:r>
    </w:p>
    <w:p w14:paraId="09606970" w14:textId="77777777" w:rsidR="00401312" w:rsidRPr="00401312" w:rsidRDefault="00401312" w:rsidP="006F40CC">
      <w:pPr>
        <w:shd w:val="clear" w:color="auto" w:fill="FFFFFF"/>
        <w:spacing w:before="96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10.       zapewnić, że prawa osób należących do mniejszości narodowych są należycie uwzględniane przy planowaniu i wdrażaniu administracyjnych reform terytorialnych.</w:t>
      </w:r>
    </w:p>
    <w:p w14:paraId="52B9B205" w14:textId="77777777" w:rsidR="00401312" w:rsidRPr="00401312" w:rsidRDefault="00401312" w:rsidP="004013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>
        <w:br w:type="textWrapping" w:clear="all"/>
      </w:r>
    </w:p>
    <w:p w14:paraId="38EF5CD5" w14:textId="77777777" w:rsidR="00401312" w:rsidRPr="00401312" w:rsidRDefault="00FA2603" w:rsidP="00401312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pict w14:anchorId="1BFDCED7">
          <v:rect id="_x0000_i1025" style="width:149.7pt;height:0" o:hrpct="330" o:hrstd="t" o:hr="t" fillcolor="#a0a0a0" stroked="f"/>
        </w:pict>
      </w:r>
    </w:p>
    <w:p w14:paraId="51C92A40" w14:textId="3F1F3AA0" w:rsidR="00401312" w:rsidRPr="00401312" w:rsidRDefault="00FA2603" w:rsidP="006F40CC">
      <w:pPr>
        <w:shd w:val="clear" w:color="auto" w:fill="FFFFFF"/>
        <w:spacing w:before="96"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7" w:anchor="_ftnref1" w:history="1">
        <w:r w:rsidR="006A1D55">
          <w:rPr>
            <w:rFonts w:ascii="Arial" w:hAnsi="Arial"/>
            <w:color w:val="129AF0"/>
            <w:sz w:val="16"/>
            <w:szCs w:val="16"/>
            <w:u w:val="single"/>
          </w:rPr>
          <w:t>[1]</w:t>
        </w:r>
      </w:hyperlink>
      <w:r w:rsidR="006A1D55">
        <w:rPr>
          <w:rFonts w:ascii="Helvetica" w:hAnsi="Helvetica"/>
          <w:color w:val="333333"/>
          <w:sz w:val="20"/>
          <w:szCs w:val="20"/>
        </w:rPr>
        <w:t> W dniu 17 września 1997 r. Komitet Ministrów przyjął decyzję </w:t>
      </w:r>
      <w:hyperlink r:id="rId8" w:tooltip="Komitet ad hoc ds. mechanizmu wdrażania Konwencji ramowej o ochronie mniejszości narodowych (CAHMEC) – końcowe sprawozdanie z działalności" w:history="1">
        <w:r w:rsidR="006A1D55">
          <w:rPr>
            <w:rFonts w:ascii="Helvetica" w:hAnsi="Helvetica"/>
            <w:color w:val="129AF0"/>
            <w:sz w:val="20"/>
            <w:szCs w:val="20"/>
            <w:u w:val="single"/>
          </w:rPr>
          <w:t>CM/Del/Dec(97)601/4.5</w:t>
        </w:r>
      </w:hyperlink>
      <w:r w:rsidR="006A1D55">
        <w:rPr>
          <w:rFonts w:ascii="Helvetica" w:hAnsi="Helvetica"/>
          <w:color w:val="333333"/>
          <w:sz w:val="20"/>
          <w:szCs w:val="20"/>
        </w:rPr>
        <w:t xml:space="preserve">, która stanowi: </w:t>
      </w:r>
      <w:r w:rsidR="001E0979">
        <w:rPr>
          <w:rFonts w:ascii="Helvetica" w:hAnsi="Helvetica"/>
          <w:color w:val="333333"/>
          <w:sz w:val="20"/>
          <w:szCs w:val="20"/>
        </w:rPr>
        <w:t>„</w:t>
      </w:r>
      <w:r w:rsidR="006A1D55">
        <w:rPr>
          <w:rFonts w:ascii="Helvetica" w:hAnsi="Helvetica"/>
          <w:color w:val="333333"/>
          <w:sz w:val="20"/>
          <w:szCs w:val="20"/>
        </w:rPr>
        <w:t>Decyzje zgodnie z art. 24 ust. 1 i art. 25 ust. 2 Konwencji ramowej uważa się za przyjęte, jeżeli dwie trzecie przedstawicieli Umawiających się Stron oddających głos, w tym większość przedstawicieli Umawiających się Stron uprawnionych do zasiadania w Komitecie Ministrów, głosuje za ich przyjęciem</w:t>
      </w:r>
      <w:r w:rsidR="001E0979">
        <w:rPr>
          <w:rFonts w:ascii="Helvetica" w:hAnsi="Helvetica"/>
          <w:color w:val="333333"/>
          <w:sz w:val="20"/>
          <w:szCs w:val="20"/>
        </w:rPr>
        <w:t>”</w:t>
      </w:r>
      <w:r w:rsidR="006A1D55">
        <w:rPr>
          <w:rFonts w:ascii="Helvetica" w:hAnsi="Helvetica"/>
          <w:color w:val="333333"/>
          <w:sz w:val="20"/>
          <w:szCs w:val="20"/>
        </w:rPr>
        <w:t>.</w:t>
      </w:r>
    </w:p>
    <w:p w14:paraId="2D66AF0B" w14:textId="77777777" w:rsidR="00401312" w:rsidRPr="00401312" w:rsidRDefault="00FA2603" w:rsidP="006F40CC">
      <w:pPr>
        <w:shd w:val="clear" w:color="auto" w:fill="FFFFFF"/>
        <w:spacing w:before="96"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9" w:anchor="_ftnref2" w:history="1">
        <w:r w:rsidR="006A1D55">
          <w:rPr>
            <w:rFonts w:ascii="Arial" w:hAnsi="Arial"/>
            <w:color w:val="129AF0"/>
            <w:sz w:val="16"/>
            <w:szCs w:val="16"/>
            <w:u w:val="single"/>
          </w:rPr>
          <w:t>[2]</w:t>
        </w:r>
      </w:hyperlink>
      <w:r w:rsidR="006A1D55">
        <w:rPr>
          <w:rFonts w:ascii="Helvetica" w:hAnsi="Helvetica"/>
          <w:color w:val="333333"/>
          <w:sz w:val="20"/>
          <w:szCs w:val="20"/>
        </w:rPr>
        <w:t> Poniższe zalecenia wymienione są w kolejności odpowiadającej artykułom Konwencji ramowej.</w:t>
      </w:r>
    </w:p>
    <w:p w14:paraId="57561203" w14:textId="77777777" w:rsidR="003F416F" w:rsidRPr="001E0979" w:rsidRDefault="003F416F" w:rsidP="00401312"/>
    <w:sectPr w:rsidR="003F416F" w:rsidRPr="001E0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12"/>
    <w:rsid w:val="000931EE"/>
    <w:rsid w:val="000D1B85"/>
    <w:rsid w:val="001E0979"/>
    <w:rsid w:val="00254C2A"/>
    <w:rsid w:val="003F416F"/>
    <w:rsid w:val="00401312"/>
    <w:rsid w:val="005869EF"/>
    <w:rsid w:val="00687D29"/>
    <w:rsid w:val="006A1D55"/>
    <w:rsid w:val="006F40CC"/>
    <w:rsid w:val="00711755"/>
    <w:rsid w:val="00820BE2"/>
    <w:rsid w:val="009113B3"/>
    <w:rsid w:val="00A43C68"/>
    <w:rsid w:val="00B8172C"/>
    <w:rsid w:val="00CD5EB8"/>
    <w:rsid w:val="00D67FAA"/>
    <w:rsid w:val="00DE5AEA"/>
    <w:rsid w:val="00F93490"/>
    <w:rsid w:val="00FA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578D"/>
  <w15:chartTrackingRefBased/>
  <w15:docId w15:val="{5E1AE48F-C096-407F-86ED-413D4494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A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coe.int/cm/Pages/result_details.aspx?Reference=CM/Del/Dec(97)601/4.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arch.coe.int/cm/pages/result_details.aspx?objectid=0900001680a0112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arch.coe.int/cm/pages/result_details.aspx?objectid=0900001680a0112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earch.coe.int/cm/pages/result_details.aspx?objectid=0900001680a0112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earch.coe.int/cm/Pages/result_details.aspx?Reference=CM/Res(2019)49" TargetMode="External"/><Relationship Id="rId9" Type="http://schemas.openxmlformats.org/officeDocument/2006/relationships/hyperlink" Target="https://search.coe.int/cm/pages/result_details.aspx?objectid=0900001680a0112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Małgorzata</dc:creator>
  <cp:keywords/>
  <dc:description/>
  <cp:lastModifiedBy>Milewska Małgorzata</cp:lastModifiedBy>
  <cp:revision>2</cp:revision>
  <cp:lastPrinted>2026-01-14T09:02:00Z</cp:lastPrinted>
  <dcterms:created xsi:type="dcterms:W3CDTF">2026-01-14T09:06:00Z</dcterms:created>
  <dcterms:modified xsi:type="dcterms:W3CDTF">2026-01-14T09:06:00Z</dcterms:modified>
</cp:coreProperties>
</file>