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5877" w:type="dxa"/>
        <w:tblInd w:w="-147" w:type="dxa"/>
        <w:tblLayout w:type="fixed"/>
        <w:tblCellMar>
          <w:left w:w="10" w:type="dxa"/>
          <w:right w:w="10" w:type="dxa"/>
        </w:tblCellMar>
        <w:tblLook w:val="04A0" w:firstRow="1" w:lastRow="0" w:firstColumn="1" w:lastColumn="0" w:noHBand="0" w:noVBand="1"/>
      </w:tblPr>
      <w:tblGrid>
        <w:gridCol w:w="709"/>
        <w:gridCol w:w="1701"/>
        <w:gridCol w:w="4536"/>
        <w:gridCol w:w="4111"/>
        <w:gridCol w:w="4820"/>
      </w:tblGrid>
      <w:tr w:rsidR="00A1261B" w:rsidRPr="0037774A" w14:paraId="567D9138" w14:textId="77777777" w:rsidTr="00A1261B">
        <w:trPr>
          <w:trHeight w:val="20"/>
        </w:trPr>
        <w:tc>
          <w:tcPr>
            <w:tcW w:w="15877" w:type="dxa"/>
            <w:gridSpan w:val="5"/>
            <w:tcBorders>
              <w:top w:val="single" w:sz="4" w:space="0" w:color="auto"/>
              <w:left w:val="single" w:sz="4" w:space="0" w:color="auto"/>
              <w:right w:val="single" w:sz="4" w:space="0" w:color="auto"/>
            </w:tcBorders>
            <w:shd w:val="clear" w:color="auto" w:fill="FFFFFF"/>
            <w:vAlign w:val="center"/>
          </w:tcPr>
          <w:p w14:paraId="7E0D69CF" w14:textId="77777777" w:rsidR="00A1261B" w:rsidRPr="0037774A" w:rsidRDefault="00A1261B" w:rsidP="00A1261B">
            <w:pPr>
              <w:pStyle w:val="Inne0"/>
              <w:shd w:val="clear" w:color="auto" w:fill="auto"/>
              <w:spacing w:before="120" w:after="120"/>
              <w:rPr>
                <w:rFonts w:ascii="Lato" w:hAnsi="Lato" w:cs="Arial"/>
                <w:sz w:val="18"/>
                <w:szCs w:val="18"/>
              </w:rPr>
            </w:pPr>
            <w:r w:rsidRPr="0037774A">
              <w:rPr>
                <w:rFonts w:ascii="Lato" w:eastAsia="Arial" w:hAnsi="Lato" w:cs="Arial"/>
                <w:sz w:val="18"/>
                <w:szCs w:val="18"/>
              </w:rPr>
              <w:t>Nazwa dokumentu:</w:t>
            </w:r>
          </w:p>
          <w:p w14:paraId="63A123A8" w14:textId="77777777" w:rsidR="00A1261B" w:rsidRPr="0037774A" w:rsidRDefault="00A1261B" w:rsidP="00A1261B">
            <w:pPr>
              <w:pStyle w:val="Inne0"/>
              <w:shd w:val="clear" w:color="auto" w:fill="auto"/>
              <w:spacing w:before="120" w:after="120"/>
              <w:rPr>
                <w:rFonts w:ascii="Lato" w:eastAsia="Arial" w:hAnsi="Lato" w:cs="Arial"/>
                <w:b/>
                <w:bCs/>
                <w:i/>
                <w:iCs/>
                <w:sz w:val="18"/>
                <w:szCs w:val="18"/>
              </w:rPr>
            </w:pPr>
            <w:r w:rsidRPr="0037774A">
              <w:rPr>
                <w:rFonts w:ascii="Lato" w:eastAsia="Arial" w:hAnsi="Lato" w:cs="Arial"/>
                <w:b/>
                <w:bCs/>
                <w:i/>
                <w:iCs/>
                <w:sz w:val="18"/>
                <w:szCs w:val="18"/>
              </w:rPr>
              <w:t>Projekt ustawy o zmianie ustawy – Prawo geodezyjne i kartograficzne oraz ustawy o infrastrukturze informacji przestrzennej (UD60)</w:t>
            </w:r>
          </w:p>
          <w:p w14:paraId="69615818" w14:textId="37E1CECE" w:rsidR="00A1261B" w:rsidRDefault="00A1261B" w:rsidP="00A1261B">
            <w:pPr>
              <w:pStyle w:val="Inne0"/>
              <w:shd w:val="clear" w:color="auto" w:fill="auto"/>
              <w:spacing w:before="120" w:after="120"/>
              <w:ind w:left="131" w:right="138"/>
              <w:rPr>
                <w:rFonts w:ascii="Lato" w:eastAsia="Arial" w:hAnsi="Lato" w:cs="Arial"/>
                <w:b/>
                <w:bCs/>
                <w:sz w:val="18"/>
                <w:szCs w:val="18"/>
              </w:rPr>
            </w:pPr>
            <w:r w:rsidRPr="0037774A">
              <w:rPr>
                <w:rFonts w:ascii="Lato" w:eastAsia="Arial" w:hAnsi="Lato" w:cs="Arial"/>
                <w:b/>
                <w:bCs/>
                <w:i/>
                <w:iCs/>
                <w:sz w:val="18"/>
                <w:szCs w:val="18"/>
              </w:rPr>
              <w:t>Uzgodnienia międzyresortowe</w:t>
            </w:r>
          </w:p>
        </w:tc>
      </w:tr>
      <w:tr w:rsidR="00A1261B" w:rsidRPr="0037774A" w14:paraId="151E1D00" w14:textId="1C149F7B" w:rsidTr="008B779F">
        <w:trPr>
          <w:trHeight w:val="20"/>
        </w:trPr>
        <w:tc>
          <w:tcPr>
            <w:tcW w:w="709" w:type="dxa"/>
            <w:tcBorders>
              <w:top w:val="single" w:sz="4" w:space="0" w:color="auto"/>
              <w:left w:val="single" w:sz="4" w:space="0" w:color="auto"/>
            </w:tcBorders>
            <w:shd w:val="clear" w:color="auto" w:fill="FFFFFF"/>
            <w:vAlign w:val="center"/>
          </w:tcPr>
          <w:p w14:paraId="080C8CDF" w14:textId="77777777" w:rsidR="00A1261B" w:rsidRPr="0037774A" w:rsidRDefault="00A1261B" w:rsidP="007A57F0">
            <w:pPr>
              <w:pStyle w:val="Inne0"/>
              <w:shd w:val="clear" w:color="auto" w:fill="auto"/>
              <w:spacing w:before="120" w:after="120"/>
              <w:jc w:val="center"/>
              <w:rPr>
                <w:rFonts w:ascii="Lato" w:hAnsi="Lato" w:cs="Arial"/>
                <w:sz w:val="18"/>
                <w:szCs w:val="18"/>
              </w:rPr>
            </w:pPr>
            <w:r w:rsidRPr="0037774A">
              <w:rPr>
                <w:rFonts w:ascii="Lato" w:eastAsia="Arial" w:hAnsi="Lato" w:cs="Arial"/>
                <w:b/>
                <w:bCs/>
                <w:sz w:val="18"/>
                <w:szCs w:val="18"/>
              </w:rPr>
              <w:t>Lp.</w:t>
            </w:r>
          </w:p>
        </w:tc>
        <w:tc>
          <w:tcPr>
            <w:tcW w:w="1701" w:type="dxa"/>
            <w:tcBorders>
              <w:top w:val="single" w:sz="4" w:space="0" w:color="auto"/>
              <w:left w:val="single" w:sz="4" w:space="0" w:color="auto"/>
            </w:tcBorders>
            <w:shd w:val="clear" w:color="auto" w:fill="FFFFFF"/>
            <w:vAlign w:val="center"/>
          </w:tcPr>
          <w:p w14:paraId="6484EAE7" w14:textId="102F1E49" w:rsidR="00A1261B" w:rsidRPr="0037774A" w:rsidRDefault="00A1261B" w:rsidP="008B779F">
            <w:pPr>
              <w:pStyle w:val="Inne0"/>
              <w:shd w:val="clear" w:color="auto" w:fill="auto"/>
              <w:spacing w:before="120" w:after="120"/>
              <w:jc w:val="center"/>
              <w:rPr>
                <w:rFonts w:ascii="Lato" w:hAnsi="Lato" w:cs="Arial"/>
                <w:sz w:val="18"/>
                <w:szCs w:val="18"/>
              </w:rPr>
            </w:pPr>
            <w:r w:rsidRPr="0037774A">
              <w:rPr>
                <w:rFonts w:ascii="Lato" w:eastAsia="Arial" w:hAnsi="Lato" w:cs="Arial"/>
                <w:b/>
                <w:bCs/>
                <w:sz w:val="18"/>
                <w:szCs w:val="18"/>
              </w:rPr>
              <w:t>Podmiot wnoszący uwagi</w:t>
            </w:r>
          </w:p>
        </w:tc>
        <w:tc>
          <w:tcPr>
            <w:tcW w:w="4536" w:type="dxa"/>
            <w:tcBorders>
              <w:top w:val="single" w:sz="4" w:space="0" w:color="auto"/>
              <w:left w:val="single" w:sz="4" w:space="0" w:color="auto"/>
            </w:tcBorders>
            <w:shd w:val="clear" w:color="auto" w:fill="FFFFFF"/>
            <w:vAlign w:val="center"/>
          </w:tcPr>
          <w:p w14:paraId="2A3878C3" w14:textId="77777777" w:rsidR="00A1261B" w:rsidRPr="0037774A" w:rsidRDefault="00A1261B" w:rsidP="008B779F">
            <w:pPr>
              <w:pStyle w:val="Inne0"/>
              <w:shd w:val="clear" w:color="auto" w:fill="auto"/>
              <w:spacing w:before="120" w:after="120"/>
              <w:jc w:val="center"/>
              <w:rPr>
                <w:rFonts w:ascii="Lato" w:hAnsi="Lato" w:cs="Arial"/>
                <w:sz w:val="18"/>
                <w:szCs w:val="18"/>
              </w:rPr>
            </w:pPr>
            <w:r w:rsidRPr="0037774A">
              <w:rPr>
                <w:rFonts w:ascii="Lato" w:eastAsia="Arial" w:hAnsi="Lato" w:cs="Arial"/>
                <w:b/>
                <w:bCs/>
                <w:sz w:val="18"/>
                <w:szCs w:val="18"/>
              </w:rPr>
              <w:t>Treść uwagi i uzasadnienie</w:t>
            </w:r>
          </w:p>
        </w:tc>
        <w:tc>
          <w:tcPr>
            <w:tcW w:w="4111" w:type="dxa"/>
            <w:tcBorders>
              <w:top w:val="single" w:sz="4" w:space="0" w:color="auto"/>
              <w:left w:val="single" w:sz="4" w:space="0" w:color="auto"/>
              <w:right w:val="single" w:sz="4" w:space="0" w:color="auto"/>
            </w:tcBorders>
            <w:shd w:val="clear" w:color="auto" w:fill="FFFFFF"/>
            <w:vAlign w:val="center"/>
          </w:tcPr>
          <w:p w14:paraId="593CD46F" w14:textId="4F137780" w:rsidR="00A1261B" w:rsidRPr="0037774A" w:rsidRDefault="00A1261B" w:rsidP="008B779F">
            <w:pPr>
              <w:pStyle w:val="Inne0"/>
              <w:shd w:val="clear" w:color="auto" w:fill="auto"/>
              <w:spacing w:before="120" w:after="120"/>
              <w:jc w:val="center"/>
              <w:rPr>
                <w:rFonts w:ascii="Lato" w:eastAsia="Arial" w:hAnsi="Lato" w:cs="Arial"/>
                <w:b/>
                <w:bCs/>
                <w:sz w:val="18"/>
                <w:szCs w:val="18"/>
              </w:rPr>
            </w:pPr>
            <w:r w:rsidRPr="0037774A">
              <w:rPr>
                <w:rFonts w:ascii="Lato" w:eastAsia="Arial" w:hAnsi="Lato" w:cs="Arial"/>
                <w:b/>
                <w:bCs/>
                <w:sz w:val="18"/>
                <w:szCs w:val="18"/>
              </w:rPr>
              <w:t>Propozycja zmian</w:t>
            </w:r>
          </w:p>
        </w:tc>
        <w:tc>
          <w:tcPr>
            <w:tcW w:w="4820" w:type="dxa"/>
            <w:tcBorders>
              <w:top w:val="single" w:sz="4" w:space="0" w:color="auto"/>
              <w:left w:val="single" w:sz="4" w:space="0" w:color="auto"/>
              <w:right w:val="single" w:sz="4" w:space="0" w:color="auto"/>
            </w:tcBorders>
            <w:shd w:val="clear" w:color="auto" w:fill="FFFFFF"/>
            <w:vAlign w:val="center"/>
          </w:tcPr>
          <w:p w14:paraId="5E36E323" w14:textId="31995F92" w:rsidR="00A1261B" w:rsidRPr="0037774A" w:rsidRDefault="008B779F" w:rsidP="008B779F">
            <w:pPr>
              <w:pStyle w:val="Inne0"/>
              <w:shd w:val="clear" w:color="auto" w:fill="auto"/>
              <w:spacing w:before="120" w:after="120"/>
              <w:ind w:left="131" w:right="138"/>
              <w:jc w:val="center"/>
              <w:rPr>
                <w:rFonts w:ascii="Lato" w:eastAsia="Arial" w:hAnsi="Lato" w:cs="Arial"/>
                <w:b/>
                <w:bCs/>
                <w:sz w:val="18"/>
                <w:szCs w:val="18"/>
              </w:rPr>
            </w:pPr>
            <w:r>
              <w:rPr>
                <w:rFonts w:ascii="Lato" w:eastAsia="Arial" w:hAnsi="Lato" w:cs="Arial"/>
                <w:b/>
                <w:bCs/>
                <w:sz w:val="18"/>
                <w:szCs w:val="18"/>
              </w:rPr>
              <w:t xml:space="preserve">Stanowisko </w:t>
            </w:r>
            <w:proofErr w:type="spellStart"/>
            <w:r w:rsidR="00A1261B">
              <w:rPr>
                <w:rFonts w:ascii="Lato" w:eastAsia="Arial" w:hAnsi="Lato" w:cs="Arial"/>
                <w:b/>
                <w:bCs/>
                <w:sz w:val="18"/>
                <w:szCs w:val="18"/>
              </w:rPr>
              <w:t>MRiT</w:t>
            </w:r>
            <w:proofErr w:type="spellEnd"/>
          </w:p>
        </w:tc>
      </w:tr>
      <w:tr w:rsidR="00A1261B" w:rsidRPr="0037774A" w14:paraId="6C81883C" w14:textId="7AB4A20F" w:rsidTr="00A1261B">
        <w:trPr>
          <w:trHeight w:val="20"/>
        </w:trPr>
        <w:tc>
          <w:tcPr>
            <w:tcW w:w="709" w:type="dxa"/>
            <w:tcBorders>
              <w:top w:val="single" w:sz="4" w:space="0" w:color="auto"/>
              <w:left w:val="single" w:sz="4" w:space="0" w:color="auto"/>
            </w:tcBorders>
            <w:shd w:val="clear" w:color="auto" w:fill="FFFFFF"/>
          </w:tcPr>
          <w:p w14:paraId="24135B11" w14:textId="53E9F19B"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159958C5" w14:textId="3B7A11DA"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tcBorders>
            <w:shd w:val="clear" w:color="auto" w:fill="FFFFFF"/>
          </w:tcPr>
          <w:p w14:paraId="550BA0F3" w14:textId="77777777" w:rsidR="00A1261B" w:rsidRPr="0037774A" w:rsidRDefault="00A1261B" w:rsidP="0037774A">
            <w:pPr>
              <w:widowControl/>
              <w:autoSpaceDE w:val="0"/>
              <w:autoSpaceDN w:val="0"/>
              <w:adjustRightInd w:val="0"/>
              <w:spacing w:before="120" w:after="120"/>
              <w:ind w:left="138" w:right="274"/>
              <w:rPr>
                <w:rFonts w:ascii="Lato" w:hAnsi="Lato" w:cs="Arial"/>
                <w:sz w:val="18"/>
                <w:szCs w:val="18"/>
                <w:lang w:bidi="ar-SA"/>
              </w:rPr>
            </w:pPr>
            <w:r w:rsidRPr="0037774A">
              <w:rPr>
                <w:rFonts w:ascii="Lato" w:hAnsi="Lato" w:cs="Arial"/>
                <w:color w:val="auto"/>
                <w:sz w:val="18"/>
                <w:szCs w:val="18"/>
                <w:lang w:bidi="ar-SA"/>
              </w:rPr>
              <w:t xml:space="preserve">W art. 1 pkt 3 projektu w dodawanym </w:t>
            </w:r>
            <w:r w:rsidRPr="0037774A">
              <w:rPr>
                <w:rFonts w:ascii="Lato" w:hAnsi="Lato" w:cs="Arial"/>
                <w:sz w:val="18"/>
                <w:szCs w:val="18"/>
                <w:lang w:bidi="ar-SA"/>
              </w:rPr>
              <w:t>art. 4b w ust. 1 proponuję wskazać, że tereny zamknięte są ustalane lub znoszone w drodze decyzji administracyjnej.</w:t>
            </w:r>
          </w:p>
          <w:p w14:paraId="36EF3CE2" w14:textId="3A2A726E"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Lato-Regular"/>
                <w:color w:val="auto"/>
                <w:sz w:val="18"/>
                <w:szCs w:val="18"/>
                <w:lang w:bidi="ar-SA"/>
              </w:rPr>
              <w:t xml:space="preserve">Uzasadnienie: Projekt ustawy wskazuje, że tereny zamknięte będą nadal ustalane lub znoszone w drodze decyzji - aktem administracyjnym, wydanym na podstawie przepisów ustawy - Prawo geodezyjne i kartograficzne (wyrok Wojewódzkiego Sądu Administracyjnego w Warszawie z 31 maja 2011 r. IV </w:t>
            </w:r>
            <w:proofErr w:type="spellStart"/>
            <w:r w:rsidRPr="0037774A">
              <w:rPr>
                <w:rFonts w:ascii="Lato" w:hAnsi="Lato" w:cs="Lato-Regular"/>
                <w:color w:val="auto"/>
                <w:sz w:val="18"/>
                <w:szCs w:val="18"/>
                <w:lang w:bidi="ar-SA"/>
              </w:rPr>
              <w:t>SAlWa</w:t>
            </w:r>
            <w:proofErr w:type="spellEnd"/>
            <w:r w:rsidRPr="0037774A">
              <w:rPr>
                <w:rFonts w:ascii="Lato" w:hAnsi="Lato" w:cs="Lato-Regular"/>
                <w:color w:val="auto"/>
                <w:sz w:val="18"/>
                <w:szCs w:val="18"/>
                <w:lang w:bidi="ar-SA"/>
              </w:rPr>
              <w:t xml:space="preserve"> 683/11, wyrok Naczelnego Sądu Administracyjnego z dnia 8 lutego 2011 r. I OSK 449/10). W związku z powyższym decyzja taka nie ma ustalonego trybu pozwalającego na jej zaskarżenie lub wyrażenia sprzeciwu przez stronę. Wskazanie w przepisie, że ustalenie lub znoszenie terenów zamkniętych odbywać się będzie w drodze decyzji administracyjnej, tj. na podstawie przepisów kodeksu postępowania administracyjnego, pozwoliłoby zachować przejrzystość ww. procesu np. w zakresie wniesienia odwołania przez stronę.</w:t>
            </w:r>
          </w:p>
        </w:tc>
        <w:tc>
          <w:tcPr>
            <w:tcW w:w="4111" w:type="dxa"/>
            <w:tcBorders>
              <w:top w:val="single" w:sz="4" w:space="0" w:color="auto"/>
              <w:left w:val="single" w:sz="4" w:space="0" w:color="auto"/>
              <w:right w:val="single" w:sz="4" w:space="0" w:color="auto"/>
            </w:tcBorders>
            <w:shd w:val="clear" w:color="auto" w:fill="FFFFFF"/>
          </w:tcPr>
          <w:p w14:paraId="12FF703D" w14:textId="30CB155E"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right w:val="single" w:sz="4" w:space="0" w:color="auto"/>
            </w:tcBorders>
            <w:shd w:val="clear" w:color="auto" w:fill="FFFFFF"/>
          </w:tcPr>
          <w:p w14:paraId="7EBA0C50" w14:textId="25F65CBE" w:rsidR="00A1261B" w:rsidRPr="0037774A" w:rsidRDefault="00A1261B" w:rsidP="0037774A">
            <w:pPr>
              <w:pStyle w:val="Inne0"/>
              <w:shd w:val="clear" w:color="auto" w:fill="auto"/>
              <w:spacing w:before="120" w:after="120"/>
              <w:ind w:left="131" w:right="138"/>
              <w:rPr>
                <w:rFonts w:ascii="Lato" w:eastAsia="Arial" w:hAnsi="Lato" w:cs="Arial"/>
                <w:sz w:val="18"/>
                <w:szCs w:val="18"/>
              </w:rPr>
            </w:pPr>
            <w:bookmarkStart w:id="0" w:name="_Hlk209439122"/>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 xml:space="preserve">. </w:t>
            </w:r>
            <w:bookmarkEnd w:id="0"/>
          </w:p>
        </w:tc>
      </w:tr>
      <w:tr w:rsidR="00A1261B" w:rsidRPr="0037774A" w14:paraId="348E1B26" w14:textId="4277446F" w:rsidTr="00A1261B">
        <w:trPr>
          <w:trHeight w:val="20"/>
        </w:trPr>
        <w:tc>
          <w:tcPr>
            <w:tcW w:w="709" w:type="dxa"/>
            <w:tcBorders>
              <w:top w:val="single" w:sz="4" w:space="0" w:color="auto"/>
              <w:left w:val="single" w:sz="4" w:space="0" w:color="auto"/>
            </w:tcBorders>
            <w:shd w:val="clear" w:color="auto" w:fill="FFFFFF"/>
          </w:tcPr>
          <w:p w14:paraId="15D3EF11" w14:textId="50E6ABB6"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7E87168B" w14:textId="0974ABDF"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tcBorders>
            <w:shd w:val="clear" w:color="auto" w:fill="FFFFFF"/>
          </w:tcPr>
          <w:p w14:paraId="1F78DB9E" w14:textId="5BF24F8B"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Lato-Regular"/>
                <w:color w:val="auto"/>
                <w:sz w:val="18"/>
                <w:szCs w:val="18"/>
                <w:lang w:bidi="ar-SA"/>
              </w:rPr>
              <w:t>W art. 1 pkt 3 projektu w dodawanym art</w:t>
            </w:r>
            <w:r w:rsidRPr="0037774A">
              <w:rPr>
                <w:rFonts w:ascii="Lato" w:hAnsi="Lato" w:cs="Lato-Regular"/>
                <w:sz w:val="18"/>
                <w:szCs w:val="18"/>
                <w:lang w:bidi="ar-SA"/>
              </w:rPr>
              <w:t xml:space="preserve">. 4b ust. 2 pkt 3 przywoływany jest art. 614 ust. 1 ustawy z dnia 11 marca 2022 r. </w:t>
            </w:r>
            <w:r w:rsidRPr="0037774A">
              <w:rPr>
                <w:rFonts w:ascii="Lato" w:hAnsi="Lato" w:cs="Lato-Italic"/>
                <w:i/>
                <w:iCs/>
                <w:sz w:val="18"/>
                <w:szCs w:val="18"/>
                <w:lang w:bidi="ar-SA"/>
              </w:rPr>
              <w:t>o obronie Ojczyzny</w:t>
            </w:r>
            <w:r w:rsidRPr="0037774A">
              <w:rPr>
                <w:rFonts w:ascii="Lato" w:hAnsi="Lato" w:cs="Lato-Regular"/>
                <w:sz w:val="18"/>
                <w:szCs w:val="18"/>
                <w:lang w:bidi="ar-SA"/>
              </w:rPr>
              <w:t xml:space="preserve"> – w mojej ocenie przywołany powinien zostać art. 614 pkt 1 tej ustawy.</w:t>
            </w:r>
          </w:p>
        </w:tc>
        <w:tc>
          <w:tcPr>
            <w:tcW w:w="4111" w:type="dxa"/>
            <w:tcBorders>
              <w:top w:val="single" w:sz="4" w:space="0" w:color="auto"/>
              <w:left w:val="single" w:sz="4" w:space="0" w:color="auto"/>
              <w:right w:val="single" w:sz="4" w:space="0" w:color="auto"/>
            </w:tcBorders>
            <w:shd w:val="clear" w:color="auto" w:fill="FFFFFF"/>
          </w:tcPr>
          <w:p w14:paraId="7A8DFF75" w14:textId="65B6B3A3"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right w:val="single" w:sz="4" w:space="0" w:color="auto"/>
            </w:tcBorders>
            <w:shd w:val="clear" w:color="auto" w:fill="FFFFFF"/>
          </w:tcPr>
          <w:p w14:paraId="74893B66" w14:textId="467F0ACD"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17188BD8" w14:textId="4FB8B988" w:rsidTr="00A1261B">
        <w:trPr>
          <w:trHeight w:val="333"/>
        </w:trPr>
        <w:tc>
          <w:tcPr>
            <w:tcW w:w="709" w:type="dxa"/>
            <w:tcBorders>
              <w:top w:val="single" w:sz="4" w:space="0" w:color="auto"/>
              <w:left w:val="single" w:sz="4" w:space="0" w:color="auto"/>
            </w:tcBorders>
            <w:shd w:val="clear" w:color="auto" w:fill="FFFFFF"/>
          </w:tcPr>
          <w:p w14:paraId="5D5E144D" w14:textId="3C564E3E"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7D3DA556" w14:textId="79E276E9"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tcBorders>
            <w:shd w:val="clear" w:color="auto" w:fill="FFFFFF"/>
          </w:tcPr>
          <w:p w14:paraId="7FF8CCAA" w14:textId="77777777" w:rsidR="00A1261B" w:rsidRPr="0037774A" w:rsidRDefault="00A1261B" w:rsidP="0037774A">
            <w:pPr>
              <w:widowControl/>
              <w:autoSpaceDE w:val="0"/>
              <w:autoSpaceDN w:val="0"/>
              <w:adjustRightInd w:val="0"/>
              <w:spacing w:before="120" w:after="120"/>
              <w:ind w:left="138" w:right="274"/>
              <w:rPr>
                <w:rFonts w:ascii="Lato" w:hAnsi="Lato" w:cs="Lato-Regular"/>
                <w:sz w:val="18"/>
                <w:szCs w:val="18"/>
                <w:lang w:bidi="ar-SA"/>
              </w:rPr>
            </w:pPr>
            <w:r w:rsidRPr="0037774A">
              <w:rPr>
                <w:rFonts w:ascii="Lato" w:hAnsi="Lato" w:cs="Lato-Regular"/>
                <w:color w:val="auto"/>
                <w:sz w:val="18"/>
                <w:szCs w:val="18"/>
                <w:lang w:bidi="ar-SA"/>
              </w:rPr>
              <w:t xml:space="preserve">W art. 1 pkt 3  projektu w związku z dodaniem przepisu </w:t>
            </w:r>
            <w:r w:rsidRPr="0037774A">
              <w:rPr>
                <w:rFonts w:ascii="Lato" w:hAnsi="Lato" w:cs="Lato-Regular"/>
                <w:sz w:val="18"/>
                <w:szCs w:val="18"/>
                <w:lang w:bidi="ar-SA"/>
              </w:rPr>
              <w:t xml:space="preserve">art. 4b ust. 2 pkt 3 proponuję rozważyć zmianę  art. 614 ustawy z dnia 11 marca 2022 r. </w:t>
            </w:r>
            <w:r w:rsidRPr="0037774A">
              <w:rPr>
                <w:rFonts w:ascii="Lato" w:hAnsi="Lato" w:cs="Lato-Italic"/>
                <w:i/>
                <w:iCs/>
                <w:sz w:val="18"/>
                <w:szCs w:val="18"/>
                <w:lang w:bidi="ar-SA"/>
              </w:rPr>
              <w:t>o obronie Ojczyzny</w:t>
            </w:r>
            <w:r w:rsidRPr="0037774A">
              <w:rPr>
                <w:rFonts w:ascii="Lato" w:hAnsi="Lato" w:cs="Lato-Regular"/>
                <w:sz w:val="18"/>
                <w:szCs w:val="18"/>
                <w:lang w:bidi="ar-SA"/>
              </w:rPr>
              <w:t xml:space="preserve">, poprzez jednoznaczne wskazanie w oparciu, o jakie przepisy (ustawy) minister ma ustalać swoją właściwość do występowania z wnioskiem do Rady Ministrów o uznanie obiektu za szczególnie ważny dla bezpieczeństwa lub obronności państwa (odpowiednio z wnioskiem o utratę przez obiekt szczególnego charakteru), </w:t>
            </w:r>
            <w:r w:rsidRPr="0037774A">
              <w:rPr>
                <w:rFonts w:ascii="Lato" w:hAnsi="Lato" w:cs="Lato-Regular"/>
                <w:sz w:val="18"/>
                <w:szCs w:val="18"/>
                <w:lang w:bidi="ar-SA"/>
              </w:rPr>
              <w:lastRenderedPageBreak/>
              <w:t>należącym do instytucji państwowych oraz przedsiębiorców i innych jednostek organizacyjnych, a tym samym do ustalenia lub zniesienia terenu zamkniętego na obszarach należących do przedsiębiorcy.</w:t>
            </w:r>
          </w:p>
          <w:p w14:paraId="40FCCC81" w14:textId="06D09810" w:rsidR="00A1261B" w:rsidRPr="0037774A" w:rsidRDefault="00A1261B" w:rsidP="0037774A">
            <w:pPr>
              <w:spacing w:before="120" w:after="120"/>
              <w:ind w:left="138" w:right="274"/>
              <w:rPr>
                <w:rFonts w:ascii="Lato" w:hAnsi="Lato" w:cs="Arial"/>
                <w:sz w:val="18"/>
                <w:szCs w:val="18"/>
              </w:rPr>
            </w:pPr>
            <w:r w:rsidRPr="0037774A">
              <w:rPr>
                <w:rFonts w:ascii="Lato" w:hAnsi="Lato" w:cs="Lato-Bold"/>
                <w:bCs/>
                <w:sz w:val="18"/>
                <w:szCs w:val="18"/>
                <w:lang w:bidi="ar-SA"/>
              </w:rPr>
              <w:t xml:space="preserve">Uzasadnienie: </w:t>
            </w:r>
            <w:r w:rsidRPr="0037774A">
              <w:rPr>
                <w:rFonts w:ascii="Lato" w:hAnsi="Lato" w:cs="Lato-Regular"/>
                <w:sz w:val="18"/>
                <w:szCs w:val="18"/>
                <w:lang w:bidi="ar-SA"/>
              </w:rPr>
              <w:t xml:space="preserve">Obecne brzmienie art. 614 ustawy </w:t>
            </w:r>
            <w:r w:rsidRPr="0037774A">
              <w:rPr>
                <w:rFonts w:ascii="Lato" w:hAnsi="Lato" w:cs="Lato-Regular"/>
                <w:i/>
                <w:sz w:val="18"/>
                <w:szCs w:val="18"/>
                <w:lang w:bidi="ar-SA"/>
              </w:rPr>
              <w:t>o obronie Ojczyzny</w:t>
            </w:r>
            <w:r w:rsidRPr="0037774A">
              <w:rPr>
                <w:rFonts w:ascii="Lato" w:hAnsi="Lato" w:cs="Lato-Regular"/>
                <w:sz w:val="18"/>
                <w:szCs w:val="18"/>
                <w:lang w:bidi="ar-SA"/>
              </w:rPr>
              <w:t xml:space="preserve"> jest źródłem sporu kompetencyjnego między ministrami w zakresie  wskazania ministra właściwego w stosunku do obiektów przedsiębiorcy (spółki prawa handlowego) już uznanych przez Radę Ministrów za szczególnie ważne dla bezpieczeństwa lub obronności państwa, które znajdują się na wykazie obiektów szczególnie ważnych dla bezpieczeństwa lub obronności państwa, prowadzonym przez Ministra Obrony Narodowej oraz do wystąpienia z wnioskiem o uznanie lub utratę szczególnego charakteru przez obiekt należący do przedsiębiorcy (spółki prawa handlowego). W mojej ocenie, odwoływanie się w projekcie ustawy do art. 614 ustawy </w:t>
            </w:r>
            <w:r w:rsidRPr="0037774A">
              <w:rPr>
                <w:rFonts w:ascii="Lato" w:hAnsi="Lato" w:cs="Lato-Regular"/>
                <w:i/>
                <w:sz w:val="18"/>
                <w:szCs w:val="18"/>
                <w:lang w:bidi="ar-SA"/>
              </w:rPr>
              <w:t>o obronie Ojczyzny</w:t>
            </w:r>
            <w:r w:rsidRPr="0037774A">
              <w:rPr>
                <w:rFonts w:ascii="Lato" w:hAnsi="Lato" w:cs="Lato-Regular"/>
                <w:sz w:val="18"/>
                <w:szCs w:val="18"/>
                <w:lang w:bidi="ar-SA"/>
              </w:rPr>
              <w:t xml:space="preserve"> w obecnym brzmieniu, stanowić będzie również źródło sporów w zakresie wskazania ministra właściwego do ustalenia lub zniesienia terenu zamkniętego na obszarach należących do przedsiębiorcy.</w:t>
            </w:r>
          </w:p>
        </w:tc>
        <w:tc>
          <w:tcPr>
            <w:tcW w:w="4111" w:type="dxa"/>
            <w:tcBorders>
              <w:top w:val="single" w:sz="4" w:space="0" w:color="auto"/>
              <w:left w:val="single" w:sz="4" w:space="0" w:color="auto"/>
              <w:right w:val="single" w:sz="4" w:space="0" w:color="auto"/>
            </w:tcBorders>
            <w:shd w:val="clear" w:color="auto" w:fill="FFFFFF"/>
          </w:tcPr>
          <w:p w14:paraId="3D3E38DF"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right w:val="single" w:sz="4" w:space="0" w:color="auto"/>
            </w:tcBorders>
            <w:shd w:val="clear" w:color="auto" w:fill="FFFFFF"/>
          </w:tcPr>
          <w:p w14:paraId="7CB26B72" w14:textId="0BE7B0AB"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2EAD6CDE" w14:textId="63D0FAD5" w:rsidTr="00A1261B">
        <w:trPr>
          <w:trHeight w:val="20"/>
        </w:trPr>
        <w:tc>
          <w:tcPr>
            <w:tcW w:w="709" w:type="dxa"/>
            <w:tcBorders>
              <w:top w:val="single" w:sz="4" w:space="0" w:color="auto"/>
              <w:left w:val="single" w:sz="4" w:space="0" w:color="auto"/>
              <w:bottom w:val="single" w:sz="4" w:space="0" w:color="auto"/>
            </w:tcBorders>
            <w:shd w:val="clear" w:color="auto" w:fill="FFFFFF"/>
          </w:tcPr>
          <w:p w14:paraId="62B32F2E"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F25EFAD" w14:textId="0B664C7F"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bottom w:val="single" w:sz="4" w:space="0" w:color="auto"/>
            </w:tcBorders>
            <w:shd w:val="clear" w:color="auto" w:fill="FFFFFF"/>
          </w:tcPr>
          <w:p w14:paraId="6E915DD4" w14:textId="77777777" w:rsidR="00A1261B" w:rsidRPr="0037774A" w:rsidRDefault="00A1261B" w:rsidP="0037774A">
            <w:pPr>
              <w:widowControl/>
              <w:autoSpaceDE w:val="0"/>
              <w:autoSpaceDN w:val="0"/>
              <w:adjustRightInd w:val="0"/>
              <w:spacing w:before="120" w:after="120"/>
              <w:ind w:left="138" w:right="274"/>
              <w:rPr>
                <w:rFonts w:ascii="Lato" w:hAnsi="Lato" w:cs="Lato-Regular"/>
                <w:color w:val="auto"/>
                <w:sz w:val="18"/>
                <w:szCs w:val="18"/>
                <w:lang w:bidi="ar-SA"/>
              </w:rPr>
            </w:pPr>
            <w:r w:rsidRPr="0037774A">
              <w:rPr>
                <w:rFonts w:ascii="Lato" w:hAnsi="Lato" w:cs="Lato-Regular"/>
                <w:color w:val="auto"/>
                <w:sz w:val="18"/>
                <w:szCs w:val="18"/>
                <w:lang w:bidi="ar-SA"/>
              </w:rPr>
              <w:t>W art. 1 pkt 3 projektu w dodawanym przepisie art. 4b ust. 2 proponuję dodać pkt 4  w brzmieniu:</w:t>
            </w:r>
          </w:p>
          <w:p w14:paraId="59C988F9" w14:textId="77777777" w:rsidR="00A1261B" w:rsidRPr="0037774A" w:rsidRDefault="00A1261B" w:rsidP="0037774A">
            <w:pPr>
              <w:widowControl/>
              <w:autoSpaceDE w:val="0"/>
              <w:autoSpaceDN w:val="0"/>
              <w:adjustRightInd w:val="0"/>
              <w:spacing w:before="120" w:after="120"/>
              <w:ind w:left="138" w:right="274"/>
              <w:rPr>
                <w:rFonts w:ascii="Lato" w:hAnsi="Lato" w:cs="Lato-Regular"/>
                <w:color w:val="auto"/>
                <w:sz w:val="18"/>
                <w:szCs w:val="18"/>
                <w:lang w:bidi="ar-SA"/>
              </w:rPr>
            </w:pPr>
            <w:r w:rsidRPr="0037774A">
              <w:rPr>
                <w:rFonts w:ascii="Lato" w:hAnsi="Lato" w:cs="Lato-Regular"/>
                <w:color w:val="auto"/>
                <w:sz w:val="18"/>
                <w:szCs w:val="18"/>
                <w:lang w:bidi="ar-SA"/>
              </w:rPr>
              <w:t xml:space="preserve"> „4) wojewoda, który wydał decyzję, o której mowa w art. 5 ust. 3 ustawy z dnia 22 sierpnia 1997 r. o ochronie osób i mienia”.</w:t>
            </w:r>
          </w:p>
          <w:p w14:paraId="3D686BE8" w14:textId="23989525"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Lato-Bold"/>
                <w:bCs/>
                <w:color w:val="auto"/>
                <w:sz w:val="18"/>
                <w:szCs w:val="18"/>
                <w:lang w:bidi="ar-SA"/>
              </w:rPr>
              <w:t xml:space="preserve">Uzasadnienie: </w:t>
            </w:r>
            <w:r w:rsidRPr="0037774A">
              <w:rPr>
                <w:rFonts w:ascii="Lato" w:hAnsi="Lato" w:cs="Lato-Regular"/>
                <w:color w:val="auto"/>
                <w:sz w:val="18"/>
                <w:szCs w:val="18"/>
                <w:lang w:bidi="ar-SA"/>
              </w:rPr>
              <w:t xml:space="preserve">Zgodnie z art. 5 ust. 3 ustawy z dnia 22 sierpnia 1997 r. </w:t>
            </w:r>
            <w:r w:rsidRPr="0037774A">
              <w:rPr>
                <w:rFonts w:ascii="Lato" w:hAnsi="Lato" w:cs="Lato-Regular"/>
                <w:i/>
                <w:color w:val="auto"/>
                <w:sz w:val="18"/>
                <w:szCs w:val="18"/>
                <w:lang w:bidi="ar-SA"/>
              </w:rPr>
              <w:t>o ochronie osób i mienia</w:t>
            </w:r>
            <w:r w:rsidRPr="0037774A">
              <w:rPr>
                <w:rFonts w:ascii="Lato" w:hAnsi="Lato" w:cs="Lato-Regular"/>
                <w:color w:val="auto"/>
                <w:sz w:val="18"/>
                <w:szCs w:val="18"/>
                <w:lang w:bidi="ar-SA"/>
              </w:rPr>
              <w:t xml:space="preserve"> szczegółowe wykazy obszarów, obiektów i urządzeń sporządzają: Prezes Narodowego Banku Polskiego, Krajowa Rada Radiofonii i Telewizji, ministrowie, kierownicy urzędów centralnych i wojewodowie w stosunku do podległych, podporządkowanych lub nadzorowanych jednostek organizacyjnych. Umieszczenie w wykazie określonego obszaru, obiektu lub urządzenia następuje w drodze decyzji administracyjnej. Wojewodowie prowadzą ewidencję obszarów, obiektów i urządzeń podlegających obowiązkowej ochronie, znajdujących się na terenie województwa. Ewidencja ma charakter poufny. Dodatkowo </w:t>
            </w:r>
            <w:r w:rsidRPr="0037774A">
              <w:rPr>
                <w:rFonts w:ascii="Lato" w:hAnsi="Lato" w:cs="Lato-Regular"/>
                <w:color w:val="auto"/>
                <w:sz w:val="18"/>
                <w:szCs w:val="18"/>
                <w:lang w:bidi="ar-SA"/>
              </w:rPr>
              <w:lastRenderedPageBreak/>
              <w:t>zgodnie z art. 5 ust. 6 ww. ustawy wojewoda, w drodze decyzji administracyjnej, może umieścić w ewidencji, znajdujące się na terenie województwa obszary, obiekty i urządzenia innych podmiotów niż określone w ust. 3.</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F9E7A5E" w14:textId="77777777" w:rsidR="00A1261B" w:rsidRPr="0037774A" w:rsidRDefault="00A1261B" w:rsidP="0037774A">
            <w:pPr>
              <w:widowControl/>
              <w:autoSpaceDE w:val="0"/>
              <w:autoSpaceDN w:val="0"/>
              <w:adjustRightInd w:val="0"/>
              <w:spacing w:before="120" w:after="120"/>
              <w:ind w:left="125" w:right="136"/>
              <w:rPr>
                <w:rFonts w:ascii="Lato" w:hAnsi="Lato" w:cs="Lato-Regular"/>
                <w:color w:val="auto"/>
                <w:sz w:val="18"/>
                <w:szCs w:val="18"/>
                <w:lang w:bidi="ar-SA"/>
              </w:rPr>
            </w:pPr>
            <w:r w:rsidRPr="0037774A">
              <w:rPr>
                <w:rFonts w:ascii="Lato" w:hAnsi="Lato" w:cs="Lato-Regular"/>
                <w:color w:val="auto"/>
                <w:sz w:val="18"/>
                <w:szCs w:val="18"/>
                <w:lang w:bidi="ar-SA"/>
              </w:rPr>
              <w:lastRenderedPageBreak/>
              <w:t xml:space="preserve">W art. 1 pkt 3 (art. 4b ust. 2) proponuję dodać pkt 4 w  brzmieniu: </w:t>
            </w:r>
          </w:p>
          <w:p w14:paraId="6DC93E63" w14:textId="77777777" w:rsidR="00A1261B" w:rsidRPr="0037774A" w:rsidRDefault="00A1261B" w:rsidP="0037774A">
            <w:pPr>
              <w:widowControl/>
              <w:autoSpaceDE w:val="0"/>
              <w:autoSpaceDN w:val="0"/>
              <w:adjustRightInd w:val="0"/>
              <w:spacing w:before="120" w:after="120"/>
              <w:ind w:left="125" w:right="136"/>
              <w:rPr>
                <w:rFonts w:ascii="Lato" w:hAnsi="Lato" w:cs="Lato-Regular"/>
                <w:color w:val="auto"/>
                <w:sz w:val="18"/>
                <w:szCs w:val="18"/>
                <w:lang w:bidi="ar-SA"/>
              </w:rPr>
            </w:pPr>
            <w:r w:rsidRPr="0037774A">
              <w:rPr>
                <w:rFonts w:ascii="Lato" w:hAnsi="Lato" w:cs="Lato-Regular"/>
                <w:color w:val="auto"/>
                <w:sz w:val="18"/>
                <w:szCs w:val="18"/>
                <w:lang w:bidi="ar-SA"/>
              </w:rPr>
              <w:t>„4) wojewoda, który wydał decyzję, o której mowa w art. 5 ust. 3 ustawy z dnia 22 sierpnia 1997 r. o ochronie osób i mienia”.</w:t>
            </w:r>
          </w:p>
          <w:p w14:paraId="6A0075A0"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333B87C" w14:textId="5FC7C468" w:rsidR="00A1261B" w:rsidRPr="0037774A" w:rsidRDefault="00A1261B" w:rsidP="000256A4">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25873628" w14:textId="52395798" w:rsidTr="00A1261B">
        <w:trPr>
          <w:trHeight w:val="20"/>
        </w:trPr>
        <w:tc>
          <w:tcPr>
            <w:tcW w:w="709" w:type="dxa"/>
            <w:tcBorders>
              <w:top w:val="single" w:sz="4" w:space="0" w:color="auto"/>
              <w:left w:val="single" w:sz="4" w:space="0" w:color="auto"/>
              <w:bottom w:val="single" w:sz="4" w:space="0" w:color="auto"/>
            </w:tcBorders>
            <w:shd w:val="clear" w:color="auto" w:fill="FFFFFF"/>
          </w:tcPr>
          <w:p w14:paraId="06F51D4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704219" w14:textId="5C6B5ECA"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bottom w:val="single" w:sz="4" w:space="0" w:color="auto"/>
            </w:tcBorders>
            <w:shd w:val="clear" w:color="auto" w:fill="FFFFFF"/>
          </w:tcPr>
          <w:p w14:paraId="1E204AEB" w14:textId="77777777" w:rsidR="00A1261B" w:rsidRPr="0037774A" w:rsidRDefault="00A1261B" w:rsidP="0037774A">
            <w:pPr>
              <w:widowControl/>
              <w:autoSpaceDE w:val="0"/>
              <w:autoSpaceDN w:val="0"/>
              <w:adjustRightInd w:val="0"/>
              <w:spacing w:before="120" w:after="120"/>
              <w:ind w:left="138" w:right="274"/>
              <w:rPr>
                <w:rFonts w:ascii="Lato" w:hAnsi="Lato" w:cs="Lato-Regular"/>
                <w:sz w:val="18"/>
                <w:szCs w:val="18"/>
                <w:lang w:bidi="ar-SA"/>
              </w:rPr>
            </w:pPr>
            <w:r w:rsidRPr="0037774A">
              <w:rPr>
                <w:rFonts w:ascii="Lato" w:hAnsi="Lato" w:cs="Lato-Regular"/>
                <w:color w:val="auto"/>
                <w:sz w:val="18"/>
                <w:szCs w:val="18"/>
                <w:lang w:bidi="ar-SA"/>
              </w:rPr>
              <w:t xml:space="preserve">W art. 1 pkt 3 projektu w dodawanym </w:t>
            </w:r>
            <w:r w:rsidRPr="0037774A">
              <w:rPr>
                <w:rFonts w:ascii="Lato" w:hAnsi="Lato" w:cs="Lato-Regular"/>
                <w:sz w:val="18"/>
                <w:szCs w:val="18"/>
                <w:lang w:bidi="ar-SA"/>
              </w:rPr>
              <w:t>art. 4b po ust. 3  proponuję dodać ustęp w którym znajdowałaby się przepis wskazujący  ministra właściwego do ustalenia lub zniesienia terenu zamkniętego w przypadku, gdy obiekt lub infrastruktura, dla których ma być ustalony teren zamknięty, należy do przedsiębiorcy, który znajduje się we właściwości więcej niż jednego ministra.</w:t>
            </w:r>
          </w:p>
          <w:p w14:paraId="61A479BE" w14:textId="57E6E38D"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Lato-Bold"/>
                <w:bCs/>
                <w:sz w:val="18"/>
                <w:szCs w:val="18"/>
                <w:lang w:bidi="ar-SA"/>
              </w:rPr>
              <w:t>Uzasadnienie:</w:t>
            </w:r>
            <w:r w:rsidRPr="0037774A">
              <w:rPr>
                <w:rFonts w:ascii="Lato" w:hAnsi="Lato" w:cs="Lato-Bold"/>
                <w:b/>
                <w:bCs/>
                <w:sz w:val="18"/>
                <w:szCs w:val="18"/>
                <w:lang w:bidi="ar-SA"/>
              </w:rPr>
              <w:t xml:space="preserve"> </w:t>
            </w:r>
            <w:r w:rsidRPr="0037774A">
              <w:rPr>
                <w:rFonts w:ascii="Lato" w:hAnsi="Lato" w:cs="Lato-Regular"/>
                <w:sz w:val="18"/>
                <w:szCs w:val="18"/>
                <w:lang w:bidi="ar-SA"/>
              </w:rPr>
              <w:t xml:space="preserve">Zgodnie z art. 5 ust. 3 ustawy z dnia 22 sierpnia 1997 r. </w:t>
            </w:r>
            <w:r w:rsidRPr="0037774A">
              <w:rPr>
                <w:rFonts w:ascii="Lato" w:hAnsi="Lato" w:cs="Lato-Regular"/>
                <w:i/>
                <w:sz w:val="18"/>
                <w:szCs w:val="18"/>
                <w:lang w:bidi="ar-SA"/>
              </w:rPr>
              <w:t>o ochronie osób i mienia</w:t>
            </w:r>
            <w:r w:rsidRPr="0037774A">
              <w:rPr>
                <w:rFonts w:ascii="Lato" w:hAnsi="Lato" w:cs="Lato-Regular"/>
                <w:sz w:val="18"/>
                <w:szCs w:val="18"/>
                <w:lang w:bidi="ar-SA"/>
              </w:rPr>
              <w:t xml:space="preserve"> szczegółowe wykazy obszarów, obiektów i urządzeń, o których mowa w ust. 2, sporządzają: Prezes Narodowego Banku Polskiego, Krajowa Rada Radiofonii i Telewizji, ministrowie, kierownicy urzędów centralnych i wojewodowie w stosunku do podległych, podporządkowanych lub nadzorowanych jednostek organizacyjnych. Umieszczenie w wykazie określonego obszaru, obiektu lub urządzenia następuje w drodze decyzji. Zgodnie z orzecznictwem jak i praktyką w rozstrzygnięciach dotyczących sporu kompetencyjnego w zakresie decyzji, o których mowa w art. 5 ust. 3 ustawy o ochronie osób i mienia, przedsiębiorca (spółka prawa handlowego) nie jest podległą, podporządkowaną lub nadzorowaną przez ministra jednostką organizacyjną. W związku z powyższym zgodnie z ustawą o ochronie osób i mienia, minister nie będzie mógł ustanowić terenu zamkniętego na gruntach, na których zlokalizowane są obiekty lub infrastruktura, o których mowa w art. 5 ust. 2 ustawy z dnia 22 sierpnia 1997 r. o ochronie osób i mienia, należących do przedsiębiorcy (spółki prawa handlowego).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DDF64DB"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CE2474B" w14:textId="19715193"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52D8D54F" w14:textId="0FD609BA" w:rsidTr="00A1261B">
        <w:trPr>
          <w:trHeight w:val="20"/>
        </w:trPr>
        <w:tc>
          <w:tcPr>
            <w:tcW w:w="709" w:type="dxa"/>
            <w:tcBorders>
              <w:top w:val="single" w:sz="4" w:space="0" w:color="auto"/>
              <w:left w:val="single" w:sz="4" w:space="0" w:color="auto"/>
              <w:bottom w:val="single" w:sz="4" w:space="0" w:color="auto"/>
            </w:tcBorders>
            <w:shd w:val="clear" w:color="auto" w:fill="FFFFFF"/>
          </w:tcPr>
          <w:p w14:paraId="4F356955"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F16C2B0" w14:textId="4FB46B51"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bottom w:val="single" w:sz="4" w:space="0" w:color="auto"/>
            </w:tcBorders>
            <w:shd w:val="clear" w:color="auto" w:fill="FFFFFF"/>
          </w:tcPr>
          <w:p w14:paraId="5785ED1F" w14:textId="77777777" w:rsidR="00A1261B" w:rsidRPr="0037774A" w:rsidRDefault="00A1261B" w:rsidP="0037774A">
            <w:pPr>
              <w:widowControl/>
              <w:autoSpaceDE w:val="0"/>
              <w:autoSpaceDN w:val="0"/>
              <w:adjustRightInd w:val="0"/>
              <w:spacing w:before="120" w:after="120"/>
              <w:ind w:left="138" w:right="274"/>
              <w:rPr>
                <w:rFonts w:ascii="Lato" w:hAnsi="Lato" w:cs="Lato-Regular"/>
                <w:sz w:val="18"/>
                <w:szCs w:val="18"/>
                <w:lang w:bidi="ar-SA"/>
              </w:rPr>
            </w:pPr>
            <w:r w:rsidRPr="0037774A">
              <w:rPr>
                <w:rFonts w:ascii="Lato" w:hAnsi="Lato" w:cs="Lato-Regular"/>
                <w:color w:val="auto"/>
                <w:sz w:val="18"/>
                <w:szCs w:val="18"/>
                <w:lang w:bidi="ar-SA"/>
              </w:rPr>
              <w:t xml:space="preserve">W art. 1 pkt 18 </w:t>
            </w:r>
            <w:r w:rsidRPr="0037774A">
              <w:rPr>
                <w:rFonts w:ascii="Lato" w:hAnsi="Lato" w:cs="Lato-Regular"/>
                <w:sz w:val="18"/>
                <w:szCs w:val="18"/>
                <w:lang w:bidi="ar-SA"/>
              </w:rPr>
              <w:t>zmienianemu art. 13 ust. 3 proponuję nadać następujące brzmienie:</w:t>
            </w:r>
          </w:p>
          <w:p w14:paraId="47E6B147" w14:textId="77777777" w:rsidR="00A1261B" w:rsidRPr="0037774A" w:rsidRDefault="00A1261B" w:rsidP="0037774A">
            <w:pPr>
              <w:widowControl/>
              <w:autoSpaceDE w:val="0"/>
              <w:autoSpaceDN w:val="0"/>
              <w:adjustRightInd w:val="0"/>
              <w:spacing w:before="120" w:after="120"/>
              <w:ind w:left="138" w:right="274"/>
              <w:rPr>
                <w:rFonts w:ascii="Lato" w:hAnsi="Lato" w:cs="Lato-Regular"/>
                <w:sz w:val="18"/>
                <w:szCs w:val="18"/>
                <w:lang w:bidi="ar-SA"/>
              </w:rPr>
            </w:pPr>
            <w:r w:rsidRPr="0037774A">
              <w:rPr>
                <w:rFonts w:ascii="Lato" w:hAnsi="Lato" w:cs="Lato-Regular"/>
                <w:sz w:val="18"/>
                <w:szCs w:val="18"/>
                <w:lang w:bidi="ar-SA"/>
              </w:rPr>
              <w:t>„ 3. Na terenach zamkniętych prace geodezyjne mogą być wykonywane tylko na zlecenie lub za zgodą podmiotów, które ustaliły te tereny”.</w:t>
            </w:r>
          </w:p>
          <w:p w14:paraId="3737A77D" w14:textId="782BC3A9"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Lato-Bold"/>
                <w:bCs/>
                <w:sz w:val="18"/>
                <w:szCs w:val="18"/>
                <w:lang w:bidi="ar-SA"/>
              </w:rPr>
              <w:lastRenderedPageBreak/>
              <w:t xml:space="preserve">Uzasadnienie: </w:t>
            </w:r>
            <w:r w:rsidRPr="0037774A">
              <w:rPr>
                <w:rFonts w:ascii="Lato" w:hAnsi="Lato" w:cs="Lato-Regular"/>
                <w:sz w:val="18"/>
                <w:szCs w:val="18"/>
                <w:lang w:bidi="ar-SA"/>
              </w:rPr>
              <w:t xml:space="preserve">W mojej ocenie nie znajduje uzasadnienia propozycja zawarta w projekcie, aby wyłącznie na terenach zamkniętych I kategorii prace geodezyjne mogły być wykonywane tylko na zlecenie lub za zgodą podmiotów, które ustaliły te tereny. Zgodnie art. 4a ust. 5 ustawy zmienianej w art. 1 projektu ustawy, tereny zamknięte II kategorii mogą być ustalane na gruntach, na których zlokalizowane są obiekty lub infrastruktura, na których można ustalić teren zamknięty I kategorii. Wobec powyższego prace geodezyjne powinny być prowadzone na zlecenie lub za zgodą podmiotów, które ustaliły tereny zamknięte I </w:t>
            </w:r>
            <w:proofErr w:type="spellStart"/>
            <w:r w:rsidRPr="0037774A">
              <w:rPr>
                <w:rFonts w:ascii="Lato" w:hAnsi="Lato" w:cs="Lato-Regular"/>
                <w:sz w:val="18"/>
                <w:szCs w:val="18"/>
                <w:lang w:bidi="ar-SA"/>
              </w:rPr>
              <w:t>i</w:t>
            </w:r>
            <w:proofErr w:type="spellEnd"/>
            <w:r w:rsidRPr="0037774A">
              <w:rPr>
                <w:rFonts w:ascii="Lato" w:hAnsi="Lato" w:cs="Lato-Regular"/>
                <w:sz w:val="18"/>
                <w:szCs w:val="18"/>
                <w:lang w:bidi="ar-SA"/>
              </w:rPr>
              <w:t xml:space="preserve"> II kategorii.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1FE268D" w14:textId="77777777" w:rsidR="00A1261B" w:rsidRPr="0037774A" w:rsidRDefault="00A1261B" w:rsidP="0037774A">
            <w:pPr>
              <w:widowControl/>
              <w:autoSpaceDE w:val="0"/>
              <w:autoSpaceDN w:val="0"/>
              <w:adjustRightInd w:val="0"/>
              <w:spacing w:before="120" w:after="120"/>
              <w:ind w:left="125" w:right="136"/>
              <w:rPr>
                <w:rFonts w:ascii="Lato" w:hAnsi="Lato" w:cs="Lato-Regular"/>
                <w:sz w:val="18"/>
                <w:szCs w:val="18"/>
                <w:lang w:bidi="ar-SA"/>
              </w:rPr>
            </w:pPr>
            <w:r w:rsidRPr="0037774A">
              <w:rPr>
                <w:rFonts w:ascii="Lato" w:hAnsi="Lato" w:cs="Lato-Regular"/>
                <w:color w:val="auto"/>
                <w:sz w:val="18"/>
                <w:szCs w:val="18"/>
                <w:lang w:bidi="ar-SA"/>
              </w:rPr>
              <w:lastRenderedPageBreak/>
              <w:t xml:space="preserve">W art. 1 pkt 18 zmienianemu </w:t>
            </w:r>
            <w:r w:rsidRPr="0037774A">
              <w:rPr>
                <w:rFonts w:ascii="Lato" w:hAnsi="Lato" w:cs="Lato-Regular"/>
                <w:sz w:val="18"/>
                <w:szCs w:val="18"/>
                <w:lang w:bidi="ar-SA"/>
              </w:rPr>
              <w:t>art. 13 ust. 3 proponuję nadać brzmienie:</w:t>
            </w:r>
          </w:p>
          <w:p w14:paraId="4E19C850" w14:textId="77777777" w:rsidR="00A1261B" w:rsidRPr="0037774A" w:rsidRDefault="00A1261B" w:rsidP="0037774A">
            <w:pPr>
              <w:widowControl/>
              <w:autoSpaceDE w:val="0"/>
              <w:autoSpaceDN w:val="0"/>
              <w:adjustRightInd w:val="0"/>
              <w:spacing w:before="120" w:after="120"/>
              <w:ind w:left="125" w:right="136"/>
              <w:rPr>
                <w:rFonts w:ascii="Lato" w:hAnsi="Lato" w:cs="Lato-Regular"/>
                <w:sz w:val="18"/>
                <w:szCs w:val="18"/>
                <w:lang w:bidi="ar-SA"/>
              </w:rPr>
            </w:pPr>
            <w:r w:rsidRPr="0037774A">
              <w:rPr>
                <w:rFonts w:ascii="Lato" w:hAnsi="Lato" w:cs="Lato-Regular"/>
                <w:sz w:val="18"/>
                <w:szCs w:val="18"/>
                <w:lang w:bidi="ar-SA"/>
              </w:rPr>
              <w:t xml:space="preserve"> „3. Na terenach zamkniętych prace geodezyjne mogą być wykonywane tylko na zlecenie lub za zgodą podmiotów, które ustaliły te tereny.”.</w:t>
            </w:r>
          </w:p>
          <w:p w14:paraId="6D21402C"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13FD341" w14:textId="2FF9F6BD"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 xml:space="preserve">. </w:t>
            </w:r>
          </w:p>
        </w:tc>
      </w:tr>
      <w:tr w:rsidR="00A1261B" w:rsidRPr="0037774A" w14:paraId="1724E6E8" w14:textId="28981E4F" w:rsidTr="00A1261B">
        <w:trPr>
          <w:trHeight w:val="20"/>
        </w:trPr>
        <w:tc>
          <w:tcPr>
            <w:tcW w:w="709" w:type="dxa"/>
            <w:tcBorders>
              <w:top w:val="single" w:sz="4" w:space="0" w:color="auto"/>
              <w:left w:val="single" w:sz="4" w:space="0" w:color="auto"/>
              <w:bottom w:val="single" w:sz="4" w:space="0" w:color="auto"/>
            </w:tcBorders>
            <w:shd w:val="clear" w:color="auto" w:fill="FFFFFF"/>
          </w:tcPr>
          <w:p w14:paraId="637C0C84"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8F91579" w14:textId="4E267DC7"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bottom w:val="single" w:sz="4" w:space="0" w:color="auto"/>
            </w:tcBorders>
            <w:shd w:val="clear" w:color="auto" w:fill="FFFFFF"/>
          </w:tcPr>
          <w:p w14:paraId="35B41788" w14:textId="77777777" w:rsidR="00A1261B" w:rsidRPr="0037774A" w:rsidRDefault="00A1261B" w:rsidP="0037774A">
            <w:pPr>
              <w:widowControl/>
              <w:autoSpaceDE w:val="0"/>
              <w:autoSpaceDN w:val="0"/>
              <w:adjustRightInd w:val="0"/>
              <w:spacing w:before="120" w:after="120"/>
              <w:ind w:left="138" w:right="274"/>
              <w:rPr>
                <w:rFonts w:ascii="Lato" w:hAnsi="Lato" w:cs="Lato-Regular"/>
                <w:sz w:val="18"/>
                <w:szCs w:val="18"/>
                <w:lang w:bidi="ar-SA"/>
              </w:rPr>
            </w:pPr>
            <w:r w:rsidRPr="0037774A">
              <w:rPr>
                <w:rFonts w:ascii="Lato" w:hAnsi="Lato" w:cs="Lato-Regular"/>
                <w:sz w:val="18"/>
                <w:szCs w:val="18"/>
                <w:lang w:bidi="ar-SA"/>
              </w:rPr>
              <w:t xml:space="preserve">Proponuję dodać </w:t>
            </w:r>
            <w:r w:rsidRPr="0037774A">
              <w:rPr>
                <w:rFonts w:ascii="Lato" w:hAnsi="Lato" w:cs="Lato-Regular"/>
                <w:color w:val="auto"/>
                <w:sz w:val="18"/>
                <w:szCs w:val="18"/>
                <w:lang w:bidi="ar-SA"/>
              </w:rPr>
              <w:t xml:space="preserve">w art. 3 przepis </w:t>
            </w:r>
            <w:r w:rsidRPr="0037774A">
              <w:rPr>
                <w:rFonts w:ascii="Lato" w:hAnsi="Lato" w:cs="Lato-Regular"/>
                <w:sz w:val="18"/>
                <w:szCs w:val="18"/>
                <w:lang w:bidi="ar-SA"/>
              </w:rPr>
              <w:t>regulujący sytuację zniesienia terenu zamkniętego, o którym mowa w art. 3 ust. 1, w przypadku, gdy organ który ustalił teren zamknięty już nie istnieje i nie ma jego następcy prawnego.</w:t>
            </w:r>
          </w:p>
          <w:p w14:paraId="76B97D8C" w14:textId="58F786E2"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Lato-Bold"/>
                <w:bCs/>
                <w:sz w:val="18"/>
                <w:szCs w:val="18"/>
                <w:lang w:bidi="ar-SA"/>
              </w:rPr>
              <w:t xml:space="preserve">Uzasadnianie: </w:t>
            </w:r>
            <w:r w:rsidRPr="0037774A">
              <w:rPr>
                <w:rFonts w:ascii="Lato" w:hAnsi="Lato" w:cs="Lato-Regular"/>
                <w:sz w:val="18"/>
                <w:szCs w:val="18"/>
                <w:lang w:bidi="ar-SA"/>
              </w:rPr>
              <w:t>W obrocie prawnym mogą pozostawać decyzje ustalające teren zamknięty na obszarach należących do przedsiębiorcy (spółki prawa handlowego) wydane przez organ już nieistniejący i który nie ma następcy prawnego, np. Ministerstwo Skarbu Państwa. W przypadku braku ww. regulacji nie będzie można ustalić, kto będzie odpowiedzialny za przekazanie map organom Służby Geodezyjnej i Kartograficznej.</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51265B6"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ECF914A" w14:textId="550A2758"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063D3F72" w14:textId="2C05C6DC" w:rsidTr="00A1261B">
        <w:trPr>
          <w:trHeight w:val="20"/>
        </w:trPr>
        <w:tc>
          <w:tcPr>
            <w:tcW w:w="709" w:type="dxa"/>
            <w:tcBorders>
              <w:top w:val="single" w:sz="4" w:space="0" w:color="auto"/>
              <w:left w:val="single" w:sz="4" w:space="0" w:color="auto"/>
              <w:bottom w:val="single" w:sz="4" w:space="0" w:color="auto"/>
            </w:tcBorders>
            <w:shd w:val="clear" w:color="auto" w:fill="FFFFFF"/>
          </w:tcPr>
          <w:p w14:paraId="7DBAFE4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9B94216" w14:textId="2AFE7B12"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Courier New" w:hAnsi="Lato" w:cs="Arial"/>
                <w:sz w:val="18"/>
                <w:szCs w:val="18"/>
                <w:lang w:bidi="ar-SA"/>
              </w:rPr>
              <w:t>Ministerstwo Aktywów Państwowych</w:t>
            </w:r>
          </w:p>
        </w:tc>
        <w:tc>
          <w:tcPr>
            <w:tcW w:w="4536" w:type="dxa"/>
            <w:tcBorders>
              <w:top w:val="single" w:sz="4" w:space="0" w:color="auto"/>
              <w:left w:val="single" w:sz="4" w:space="0" w:color="auto"/>
              <w:bottom w:val="single" w:sz="4" w:space="0" w:color="auto"/>
            </w:tcBorders>
            <w:shd w:val="clear" w:color="auto" w:fill="FFFFFF"/>
          </w:tcPr>
          <w:p w14:paraId="7FC43BC0" w14:textId="77777777" w:rsidR="00A1261B" w:rsidRPr="008B779F" w:rsidRDefault="00A1261B" w:rsidP="0037774A">
            <w:pPr>
              <w:widowControl/>
              <w:autoSpaceDE w:val="0"/>
              <w:autoSpaceDN w:val="0"/>
              <w:adjustRightInd w:val="0"/>
              <w:spacing w:before="120" w:after="120"/>
              <w:ind w:left="138" w:right="274"/>
              <w:rPr>
                <w:rFonts w:ascii="Lato" w:hAnsi="Lato" w:cs="Lato-Regular"/>
                <w:color w:val="auto"/>
                <w:sz w:val="18"/>
                <w:szCs w:val="18"/>
                <w:lang w:bidi="ar-SA"/>
              </w:rPr>
            </w:pPr>
            <w:r w:rsidRPr="008B779F">
              <w:rPr>
                <w:rFonts w:ascii="Lato" w:hAnsi="Lato" w:cs="Lato-Regular"/>
                <w:color w:val="auto"/>
                <w:sz w:val="18"/>
                <w:szCs w:val="18"/>
                <w:lang w:bidi="ar-SA"/>
              </w:rPr>
              <w:t>Uwagi do OSR:</w:t>
            </w:r>
          </w:p>
          <w:p w14:paraId="26352944" w14:textId="77777777" w:rsidR="00A1261B" w:rsidRPr="0037774A" w:rsidRDefault="00A1261B" w:rsidP="0037774A">
            <w:pPr>
              <w:widowControl/>
              <w:autoSpaceDE w:val="0"/>
              <w:autoSpaceDN w:val="0"/>
              <w:adjustRightInd w:val="0"/>
              <w:spacing w:before="120" w:after="120"/>
              <w:ind w:left="138" w:right="274"/>
              <w:rPr>
                <w:rFonts w:ascii="Lato" w:hAnsi="Lato" w:cs="Lato-Regular"/>
                <w:sz w:val="18"/>
                <w:szCs w:val="18"/>
                <w:lang w:bidi="ar-SA"/>
              </w:rPr>
            </w:pPr>
            <w:r w:rsidRPr="008B779F">
              <w:rPr>
                <w:rFonts w:ascii="Lato" w:hAnsi="Lato" w:cs="Lato-Regular"/>
                <w:sz w:val="18"/>
                <w:szCs w:val="18"/>
                <w:lang w:bidi="ar-SA"/>
              </w:rPr>
              <w:t xml:space="preserve">a) </w:t>
            </w:r>
            <w:r w:rsidRPr="008B779F">
              <w:rPr>
                <w:rFonts w:ascii="Lato" w:hAnsi="Lato" w:cs="Lato-Italic"/>
                <w:i/>
                <w:iCs/>
                <w:sz w:val="18"/>
                <w:szCs w:val="18"/>
                <w:lang w:bidi="ar-SA"/>
              </w:rPr>
              <w:t xml:space="preserve">pkt 11 OSR, Podmioty, na które oddziałuje projekt, </w:t>
            </w:r>
            <w:r w:rsidRPr="008B779F">
              <w:rPr>
                <w:rFonts w:ascii="Lato" w:hAnsi="Lato" w:cs="Lato-Italic"/>
                <w:iCs/>
                <w:sz w:val="18"/>
                <w:szCs w:val="18"/>
                <w:lang w:bidi="ar-SA"/>
              </w:rPr>
              <w:t xml:space="preserve">należy </w:t>
            </w:r>
            <w:r w:rsidRPr="008B779F">
              <w:rPr>
                <w:rFonts w:ascii="Lato" w:hAnsi="Lato" w:cs="Lato-Regular"/>
                <w:sz w:val="18"/>
                <w:szCs w:val="18"/>
                <w:lang w:bidi="ar-SA"/>
              </w:rPr>
              <w:t>uzupełnić o grupę przedsiębiorców, których tereny mogą zostać uznane za tereny zamknięte;</w:t>
            </w:r>
          </w:p>
          <w:p w14:paraId="2328EF48" w14:textId="607CDA90"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Lato-Regular"/>
                <w:sz w:val="18"/>
                <w:szCs w:val="18"/>
                <w:lang w:bidi="ar-SA"/>
              </w:rPr>
              <w:t xml:space="preserve">b) </w:t>
            </w:r>
            <w:r w:rsidRPr="0037774A">
              <w:rPr>
                <w:rFonts w:ascii="Lato" w:hAnsi="Lato" w:cs="Lato-Italic"/>
                <w:i/>
                <w:iCs/>
                <w:sz w:val="18"/>
                <w:szCs w:val="18"/>
                <w:lang w:bidi="ar-SA"/>
              </w:rPr>
              <w:t xml:space="preserve">pkt 13 OSR, Wpływ na sektor finansów publicznych, dodatkowe informacje, w tym wskazanie źródeł danych i przyjętych do obliczeń założeń, </w:t>
            </w:r>
            <w:r w:rsidRPr="0037774A">
              <w:rPr>
                <w:rFonts w:ascii="Lato" w:hAnsi="Lato" w:cs="Lato-Regular"/>
                <w:sz w:val="18"/>
                <w:szCs w:val="18"/>
                <w:lang w:bidi="ar-SA"/>
              </w:rPr>
              <w:t xml:space="preserve">należy uzupełnić o informację, że wejście w życie projektowanych przepisów może spowodować skutki finansowe dla organów, które wydały lub będą wydawały decyzje o ustaleniu terenu zamkniętego, dotyczące zaplanowania w swoich budżetach środków na wynagrodzenia osób oraz zakup odpowiedniego oprogramowania niezbędnego do wykonywania czynności, o których mowa w art. 4b ust. 9 i art. 4c ust. 1, tj. sporządzania map i gromadzenia materiałów </w:t>
            </w:r>
            <w:r w:rsidRPr="0037774A">
              <w:rPr>
                <w:rFonts w:ascii="Lato" w:hAnsi="Lato" w:cs="Lato-Regular"/>
                <w:sz w:val="18"/>
                <w:szCs w:val="18"/>
                <w:lang w:bidi="ar-SA"/>
              </w:rPr>
              <w:lastRenderedPageBreak/>
              <w:t>stanowiących podstawę wpisów do prowadzonych baz danych i zmian wprowadzanych na mapach. Powyższe będzie się wiązało również z koniecznością wskazania źródeł finansowania zadań, o których mowa w art. 4b ust. 9 i art. 4c ust. 1, gdyż większość urzędów obsługujących organy uprawnione do wydania decyzji ustanawiającej teren zamknięty nie ma obecnie narzędzi oraz osób o kwalifikacjach pozwalających na realizację w/w zadań.</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47053DA"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4AAACE0" w14:textId="2F5E67FE"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2ABBA056" w14:textId="52B70E1A" w:rsidTr="00A1261B">
        <w:trPr>
          <w:trHeight w:val="20"/>
        </w:trPr>
        <w:tc>
          <w:tcPr>
            <w:tcW w:w="709" w:type="dxa"/>
            <w:tcBorders>
              <w:top w:val="single" w:sz="4" w:space="0" w:color="auto"/>
              <w:left w:val="single" w:sz="4" w:space="0" w:color="auto"/>
              <w:bottom w:val="single" w:sz="4" w:space="0" w:color="auto"/>
            </w:tcBorders>
            <w:shd w:val="clear" w:color="auto" w:fill="FFFFFF"/>
          </w:tcPr>
          <w:p w14:paraId="76B7B75A"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101E7B8" w14:textId="3465DA74"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sz w:val="18"/>
                <w:szCs w:val="18"/>
              </w:rPr>
              <w:t>Ministerstwo Klimatu i Środowiska</w:t>
            </w:r>
          </w:p>
        </w:tc>
        <w:tc>
          <w:tcPr>
            <w:tcW w:w="4536" w:type="dxa"/>
            <w:tcBorders>
              <w:top w:val="single" w:sz="4" w:space="0" w:color="auto"/>
              <w:left w:val="single" w:sz="4" w:space="0" w:color="auto"/>
              <w:bottom w:val="single" w:sz="4" w:space="0" w:color="auto"/>
            </w:tcBorders>
            <w:shd w:val="clear" w:color="auto" w:fill="FFFFFF"/>
          </w:tcPr>
          <w:p w14:paraId="6F73846E" w14:textId="77777777" w:rsidR="00A1261B" w:rsidRDefault="00A1261B" w:rsidP="008846F4">
            <w:pPr>
              <w:pStyle w:val="Inne0"/>
              <w:shd w:val="clear" w:color="auto" w:fill="auto"/>
              <w:spacing w:before="120" w:after="120"/>
              <w:ind w:left="138" w:right="274"/>
              <w:rPr>
                <w:rFonts w:ascii="Lato" w:hAnsi="Lato"/>
                <w:b/>
                <w:bCs/>
                <w:sz w:val="18"/>
                <w:szCs w:val="18"/>
              </w:rPr>
            </w:pPr>
            <w:r w:rsidRPr="0037774A">
              <w:rPr>
                <w:rFonts w:ascii="Lato" w:hAnsi="Lato"/>
                <w:b/>
                <w:bCs/>
                <w:sz w:val="18"/>
                <w:szCs w:val="18"/>
              </w:rPr>
              <w:t xml:space="preserve">Art. 1 pkt 13 lit d oraz art. 1 pkt 43 </w:t>
            </w:r>
          </w:p>
          <w:p w14:paraId="3D5BC764" w14:textId="0E1FA7C2" w:rsidR="00A1261B" w:rsidRPr="0037774A" w:rsidRDefault="00A1261B" w:rsidP="008846F4">
            <w:pPr>
              <w:pStyle w:val="Inne0"/>
              <w:shd w:val="clear" w:color="auto" w:fill="auto"/>
              <w:spacing w:before="120" w:after="120"/>
              <w:ind w:left="138" w:right="274"/>
              <w:rPr>
                <w:rFonts w:ascii="Lato" w:hAnsi="Lato"/>
                <w:sz w:val="18"/>
                <w:szCs w:val="18"/>
              </w:rPr>
            </w:pPr>
            <w:r w:rsidRPr="0037774A">
              <w:rPr>
                <w:rFonts w:ascii="Lato" w:hAnsi="Lato"/>
                <w:b/>
                <w:bCs/>
                <w:sz w:val="18"/>
                <w:szCs w:val="18"/>
              </w:rPr>
              <w:t xml:space="preserve">(Art. 10. ust. 6 oraz art. 42 ust. 2 pkt 1 </w:t>
            </w:r>
            <w:proofErr w:type="spellStart"/>
            <w:r w:rsidRPr="0037774A">
              <w:rPr>
                <w:rFonts w:ascii="Lato" w:hAnsi="Lato"/>
                <w:b/>
                <w:bCs/>
                <w:sz w:val="18"/>
                <w:szCs w:val="18"/>
              </w:rPr>
              <w:t>uPGiK</w:t>
            </w:r>
            <w:proofErr w:type="spellEnd"/>
            <w:r w:rsidRPr="0037774A">
              <w:rPr>
                <w:rFonts w:ascii="Lato" w:hAnsi="Lato"/>
                <w:b/>
                <w:bCs/>
                <w:sz w:val="18"/>
                <w:szCs w:val="18"/>
              </w:rPr>
              <w:t>)</w:t>
            </w:r>
          </w:p>
          <w:p w14:paraId="04FD15A2" w14:textId="77777777" w:rsidR="00A1261B" w:rsidRPr="0037774A" w:rsidRDefault="00A1261B" w:rsidP="008846F4">
            <w:pPr>
              <w:pStyle w:val="Inne0"/>
              <w:shd w:val="clear" w:color="auto" w:fill="auto"/>
              <w:spacing w:before="120" w:after="120"/>
              <w:ind w:left="138" w:right="274"/>
              <w:rPr>
                <w:rFonts w:ascii="Lato" w:hAnsi="Lato"/>
                <w:sz w:val="18"/>
                <w:szCs w:val="18"/>
              </w:rPr>
            </w:pPr>
            <w:r w:rsidRPr="0037774A">
              <w:rPr>
                <w:rFonts w:ascii="Lato" w:hAnsi="Lato"/>
                <w:sz w:val="18"/>
                <w:szCs w:val="18"/>
              </w:rPr>
              <w:t>Zrezygnowano z przepisu, który co do zasady wprowadzał obowiązek wykonywania prac geodezyjnych (zgłaszanych do organu Służby Geodezyjnej i Kartograficznej) tylko przez geodetów uprawnionych, na terenach zamkniętych. Wykonywanie prac geodezyjnych przez geodetów uprawnionych to przede wszystkim gwarancja jakości tych prac, wykonanie tych prac zgodnie z obowiązującym prawem, za wykonanie prac geodeta bierze odpowiedzialność, za poprawność wykonanej pracy. Uprawnie geodezyjne nabywane w wyniku postępowania mającego ocenić wiedzę merytoryczną i techniczną geodety (egzamin państwowy). Potwierdza to art. 42c. ust. 3 w treści proponowanej przez niniejszy projekt.</w:t>
            </w:r>
          </w:p>
          <w:p w14:paraId="7C339435" w14:textId="77777777" w:rsidR="00A1261B" w:rsidRPr="0037774A" w:rsidRDefault="00A1261B" w:rsidP="008846F4">
            <w:pPr>
              <w:pStyle w:val="Inne0"/>
              <w:shd w:val="clear" w:color="auto" w:fill="auto"/>
              <w:spacing w:before="120" w:after="120"/>
              <w:ind w:left="136" w:right="272" w:firstLine="340"/>
              <w:contextualSpacing/>
              <w:rPr>
                <w:rFonts w:ascii="Lato" w:hAnsi="Lato"/>
                <w:sz w:val="18"/>
                <w:szCs w:val="18"/>
              </w:rPr>
            </w:pPr>
            <w:r w:rsidRPr="0037774A">
              <w:rPr>
                <w:rFonts w:ascii="Lato" w:hAnsi="Lato"/>
                <w:sz w:val="18"/>
                <w:szCs w:val="18"/>
              </w:rPr>
              <w:t>- zgodnie z obowiązującymi przepisami prawa;</w:t>
            </w:r>
          </w:p>
          <w:p w14:paraId="61C9A379" w14:textId="77777777" w:rsidR="00A1261B" w:rsidRPr="0037774A" w:rsidRDefault="00A1261B" w:rsidP="008846F4">
            <w:pPr>
              <w:pStyle w:val="Inne0"/>
              <w:shd w:val="clear" w:color="auto" w:fill="auto"/>
              <w:spacing w:before="120" w:after="120"/>
              <w:ind w:left="136" w:right="272" w:firstLine="340"/>
              <w:contextualSpacing/>
              <w:rPr>
                <w:rFonts w:ascii="Lato" w:hAnsi="Lato"/>
                <w:sz w:val="18"/>
                <w:szCs w:val="18"/>
              </w:rPr>
            </w:pPr>
            <w:r w:rsidRPr="0037774A">
              <w:rPr>
                <w:rFonts w:ascii="Lato" w:hAnsi="Lato"/>
                <w:sz w:val="18"/>
                <w:szCs w:val="18"/>
              </w:rPr>
              <w:t>- z należytą starannością;</w:t>
            </w:r>
          </w:p>
          <w:p w14:paraId="0F913A4B" w14:textId="77777777" w:rsidR="00A1261B" w:rsidRPr="0037774A" w:rsidRDefault="00A1261B" w:rsidP="008846F4">
            <w:pPr>
              <w:pStyle w:val="Inne0"/>
              <w:shd w:val="clear" w:color="auto" w:fill="auto"/>
              <w:spacing w:before="120" w:after="120"/>
              <w:ind w:left="136" w:right="272" w:firstLine="340"/>
              <w:contextualSpacing/>
              <w:rPr>
                <w:rFonts w:ascii="Lato" w:hAnsi="Lato"/>
                <w:sz w:val="18"/>
                <w:szCs w:val="18"/>
              </w:rPr>
            </w:pPr>
            <w:r w:rsidRPr="0037774A">
              <w:rPr>
                <w:rFonts w:ascii="Lato" w:hAnsi="Lato"/>
                <w:sz w:val="18"/>
                <w:szCs w:val="18"/>
              </w:rPr>
              <w:t>- zgodnie z zasadami współczesnej wiedzy technicznej;</w:t>
            </w:r>
          </w:p>
          <w:p w14:paraId="517600D9" w14:textId="77777777" w:rsidR="00A1261B" w:rsidRPr="0037774A" w:rsidRDefault="00A1261B" w:rsidP="008846F4">
            <w:pPr>
              <w:pStyle w:val="Inne0"/>
              <w:shd w:val="clear" w:color="auto" w:fill="auto"/>
              <w:spacing w:before="120" w:after="120"/>
              <w:ind w:left="138" w:right="274" w:firstLine="340"/>
              <w:rPr>
                <w:rFonts w:ascii="Lato" w:hAnsi="Lato"/>
                <w:sz w:val="18"/>
                <w:szCs w:val="18"/>
              </w:rPr>
            </w:pPr>
            <w:r w:rsidRPr="0037774A">
              <w:rPr>
                <w:rFonts w:ascii="Lato" w:hAnsi="Lato"/>
                <w:sz w:val="18"/>
                <w:szCs w:val="18"/>
              </w:rPr>
              <w:t>- przestrzegając zasad bezstronności i niezależności.</w:t>
            </w:r>
          </w:p>
          <w:p w14:paraId="370B681D" w14:textId="77777777" w:rsidR="00A1261B" w:rsidRPr="0037774A" w:rsidRDefault="00A1261B" w:rsidP="008846F4">
            <w:pPr>
              <w:pStyle w:val="Inne0"/>
              <w:shd w:val="clear" w:color="auto" w:fill="auto"/>
              <w:spacing w:before="120" w:after="120"/>
              <w:ind w:left="138" w:right="274"/>
              <w:rPr>
                <w:rFonts w:ascii="Lato" w:hAnsi="Lato"/>
                <w:sz w:val="18"/>
                <w:szCs w:val="18"/>
              </w:rPr>
            </w:pPr>
            <w:r w:rsidRPr="0037774A">
              <w:rPr>
                <w:rFonts w:ascii="Lato" w:hAnsi="Lato"/>
                <w:sz w:val="18"/>
                <w:szCs w:val="18"/>
              </w:rPr>
              <w:t>Prace wykonywanie na terenach zamkniętych, w tym</w:t>
            </w:r>
          </w:p>
          <w:p w14:paraId="4123203C" w14:textId="4BA5EDDC" w:rsidR="00A1261B" w:rsidRPr="0037774A" w:rsidRDefault="00A1261B" w:rsidP="008846F4">
            <w:pPr>
              <w:pStyle w:val="Inne0"/>
              <w:shd w:val="clear" w:color="auto" w:fill="auto"/>
              <w:spacing w:before="120" w:after="120"/>
              <w:ind w:left="138" w:right="274"/>
              <w:rPr>
                <w:rFonts w:ascii="Lato" w:eastAsia="Arial" w:hAnsi="Lato" w:cs="Arial"/>
                <w:sz w:val="18"/>
                <w:szCs w:val="18"/>
              </w:rPr>
            </w:pPr>
            <w:r w:rsidRPr="0037774A">
              <w:rPr>
                <w:rFonts w:ascii="Lato" w:hAnsi="Lato"/>
                <w:sz w:val="18"/>
                <w:szCs w:val="18"/>
              </w:rPr>
              <w:t>I kategorii, powinny być wykonywane przez geodetów uprawnionych.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A2FC25" w14:textId="77777777" w:rsidR="00A1261B" w:rsidRPr="0037774A" w:rsidRDefault="00A1261B" w:rsidP="0037774A">
            <w:pPr>
              <w:pStyle w:val="Inne0"/>
              <w:shd w:val="clear" w:color="auto" w:fill="auto"/>
              <w:spacing w:before="120" w:after="120"/>
              <w:ind w:left="125" w:right="136"/>
              <w:rPr>
                <w:rFonts w:ascii="Lato" w:hAnsi="Lato"/>
                <w:sz w:val="18"/>
                <w:szCs w:val="18"/>
              </w:rPr>
            </w:pPr>
            <w:r w:rsidRPr="0037774A">
              <w:rPr>
                <w:rFonts w:ascii="Lato" w:hAnsi="Lato"/>
                <w:sz w:val="18"/>
                <w:szCs w:val="18"/>
              </w:rPr>
              <w:t>Art. 10 ust. 6 otrzymuje brzmienie:</w:t>
            </w:r>
          </w:p>
          <w:p w14:paraId="02AFEE83" w14:textId="77777777" w:rsidR="00A1261B" w:rsidRPr="0037774A" w:rsidRDefault="00A1261B" w:rsidP="0037774A">
            <w:pPr>
              <w:pStyle w:val="Inne0"/>
              <w:shd w:val="clear" w:color="auto" w:fill="auto"/>
              <w:spacing w:before="120" w:after="120"/>
              <w:ind w:left="125" w:right="136"/>
              <w:rPr>
                <w:rFonts w:ascii="Lato" w:hAnsi="Lato"/>
                <w:sz w:val="18"/>
                <w:szCs w:val="18"/>
              </w:rPr>
            </w:pPr>
            <w:r w:rsidRPr="0037774A">
              <w:rPr>
                <w:rFonts w:ascii="Lato" w:hAnsi="Lato"/>
                <w:sz w:val="18"/>
                <w:szCs w:val="18"/>
              </w:rPr>
              <w:t>„6. Do prac geodezyjnych wykonywanych na terenach zamkniętych I kategorii na zlecenie podmiotu, który wydał decyzję o ustaleniu terenu zamkniętego nie stosuje się przepisów art. 12-12b, art. 19 ust. 2 i art. 43-46w.”;</w:t>
            </w:r>
          </w:p>
          <w:p w14:paraId="325DCD9D" w14:textId="77777777" w:rsidR="00A1261B" w:rsidRPr="0037774A" w:rsidRDefault="00A1261B" w:rsidP="0037774A">
            <w:pPr>
              <w:pStyle w:val="Inne0"/>
              <w:shd w:val="clear" w:color="auto" w:fill="auto"/>
              <w:spacing w:before="120" w:after="120"/>
              <w:ind w:left="125" w:right="136"/>
              <w:rPr>
                <w:rFonts w:ascii="Lato" w:hAnsi="Lato"/>
                <w:sz w:val="18"/>
                <w:szCs w:val="18"/>
              </w:rPr>
            </w:pPr>
            <w:r w:rsidRPr="0037774A">
              <w:rPr>
                <w:rFonts w:ascii="Lato" w:hAnsi="Lato"/>
                <w:sz w:val="18"/>
                <w:szCs w:val="18"/>
              </w:rPr>
              <w:t>Art.42 ust.2 pkt 1 otrzymuje brzmienie: „</w:t>
            </w:r>
          </w:p>
          <w:p w14:paraId="7B9885F2" w14:textId="53A5D874"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hAnsi="Lato"/>
                <w:sz w:val="18"/>
                <w:szCs w:val="18"/>
              </w:rPr>
              <w:t>„1) kierowanie pracami geodezyjnymi i kartograficznymi, podlegającymi zgłoszeniu do organu Służby Geodezyjnej i Kartograficznej, lub wykonywanymi na zlecenie tego organu, oraz sprawowanie nad nimi bezpośredniego nadzoru, lub do prac geodezyjnych o których mowa w art.12 pkt 1, wykonywanych na terenach zamkniętych I kategorii na zlecenie podmiotu, który wydał decyzję o ustaleniu terenu zamkniętego;”</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3A4D7AE" w14:textId="4376C4C0" w:rsidR="00A1261B" w:rsidRPr="0037774A" w:rsidRDefault="00A1261B" w:rsidP="00D06C3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 xml:space="preserve">. </w:t>
            </w:r>
          </w:p>
        </w:tc>
      </w:tr>
      <w:tr w:rsidR="00A1261B" w:rsidRPr="0037774A" w14:paraId="7128EE83" w14:textId="75F31F0D" w:rsidTr="00A1261B">
        <w:trPr>
          <w:trHeight w:val="20"/>
        </w:trPr>
        <w:tc>
          <w:tcPr>
            <w:tcW w:w="709" w:type="dxa"/>
            <w:tcBorders>
              <w:top w:val="single" w:sz="4" w:space="0" w:color="auto"/>
              <w:left w:val="single" w:sz="4" w:space="0" w:color="auto"/>
              <w:bottom w:val="single" w:sz="4" w:space="0" w:color="auto"/>
            </w:tcBorders>
            <w:shd w:val="clear" w:color="auto" w:fill="FFFFFF"/>
          </w:tcPr>
          <w:p w14:paraId="25AE2712"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51D9E5B" w14:textId="629427B1"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sz w:val="18"/>
                <w:szCs w:val="18"/>
              </w:rPr>
              <w:t>Ministerstwo Klimatu i Środowiska</w:t>
            </w:r>
          </w:p>
        </w:tc>
        <w:tc>
          <w:tcPr>
            <w:tcW w:w="4536" w:type="dxa"/>
            <w:tcBorders>
              <w:top w:val="single" w:sz="4" w:space="0" w:color="auto"/>
              <w:left w:val="single" w:sz="4" w:space="0" w:color="auto"/>
              <w:bottom w:val="single" w:sz="4" w:space="0" w:color="auto"/>
            </w:tcBorders>
            <w:shd w:val="clear" w:color="auto" w:fill="FFFFFF"/>
            <w:vAlign w:val="bottom"/>
          </w:tcPr>
          <w:p w14:paraId="1C6DB182" w14:textId="77777777" w:rsidR="00A1261B" w:rsidRPr="0037774A" w:rsidRDefault="00A1261B" w:rsidP="0037774A">
            <w:pPr>
              <w:pStyle w:val="Inne0"/>
              <w:shd w:val="clear" w:color="auto" w:fill="auto"/>
              <w:spacing w:before="120" w:after="120"/>
              <w:ind w:left="138" w:right="274"/>
              <w:rPr>
                <w:rFonts w:ascii="Lato" w:hAnsi="Lato"/>
                <w:sz w:val="18"/>
                <w:szCs w:val="18"/>
              </w:rPr>
            </w:pPr>
            <w:r w:rsidRPr="0037774A">
              <w:rPr>
                <w:rFonts w:ascii="Lato" w:hAnsi="Lato"/>
                <w:b/>
                <w:bCs/>
                <w:sz w:val="18"/>
                <w:szCs w:val="18"/>
              </w:rPr>
              <w:t xml:space="preserve">Art. 1 pkt 17 (Art. 12c. ust. 1 pkt. 4 </w:t>
            </w:r>
            <w:proofErr w:type="spellStart"/>
            <w:r w:rsidRPr="0037774A">
              <w:rPr>
                <w:rFonts w:ascii="Lato" w:hAnsi="Lato"/>
                <w:b/>
                <w:bCs/>
                <w:sz w:val="18"/>
                <w:szCs w:val="18"/>
              </w:rPr>
              <w:t>uPGiK</w:t>
            </w:r>
            <w:proofErr w:type="spellEnd"/>
            <w:r w:rsidRPr="0037774A">
              <w:rPr>
                <w:rFonts w:ascii="Lato" w:hAnsi="Lato"/>
                <w:b/>
                <w:bCs/>
                <w:sz w:val="18"/>
                <w:szCs w:val="18"/>
              </w:rPr>
              <w:t>)</w:t>
            </w:r>
          </w:p>
          <w:p w14:paraId="7C50C11A" w14:textId="373F9A20"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sz w:val="18"/>
                <w:szCs w:val="18"/>
              </w:rPr>
              <w:t xml:space="preserve">Wynikiem prac wykonywanych w ramach postępowania administracyjnego w sprawie ustalenia gleboznawczej klasyfikacji gruntów jest określenie/zmiana użytku gruntowego, który jest </w:t>
            </w:r>
            <w:r w:rsidRPr="0037774A">
              <w:rPr>
                <w:rFonts w:ascii="Lato" w:hAnsi="Lato"/>
                <w:sz w:val="18"/>
                <w:szCs w:val="18"/>
              </w:rPr>
              <w:lastRenderedPageBreak/>
              <w:t xml:space="preserve">elementem </w:t>
            </w:r>
            <w:proofErr w:type="spellStart"/>
            <w:r w:rsidRPr="0037774A">
              <w:rPr>
                <w:rFonts w:ascii="Lato" w:hAnsi="Lato"/>
                <w:sz w:val="18"/>
                <w:szCs w:val="18"/>
              </w:rPr>
              <w:t>egib</w:t>
            </w:r>
            <w:proofErr w:type="spellEnd"/>
            <w:r w:rsidRPr="0037774A">
              <w:rPr>
                <w:rFonts w:ascii="Lato" w:hAnsi="Lato"/>
                <w:sz w:val="18"/>
                <w:szCs w:val="18"/>
              </w:rPr>
              <w:t>. W związku z tym niezrozumiałym jest zniesienie obowiązku dokonania zgłoszenia prac oraz przekazania wyników zgłoszonych prac geodezyjnych do organu Służby Geodezyjnej i Kartograficznej. Tym bardziej, że prace geodezyjne wykonywane w ramach klasyfikacyjnych wykonują geodeci uprawnieni, a posiadanie uprawnień geodezyjnych jest zgłaszanie prac geodezyjnych do organu.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10CFD8E" w14:textId="1E08858F"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hAnsi="Lato"/>
                <w:sz w:val="18"/>
                <w:szCs w:val="18"/>
              </w:rPr>
              <w:lastRenderedPageBreak/>
              <w:t>Zrezygnować z dodawania w projekcie pkt. 4</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0ADC90C" w14:textId="77777777" w:rsidR="00A1261B" w:rsidRDefault="00A1261B" w:rsidP="00D06C3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3E18E2B" w14:textId="096FE4A6" w:rsidR="00A1261B" w:rsidRDefault="00A1261B" w:rsidP="00A8078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Zniesienie obowiązku zgłaszania prac geodezyjnych</w:t>
            </w:r>
            <w:r w:rsidRPr="00A8078F">
              <w:rPr>
                <w:rFonts w:ascii="Lato" w:eastAsia="Arial" w:hAnsi="Lato" w:cs="Arial"/>
                <w:sz w:val="18"/>
                <w:szCs w:val="18"/>
              </w:rPr>
              <w:t xml:space="preserve"> wykonywanych w ramach postępowania administracyjnego w sprawie ustalenia gleboznawczej klasyfikacji gruntów</w:t>
            </w:r>
            <w:r>
              <w:rPr>
                <w:rFonts w:ascii="Lato" w:eastAsia="Arial" w:hAnsi="Lato" w:cs="Arial"/>
                <w:sz w:val="18"/>
                <w:szCs w:val="18"/>
              </w:rPr>
              <w:t xml:space="preserve"> wynika z wprowadzanych regulacji </w:t>
            </w:r>
            <w:r>
              <w:rPr>
                <w:rFonts w:ascii="Lato" w:eastAsia="Arial" w:hAnsi="Lato" w:cs="Arial"/>
                <w:sz w:val="18"/>
                <w:szCs w:val="18"/>
              </w:rPr>
              <w:lastRenderedPageBreak/>
              <w:t xml:space="preserve">art. 26c ust. 3 ustawy z dnia 17 maja 1989 r. – Prawo geodezyjne i kartograficzne (Dz.U. z 2024 r. poz. 1151, z </w:t>
            </w:r>
            <w:proofErr w:type="spellStart"/>
            <w:r>
              <w:rPr>
                <w:rFonts w:ascii="Lato" w:eastAsia="Arial" w:hAnsi="Lato" w:cs="Arial"/>
                <w:sz w:val="18"/>
                <w:szCs w:val="18"/>
              </w:rPr>
              <w:t>późn</w:t>
            </w:r>
            <w:proofErr w:type="spellEnd"/>
            <w:r>
              <w:rPr>
                <w:rFonts w:ascii="Lato" w:eastAsia="Arial" w:hAnsi="Lato" w:cs="Arial"/>
                <w:sz w:val="18"/>
                <w:szCs w:val="18"/>
              </w:rPr>
              <w:t xml:space="preserve">. zm.) – dalej zwana „ustawą </w:t>
            </w:r>
            <w:proofErr w:type="spellStart"/>
            <w:r>
              <w:rPr>
                <w:rFonts w:ascii="Lato" w:eastAsia="Arial" w:hAnsi="Lato" w:cs="Arial"/>
                <w:sz w:val="18"/>
                <w:szCs w:val="18"/>
              </w:rPr>
              <w:t>PGiK</w:t>
            </w:r>
            <w:proofErr w:type="spellEnd"/>
            <w:r>
              <w:rPr>
                <w:rFonts w:ascii="Lato" w:eastAsia="Arial" w:hAnsi="Lato" w:cs="Arial"/>
                <w:sz w:val="18"/>
                <w:szCs w:val="18"/>
              </w:rPr>
              <w:t>”. Mając na względzie, że powyższe prace geodezyjne podlegają sprawdzeniu i odbiorowi przez organ Służby Geodezyjnej i Kartograficznej (dalej zwane „</w:t>
            </w:r>
            <w:proofErr w:type="spellStart"/>
            <w:r>
              <w:rPr>
                <w:rFonts w:ascii="Lato" w:eastAsia="Arial" w:hAnsi="Lato" w:cs="Arial"/>
                <w:sz w:val="18"/>
                <w:szCs w:val="18"/>
              </w:rPr>
              <w:t>SGiK</w:t>
            </w:r>
            <w:proofErr w:type="spellEnd"/>
            <w:r>
              <w:rPr>
                <w:rFonts w:ascii="Lato" w:eastAsia="Arial" w:hAnsi="Lato" w:cs="Arial"/>
                <w:sz w:val="18"/>
                <w:szCs w:val="18"/>
              </w:rPr>
              <w:t xml:space="preserve">”) w ramach prowadzonego postępowania administracyjnego, nie mogą podlegać weryfikacji w toku zgłoszenia prac geodezyjnych. Zastrzeżenia zgłaszane do wykonanych prac klasyfikacyjnych w toku tego postępowania mogą bowiem wpływać na przeprowadzone prace geodezyjne i konieczność dokonania ponownego pomiaru geodezyjnego, co wpływać będzie na sporządzaną dokumentację geodezyjną (np. wykaz zmian danych ewidencyjnych). </w:t>
            </w:r>
          </w:p>
          <w:p w14:paraId="0AFB24B2" w14:textId="3483868C" w:rsidR="00A1261B" w:rsidRPr="0037774A" w:rsidRDefault="00A1261B" w:rsidP="005F652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Pozostawienie procedury zgłaszania prac geodezyjnych </w:t>
            </w:r>
            <w:r w:rsidRPr="00A8078F">
              <w:rPr>
                <w:rFonts w:ascii="Lato" w:eastAsia="Arial" w:hAnsi="Lato" w:cs="Arial"/>
                <w:sz w:val="18"/>
                <w:szCs w:val="18"/>
              </w:rPr>
              <w:t>wykonywanych w ramach postępowania administracyjnego w sprawie ustalenia gleboznawczej klasyfikacji gruntów</w:t>
            </w:r>
            <w:r>
              <w:rPr>
                <w:rFonts w:ascii="Lato" w:eastAsia="Arial" w:hAnsi="Lato" w:cs="Arial"/>
                <w:sz w:val="18"/>
                <w:szCs w:val="18"/>
              </w:rPr>
              <w:t xml:space="preserve"> skutkowałoby przyjmowaniem wyników tych prac do państwowego zasobu geodezyjnego i kartograficznego po pozytywnej weryfikacji. W takim przypadku nie byłoby możliwości poprawy przeprowadzonych pomiarów geodezyjnych i zmiany przyjętej dokumentacji geodezyjnej w wyniku stwierdzonych zastrzeżeń do wykonanych prac klasyfikacyjnych w toku postepowania administracyjnego. Z tego względu prace te nie mogą podlegać obowiązkowi zgłoszenia. </w:t>
            </w:r>
          </w:p>
        </w:tc>
      </w:tr>
      <w:tr w:rsidR="00A1261B" w:rsidRPr="0037774A" w14:paraId="302EF8DD" w14:textId="5FBB7496" w:rsidTr="00A1261B">
        <w:trPr>
          <w:trHeight w:val="20"/>
        </w:trPr>
        <w:tc>
          <w:tcPr>
            <w:tcW w:w="709" w:type="dxa"/>
            <w:tcBorders>
              <w:top w:val="single" w:sz="4" w:space="0" w:color="auto"/>
              <w:left w:val="single" w:sz="4" w:space="0" w:color="auto"/>
              <w:bottom w:val="single" w:sz="4" w:space="0" w:color="auto"/>
            </w:tcBorders>
            <w:shd w:val="clear" w:color="auto" w:fill="FFFFFF"/>
          </w:tcPr>
          <w:p w14:paraId="4A5314F2"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0575D68" w14:textId="68C38EBC"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sz w:val="18"/>
                <w:szCs w:val="18"/>
              </w:rPr>
              <w:t>Ministerstwo Klimatu i Środowiska</w:t>
            </w:r>
          </w:p>
        </w:tc>
        <w:tc>
          <w:tcPr>
            <w:tcW w:w="4536" w:type="dxa"/>
            <w:tcBorders>
              <w:top w:val="single" w:sz="4" w:space="0" w:color="auto"/>
              <w:left w:val="single" w:sz="4" w:space="0" w:color="auto"/>
              <w:bottom w:val="single" w:sz="4" w:space="0" w:color="auto"/>
            </w:tcBorders>
            <w:shd w:val="clear" w:color="auto" w:fill="FFFFFF"/>
          </w:tcPr>
          <w:p w14:paraId="47F880D0" w14:textId="77777777" w:rsidR="00A1261B" w:rsidRPr="0037774A" w:rsidRDefault="00A1261B" w:rsidP="00DF57DD">
            <w:pPr>
              <w:pStyle w:val="Inne0"/>
              <w:shd w:val="clear" w:color="auto" w:fill="auto"/>
              <w:spacing w:before="120" w:after="120"/>
              <w:ind w:left="138" w:right="274"/>
              <w:rPr>
                <w:rFonts w:ascii="Lato" w:hAnsi="Lato"/>
                <w:sz w:val="18"/>
                <w:szCs w:val="18"/>
              </w:rPr>
            </w:pPr>
            <w:r w:rsidRPr="0037774A">
              <w:rPr>
                <w:rFonts w:ascii="Lato" w:hAnsi="Lato"/>
                <w:b/>
                <w:bCs/>
                <w:sz w:val="18"/>
                <w:szCs w:val="18"/>
              </w:rPr>
              <w:t xml:space="preserve">Art. 1 pkt 20 (art. 20 </w:t>
            </w:r>
            <w:proofErr w:type="spellStart"/>
            <w:r w:rsidRPr="0037774A">
              <w:rPr>
                <w:rFonts w:ascii="Lato" w:hAnsi="Lato"/>
                <w:b/>
                <w:bCs/>
                <w:sz w:val="18"/>
                <w:szCs w:val="18"/>
              </w:rPr>
              <w:t>uPGiK</w:t>
            </w:r>
            <w:proofErr w:type="spellEnd"/>
            <w:r w:rsidRPr="0037774A">
              <w:rPr>
                <w:rFonts w:ascii="Lato" w:hAnsi="Lato"/>
                <w:b/>
                <w:bCs/>
                <w:sz w:val="18"/>
                <w:szCs w:val="18"/>
              </w:rPr>
              <w:t>)</w:t>
            </w:r>
          </w:p>
          <w:p w14:paraId="62A74249" w14:textId="63792A68" w:rsidR="00A1261B" w:rsidRPr="0037774A" w:rsidRDefault="00A1261B" w:rsidP="00DF57DD">
            <w:pPr>
              <w:pStyle w:val="Inne0"/>
              <w:shd w:val="clear" w:color="auto" w:fill="auto"/>
              <w:spacing w:before="120" w:after="120"/>
              <w:ind w:left="138" w:right="274"/>
              <w:rPr>
                <w:rFonts w:ascii="Lato" w:eastAsia="Arial" w:hAnsi="Lato" w:cs="Arial"/>
                <w:sz w:val="18"/>
                <w:szCs w:val="18"/>
              </w:rPr>
            </w:pPr>
            <w:r w:rsidRPr="0037774A">
              <w:rPr>
                <w:rFonts w:ascii="Lato" w:hAnsi="Lato"/>
                <w:sz w:val="18"/>
                <w:szCs w:val="18"/>
              </w:rPr>
              <w:t xml:space="preserve">Proponuję w art. 20 dodać nowe ust. 3c i 3d. Zmiana w proponowanym brzmieniu prowadziłaby do umożliwienia dyrektorowi regionalnej dyrekcji Lasów Państwowych, jako organowi ustawowo powołanemu do ochrony gruntów leśnych w zakresie zmiany ich przeznaczenia, realnego i skutecznego uczestnictwa w postępowaniach, których przedmiotem jest zmiana w ewidencji gruntów i budynków lasu na inny użytek. Tego rodzaju zmiana ewidencyjna skutkować bowiem może także zmianą przeznaczenia gruntu leśnego, z pominięciem przepisów o ochronie gruntów rolnych i leśnych. Ponadto, niezależnie od powyższego, przepis ten pozwoli dyrektorowi </w:t>
            </w:r>
            <w:proofErr w:type="spellStart"/>
            <w:r w:rsidRPr="0037774A">
              <w:rPr>
                <w:rFonts w:ascii="Lato" w:hAnsi="Lato"/>
                <w:sz w:val="18"/>
                <w:szCs w:val="18"/>
              </w:rPr>
              <w:t>rdLP</w:t>
            </w:r>
            <w:proofErr w:type="spellEnd"/>
            <w:r w:rsidRPr="0037774A">
              <w:rPr>
                <w:rFonts w:ascii="Lato" w:hAnsi="Lato"/>
                <w:sz w:val="18"/>
                <w:szCs w:val="18"/>
              </w:rPr>
              <w:t xml:space="preserve"> wpływać na dokonywane zmiany lasu na inny użytek przy modernizacji prowadzonej na podstawie art. 24a </w:t>
            </w:r>
            <w:proofErr w:type="spellStart"/>
            <w:r w:rsidRPr="0037774A">
              <w:rPr>
                <w:rFonts w:ascii="Lato" w:hAnsi="Lato"/>
                <w:sz w:val="18"/>
                <w:szCs w:val="18"/>
              </w:rPr>
              <w:lastRenderedPageBreak/>
              <w:t>uPGiK</w:t>
            </w:r>
            <w:proofErr w:type="spellEnd"/>
            <w:r w:rsidRPr="0037774A">
              <w:rPr>
                <w:rFonts w:ascii="Lato" w:hAnsi="Lato"/>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9834876" w14:textId="77777777" w:rsidR="00A1261B" w:rsidRPr="0037774A" w:rsidRDefault="00A1261B" w:rsidP="00DF57DD">
            <w:pPr>
              <w:pStyle w:val="Inne0"/>
              <w:shd w:val="clear" w:color="auto" w:fill="auto"/>
              <w:spacing w:before="120" w:after="120"/>
              <w:ind w:left="125" w:right="136"/>
              <w:rPr>
                <w:rFonts w:ascii="Lato" w:hAnsi="Lato"/>
                <w:sz w:val="18"/>
                <w:szCs w:val="18"/>
              </w:rPr>
            </w:pPr>
            <w:r w:rsidRPr="0037774A">
              <w:rPr>
                <w:rFonts w:ascii="Lato" w:hAnsi="Lato"/>
                <w:sz w:val="18"/>
                <w:szCs w:val="18"/>
              </w:rPr>
              <w:lastRenderedPageBreak/>
              <w:t>„20) w art. 20:</w:t>
            </w:r>
          </w:p>
          <w:p w14:paraId="3C7FC6A9" w14:textId="77777777" w:rsidR="00A1261B" w:rsidRPr="0037774A" w:rsidRDefault="00A1261B" w:rsidP="00DF57DD">
            <w:pPr>
              <w:pStyle w:val="Inne0"/>
              <w:numPr>
                <w:ilvl w:val="0"/>
                <w:numId w:val="18"/>
              </w:numPr>
              <w:shd w:val="clear" w:color="auto" w:fill="auto"/>
              <w:tabs>
                <w:tab w:val="left" w:pos="250"/>
              </w:tabs>
              <w:spacing w:before="120" w:after="120"/>
              <w:ind w:left="125" w:right="136"/>
              <w:rPr>
                <w:rFonts w:ascii="Lato" w:hAnsi="Lato"/>
                <w:sz w:val="18"/>
                <w:szCs w:val="18"/>
              </w:rPr>
            </w:pPr>
            <w:r w:rsidRPr="0037774A">
              <w:rPr>
                <w:rFonts w:ascii="Lato" w:hAnsi="Lato"/>
                <w:sz w:val="18"/>
                <w:szCs w:val="18"/>
              </w:rPr>
              <w:t>w ust. 2 pkt 2 otrzymuje brzmienie:</w:t>
            </w:r>
          </w:p>
          <w:p w14:paraId="0CF51B89" w14:textId="77777777" w:rsidR="00A1261B" w:rsidRPr="0037774A" w:rsidRDefault="00A1261B" w:rsidP="00DF57DD">
            <w:pPr>
              <w:pStyle w:val="Inne0"/>
              <w:shd w:val="clear" w:color="auto" w:fill="auto"/>
              <w:spacing w:before="120" w:after="120"/>
              <w:ind w:left="125" w:right="136"/>
              <w:rPr>
                <w:rFonts w:ascii="Lato" w:hAnsi="Lato"/>
                <w:sz w:val="18"/>
                <w:szCs w:val="18"/>
              </w:rPr>
            </w:pPr>
            <w:r w:rsidRPr="0037774A">
              <w:rPr>
                <w:rFonts w:ascii="Lato" w:hAnsi="Lato"/>
                <w:sz w:val="18"/>
                <w:szCs w:val="18"/>
              </w:rPr>
              <w:t>„2) adresy podmiotów, o których mowa w pkt 1;”,</w:t>
            </w:r>
          </w:p>
          <w:p w14:paraId="322E1DF4" w14:textId="77777777" w:rsidR="00A1261B" w:rsidRPr="0037774A" w:rsidRDefault="00A1261B" w:rsidP="00DF57DD">
            <w:pPr>
              <w:pStyle w:val="Inne0"/>
              <w:numPr>
                <w:ilvl w:val="0"/>
                <w:numId w:val="18"/>
              </w:numPr>
              <w:shd w:val="clear" w:color="auto" w:fill="auto"/>
              <w:tabs>
                <w:tab w:val="left" w:pos="259"/>
              </w:tabs>
              <w:spacing w:before="120" w:after="120"/>
              <w:ind w:left="125" w:right="136"/>
              <w:rPr>
                <w:rFonts w:ascii="Lato" w:hAnsi="Lato"/>
                <w:sz w:val="18"/>
                <w:szCs w:val="18"/>
              </w:rPr>
            </w:pPr>
            <w:r w:rsidRPr="0037774A">
              <w:rPr>
                <w:rFonts w:ascii="Lato" w:hAnsi="Lato"/>
                <w:sz w:val="18"/>
                <w:szCs w:val="18"/>
              </w:rPr>
              <w:t>uchyla się ust. 3 i 3b,</w:t>
            </w:r>
          </w:p>
          <w:p w14:paraId="2E3FE28C" w14:textId="77777777" w:rsidR="00A1261B" w:rsidRPr="0037774A" w:rsidRDefault="00A1261B" w:rsidP="00DF57DD">
            <w:pPr>
              <w:pStyle w:val="Inne0"/>
              <w:numPr>
                <w:ilvl w:val="0"/>
                <w:numId w:val="18"/>
              </w:numPr>
              <w:shd w:val="clear" w:color="auto" w:fill="auto"/>
              <w:tabs>
                <w:tab w:val="left" w:pos="259"/>
              </w:tabs>
              <w:spacing w:before="120" w:after="120"/>
              <w:ind w:left="125" w:right="136"/>
              <w:rPr>
                <w:rFonts w:ascii="Lato" w:hAnsi="Lato"/>
                <w:sz w:val="18"/>
                <w:szCs w:val="18"/>
              </w:rPr>
            </w:pPr>
            <w:r w:rsidRPr="0037774A">
              <w:rPr>
                <w:rFonts w:ascii="Lato" w:hAnsi="Lato"/>
                <w:b/>
                <w:bCs/>
                <w:sz w:val="18"/>
                <w:szCs w:val="18"/>
              </w:rPr>
              <w:t>dodaje się ust. 3c i 3d w brzmieniu:</w:t>
            </w:r>
          </w:p>
          <w:p w14:paraId="1AC6AAFB" w14:textId="77777777" w:rsidR="00A1261B" w:rsidRPr="0037774A" w:rsidRDefault="00A1261B" w:rsidP="00DF57DD">
            <w:pPr>
              <w:pStyle w:val="Inne0"/>
              <w:shd w:val="clear" w:color="auto" w:fill="auto"/>
              <w:spacing w:before="120" w:after="120"/>
              <w:ind w:left="125" w:right="136"/>
              <w:rPr>
                <w:rFonts w:ascii="Lato" w:hAnsi="Lato"/>
                <w:sz w:val="18"/>
                <w:szCs w:val="18"/>
              </w:rPr>
            </w:pPr>
            <w:r w:rsidRPr="0037774A">
              <w:rPr>
                <w:rFonts w:ascii="Lato" w:hAnsi="Lato"/>
                <w:b/>
                <w:bCs/>
                <w:sz w:val="18"/>
                <w:szCs w:val="18"/>
              </w:rPr>
              <w:t>„3c. Zmiany w ewidencji gruntów i budynków lasu na inny użytek gruntowy, dokonuje się w uzgodnieniu z dyrektorem regionalnej dyrekcji Lasów Państwowych.</w:t>
            </w:r>
          </w:p>
          <w:p w14:paraId="45A6CCC0" w14:textId="529A1668" w:rsidR="00A1261B" w:rsidRPr="0037774A" w:rsidRDefault="00A1261B" w:rsidP="00DF57DD">
            <w:pPr>
              <w:pStyle w:val="Inne0"/>
              <w:shd w:val="clear" w:color="auto" w:fill="auto"/>
              <w:spacing w:before="120" w:after="120"/>
              <w:ind w:left="125" w:right="136"/>
              <w:rPr>
                <w:rFonts w:ascii="Lato" w:eastAsia="Arial" w:hAnsi="Lato" w:cs="Arial"/>
                <w:sz w:val="18"/>
                <w:szCs w:val="18"/>
              </w:rPr>
            </w:pPr>
            <w:r w:rsidRPr="0037774A">
              <w:rPr>
                <w:rFonts w:ascii="Lato" w:hAnsi="Lato"/>
                <w:b/>
                <w:bCs/>
                <w:sz w:val="18"/>
                <w:szCs w:val="18"/>
              </w:rPr>
              <w:t xml:space="preserve">3d. Uzgodnienie, o którym mowa w ust. 3c, następuje w terminie 14 dni od dnia otrzymania wniosku przez dyrektora regionalnej dyrekcji Lasów Państwowych. W przypadku braku uzgodnienia w tym terminie zmianę uznaje się </w:t>
            </w:r>
            <w:r w:rsidRPr="0037774A">
              <w:rPr>
                <w:rFonts w:ascii="Lato" w:hAnsi="Lato"/>
                <w:b/>
                <w:bCs/>
                <w:sz w:val="18"/>
                <w:szCs w:val="18"/>
              </w:rPr>
              <w:lastRenderedPageBreak/>
              <w:t>za uzgodnioną.”</w:t>
            </w:r>
            <w:r w:rsidRPr="0037774A">
              <w:rPr>
                <w:rFonts w:ascii="Lato" w:hAnsi="Lato"/>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F122C0A" w14:textId="3C40B6C6"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nie została uwzględniona.</w:t>
            </w:r>
          </w:p>
          <w:p w14:paraId="287281B4" w14:textId="20EC56F7" w:rsidR="00A1261B" w:rsidRPr="007D7C1E" w:rsidRDefault="00A1261B" w:rsidP="007D7C1E">
            <w:pPr>
              <w:pStyle w:val="Inne0"/>
              <w:spacing w:before="120" w:after="120"/>
              <w:ind w:left="131" w:right="138"/>
              <w:rPr>
                <w:rFonts w:ascii="Lato" w:eastAsia="Arial" w:hAnsi="Lato" w:cs="Arial"/>
                <w:sz w:val="18"/>
                <w:szCs w:val="18"/>
              </w:rPr>
            </w:pPr>
            <w:r w:rsidRPr="007D7C1E">
              <w:rPr>
                <w:rFonts w:ascii="Lato" w:eastAsia="Arial" w:hAnsi="Lato" w:cs="Arial"/>
                <w:sz w:val="18"/>
                <w:szCs w:val="18"/>
              </w:rPr>
              <w:t xml:space="preserve">Zgodnie z art. 20 ust. 3a ustawy </w:t>
            </w:r>
            <w:proofErr w:type="spellStart"/>
            <w:r>
              <w:rPr>
                <w:rFonts w:ascii="Lato" w:eastAsia="Arial" w:hAnsi="Lato" w:cs="Arial"/>
                <w:sz w:val="18"/>
                <w:szCs w:val="18"/>
              </w:rPr>
              <w:t>PGiK</w:t>
            </w:r>
            <w:proofErr w:type="spellEnd"/>
            <w:r w:rsidRPr="007D7C1E">
              <w:rPr>
                <w:rFonts w:ascii="Lato" w:eastAsia="Arial" w:hAnsi="Lato" w:cs="Arial"/>
                <w:sz w:val="18"/>
                <w:szCs w:val="18"/>
              </w:rPr>
              <w:t xml:space="preserve"> ewidencję gruntów i budynków prowadzi się z uwzględnieniem przepisów o lasach. W związku z tym wprowadzenie zmiany w </w:t>
            </w:r>
            <w:r>
              <w:rPr>
                <w:rFonts w:ascii="Lato" w:eastAsia="Arial" w:hAnsi="Lato" w:cs="Arial"/>
                <w:sz w:val="18"/>
                <w:szCs w:val="18"/>
              </w:rPr>
              <w:t>tej ewidencji</w:t>
            </w:r>
            <w:r w:rsidRPr="007D7C1E">
              <w:rPr>
                <w:rFonts w:ascii="Lato" w:eastAsia="Arial" w:hAnsi="Lato" w:cs="Arial"/>
                <w:sz w:val="18"/>
                <w:szCs w:val="18"/>
              </w:rPr>
              <w:t xml:space="preserve"> polegającej na zmianie sposobu użytkowania gruntów z leśnych na inny rodzaj jest wynikiem działań, których jednym z elementów jest decyzja zezwalająca na wyłączenie gruntów z produkcji leśnej. Zatem odpowiednie organy odpowiedzialne za ochronę gruntów leśnych miały możliwość wypowiedzenia się w zakresie zmiany sposobu użytkowania gruntu</w:t>
            </w:r>
            <w:r>
              <w:rPr>
                <w:rFonts w:ascii="Lato" w:eastAsia="Arial" w:hAnsi="Lato" w:cs="Arial"/>
                <w:sz w:val="18"/>
                <w:szCs w:val="18"/>
              </w:rPr>
              <w:t xml:space="preserve"> w toku postępowania administracyjnego</w:t>
            </w:r>
            <w:r w:rsidRPr="007D7C1E">
              <w:rPr>
                <w:rFonts w:ascii="Lato" w:eastAsia="Arial" w:hAnsi="Lato" w:cs="Arial"/>
                <w:sz w:val="18"/>
                <w:szCs w:val="18"/>
              </w:rPr>
              <w:t>.</w:t>
            </w:r>
          </w:p>
          <w:p w14:paraId="357499FA" w14:textId="3DBE357E" w:rsidR="00A1261B" w:rsidRPr="0037774A" w:rsidRDefault="00A1261B" w:rsidP="007D7C1E">
            <w:pPr>
              <w:pStyle w:val="Inne0"/>
              <w:spacing w:before="120" w:after="120"/>
              <w:ind w:left="131" w:right="138"/>
              <w:rPr>
                <w:rFonts w:ascii="Lato" w:eastAsia="Arial" w:hAnsi="Lato" w:cs="Arial"/>
                <w:sz w:val="18"/>
                <w:szCs w:val="18"/>
              </w:rPr>
            </w:pPr>
            <w:r w:rsidRPr="007D7C1E">
              <w:rPr>
                <w:rFonts w:ascii="Lato" w:eastAsia="Arial" w:hAnsi="Lato" w:cs="Arial"/>
                <w:sz w:val="18"/>
                <w:szCs w:val="18"/>
              </w:rPr>
              <w:t xml:space="preserve">Dodatkowo trzeba mieć na uwadze, że zgodnie z art. 24 ust. 2b ustawy </w:t>
            </w:r>
            <w:proofErr w:type="spellStart"/>
            <w:r>
              <w:rPr>
                <w:rFonts w:ascii="Lato" w:eastAsia="Arial" w:hAnsi="Lato" w:cs="Arial"/>
                <w:sz w:val="18"/>
                <w:szCs w:val="18"/>
              </w:rPr>
              <w:t>PGiK</w:t>
            </w:r>
            <w:proofErr w:type="spellEnd"/>
            <w:r w:rsidRPr="007D7C1E">
              <w:rPr>
                <w:rFonts w:ascii="Lato" w:eastAsia="Arial" w:hAnsi="Lato" w:cs="Arial"/>
                <w:sz w:val="18"/>
                <w:szCs w:val="18"/>
              </w:rPr>
              <w:t xml:space="preserve"> aktualizacja </w:t>
            </w:r>
            <w:r>
              <w:rPr>
                <w:rFonts w:ascii="Lato" w:eastAsia="Arial" w:hAnsi="Lato" w:cs="Arial"/>
                <w:sz w:val="18"/>
                <w:szCs w:val="18"/>
              </w:rPr>
              <w:t>ewidencji gruntów i budynków</w:t>
            </w:r>
            <w:r w:rsidRPr="007D7C1E">
              <w:rPr>
                <w:rFonts w:ascii="Lato" w:eastAsia="Arial" w:hAnsi="Lato" w:cs="Arial"/>
                <w:sz w:val="18"/>
                <w:szCs w:val="18"/>
              </w:rPr>
              <w:t xml:space="preserve"> następuje w drodze czynności materialno-technicznej </w:t>
            </w:r>
            <w:r>
              <w:rPr>
                <w:rFonts w:ascii="Lato" w:eastAsia="Arial" w:hAnsi="Lato" w:cs="Arial"/>
                <w:sz w:val="18"/>
                <w:szCs w:val="18"/>
              </w:rPr>
              <w:t xml:space="preserve">na podstawie określonych dokumentów </w:t>
            </w:r>
            <w:r w:rsidRPr="007D7C1E">
              <w:rPr>
                <w:rFonts w:ascii="Lato" w:eastAsia="Arial" w:hAnsi="Lato" w:cs="Arial"/>
                <w:sz w:val="18"/>
                <w:szCs w:val="18"/>
              </w:rPr>
              <w:t xml:space="preserve">lub w drodze decyzji administracyjnej. </w:t>
            </w:r>
            <w:r>
              <w:rPr>
                <w:rFonts w:ascii="Lato" w:eastAsia="Arial" w:hAnsi="Lato" w:cs="Arial"/>
                <w:sz w:val="18"/>
                <w:szCs w:val="18"/>
              </w:rPr>
              <w:t>O</w:t>
            </w:r>
            <w:r w:rsidRPr="007D7C1E">
              <w:rPr>
                <w:rFonts w:ascii="Lato" w:eastAsia="Arial" w:hAnsi="Lato" w:cs="Arial"/>
                <w:sz w:val="18"/>
                <w:szCs w:val="18"/>
              </w:rPr>
              <w:t xml:space="preserve">bowiązujące w tym </w:t>
            </w:r>
            <w:r w:rsidRPr="007D7C1E">
              <w:rPr>
                <w:rFonts w:ascii="Lato" w:eastAsia="Arial" w:hAnsi="Lato" w:cs="Arial"/>
                <w:sz w:val="18"/>
                <w:szCs w:val="18"/>
              </w:rPr>
              <w:lastRenderedPageBreak/>
              <w:t xml:space="preserve">zakresie </w:t>
            </w:r>
            <w:r>
              <w:rPr>
                <w:rFonts w:ascii="Lato" w:eastAsia="Arial" w:hAnsi="Lato" w:cs="Arial"/>
                <w:sz w:val="18"/>
                <w:szCs w:val="18"/>
              </w:rPr>
              <w:t>p</w:t>
            </w:r>
            <w:r w:rsidRPr="007D7C1E">
              <w:rPr>
                <w:rFonts w:ascii="Lato" w:eastAsia="Arial" w:hAnsi="Lato" w:cs="Arial"/>
                <w:sz w:val="18"/>
                <w:szCs w:val="18"/>
              </w:rPr>
              <w:t xml:space="preserve">rzepisy prawa nie przewidują konstrukcji polegającej na uzgadnianiu </w:t>
            </w:r>
            <w:r>
              <w:rPr>
                <w:rFonts w:ascii="Lato" w:eastAsia="Arial" w:hAnsi="Lato" w:cs="Arial"/>
                <w:sz w:val="18"/>
                <w:szCs w:val="18"/>
              </w:rPr>
              <w:t xml:space="preserve">z innymi podmiotami </w:t>
            </w:r>
            <w:r w:rsidRPr="007D7C1E">
              <w:rPr>
                <w:rFonts w:ascii="Lato" w:eastAsia="Arial" w:hAnsi="Lato" w:cs="Arial"/>
                <w:sz w:val="18"/>
                <w:szCs w:val="18"/>
              </w:rPr>
              <w:t>zmian wprowadzanych w ewidencji gruntów i budynków.</w:t>
            </w:r>
            <w:r>
              <w:rPr>
                <w:rFonts w:ascii="Lato" w:eastAsia="Arial" w:hAnsi="Lato" w:cs="Arial"/>
                <w:sz w:val="18"/>
                <w:szCs w:val="18"/>
              </w:rPr>
              <w:t xml:space="preserve"> </w:t>
            </w:r>
            <w:r w:rsidRPr="007D7C1E">
              <w:rPr>
                <w:rFonts w:ascii="Lato" w:eastAsia="Arial" w:hAnsi="Lato" w:cs="Arial"/>
                <w:sz w:val="18"/>
                <w:szCs w:val="18"/>
              </w:rPr>
              <w:t xml:space="preserve">Zmiany w </w:t>
            </w:r>
            <w:r>
              <w:rPr>
                <w:rFonts w:ascii="Lato" w:eastAsia="Arial" w:hAnsi="Lato" w:cs="Arial"/>
                <w:sz w:val="18"/>
                <w:szCs w:val="18"/>
              </w:rPr>
              <w:t>ewidencji gruntów i budynków</w:t>
            </w:r>
            <w:r w:rsidRPr="007D7C1E">
              <w:rPr>
                <w:rFonts w:ascii="Lato" w:eastAsia="Arial" w:hAnsi="Lato" w:cs="Arial"/>
                <w:sz w:val="18"/>
                <w:szCs w:val="18"/>
              </w:rPr>
              <w:t xml:space="preserve"> nie mogą podlegać uzgodnieniu, bo są efektem określonego stanu faktycznego oraz wynikają z określonych dokumentów. Nie ma w tym przypadku elementu swobody organu.</w:t>
            </w:r>
          </w:p>
        </w:tc>
      </w:tr>
      <w:tr w:rsidR="00A1261B" w:rsidRPr="0037774A" w14:paraId="023A6BA5" w14:textId="5543CC7C" w:rsidTr="008B779F">
        <w:trPr>
          <w:trHeight w:val="20"/>
        </w:trPr>
        <w:tc>
          <w:tcPr>
            <w:tcW w:w="709" w:type="dxa"/>
            <w:tcBorders>
              <w:top w:val="single" w:sz="4" w:space="0" w:color="auto"/>
              <w:left w:val="single" w:sz="4" w:space="0" w:color="auto"/>
              <w:bottom w:val="single" w:sz="4" w:space="0" w:color="auto"/>
            </w:tcBorders>
            <w:shd w:val="clear" w:color="auto" w:fill="FFFFFF"/>
          </w:tcPr>
          <w:p w14:paraId="150E081C"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659DB22" w14:textId="3147AF8B"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sz w:val="18"/>
                <w:szCs w:val="18"/>
              </w:rPr>
              <w:t>Ministerstwo Klimatu i Środowiska</w:t>
            </w:r>
          </w:p>
        </w:tc>
        <w:tc>
          <w:tcPr>
            <w:tcW w:w="4536" w:type="dxa"/>
            <w:tcBorders>
              <w:top w:val="single" w:sz="4" w:space="0" w:color="auto"/>
              <w:left w:val="single" w:sz="4" w:space="0" w:color="auto"/>
              <w:bottom w:val="single" w:sz="4" w:space="0" w:color="auto"/>
            </w:tcBorders>
            <w:shd w:val="clear" w:color="auto" w:fill="FFFFFF"/>
          </w:tcPr>
          <w:p w14:paraId="62430797" w14:textId="77777777" w:rsidR="00A1261B" w:rsidRPr="0037774A" w:rsidRDefault="00A1261B" w:rsidP="008B779F">
            <w:pPr>
              <w:pStyle w:val="Inne0"/>
              <w:shd w:val="clear" w:color="auto" w:fill="auto"/>
              <w:spacing w:before="120" w:after="120"/>
              <w:ind w:left="138" w:right="274"/>
              <w:rPr>
                <w:rFonts w:ascii="Lato" w:hAnsi="Lato"/>
                <w:sz w:val="18"/>
                <w:szCs w:val="18"/>
              </w:rPr>
            </w:pPr>
            <w:r w:rsidRPr="0037774A">
              <w:rPr>
                <w:rFonts w:ascii="Lato" w:hAnsi="Lato"/>
                <w:sz w:val="18"/>
                <w:szCs w:val="18"/>
              </w:rPr>
              <w:t xml:space="preserve">Art. 1 pkt 43 (art. 42 ust. 2 pkt. 2 </w:t>
            </w:r>
            <w:proofErr w:type="spellStart"/>
            <w:r w:rsidRPr="0037774A">
              <w:rPr>
                <w:rFonts w:ascii="Lato" w:hAnsi="Lato"/>
                <w:sz w:val="18"/>
                <w:szCs w:val="18"/>
              </w:rPr>
              <w:t>uPGiK</w:t>
            </w:r>
            <w:proofErr w:type="spellEnd"/>
            <w:r w:rsidRPr="0037774A">
              <w:rPr>
                <w:rFonts w:ascii="Lato" w:hAnsi="Lato"/>
                <w:sz w:val="18"/>
                <w:szCs w:val="18"/>
              </w:rPr>
              <w:t>)</w:t>
            </w:r>
          </w:p>
          <w:p w14:paraId="503893B2" w14:textId="40870C70" w:rsidR="00A1261B" w:rsidRPr="0037774A" w:rsidRDefault="00A1261B" w:rsidP="008B779F">
            <w:pPr>
              <w:pStyle w:val="Inne0"/>
              <w:shd w:val="clear" w:color="auto" w:fill="auto"/>
              <w:spacing w:before="120" w:after="120"/>
              <w:ind w:left="138" w:right="274"/>
              <w:rPr>
                <w:rFonts w:ascii="Lato" w:eastAsia="Arial" w:hAnsi="Lato" w:cs="Arial"/>
                <w:sz w:val="18"/>
                <w:szCs w:val="18"/>
              </w:rPr>
            </w:pPr>
            <w:r w:rsidRPr="0037774A">
              <w:rPr>
                <w:rFonts w:ascii="Lato" w:hAnsi="Lato"/>
                <w:sz w:val="18"/>
                <w:szCs w:val="18"/>
              </w:rPr>
              <w:t xml:space="preserve">Zaproponowany przepis może spowodować znaczne spowolnienie prac (określonych w proponowanym Art. 42 ust. 2 pkt 2), czasami paraliż, wykonywanych przez duże firmy geodezyjne, zatrudniające niewielką liczbę geodetów uprawnionych w stosunku do geodetów nieuprawnionych. Osobiste uczestnictwo geodetów uprawnionych w pełnym zakresie, w każdej pracy wykonywanych w ramach zleceń pozyskiwanych przez duże firmy jest niemożliwe, dodatkowo ze względu na duży obszar działania, w którym wykonywane są prace. Często (w wypadku </w:t>
            </w:r>
            <w:proofErr w:type="spellStart"/>
            <w:r w:rsidRPr="0037774A">
              <w:rPr>
                <w:rFonts w:ascii="Lato" w:hAnsi="Lato"/>
                <w:sz w:val="18"/>
                <w:szCs w:val="18"/>
              </w:rPr>
              <w:t>BULiGL</w:t>
            </w:r>
            <w:proofErr w:type="spellEnd"/>
            <w:r w:rsidRPr="0037774A">
              <w:rPr>
                <w:rFonts w:ascii="Lato" w:hAnsi="Lato"/>
                <w:sz w:val="18"/>
                <w:szCs w:val="18"/>
              </w:rPr>
              <w:t xml:space="preserve">) pozyskane prace są w dużym rozproszeniu, w znacznych odległościach od siebie. Każdy Oddział </w:t>
            </w:r>
            <w:proofErr w:type="spellStart"/>
            <w:r w:rsidRPr="0037774A">
              <w:rPr>
                <w:rFonts w:ascii="Lato" w:hAnsi="Lato"/>
                <w:sz w:val="18"/>
                <w:szCs w:val="18"/>
              </w:rPr>
              <w:t>BULiGL</w:t>
            </w:r>
            <w:proofErr w:type="spellEnd"/>
            <w:r w:rsidRPr="0037774A">
              <w:rPr>
                <w:rFonts w:ascii="Lato" w:hAnsi="Lato"/>
                <w:sz w:val="18"/>
                <w:szCs w:val="18"/>
              </w:rPr>
              <w:t xml:space="preserve"> (w sumie 12) funkcjonuje na obszarze ok. 1/12 obszaru kraju. Prace wykonywane są jednocześnie dla kilku zleceniodawców, w znacznym rozproszeniu. Praktycznie możliwy i wystarczający jest bezpośredni nadzór nad pracami geodezyjnymi lub pracami kartograficznymi, rozumianego jako czuwanie nad merytoryczną, techniczną i formalną poprawnością wykonania tych prac, co do tej pory miało miejsce. Przepis wydaje się być niekorzystny także dla młodej kadry, zatrudnianej do tej pory w dosyć znacznej liczbie, nabywających w ten sposób, praktykę niezbędną do uzyskania uprawnień zawodowych. Może to spowodować ograniczenie zatrudniania początkujących geodetów, w ten sposób ograniczając możliwość ich rozwoju zawodowego.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7F503B3" w14:textId="77777777" w:rsidR="00A1261B" w:rsidRPr="0037774A" w:rsidRDefault="00A1261B" w:rsidP="0037774A">
            <w:pPr>
              <w:pStyle w:val="Inne0"/>
              <w:shd w:val="clear" w:color="auto" w:fill="auto"/>
              <w:spacing w:before="120" w:after="120"/>
              <w:ind w:left="125" w:right="136"/>
              <w:rPr>
                <w:rFonts w:ascii="Lato" w:hAnsi="Lato"/>
                <w:sz w:val="18"/>
                <w:szCs w:val="18"/>
              </w:rPr>
            </w:pPr>
            <w:r w:rsidRPr="0037774A">
              <w:rPr>
                <w:rFonts w:ascii="Lato" w:hAnsi="Lato"/>
                <w:sz w:val="18"/>
                <w:szCs w:val="18"/>
              </w:rPr>
              <w:t>Art. 42 ust. 2 pkt. 2 otrzymuje brzmienie:</w:t>
            </w:r>
          </w:p>
          <w:p w14:paraId="25870688" w14:textId="2D9BA9CB"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hAnsi="Lato"/>
                <w:sz w:val="18"/>
                <w:szCs w:val="18"/>
              </w:rPr>
              <w:t>„2) sprawowanie bezpośredniego nadzoru nad pracami geodezyjnymi lub pracami kartograficznymi, rozumianego jako czuwanie nad merytoryczną, techniczną i formalną poprawnością wykonania tych prac;”</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F823052" w14:textId="7777777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31E0C1F5" w14:textId="1EEE11EC" w:rsidR="00A1261B" w:rsidRDefault="00A1261B" w:rsidP="00C00CF7">
            <w:pPr>
              <w:pStyle w:val="Inne0"/>
              <w:shd w:val="clear" w:color="auto" w:fill="auto"/>
              <w:spacing w:before="120" w:after="120"/>
              <w:ind w:left="131" w:right="138"/>
              <w:rPr>
                <w:rFonts w:ascii="Lato" w:eastAsia="Lato" w:hAnsi="Lato" w:cs="Lato"/>
                <w:color w:val="000000" w:themeColor="text1"/>
                <w:sz w:val="18"/>
                <w:szCs w:val="18"/>
              </w:rPr>
            </w:pPr>
            <w:r>
              <w:rPr>
                <w:rFonts w:ascii="Lato" w:eastAsia="Arial" w:hAnsi="Lato" w:cs="Arial"/>
                <w:sz w:val="18"/>
                <w:szCs w:val="18"/>
              </w:rPr>
              <w:t xml:space="preserve">Wpisany w art. 42 ust. 2 pkt 1 ustawy </w:t>
            </w:r>
            <w:proofErr w:type="spellStart"/>
            <w:r>
              <w:rPr>
                <w:rFonts w:ascii="Lato" w:eastAsia="Arial" w:hAnsi="Lato" w:cs="Arial"/>
                <w:sz w:val="18"/>
                <w:szCs w:val="18"/>
              </w:rPr>
              <w:t>PGiK</w:t>
            </w:r>
            <w:proofErr w:type="spellEnd"/>
            <w:r>
              <w:rPr>
                <w:rFonts w:ascii="Lato" w:eastAsia="Arial" w:hAnsi="Lato" w:cs="Arial"/>
                <w:sz w:val="18"/>
                <w:szCs w:val="18"/>
              </w:rPr>
              <w:t xml:space="preserve"> obowiązek osobistego wykonywania określonych </w:t>
            </w:r>
            <w:r w:rsidRPr="00B52459">
              <w:rPr>
                <w:rFonts w:ascii="Lato" w:eastAsia="Arial" w:hAnsi="Lato" w:cs="Arial"/>
                <w:sz w:val="18"/>
                <w:szCs w:val="18"/>
              </w:rPr>
              <w:t xml:space="preserve">czynności wchodzących w skład prac geodezyjnych </w:t>
            </w:r>
            <w:r>
              <w:rPr>
                <w:rFonts w:ascii="Lato" w:eastAsia="Arial" w:hAnsi="Lato" w:cs="Arial"/>
                <w:sz w:val="18"/>
                <w:szCs w:val="18"/>
              </w:rPr>
              <w:t>wynika z obecnie obowiązujących przepisów prawa</w:t>
            </w:r>
            <w:r>
              <w:rPr>
                <w:rFonts w:ascii="Lato" w:eastAsia="Lato" w:hAnsi="Lato" w:cs="Lato"/>
                <w:color w:val="000000" w:themeColor="text1"/>
                <w:sz w:val="18"/>
                <w:szCs w:val="18"/>
              </w:rPr>
              <w:t>:</w:t>
            </w:r>
          </w:p>
          <w:p w14:paraId="04A85031" w14:textId="29C77BB9" w:rsidR="008B779F" w:rsidRDefault="008B779F" w:rsidP="00C00CF7">
            <w:pPr>
              <w:pStyle w:val="Akapitzlist"/>
              <w:numPr>
                <w:ilvl w:val="0"/>
                <w:numId w:val="43"/>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 xml:space="preserve">obecnego brzmienia art. 42 ust. 2 pkt 5 ustawy </w:t>
            </w:r>
            <w:proofErr w:type="spellStart"/>
            <w:r>
              <w:rPr>
                <w:rFonts w:ascii="Lato" w:eastAsia="Lato" w:hAnsi="Lato" w:cs="Lato"/>
                <w:color w:val="000000" w:themeColor="text1"/>
                <w:sz w:val="18"/>
                <w:szCs w:val="18"/>
              </w:rPr>
              <w:t>PGiK</w:t>
            </w:r>
            <w:proofErr w:type="spellEnd"/>
            <w:r>
              <w:rPr>
                <w:rFonts w:ascii="Lato" w:eastAsia="Lato" w:hAnsi="Lato" w:cs="Lato"/>
                <w:color w:val="000000" w:themeColor="text1"/>
                <w:sz w:val="18"/>
                <w:szCs w:val="18"/>
              </w:rPr>
              <w:t>,</w:t>
            </w:r>
          </w:p>
          <w:p w14:paraId="167D9A84" w14:textId="2A0E60E7" w:rsidR="00A1261B" w:rsidRPr="00851555" w:rsidRDefault="00A1261B" w:rsidP="00C00CF7">
            <w:pPr>
              <w:pStyle w:val="Akapitzlist"/>
              <w:numPr>
                <w:ilvl w:val="0"/>
                <w:numId w:val="43"/>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33 ust. 1 rozporządzenia Ministra Rozwoju, Pracy i Technologii z dnia 27 lipca 2021 r. w sprawie ewidencji gruntów i budynków</w:t>
            </w:r>
            <w:r>
              <w:rPr>
                <w:rFonts w:ascii="Lato" w:eastAsia="Lato" w:hAnsi="Lato" w:cs="Lato"/>
                <w:color w:val="000000" w:themeColor="text1"/>
                <w:sz w:val="18"/>
                <w:szCs w:val="18"/>
              </w:rPr>
              <w:t xml:space="preserve"> (Dz. U. z 2024 r. poz. 219, z </w:t>
            </w:r>
            <w:proofErr w:type="spellStart"/>
            <w:r>
              <w:rPr>
                <w:rFonts w:ascii="Lato" w:eastAsia="Lato" w:hAnsi="Lato" w:cs="Lato"/>
                <w:color w:val="000000" w:themeColor="text1"/>
                <w:sz w:val="18"/>
                <w:szCs w:val="18"/>
              </w:rPr>
              <w:t>późn</w:t>
            </w:r>
            <w:proofErr w:type="spellEnd"/>
            <w:r>
              <w:rPr>
                <w:rFonts w:ascii="Lato" w:eastAsia="Lato" w:hAnsi="Lato" w:cs="Lato"/>
                <w:color w:val="000000" w:themeColor="text1"/>
                <w:sz w:val="18"/>
                <w:szCs w:val="18"/>
              </w:rPr>
              <w:t>. zm.)</w:t>
            </w:r>
            <w:r w:rsidRPr="00851555">
              <w:rPr>
                <w:rFonts w:ascii="Lato" w:eastAsia="Lato" w:hAnsi="Lato" w:cs="Lato"/>
                <w:color w:val="000000" w:themeColor="text1"/>
                <w:sz w:val="18"/>
                <w:szCs w:val="18"/>
              </w:rPr>
              <w:t>,</w:t>
            </w:r>
          </w:p>
          <w:p w14:paraId="6B9D6A81" w14:textId="20871B65" w:rsidR="00A1261B" w:rsidRDefault="00A1261B" w:rsidP="00C00CF7">
            <w:pPr>
              <w:pStyle w:val="Akapitzlist"/>
              <w:numPr>
                <w:ilvl w:val="0"/>
                <w:numId w:val="43"/>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a</w:t>
            </w:r>
            <w:r w:rsidRPr="00851555">
              <w:rPr>
                <w:rFonts w:ascii="Lato" w:eastAsia="Lato" w:hAnsi="Lato" w:cs="Lato"/>
                <w:color w:val="000000" w:themeColor="text1"/>
                <w:sz w:val="18"/>
                <w:szCs w:val="18"/>
              </w:rPr>
              <w:t>rt. 27a ustawy z dnia 7 lipca 1994 r. – Prawo budowlane</w:t>
            </w:r>
            <w:r>
              <w:rPr>
                <w:rFonts w:ascii="Lato" w:eastAsia="Lato" w:hAnsi="Lato" w:cs="Lato"/>
                <w:color w:val="000000" w:themeColor="text1"/>
                <w:sz w:val="18"/>
                <w:szCs w:val="18"/>
              </w:rPr>
              <w:t xml:space="preserve"> </w:t>
            </w:r>
            <w:r w:rsidRPr="00C00CF7">
              <w:rPr>
                <w:rFonts w:ascii="Lato" w:eastAsia="Lato" w:hAnsi="Lato" w:cs="Lato"/>
                <w:color w:val="000000" w:themeColor="text1"/>
                <w:sz w:val="18"/>
                <w:szCs w:val="18"/>
              </w:rPr>
              <w:t>(Dz.U. z 2025 r. poz. 418</w:t>
            </w:r>
            <w:r>
              <w:rPr>
                <w:rFonts w:ascii="Lato" w:eastAsia="Lato" w:hAnsi="Lato" w:cs="Lato"/>
                <w:color w:val="000000" w:themeColor="text1"/>
                <w:sz w:val="18"/>
                <w:szCs w:val="18"/>
              </w:rPr>
              <w:t xml:space="preserve">, z </w:t>
            </w:r>
            <w:proofErr w:type="spellStart"/>
            <w:r>
              <w:rPr>
                <w:rFonts w:ascii="Lato" w:eastAsia="Lato" w:hAnsi="Lato" w:cs="Lato"/>
                <w:color w:val="000000" w:themeColor="text1"/>
                <w:sz w:val="18"/>
                <w:szCs w:val="18"/>
              </w:rPr>
              <w:t>późn</w:t>
            </w:r>
            <w:proofErr w:type="spellEnd"/>
            <w:r>
              <w:rPr>
                <w:rFonts w:ascii="Lato" w:eastAsia="Lato" w:hAnsi="Lato" w:cs="Lato"/>
                <w:color w:val="000000" w:themeColor="text1"/>
                <w:sz w:val="18"/>
                <w:szCs w:val="18"/>
              </w:rPr>
              <w:t>. zm.</w:t>
            </w:r>
            <w:r w:rsidRPr="00C00CF7">
              <w:rPr>
                <w:rFonts w:ascii="Lato" w:eastAsia="Lato" w:hAnsi="Lato" w:cs="Lato"/>
                <w:color w:val="000000" w:themeColor="text1"/>
                <w:sz w:val="18"/>
                <w:szCs w:val="18"/>
              </w:rPr>
              <w:t>)</w:t>
            </w:r>
            <w:r w:rsidRPr="00851555">
              <w:rPr>
                <w:rFonts w:ascii="Lato" w:eastAsia="Lato" w:hAnsi="Lato" w:cs="Lato"/>
                <w:color w:val="000000" w:themeColor="text1"/>
                <w:sz w:val="18"/>
                <w:szCs w:val="18"/>
              </w:rPr>
              <w:t>,</w:t>
            </w:r>
          </w:p>
          <w:p w14:paraId="110BCBAE" w14:textId="62B835C2" w:rsidR="00A1261B" w:rsidRDefault="00A1261B" w:rsidP="00C00CF7">
            <w:pPr>
              <w:pStyle w:val="Akapitzlist"/>
              <w:numPr>
                <w:ilvl w:val="0"/>
                <w:numId w:val="43"/>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art. 220 ust. 7 ustawy z dnia 20 lipca 2017 r. - Prawo wodne</w:t>
            </w:r>
            <w:r>
              <w:rPr>
                <w:rFonts w:ascii="Lato" w:eastAsia="Lato" w:hAnsi="Lato" w:cs="Lato"/>
                <w:color w:val="000000" w:themeColor="text1"/>
                <w:sz w:val="18"/>
                <w:szCs w:val="18"/>
              </w:rPr>
              <w:t xml:space="preserve"> </w:t>
            </w:r>
            <w:r w:rsidRPr="00C00CF7">
              <w:rPr>
                <w:rFonts w:ascii="Lato" w:eastAsia="Lato" w:hAnsi="Lato" w:cs="Lato"/>
                <w:color w:val="000000" w:themeColor="text1"/>
                <w:sz w:val="18"/>
                <w:szCs w:val="18"/>
              </w:rPr>
              <w:t>(Dz.U. z 2025 r. poz. 960)</w:t>
            </w:r>
            <w:r>
              <w:rPr>
                <w:rFonts w:ascii="Lato" w:eastAsia="Lato" w:hAnsi="Lato" w:cs="Lato"/>
                <w:color w:val="000000" w:themeColor="text1"/>
                <w:sz w:val="18"/>
                <w:szCs w:val="18"/>
              </w:rPr>
              <w:t>,</w:t>
            </w:r>
          </w:p>
          <w:p w14:paraId="0C918C95" w14:textId="3BCEC2B6" w:rsidR="00A1261B" w:rsidRDefault="00A1261B" w:rsidP="00C00CF7">
            <w:pPr>
              <w:pStyle w:val="Akapitzlist"/>
              <w:numPr>
                <w:ilvl w:val="0"/>
                <w:numId w:val="43"/>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9</w:t>
            </w:r>
            <w:r w:rsidRPr="00851555">
              <w:rPr>
                <w:rFonts w:ascii="Lato" w:eastAsia="Lato" w:hAnsi="Lato" w:cs="Lato"/>
                <w:color w:val="000000" w:themeColor="text1"/>
                <w:sz w:val="18"/>
                <w:szCs w:val="18"/>
              </w:rPr>
              <w:t xml:space="preserve"> ust. </w:t>
            </w:r>
            <w:r>
              <w:rPr>
                <w:rFonts w:ascii="Lato" w:eastAsia="Lato" w:hAnsi="Lato" w:cs="Lato"/>
                <w:color w:val="000000" w:themeColor="text1"/>
                <w:sz w:val="18"/>
                <w:szCs w:val="18"/>
              </w:rPr>
              <w:t>1 pkt 14 r</w:t>
            </w:r>
            <w:r w:rsidRPr="00851555">
              <w:rPr>
                <w:rFonts w:ascii="Lato" w:eastAsia="Lato" w:hAnsi="Lato" w:cs="Lato"/>
                <w:color w:val="000000" w:themeColor="text1"/>
                <w:sz w:val="18"/>
                <w:szCs w:val="18"/>
              </w:rPr>
              <w:t>ozporządzeni</w:t>
            </w:r>
            <w:r>
              <w:rPr>
                <w:rFonts w:ascii="Lato" w:eastAsia="Lato" w:hAnsi="Lato" w:cs="Lato"/>
                <w:color w:val="000000" w:themeColor="text1"/>
                <w:sz w:val="18"/>
                <w:szCs w:val="18"/>
              </w:rPr>
              <w:t xml:space="preserve">a </w:t>
            </w:r>
            <w:r w:rsidRPr="00851555">
              <w:rPr>
                <w:rFonts w:ascii="Lato" w:eastAsia="Lato" w:hAnsi="Lato" w:cs="Lato"/>
                <w:color w:val="000000" w:themeColor="text1"/>
                <w:sz w:val="18"/>
                <w:szCs w:val="18"/>
              </w:rPr>
              <w:t>Rady Ministrów z dnia 7 grudnia 2004 r. w sprawie sposobu i trybu dokonywania podziałów nieruchomości</w:t>
            </w:r>
            <w:r>
              <w:rPr>
                <w:rFonts w:ascii="Lato" w:eastAsia="Lato" w:hAnsi="Lato" w:cs="Lato"/>
                <w:color w:val="000000" w:themeColor="text1"/>
                <w:sz w:val="18"/>
                <w:szCs w:val="18"/>
              </w:rPr>
              <w:t xml:space="preserve"> </w:t>
            </w:r>
            <w:r w:rsidRPr="00C00CF7">
              <w:rPr>
                <w:rFonts w:ascii="Lato" w:eastAsia="Lato" w:hAnsi="Lato" w:cs="Lato"/>
                <w:color w:val="000000" w:themeColor="text1"/>
                <w:sz w:val="18"/>
                <w:szCs w:val="18"/>
              </w:rPr>
              <w:t>(Dz.U. poz. 2663)</w:t>
            </w:r>
            <w:r>
              <w:rPr>
                <w:rFonts w:ascii="Lato" w:eastAsia="Lato" w:hAnsi="Lato" w:cs="Lato"/>
                <w:color w:val="000000" w:themeColor="text1"/>
                <w:sz w:val="18"/>
                <w:szCs w:val="18"/>
              </w:rPr>
              <w:t>,</w:t>
            </w:r>
          </w:p>
          <w:p w14:paraId="46CAF6B6" w14:textId="2DC4C838" w:rsidR="00A1261B" w:rsidRPr="00851555" w:rsidRDefault="00A1261B" w:rsidP="00C00CF7">
            <w:pPr>
              <w:pStyle w:val="Akapitzlist"/>
              <w:numPr>
                <w:ilvl w:val="0"/>
                <w:numId w:val="43"/>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 xml:space="preserve">20 </w:t>
            </w:r>
            <w:r w:rsidRPr="00851555">
              <w:rPr>
                <w:rFonts w:ascii="Lato" w:eastAsia="Lato" w:hAnsi="Lato" w:cs="Lato"/>
                <w:color w:val="000000" w:themeColor="text1"/>
                <w:sz w:val="18"/>
                <w:szCs w:val="18"/>
              </w:rPr>
              <w:t xml:space="preserve">ust. </w:t>
            </w:r>
            <w:r>
              <w:rPr>
                <w:rFonts w:ascii="Lato" w:eastAsia="Lato" w:hAnsi="Lato" w:cs="Lato"/>
                <w:color w:val="000000" w:themeColor="text1"/>
                <w:sz w:val="18"/>
                <w:szCs w:val="18"/>
              </w:rPr>
              <w:t>1 pkt 1 r</w:t>
            </w:r>
            <w:r w:rsidRPr="003D2375">
              <w:rPr>
                <w:rFonts w:ascii="Lato" w:eastAsia="Lato" w:hAnsi="Lato" w:cs="Lato"/>
                <w:color w:val="000000" w:themeColor="text1"/>
                <w:sz w:val="18"/>
                <w:szCs w:val="18"/>
              </w:rPr>
              <w:t>ozporządzeni</w:t>
            </w:r>
            <w:r>
              <w:rPr>
                <w:rFonts w:ascii="Lato" w:eastAsia="Lato" w:hAnsi="Lato" w:cs="Lato"/>
                <w:color w:val="000000" w:themeColor="text1"/>
                <w:sz w:val="18"/>
                <w:szCs w:val="18"/>
              </w:rPr>
              <w:t>a</w:t>
            </w:r>
            <w:r w:rsidRPr="003D2375">
              <w:rPr>
                <w:rFonts w:ascii="Lato" w:eastAsia="Lato" w:hAnsi="Lato" w:cs="Lato"/>
                <w:color w:val="000000" w:themeColor="text1"/>
                <w:sz w:val="18"/>
                <w:szCs w:val="18"/>
              </w:rPr>
              <w:t xml:space="preserve"> Ministrów Spraw Wewnętrznych i Administracji oraz Rolnictwa i Gospodarki Żywnościowej z dnia 14 kwietnia 1999 r. w sprawie rozgraniczania nieruchomości</w:t>
            </w:r>
            <w:r>
              <w:rPr>
                <w:rFonts w:ascii="Lato" w:eastAsia="Lato" w:hAnsi="Lato" w:cs="Lato"/>
                <w:color w:val="000000" w:themeColor="text1"/>
                <w:sz w:val="18"/>
                <w:szCs w:val="18"/>
              </w:rPr>
              <w:t xml:space="preserve"> </w:t>
            </w:r>
            <w:r w:rsidRPr="00C00CF7">
              <w:rPr>
                <w:rFonts w:ascii="Lato" w:eastAsia="Lato" w:hAnsi="Lato" w:cs="Lato"/>
                <w:color w:val="000000" w:themeColor="text1"/>
                <w:sz w:val="18"/>
                <w:szCs w:val="18"/>
              </w:rPr>
              <w:t>(Dz.U. poz. 453)</w:t>
            </w:r>
            <w:r>
              <w:rPr>
                <w:rFonts w:ascii="Lato" w:eastAsia="Lato" w:hAnsi="Lato" w:cs="Lato"/>
                <w:color w:val="000000" w:themeColor="text1"/>
                <w:sz w:val="18"/>
                <w:szCs w:val="18"/>
              </w:rPr>
              <w:t>.</w:t>
            </w:r>
          </w:p>
          <w:p w14:paraId="25088186" w14:textId="0809F9D3"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Projekt ustawy </w:t>
            </w:r>
            <w:r w:rsidR="008B779F">
              <w:rPr>
                <w:rFonts w:ascii="Lato" w:eastAsia="Arial" w:hAnsi="Lato" w:cs="Arial"/>
                <w:sz w:val="18"/>
                <w:szCs w:val="18"/>
              </w:rPr>
              <w:t xml:space="preserve">nie zakłada </w:t>
            </w:r>
            <w:r>
              <w:rPr>
                <w:rFonts w:ascii="Lato" w:eastAsia="Arial" w:hAnsi="Lato" w:cs="Arial"/>
                <w:sz w:val="18"/>
                <w:szCs w:val="18"/>
              </w:rPr>
              <w:t>rozszerz</w:t>
            </w:r>
            <w:r w:rsidR="008B779F">
              <w:rPr>
                <w:rFonts w:ascii="Lato" w:eastAsia="Arial" w:hAnsi="Lato" w:cs="Arial"/>
                <w:sz w:val="18"/>
                <w:szCs w:val="18"/>
              </w:rPr>
              <w:t>enia</w:t>
            </w:r>
            <w:r>
              <w:rPr>
                <w:rFonts w:ascii="Lato" w:eastAsia="Arial" w:hAnsi="Lato" w:cs="Arial"/>
                <w:sz w:val="18"/>
                <w:szCs w:val="18"/>
              </w:rPr>
              <w:t xml:space="preserve"> </w:t>
            </w:r>
            <w:r w:rsidR="008B779F">
              <w:rPr>
                <w:rFonts w:ascii="Lato" w:eastAsia="Arial" w:hAnsi="Lato" w:cs="Arial"/>
                <w:sz w:val="18"/>
                <w:szCs w:val="18"/>
              </w:rPr>
              <w:t>wskazanych powyżej obowiązujących regulacji</w:t>
            </w:r>
            <w:r>
              <w:rPr>
                <w:rFonts w:ascii="Lato" w:eastAsia="Arial" w:hAnsi="Lato" w:cs="Arial"/>
                <w:sz w:val="18"/>
                <w:szCs w:val="18"/>
              </w:rPr>
              <w:t>.</w:t>
            </w:r>
          </w:p>
        </w:tc>
      </w:tr>
      <w:tr w:rsidR="00A1261B" w:rsidRPr="0037774A" w14:paraId="4EDBF947" w14:textId="525DA84D" w:rsidTr="00A1261B">
        <w:trPr>
          <w:trHeight w:val="20"/>
        </w:trPr>
        <w:tc>
          <w:tcPr>
            <w:tcW w:w="709" w:type="dxa"/>
            <w:tcBorders>
              <w:top w:val="single" w:sz="4" w:space="0" w:color="auto"/>
              <w:left w:val="single" w:sz="4" w:space="0" w:color="auto"/>
              <w:bottom w:val="single" w:sz="4" w:space="0" w:color="auto"/>
            </w:tcBorders>
            <w:shd w:val="clear" w:color="auto" w:fill="FFFFFF"/>
          </w:tcPr>
          <w:p w14:paraId="16404AD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99CD80A" w14:textId="66DED585" w:rsidR="00A1261B" w:rsidRPr="0037774A" w:rsidRDefault="00A1261B" w:rsidP="0037774A">
            <w:pPr>
              <w:pStyle w:val="Teksttreci0"/>
              <w:shd w:val="clear" w:color="auto" w:fill="auto"/>
              <w:spacing w:before="120" w:after="120"/>
              <w:ind w:left="140"/>
              <w:rPr>
                <w:rFonts w:ascii="Lato" w:hAnsi="Lato"/>
                <w:sz w:val="18"/>
                <w:szCs w:val="18"/>
              </w:rPr>
            </w:pPr>
            <w:r w:rsidRPr="0037774A">
              <w:rPr>
                <w:rFonts w:ascii="Lato" w:hAnsi="Lato"/>
                <w:sz w:val="18"/>
                <w:szCs w:val="18"/>
              </w:rPr>
              <w:t>Ministerstwo Nauki i Szkolnictwa Wyższego</w:t>
            </w:r>
          </w:p>
          <w:p w14:paraId="3B841943" w14:textId="77777777" w:rsidR="00A1261B" w:rsidRPr="0037774A" w:rsidRDefault="00A1261B" w:rsidP="0037774A">
            <w:pPr>
              <w:pStyle w:val="Inne0"/>
              <w:shd w:val="clear" w:color="auto" w:fill="auto"/>
              <w:spacing w:before="120" w:after="120"/>
              <w:ind w:left="140"/>
              <w:rPr>
                <w:rFonts w:ascii="Lato" w:eastAsia="Arial" w:hAnsi="Lato" w:cs="Arial"/>
                <w:sz w:val="18"/>
                <w:szCs w:val="18"/>
              </w:rPr>
            </w:pPr>
          </w:p>
        </w:tc>
        <w:tc>
          <w:tcPr>
            <w:tcW w:w="4536" w:type="dxa"/>
            <w:tcBorders>
              <w:top w:val="single" w:sz="4" w:space="0" w:color="auto"/>
              <w:left w:val="single" w:sz="4" w:space="0" w:color="auto"/>
              <w:bottom w:val="single" w:sz="4" w:space="0" w:color="auto"/>
            </w:tcBorders>
            <w:shd w:val="clear" w:color="auto" w:fill="FFFFFF"/>
          </w:tcPr>
          <w:p w14:paraId="589531B4"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 xml:space="preserve">W art. 1 pkt 27 projektu ustawy, w zakresie dotyczącym dodawanego art. 26d ust. 2 pkt 1 ustawy z dnia 17 maja 1989 r. - </w:t>
            </w:r>
            <w:r w:rsidRPr="0037774A">
              <w:rPr>
                <w:rFonts w:ascii="Lato" w:hAnsi="Lato"/>
                <w:i/>
                <w:iCs/>
                <w:sz w:val="18"/>
                <w:szCs w:val="18"/>
              </w:rPr>
              <w:t>Prawo geodezyjne i kartograficzne</w:t>
            </w:r>
            <w:r w:rsidRPr="0037774A">
              <w:rPr>
                <w:rFonts w:ascii="Lato" w:hAnsi="Lato"/>
                <w:sz w:val="18"/>
                <w:szCs w:val="18"/>
              </w:rPr>
              <w:t xml:space="preserve"> (Dz. U. z 2024 r. poz. 1151 i 1824), określającego wymagania kwalifikacyjne w zawodzie klasyfikatora gruntów wskazano: </w:t>
            </w:r>
            <w:r w:rsidRPr="0037774A">
              <w:rPr>
                <w:rFonts w:ascii="Lato" w:hAnsi="Lato"/>
                <w:i/>
                <w:iCs/>
                <w:sz w:val="18"/>
                <w:szCs w:val="18"/>
              </w:rPr>
              <w:t xml:space="preserve">„posiada świadectwo ukończenia podyplomowych studiów w </w:t>
            </w:r>
            <w:r w:rsidRPr="0037774A">
              <w:rPr>
                <w:rFonts w:ascii="Lato" w:hAnsi="Lato"/>
                <w:i/>
                <w:iCs/>
                <w:sz w:val="18"/>
                <w:szCs w:val="18"/>
              </w:rPr>
              <w:lastRenderedPageBreak/>
              <w:t>zakresie gleboznawstwa, gleboznawczej klasyfikacji gruntów i kartografii gleb lub dyplom ukończenia studiów o specjalności gleboznawstwo”</w:t>
            </w:r>
            <w:r w:rsidRPr="0037774A">
              <w:rPr>
                <w:rFonts w:ascii="Lato" w:hAnsi="Lato"/>
                <w:sz w:val="18"/>
                <w:szCs w:val="18"/>
              </w:rPr>
              <w:t>.</w:t>
            </w:r>
          </w:p>
          <w:p w14:paraId="6EA0A300"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 xml:space="preserve">Natomiast w art. 1 pkt 45 lit. a projektu ustawy w zakresie nowelizowanego art. 44 ust. 1 pkt 3 ww. ustawy określającego wymagania kwalifikacyjne dla uzyskania uprawnień zawodowych w dziedzinie geodezji i kartografii, wskazano: </w:t>
            </w:r>
            <w:r w:rsidRPr="0037774A">
              <w:rPr>
                <w:rFonts w:ascii="Lato" w:hAnsi="Lato"/>
                <w:i/>
                <w:iCs/>
                <w:sz w:val="18"/>
                <w:szCs w:val="18"/>
              </w:rPr>
              <w:t>„posiadają wykształcenie geodezyjne: wyższe</w:t>
            </w:r>
          </w:p>
          <w:p w14:paraId="239A2453"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 xml:space="preserve">Ustawa z dnia 20 lipca 2018 r. - </w:t>
            </w:r>
            <w:r w:rsidRPr="0037774A">
              <w:rPr>
                <w:rFonts w:ascii="Lato" w:hAnsi="Lato"/>
                <w:i/>
                <w:iCs/>
                <w:sz w:val="18"/>
                <w:szCs w:val="18"/>
              </w:rPr>
              <w:t>Prawo o szkolnictwie wyższym i nauce</w:t>
            </w:r>
            <w:r w:rsidRPr="0037774A">
              <w:rPr>
                <w:rFonts w:ascii="Lato" w:hAnsi="Lato"/>
                <w:sz w:val="18"/>
                <w:szCs w:val="18"/>
              </w:rPr>
              <w:t xml:space="preserve"> (Dz. U. z 2024 r. poz. 1571, z </w:t>
            </w:r>
            <w:proofErr w:type="spellStart"/>
            <w:r w:rsidRPr="0037774A">
              <w:rPr>
                <w:rFonts w:ascii="Lato" w:hAnsi="Lato"/>
                <w:sz w:val="18"/>
                <w:szCs w:val="18"/>
              </w:rPr>
              <w:t>późn</w:t>
            </w:r>
            <w:proofErr w:type="spellEnd"/>
            <w:r w:rsidRPr="0037774A">
              <w:rPr>
                <w:rFonts w:ascii="Lato" w:hAnsi="Lato"/>
                <w:sz w:val="18"/>
                <w:szCs w:val="18"/>
              </w:rPr>
              <w:t>. zm.), dalej „ustawa PSWN”, jak i wydane na jej podstawie akty wykonawcze, nie posługują się pojęciem wykształcenia wyższego w odniesieniu do jego rodzajów (np. ekonomicznego, technicznego, czy geodezyjnego), jak również w przepisach tych nie występuje określenie tzw. „specjalności”.</w:t>
            </w:r>
          </w:p>
          <w:p w14:paraId="6B70383A"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 xml:space="preserve">Zgodnie z obowiązującymi przepisami studia są prowadzone na określonym kierunku, poziomie i profilu na podstawie programu studiów (art. 67 ust. 1 ustawy PSWN). Uczelnia przyporządkowuje kierunek do co najmniej jednej dyscypliny naukowej albo artystycznej, zwanej dalej „dyscypliną”, a w przypadku przyporządkowania kierunku studiów do więcej niż jednej dyscypliny, wskazuje się dyscyplinę wiodącą, w ramach której będzie uzyskiwana ponad połowa efektów uczenia się (art. 53 ust. 1 i 2 ustawy PSWN). Dyscypliny zostały określone w rozporządzeniu Ministra Edukacji i Nauki z dnia 11 października 2022 r. </w:t>
            </w:r>
            <w:r w:rsidRPr="0037774A">
              <w:rPr>
                <w:rFonts w:ascii="Lato" w:hAnsi="Lato"/>
                <w:i/>
                <w:iCs/>
                <w:sz w:val="18"/>
                <w:szCs w:val="18"/>
              </w:rPr>
              <w:t>w sprawie dziedzin nauki i dyscyplin naukowych oraz dyscyplin artystycznych</w:t>
            </w:r>
            <w:r w:rsidRPr="0037774A">
              <w:rPr>
                <w:rFonts w:ascii="Lato" w:hAnsi="Lato"/>
                <w:sz w:val="18"/>
                <w:szCs w:val="18"/>
              </w:rPr>
              <w:t xml:space="preserve"> (Dz. U. poz. 2022 oraz z 2023 r. poz. 1958). Należy wskazać, że uczelnie zgodnie z posiadaną autonomią programową samodzielnie opracowują programy studiów. Dla każdego kierunku studiów istnieje zdefiniowany, odrębny, zamknięty program studiów, obejmujący opis zakładanych efektów uczenia się - opisanych w kategoriach wiedzy, umiejętności i kompetencji społecznych - oraz opis procesu kształcenia prowadzącego do osiągnięcia tych efektów.</w:t>
            </w:r>
          </w:p>
          <w:p w14:paraId="22799987"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 xml:space="preserve">Program studiów na danym kierunku może określać odrębne grupy zajęć, z uwzględnieniem specyfiki kształcenia w zakresie tego kierunku. Tzw. „specjalność” może być wyłącznie częścią kierunku </w:t>
            </w:r>
            <w:r w:rsidRPr="0037774A">
              <w:rPr>
                <w:rFonts w:ascii="Lato" w:hAnsi="Lato"/>
                <w:sz w:val="18"/>
                <w:szCs w:val="18"/>
              </w:rPr>
              <w:lastRenderedPageBreak/>
              <w:t>studiów i nie egzystuje jako samodzielna kategoria. Studia są prowadzone w określonym zakresie wynikającym z programu studiów przyjętego dla danego kierunku studiów.</w:t>
            </w:r>
          </w:p>
          <w:p w14:paraId="2E038D09"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Absolwent studiów otrzymuje dyplom ukończenia studiów na określonym kierunku i profilu potwierdzający wykształcenie wyższe oraz tytuł zawodowy odpowiedni do poziomu studiów. Wraz z dyplomem ukończenia studiów jest wydawany suplement do dyplomu (art. 77 ust. 1 i 2 ustawy PSWN).</w:t>
            </w:r>
          </w:p>
          <w:p w14:paraId="59466690"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 xml:space="preserve">Jednocześnie należy wskazać, że osoba, która ukończyła studia podyplomowe, otrzymuje świadectwo ukończenia studiów podyplomowych (art. 160 ust. 4 ustawy PSWN), a nie </w:t>
            </w:r>
            <w:r w:rsidRPr="0037774A">
              <w:rPr>
                <w:rFonts w:ascii="Lato" w:hAnsi="Lato"/>
                <w:i/>
                <w:iCs/>
                <w:sz w:val="18"/>
                <w:szCs w:val="18"/>
              </w:rPr>
              <w:t>„świadectwo ukończenia podyplomowych studiów”.</w:t>
            </w:r>
          </w:p>
          <w:p w14:paraId="7CD98969"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W związku z powyższym, w celu uniknięcia trudności i wątpliwości przy weryfikacji spełniania wymogów kwalifikacyjnych, proponuje się przeredagowanie brzmienia ww. projektowanego art. 26d ust. 2 pkt 1 np. w następujący sposób:</w:t>
            </w:r>
          </w:p>
          <w:p w14:paraId="40797EF3"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i/>
                <w:iCs/>
                <w:sz w:val="18"/>
                <w:szCs w:val="18"/>
              </w:rPr>
              <w:t>„1) posiada świadectwo ukończenia studiów podyplomowych w zakresie gleboznawstwa, gleboznawczej klasyfikacji gruntów i kartografii gleb lub dyplom ukończenia studiów w zakresie gleboznawstwa;”.</w:t>
            </w:r>
          </w:p>
          <w:p w14:paraId="10080938" w14:textId="77777777" w:rsidR="00A1261B" w:rsidRPr="0037774A" w:rsidRDefault="00A1261B" w:rsidP="0037774A">
            <w:pPr>
              <w:pStyle w:val="Teksttreci0"/>
              <w:shd w:val="clear" w:color="auto" w:fill="auto"/>
              <w:spacing w:before="120" w:after="120"/>
              <w:ind w:left="138" w:right="274"/>
              <w:rPr>
                <w:rFonts w:ascii="Lato" w:hAnsi="Lato"/>
                <w:sz w:val="18"/>
                <w:szCs w:val="18"/>
              </w:rPr>
            </w:pPr>
            <w:r w:rsidRPr="0037774A">
              <w:rPr>
                <w:rFonts w:ascii="Lato" w:hAnsi="Lato"/>
                <w:sz w:val="18"/>
                <w:szCs w:val="18"/>
              </w:rPr>
              <w:t>Powyższe pozwoli uwzględnić w procesie weryfikacji spełniania wymagań kwalifikacyjnych osoby, które ukończyły studia na kierunkach o różnych nazwach, ale których program studiów uwzględniał specyfikę kształcenia w zakresie gleboznawstwa. Kwalifikowanie studiów do danego zakresu powinno odbywać się na podstawie programu danych studiów. W suplemencie do dyplomu ukończenia studiów uczelnie zamieszczają informacje na temat przebiegu studiów (m.in. efekty uczenia się, zrealizowane zajęcia).</w:t>
            </w:r>
          </w:p>
          <w:p w14:paraId="55C9F32F" w14:textId="5FC3632F" w:rsidR="00A1261B" w:rsidRPr="0037774A" w:rsidRDefault="00A1261B" w:rsidP="0037774A">
            <w:pPr>
              <w:pStyle w:val="Teksttreci0"/>
              <w:shd w:val="clear" w:color="auto" w:fill="auto"/>
              <w:spacing w:before="120" w:after="120"/>
              <w:ind w:left="138" w:right="274"/>
              <w:rPr>
                <w:rFonts w:ascii="Lato" w:eastAsia="Arial" w:hAnsi="Lato" w:cs="Arial"/>
                <w:sz w:val="18"/>
                <w:szCs w:val="18"/>
              </w:rPr>
            </w:pPr>
            <w:r w:rsidRPr="0037774A">
              <w:rPr>
                <w:rFonts w:ascii="Lato" w:hAnsi="Lato"/>
                <w:sz w:val="18"/>
                <w:szCs w:val="18"/>
              </w:rPr>
              <w:t>Natomiast w odniesieniu do ww. projektowanego art. 44 ust. 1 pkt 3 proponuje się przeredagowanie jego brzmienia w taki sposób, aby wymogi kwalifikacyjne odnosiły się do posiadania wykształcenia wyższego uzyskanego po ukończeniu studiów w określonym zakresie (np. w zakresie geodezji).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F8335BB"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1BF5036" w14:textId="50754341" w:rsidR="00A1261B" w:rsidRPr="00F900F5"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została </w:t>
            </w:r>
            <w:r w:rsidRPr="00F900F5">
              <w:rPr>
                <w:rFonts w:ascii="Lato" w:eastAsia="Arial" w:hAnsi="Lato" w:cs="Arial"/>
                <w:sz w:val="18"/>
                <w:szCs w:val="18"/>
              </w:rPr>
              <w:t xml:space="preserve">uwzględniona </w:t>
            </w:r>
            <w:r w:rsidR="00E8225B">
              <w:rPr>
                <w:rFonts w:ascii="Lato" w:eastAsia="Arial" w:hAnsi="Lato" w:cs="Arial"/>
                <w:sz w:val="18"/>
                <w:szCs w:val="18"/>
              </w:rPr>
              <w:t xml:space="preserve">z modyfikacją </w:t>
            </w:r>
            <w:r w:rsidRPr="00F900F5">
              <w:rPr>
                <w:rFonts w:ascii="Lato" w:eastAsia="Arial" w:hAnsi="Lato" w:cs="Arial"/>
                <w:sz w:val="18"/>
                <w:szCs w:val="18"/>
              </w:rPr>
              <w:t>w zakresie art. 26d ust. 2 pkt 1.</w:t>
            </w:r>
          </w:p>
          <w:p w14:paraId="45512DB9" w14:textId="7A7C5228" w:rsidR="00A1261B" w:rsidRPr="0037774A" w:rsidRDefault="00A1261B" w:rsidP="00F900F5">
            <w:pPr>
              <w:pStyle w:val="Inne0"/>
              <w:shd w:val="clear" w:color="auto" w:fill="auto"/>
              <w:spacing w:before="120" w:after="120"/>
              <w:ind w:left="131" w:right="138"/>
              <w:rPr>
                <w:rFonts w:ascii="Lato" w:eastAsia="Arial" w:hAnsi="Lato" w:cs="Arial"/>
                <w:sz w:val="18"/>
                <w:szCs w:val="18"/>
              </w:rPr>
            </w:pPr>
            <w:r w:rsidRPr="00F900F5">
              <w:rPr>
                <w:rFonts w:ascii="Lato" w:eastAsia="Arial" w:hAnsi="Lato" w:cs="Arial"/>
                <w:sz w:val="18"/>
                <w:szCs w:val="18"/>
              </w:rPr>
              <w:t xml:space="preserve">W zakresie art. 44 ust. 1 pkt 3 ustawy </w:t>
            </w:r>
            <w:proofErr w:type="spellStart"/>
            <w:r w:rsidRPr="00F900F5">
              <w:rPr>
                <w:rFonts w:ascii="Lato" w:eastAsia="Arial" w:hAnsi="Lato" w:cs="Arial"/>
                <w:sz w:val="18"/>
                <w:szCs w:val="18"/>
              </w:rPr>
              <w:t>PGiK</w:t>
            </w:r>
            <w:proofErr w:type="spellEnd"/>
            <w:r w:rsidRPr="00F900F5">
              <w:rPr>
                <w:rFonts w:ascii="Lato" w:eastAsia="Arial" w:hAnsi="Lato" w:cs="Arial"/>
                <w:sz w:val="18"/>
                <w:szCs w:val="18"/>
              </w:rPr>
              <w:t xml:space="preserve"> uwaga nie została uwzględniona Obowiązujące przepisy prawa dopuszczają możliwość ubiegania się o uprawnienia zawodowe w dziedzinie geodezji i kartografii w </w:t>
            </w:r>
            <w:r w:rsidRPr="00F900F5">
              <w:rPr>
                <w:rFonts w:ascii="Lato" w:eastAsia="Arial" w:hAnsi="Lato" w:cs="Arial"/>
                <w:sz w:val="18"/>
                <w:szCs w:val="18"/>
              </w:rPr>
              <w:lastRenderedPageBreak/>
              <w:t>zakresach, o których mowa w art. 43 pkt 1, 2, 4 i 5 ustawy, w przypadku posiadania przez kandydata średniego lub średniego branżowego wykształcenia geodezyjnego</w:t>
            </w:r>
            <w:r>
              <w:rPr>
                <w:rFonts w:ascii="Lato" w:eastAsia="Arial" w:hAnsi="Lato" w:cs="Arial"/>
                <w:sz w:val="18"/>
                <w:szCs w:val="18"/>
              </w:rPr>
              <w:t>. P</w:t>
            </w:r>
            <w:r w:rsidRPr="00F900F5">
              <w:rPr>
                <w:rFonts w:ascii="Lato" w:eastAsia="Arial" w:hAnsi="Lato" w:cs="Arial"/>
                <w:sz w:val="18"/>
                <w:szCs w:val="18"/>
              </w:rPr>
              <w:t>ropon</w:t>
            </w:r>
            <w:r>
              <w:rPr>
                <w:rFonts w:ascii="Lato" w:eastAsia="Arial" w:hAnsi="Lato" w:cs="Arial"/>
                <w:sz w:val="18"/>
                <w:szCs w:val="18"/>
              </w:rPr>
              <w:t>owane</w:t>
            </w:r>
            <w:r w:rsidRPr="00F900F5">
              <w:rPr>
                <w:rFonts w:ascii="Lato" w:eastAsia="Arial" w:hAnsi="Lato" w:cs="Arial"/>
                <w:sz w:val="18"/>
                <w:szCs w:val="18"/>
              </w:rPr>
              <w:t xml:space="preserve"> przeredagowanie brzmienia </w:t>
            </w:r>
            <w:r>
              <w:rPr>
                <w:rFonts w:ascii="Lato" w:eastAsia="Arial" w:hAnsi="Lato" w:cs="Arial"/>
                <w:sz w:val="18"/>
                <w:szCs w:val="18"/>
              </w:rPr>
              <w:t xml:space="preserve">przepisu </w:t>
            </w:r>
            <w:r w:rsidRPr="00F900F5">
              <w:rPr>
                <w:rFonts w:ascii="Lato" w:eastAsia="Arial" w:hAnsi="Lato" w:cs="Arial"/>
                <w:sz w:val="18"/>
                <w:szCs w:val="18"/>
              </w:rPr>
              <w:t>w taki sposób, aby wymogi kwalifikacyjne odnosiły się do posiadania wykształcenia wyższego uzyskanego po ukończeniu studiów w określonym zakresie (np. w zakresie geodezji)</w:t>
            </w:r>
            <w:r>
              <w:rPr>
                <w:rFonts w:ascii="Lato" w:eastAsia="Arial" w:hAnsi="Lato" w:cs="Arial"/>
                <w:sz w:val="18"/>
                <w:szCs w:val="18"/>
              </w:rPr>
              <w:t xml:space="preserve"> – spowoduje wyeliminowanie możliwości ubiegania się o uprawnienia przez osoby z wykształceniem średnim.</w:t>
            </w:r>
          </w:p>
          <w:p w14:paraId="6E0E7BC5" w14:textId="2D5C98BE" w:rsidR="00A1261B" w:rsidRPr="0037774A" w:rsidRDefault="00A1261B" w:rsidP="0037774A">
            <w:pPr>
              <w:pStyle w:val="Inne0"/>
              <w:shd w:val="clear" w:color="auto" w:fill="auto"/>
              <w:spacing w:before="120" w:after="120"/>
              <w:ind w:left="131" w:right="138"/>
              <w:rPr>
                <w:rFonts w:ascii="Lato" w:eastAsia="Arial" w:hAnsi="Lato" w:cs="Arial"/>
                <w:sz w:val="18"/>
                <w:szCs w:val="18"/>
              </w:rPr>
            </w:pPr>
          </w:p>
        </w:tc>
      </w:tr>
      <w:tr w:rsidR="00A1261B" w:rsidRPr="0037774A" w14:paraId="1E7A6A1B" w14:textId="3CAF20B0" w:rsidTr="00A1261B">
        <w:trPr>
          <w:trHeight w:val="20"/>
        </w:trPr>
        <w:tc>
          <w:tcPr>
            <w:tcW w:w="709" w:type="dxa"/>
            <w:tcBorders>
              <w:top w:val="single" w:sz="4" w:space="0" w:color="auto"/>
              <w:left w:val="single" w:sz="4" w:space="0" w:color="auto"/>
              <w:bottom w:val="single" w:sz="4" w:space="0" w:color="auto"/>
            </w:tcBorders>
            <w:shd w:val="clear" w:color="auto" w:fill="FFFFFF"/>
          </w:tcPr>
          <w:p w14:paraId="67F6F1BB"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7A48414" w14:textId="19259EFC"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sz w:val="18"/>
                <w:szCs w:val="18"/>
              </w:rPr>
              <w:t>Ministerstwo Obrony Narodowej</w:t>
            </w:r>
          </w:p>
        </w:tc>
        <w:tc>
          <w:tcPr>
            <w:tcW w:w="4536" w:type="dxa"/>
            <w:tcBorders>
              <w:top w:val="single" w:sz="4" w:space="0" w:color="auto"/>
              <w:left w:val="single" w:sz="4" w:space="0" w:color="auto"/>
              <w:bottom w:val="single" w:sz="4" w:space="0" w:color="auto"/>
            </w:tcBorders>
            <w:shd w:val="clear" w:color="auto" w:fill="FFFFFF"/>
          </w:tcPr>
          <w:p w14:paraId="7ED530F5" w14:textId="77777777" w:rsidR="00A1261B" w:rsidRPr="008846F4" w:rsidRDefault="00A1261B" w:rsidP="008846F4">
            <w:pPr>
              <w:pStyle w:val="Teksttreci0"/>
              <w:shd w:val="clear" w:color="auto" w:fill="auto"/>
              <w:spacing w:before="120" w:after="120"/>
              <w:ind w:left="138" w:right="274"/>
              <w:rPr>
                <w:rFonts w:ascii="Lato" w:hAnsi="Lato"/>
                <w:b/>
                <w:bCs/>
                <w:sz w:val="18"/>
                <w:szCs w:val="18"/>
              </w:rPr>
            </w:pPr>
            <w:r w:rsidRPr="008846F4">
              <w:rPr>
                <w:rFonts w:ascii="Lato" w:hAnsi="Lato"/>
                <w:b/>
                <w:bCs/>
                <w:sz w:val="18"/>
                <w:szCs w:val="18"/>
              </w:rPr>
              <w:t>Ministerstwo Obrony Narodowej proponuje:</w:t>
            </w:r>
          </w:p>
          <w:p w14:paraId="53C425DB" w14:textId="77777777" w:rsidR="00A1261B" w:rsidRPr="008846F4" w:rsidRDefault="00A1261B" w:rsidP="008846F4">
            <w:pPr>
              <w:pStyle w:val="Teksttreci0"/>
              <w:numPr>
                <w:ilvl w:val="0"/>
                <w:numId w:val="42"/>
              </w:numPr>
              <w:shd w:val="clear" w:color="auto" w:fill="auto"/>
              <w:spacing w:before="120" w:after="120"/>
              <w:ind w:left="414" w:right="272" w:hanging="284"/>
              <w:contextualSpacing/>
              <w:rPr>
                <w:rFonts w:ascii="Lato" w:hAnsi="Lato"/>
                <w:b/>
                <w:bCs/>
                <w:sz w:val="18"/>
                <w:szCs w:val="18"/>
              </w:rPr>
            </w:pPr>
            <w:r w:rsidRPr="008846F4">
              <w:rPr>
                <w:rFonts w:ascii="Lato" w:hAnsi="Lato"/>
                <w:b/>
                <w:bCs/>
                <w:sz w:val="18"/>
                <w:szCs w:val="18"/>
              </w:rPr>
              <w:t>pozostawienie obecnie funkcjonujących przepisów dotyczących terenów zamkniętych;</w:t>
            </w:r>
          </w:p>
          <w:p w14:paraId="26ED3055" w14:textId="77777777" w:rsidR="00A1261B" w:rsidRPr="008846F4" w:rsidRDefault="00A1261B" w:rsidP="008846F4">
            <w:pPr>
              <w:pStyle w:val="Teksttreci0"/>
              <w:numPr>
                <w:ilvl w:val="0"/>
                <w:numId w:val="42"/>
              </w:numPr>
              <w:shd w:val="clear" w:color="auto" w:fill="auto"/>
              <w:spacing w:before="120" w:after="120"/>
              <w:ind w:left="414" w:right="272" w:hanging="284"/>
              <w:contextualSpacing/>
              <w:rPr>
                <w:rFonts w:ascii="Lato" w:hAnsi="Lato"/>
                <w:b/>
                <w:bCs/>
                <w:sz w:val="18"/>
                <w:szCs w:val="18"/>
              </w:rPr>
            </w:pPr>
            <w:r w:rsidRPr="008846F4">
              <w:rPr>
                <w:rFonts w:ascii="Lato" w:hAnsi="Lato"/>
                <w:b/>
                <w:bCs/>
                <w:sz w:val="18"/>
                <w:szCs w:val="18"/>
              </w:rPr>
              <w:t xml:space="preserve">odstąpienie od podziału terenów zamkniętych na I </w:t>
            </w:r>
            <w:proofErr w:type="spellStart"/>
            <w:r w:rsidRPr="008846F4">
              <w:rPr>
                <w:rFonts w:ascii="Lato" w:hAnsi="Lato"/>
                <w:b/>
                <w:bCs/>
                <w:sz w:val="18"/>
                <w:szCs w:val="18"/>
              </w:rPr>
              <w:t>i</w:t>
            </w:r>
            <w:proofErr w:type="spellEnd"/>
            <w:r w:rsidRPr="008846F4">
              <w:rPr>
                <w:rFonts w:ascii="Lato" w:hAnsi="Lato"/>
                <w:b/>
                <w:bCs/>
                <w:sz w:val="18"/>
                <w:szCs w:val="18"/>
              </w:rPr>
              <w:t xml:space="preserve"> II kategorię;</w:t>
            </w:r>
          </w:p>
          <w:p w14:paraId="7463E453" w14:textId="1F9455FD" w:rsidR="00A1261B" w:rsidRPr="008846F4" w:rsidRDefault="00A1261B" w:rsidP="008846F4">
            <w:pPr>
              <w:pStyle w:val="Teksttreci0"/>
              <w:numPr>
                <w:ilvl w:val="0"/>
                <w:numId w:val="42"/>
              </w:numPr>
              <w:shd w:val="clear" w:color="auto" w:fill="auto"/>
              <w:spacing w:before="120" w:after="120"/>
              <w:ind w:left="414" w:right="272" w:hanging="284"/>
              <w:contextualSpacing/>
              <w:rPr>
                <w:rFonts w:ascii="Lato" w:hAnsi="Lato"/>
                <w:b/>
                <w:bCs/>
                <w:sz w:val="18"/>
                <w:szCs w:val="18"/>
              </w:rPr>
            </w:pPr>
            <w:r w:rsidRPr="008846F4">
              <w:rPr>
                <w:rFonts w:ascii="Lato" w:hAnsi="Lato"/>
                <w:b/>
                <w:bCs/>
                <w:sz w:val="18"/>
                <w:szCs w:val="18"/>
              </w:rPr>
              <w:t xml:space="preserve">przyjęcie „nowej” definicji terenów zamkniętych ujętej w projekcie ustawy o zmianie ustawy </w:t>
            </w:r>
            <w:proofErr w:type="spellStart"/>
            <w:r w:rsidRPr="008846F4">
              <w:rPr>
                <w:rFonts w:ascii="Lato" w:hAnsi="Lato"/>
                <w:b/>
                <w:bCs/>
                <w:sz w:val="18"/>
                <w:szCs w:val="18"/>
              </w:rPr>
              <w:t>PGiK</w:t>
            </w:r>
            <w:proofErr w:type="spellEnd"/>
            <w:r w:rsidRPr="008846F4">
              <w:rPr>
                <w:rFonts w:ascii="Lato" w:hAnsi="Lato"/>
                <w:b/>
                <w:bCs/>
                <w:sz w:val="18"/>
                <w:szCs w:val="18"/>
              </w:rPr>
              <w:t>, tj. art. 1 pkt 1 lit. c „terenach zamkniętych – rozumie się przez to grunty, które zostały przeznaczone na cele bezpieczeństwa lub obronności państwa i ustalone przez uprawnione organy”.</w:t>
            </w:r>
          </w:p>
          <w:p w14:paraId="4D6B7814" w14:textId="77777777" w:rsidR="00A1261B" w:rsidRDefault="00A1261B" w:rsidP="008846F4">
            <w:pPr>
              <w:pStyle w:val="Teksttreci0"/>
              <w:shd w:val="clear" w:color="auto" w:fill="auto"/>
              <w:spacing w:after="0"/>
              <w:ind w:left="136" w:right="272"/>
              <w:rPr>
                <w:rFonts w:ascii="Lato" w:hAnsi="Lato"/>
                <w:sz w:val="18"/>
                <w:szCs w:val="18"/>
              </w:rPr>
            </w:pPr>
          </w:p>
          <w:p w14:paraId="373B2DE1" w14:textId="13A5744D" w:rsidR="00A1261B" w:rsidRPr="008846F4" w:rsidRDefault="00A1261B" w:rsidP="008846F4">
            <w:pPr>
              <w:pStyle w:val="Teksttreci0"/>
              <w:shd w:val="clear" w:color="auto" w:fill="auto"/>
              <w:spacing w:after="120"/>
              <w:ind w:left="136" w:right="272"/>
              <w:rPr>
                <w:rFonts w:ascii="Lato" w:hAnsi="Lato"/>
                <w:sz w:val="18"/>
                <w:szCs w:val="18"/>
              </w:rPr>
            </w:pPr>
            <w:r w:rsidRPr="008846F4">
              <w:rPr>
                <w:rFonts w:ascii="Lato" w:hAnsi="Lato"/>
                <w:sz w:val="18"/>
                <w:szCs w:val="18"/>
              </w:rPr>
              <w:t xml:space="preserve">Dotychczasowe doświadczenia wskazują, że przepisy dotyczące terenów zamkniętych, które są ujęte w ustawie </w:t>
            </w:r>
            <w:proofErr w:type="spellStart"/>
            <w:r w:rsidRPr="008846F4">
              <w:rPr>
                <w:rFonts w:ascii="Lato" w:hAnsi="Lato"/>
                <w:sz w:val="18"/>
                <w:szCs w:val="18"/>
              </w:rPr>
              <w:t>PGiK</w:t>
            </w:r>
            <w:proofErr w:type="spellEnd"/>
            <w:r w:rsidRPr="008846F4">
              <w:rPr>
                <w:rFonts w:ascii="Lato" w:hAnsi="Lato"/>
                <w:sz w:val="18"/>
                <w:szCs w:val="18"/>
              </w:rPr>
              <w:t>, w aktualnym kształcie są spójne i przejrzyste oraz zabezpieczają interesy MON.</w:t>
            </w:r>
          </w:p>
          <w:p w14:paraId="745BCF9A" w14:textId="77777777" w:rsidR="00A1261B" w:rsidRPr="008846F4" w:rsidRDefault="00A1261B" w:rsidP="008846F4">
            <w:pPr>
              <w:pStyle w:val="Teksttreci0"/>
              <w:shd w:val="clear" w:color="auto" w:fill="auto"/>
              <w:spacing w:before="120" w:after="120"/>
              <w:ind w:left="138" w:right="274"/>
              <w:rPr>
                <w:rFonts w:ascii="Lato" w:hAnsi="Lato"/>
                <w:sz w:val="18"/>
                <w:szCs w:val="18"/>
              </w:rPr>
            </w:pPr>
            <w:r w:rsidRPr="008846F4">
              <w:rPr>
                <w:rFonts w:ascii="Lato" w:hAnsi="Lato"/>
                <w:sz w:val="18"/>
                <w:szCs w:val="18"/>
              </w:rPr>
              <w:t xml:space="preserve">W ocenie resortu obrony narodowej wprowadzenie różnych kategorii terenów zamkniętych może powodować implikacje w odniesieniu do innych aktów prawa powszechnego (np. ustawa – Prawo budowlane). Ponadto, może doprowadzić do osłabienia gotowości obronnej Rzeczypospolitej Polskiej w myśl art. 5 ust. 1 pkt 4 ustawy z dnia 5 sierpnia 2010 r. o ochronie informacji niejawnych (Dz. U. z 2024 r. poz. 632, z </w:t>
            </w:r>
            <w:proofErr w:type="spellStart"/>
            <w:r w:rsidRPr="008846F4">
              <w:rPr>
                <w:rFonts w:ascii="Lato" w:hAnsi="Lato"/>
                <w:sz w:val="18"/>
                <w:szCs w:val="18"/>
              </w:rPr>
              <w:t>późn</w:t>
            </w:r>
            <w:proofErr w:type="spellEnd"/>
            <w:r w:rsidRPr="008846F4">
              <w:rPr>
                <w:rFonts w:ascii="Lato" w:hAnsi="Lato"/>
                <w:sz w:val="18"/>
                <w:szCs w:val="18"/>
              </w:rPr>
              <w:t>. zm.), skomplikowania procesów kontrolnych, a także do utrwalenia niejednolitej praktyki, co sprzyjać będzie  nieefektywnej ochronie informacji niejawnych.</w:t>
            </w:r>
          </w:p>
          <w:p w14:paraId="4D6BB161" w14:textId="01383000" w:rsidR="00A1261B" w:rsidRPr="0037774A" w:rsidRDefault="00A1261B" w:rsidP="008846F4">
            <w:pPr>
              <w:pStyle w:val="Teksttreci0"/>
              <w:shd w:val="clear" w:color="auto" w:fill="auto"/>
              <w:spacing w:before="120" w:after="120"/>
              <w:ind w:left="138" w:right="274"/>
              <w:rPr>
                <w:rFonts w:ascii="Lato" w:eastAsia="Arial" w:hAnsi="Lato" w:cs="Arial"/>
                <w:sz w:val="18"/>
                <w:szCs w:val="18"/>
              </w:rPr>
            </w:pPr>
            <w:r w:rsidRPr="008846F4">
              <w:rPr>
                <w:rFonts w:ascii="Lato" w:hAnsi="Lato"/>
                <w:sz w:val="18"/>
                <w:szCs w:val="18"/>
              </w:rPr>
              <w:t>Uwzględnienie w decyzji o ustaleniu terenu zamkniętego, która jest dokumentem jawnym, informacji o kategorii terenu zamkniętego, skutkować będzie pośrednim ujawnieniem informacji o terenach zamkniętych, na których występują obiekty oznaczone klauzulą tajności. Rozwiązanie to może ułatwić identyfikację  obiektów szczególnie ważnych dla bezpieczeństwa i obronności państwa. Natomiast obecnie funkcjonujące rozwiązanie prawne nie wprowadza takiego ryzyka, gdyż informacja o klauzulach obiektów znajdujących się na terenach zamkniętych nie jest umieszczana w decyzji o ustaleniu terenu zamkniętego, lecz przesyłana jest odrębną korespondencją.</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80C655"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585DDF9" w14:textId="1E41CF34"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r w:rsidR="00C92225">
              <w:rPr>
                <w:rFonts w:ascii="Lato" w:eastAsia="Arial" w:hAnsi="Lato" w:cs="Arial"/>
                <w:sz w:val="18"/>
                <w:szCs w:val="18"/>
              </w:rPr>
              <w:t xml:space="preserve"> za wyjątkiem zmiany dotyczącej przyjęcia nowej definicji terenów zamkniętych</w:t>
            </w:r>
            <w:r>
              <w:rPr>
                <w:rFonts w:ascii="Lato" w:eastAsia="Arial" w:hAnsi="Lato" w:cs="Arial"/>
                <w:sz w:val="18"/>
                <w:szCs w:val="18"/>
              </w:rPr>
              <w:t xml:space="preserve">. Odstąpiono od wprowadzania w projekcie ustawy zmian dotyczących uregulowania zagadnienia ustanawiania i znoszenia </w:t>
            </w:r>
            <w:r w:rsidRPr="008846F4">
              <w:rPr>
                <w:rFonts w:ascii="Lato" w:eastAsia="Arial" w:hAnsi="Lato" w:cs="Arial"/>
                <w:sz w:val="18"/>
                <w:szCs w:val="18"/>
              </w:rPr>
              <w:t>terenów zamkniętych</w:t>
            </w:r>
            <w:r w:rsidR="00C92225">
              <w:rPr>
                <w:rFonts w:ascii="Lato" w:eastAsia="Arial" w:hAnsi="Lato" w:cs="Arial"/>
                <w:sz w:val="18"/>
                <w:szCs w:val="18"/>
              </w:rPr>
              <w:t>, w związku z tym zmiana definicji nie jest uzasadniona i nie została uzasadniona przez resort obrony narodowej.</w:t>
            </w:r>
          </w:p>
        </w:tc>
      </w:tr>
      <w:tr w:rsidR="00A1261B" w:rsidRPr="0037774A" w14:paraId="5145066C" w14:textId="1BA171BA" w:rsidTr="00A1261B">
        <w:trPr>
          <w:trHeight w:val="20"/>
        </w:trPr>
        <w:tc>
          <w:tcPr>
            <w:tcW w:w="709" w:type="dxa"/>
            <w:tcBorders>
              <w:top w:val="single" w:sz="4" w:space="0" w:color="auto"/>
              <w:left w:val="single" w:sz="4" w:space="0" w:color="auto"/>
              <w:bottom w:val="single" w:sz="4" w:space="0" w:color="auto"/>
            </w:tcBorders>
            <w:shd w:val="clear" w:color="auto" w:fill="FFFFFF"/>
          </w:tcPr>
          <w:p w14:paraId="59455836" w14:textId="77777777" w:rsidR="00A1261B" w:rsidRPr="0037774A" w:rsidRDefault="00A1261B" w:rsidP="008846F4">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455F79E" w14:textId="431F866F" w:rsidR="00A1261B" w:rsidRPr="0037774A" w:rsidRDefault="00A1261B" w:rsidP="008846F4">
            <w:pPr>
              <w:pStyle w:val="Inne0"/>
              <w:shd w:val="clear" w:color="auto" w:fill="auto"/>
              <w:spacing w:before="120" w:after="120"/>
              <w:ind w:left="140"/>
              <w:rPr>
                <w:rFonts w:ascii="Lato" w:eastAsia="Arial" w:hAnsi="Lato" w:cs="Arial"/>
                <w:sz w:val="18"/>
                <w:szCs w:val="18"/>
              </w:rPr>
            </w:pPr>
            <w:r w:rsidRPr="0037774A">
              <w:rPr>
                <w:rFonts w:ascii="Lato" w:eastAsia="Arial" w:hAnsi="Lato" w:cs="Arial"/>
                <w:sz w:val="18"/>
                <w:szCs w:val="18"/>
              </w:rPr>
              <w:t>Ministerstwo Obrony Narodowej</w:t>
            </w:r>
          </w:p>
        </w:tc>
        <w:tc>
          <w:tcPr>
            <w:tcW w:w="4536" w:type="dxa"/>
            <w:tcBorders>
              <w:top w:val="single" w:sz="4" w:space="0" w:color="auto"/>
              <w:left w:val="single" w:sz="4" w:space="0" w:color="auto"/>
              <w:bottom w:val="single" w:sz="4" w:space="0" w:color="auto"/>
            </w:tcBorders>
            <w:shd w:val="clear" w:color="auto" w:fill="FFFFFF"/>
          </w:tcPr>
          <w:p w14:paraId="68FFC877" w14:textId="77777777" w:rsidR="00A1261B" w:rsidRPr="008846F4" w:rsidRDefault="00A1261B" w:rsidP="008846F4">
            <w:pPr>
              <w:spacing w:before="120" w:after="120"/>
              <w:ind w:left="131" w:right="134"/>
              <w:rPr>
                <w:rFonts w:ascii="Lato" w:hAnsi="Lato"/>
                <w:color w:val="4472C4" w:themeColor="accent1"/>
                <w:sz w:val="18"/>
                <w:szCs w:val="18"/>
              </w:rPr>
            </w:pPr>
            <w:r w:rsidRPr="008846F4">
              <w:rPr>
                <w:rFonts w:ascii="Lato" w:eastAsia="Arial" w:hAnsi="Lato" w:cs="Arial"/>
                <w:bCs/>
                <w:sz w:val="18"/>
                <w:szCs w:val="18"/>
              </w:rPr>
              <w:t xml:space="preserve">W ocenie resortu obrony narodowej, zasadnym jest w ramach niniejszej nowelizacji ustawy </w:t>
            </w:r>
            <w:r w:rsidRPr="008846F4">
              <w:rPr>
                <w:rFonts w:ascii="Lato" w:eastAsia="Arial" w:hAnsi="Lato" w:cs="Arial"/>
                <w:sz w:val="18"/>
                <w:szCs w:val="18"/>
              </w:rPr>
              <w:t>z dnia 17 maja 1989 r. – Prawo geodezyjne i kartograficzne,</w:t>
            </w:r>
            <w:r w:rsidRPr="008846F4">
              <w:rPr>
                <w:rFonts w:ascii="Lato" w:eastAsia="Arial" w:hAnsi="Lato" w:cs="Arial"/>
                <w:bCs/>
                <w:sz w:val="18"/>
                <w:szCs w:val="18"/>
              </w:rPr>
              <w:t xml:space="preserve"> wprowadzenie przepisów pozwalających Ministrowi Obrony Narodowej na ograniczenie upubliczniania informacji o terenach, które uzna za ważne ze względu na bezpieczeństwo i obronność państwa. </w:t>
            </w:r>
          </w:p>
          <w:p w14:paraId="37BA7591" w14:textId="2CC176DF" w:rsidR="00A1261B" w:rsidRPr="008846F4" w:rsidRDefault="00A1261B" w:rsidP="008846F4">
            <w:pPr>
              <w:spacing w:before="120" w:after="120"/>
              <w:ind w:left="131" w:right="134"/>
              <w:rPr>
                <w:rFonts w:ascii="Lato" w:eastAsia="Arial" w:hAnsi="Lato" w:cs="Arial"/>
                <w:bCs/>
                <w:sz w:val="18"/>
                <w:szCs w:val="18"/>
              </w:rPr>
            </w:pPr>
            <w:r w:rsidRPr="008846F4">
              <w:rPr>
                <w:rFonts w:ascii="Lato" w:eastAsia="Arial" w:hAnsi="Lato" w:cs="Arial"/>
                <w:bCs/>
                <w:sz w:val="18"/>
                <w:szCs w:val="18"/>
              </w:rPr>
              <w:t xml:space="preserve">Powyższa regulacja będzie stanowić podstawę do nakładania ograniczeń w publikacji wybranych elementów </w:t>
            </w:r>
            <w:r w:rsidRPr="008846F4">
              <w:rPr>
                <w:rFonts w:ascii="Lato" w:eastAsia="Times New Roman" w:hAnsi="Lato" w:cs="Arial"/>
                <w:sz w:val="18"/>
                <w:szCs w:val="18"/>
              </w:rPr>
              <w:t>zbiorów danych przestrzennych infrastruktury informacji przestrzennej</w:t>
            </w:r>
            <w:r w:rsidRPr="008846F4">
              <w:rPr>
                <w:rFonts w:ascii="Lato" w:eastAsia="Arial" w:hAnsi="Lato" w:cs="Arial"/>
                <w:bCs/>
                <w:sz w:val="18"/>
                <w:szCs w:val="18"/>
              </w:rPr>
              <w:t xml:space="preserve"> </w:t>
            </w:r>
            <w:r w:rsidRPr="008846F4">
              <w:rPr>
                <w:rFonts w:ascii="Lato" w:eastAsia="Arial" w:hAnsi="Lato" w:cs="Arial"/>
                <w:bCs/>
                <w:sz w:val="18"/>
                <w:szCs w:val="18"/>
              </w:rPr>
              <w:br/>
              <w:t xml:space="preserve">w ogólnodostępnych serwisach i </w:t>
            </w:r>
            <w:proofErr w:type="spellStart"/>
            <w:r w:rsidRPr="008846F4">
              <w:rPr>
                <w:rFonts w:ascii="Lato" w:eastAsia="Arial" w:hAnsi="Lato" w:cs="Arial"/>
                <w:bCs/>
                <w:sz w:val="18"/>
                <w:szCs w:val="18"/>
              </w:rPr>
              <w:t>geoportalach</w:t>
            </w:r>
            <w:proofErr w:type="spellEnd"/>
            <w:r w:rsidRPr="008846F4">
              <w:rPr>
                <w:rFonts w:ascii="Lato" w:eastAsia="Arial" w:hAnsi="Lato" w:cs="Arial"/>
                <w:bCs/>
                <w:sz w:val="18"/>
                <w:szCs w:val="18"/>
              </w:rPr>
              <w:t xml:space="preserve"> będących w odpowiedzialności  organów administracji publicznej w zakresie geodezji i kartografii np. </w:t>
            </w:r>
            <w:proofErr w:type="spellStart"/>
            <w:r w:rsidRPr="008846F4">
              <w:rPr>
                <w:rFonts w:ascii="Lato" w:eastAsia="Arial" w:hAnsi="Lato" w:cs="Arial"/>
                <w:bCs/>
                <w:sz w:val="18"/>
                <w:szCs w:val="18"/>
              </w:rPr>
              <w:t>Geoportal</w:t>
            </w:r>
            <w:proofErr w:type="spellEnd"/>
            <w:r w:rsidRPr="008846F4">
              <w:rPr>
                <w:rFonts w:ascii="Lato" w:eastAsia="Arial" w:hAnsi="Lato" w:cs="Arial"/>
                <w:bCs/>
                <w:sz w:val="18"/>
                <w:szCs w:val="18"/>
              </w:rPr>
              <w:t xml:space="preserve"> Głównego Geodety Kraju.</w:t>
            </w:r>
          </w:p>
          <w:p w14:paraId="010946BD" w14:textId="073D0A94" w:rsidR="00A1261B" w:rsidRPr="008846F4" w:rsidRDefault="00A1261B" w:rsidP="008846F4">
            <w:pPr>
              <w:pStyle w:val="Inne0"/>
              <w:shd w:val="clear" w:color="auto" w:fill="auto"/>
              <w:spacing w:before="120" w:after="120"/>
              <w:ind w:left="138" w:right="274"/>
              <w:rPr>
                <w:rFonts w:ascii="Lato" w:eastAsia="Arial" w:hAnsi="Lato" w:cs="Arial"/>
                <w:sz w:val="18"/>
                <w:szCs w:val="18"/>
              </w:rPr>
            </w:pPr>
            <w:r w:rsidRPr="008846F4">
              <w:rPr>
                <w:rFonts w:ascii="Lato" w:eastAsia="Arial" w:hAnsi="Lato" w:cs="Arial"/>
                <w:bCs/>
                <w:sz w:val="18"/>
                <w:szCs w:val="18"/>
              </w:rPr>
              <w:t xml:space="preserve">Obiekty i infrastruktura, </w:t>
            </w:r>
            <w:r w:rsidRPr="008846F4">
              <w:rPr>
                <w:rFonts w:ascii="Lato" w:hAnsi="Lato" w:cs="Arial"/>
                <w:sz w:val="18"/>
                <w:szCs w:val="18"/>
              </w:rPr>
              <w:t xml:space="preserve">ważne ze względu na obronność i bezpieczeństwo państwa, o których mowa w proponowanych przepisach, ze względu na swój charakter i istotną rolę w systemie obronnym Państwa, powinny podlegać szczególnej ochronie, </w:t>
            </w:r>
            <w:r w:rsidRPr="008846F4">
              <w:rPr>
                <w:rFonts w:ascii="Lato" w:hAnsi="Lato" w:cs="Arial"/>
                <w:sz w:val="18"/>
                <w:szCs w:val="18"/>
              </w:rPr>
              <w:br/>
              <w:t xml:space="preserve">w tym ograniczeniom dotyczących ich prezentacji w powszechnie dostępnych serwisach i bazach danych. Podkreślenia wymaga, że potrzeba wprowadzenia przepisów wynika z dotychczasowych doświadczeń, kiedy to terytorialne organy służby geodezyjnej i kartograficznej często odmawiały Głównemu Geodecie Kraju wprowadzania ograniczeń  upubliczniania danych, ze względu na brak ustawowej podstawy prawnej. Przyjęcie proponowanej zmiany wprowadzi jednoznaczną podstawę prawną do ograniczenia  </w:t>
            </w:r>
            <w:r w:rsidRPr="008846F4">
              <w:rPr>
                <w:rFonts w:ascii="Lato" w:eastAsia="Arial" w:hAnsi="Lato" w:cs="Arial"/>
                <w:bCs/>
                <w:sz w:val="18"/>
                <w:szCs w:val="18"/>
              </w:rPr>
              <w:t>powszechnego dostępu do zbiorów i usług w systemie infrastruktury informacji przestrzennej.</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BCB8D82" w14:textId="77777777"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 xml:space="preserve">Proponuje się w projekcie ustawy w art. 1 po pkt 2 podać nowy pkt 3 </w:t>
            </w:r>
            <w:r w:rsidRPr="008846F4">
              <w:rPr>
                <w:rFonts w:ascii="Lato" w:hAnsi="Lato" w:cs="Arial"/>
                <w:sz w:val="18"/>
                <w:szCs w:val="18"/>
              </w:rPr>
              <w:br/>
              <w:t>w brzmieniu:</w:t>
            </w:r>
          </w:p>
          <w:p w14:paraId="5B00817A" w14:textId="77777777"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„3) po art. 4 dodaje się art. 4a w brzmieniu:</w:t>
            </w:r>
          </w:p>
          <w:p w14:paraId="3D740993" w14:textId="77777777"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„Art. 4a. 1. Minister Obrony Narodowej, uwzględniając potrzeby obronności i bezpieczeństwa państwa, może nałożyć ograniczenia upubliczniania danych zawartych w bazach danych, o których mowa w art. 4 ust. 1a pkt 3, 8, 11 i 12, dotyczących obiektów i obszarów, o których mowa w:</w:t>
            </w:r>
          </w:p>
          <w:p w14:paraId="27A02798" w14:textId="77777777" w:rsidR="00A1261B" w:rsidRPr="008846F4" w:rsidRDefault="00A1261B" w:rsidP="008846F4">
            <w:pPr>
              <w:spacing w:before="120" w:after="120"/>
              <w:ind w:left="414" w:right="130" w:hanging="284"/>
              <w:contextualSpacing/>
              <w:rPr>
                <w:rFonts w:ascii="Lato" w:hAnsi="Lato" w:cs="Arial"/>
                <w:sz w:val="18"/>
                <w:szCs w:val="18"/>
              </w:rPr>
            </w:pPr>
            <w:r w:rsidRPr="008846F4">
              <w:rPr>
                <w:rFonts w:ascii="Lato" w:hAnsi="Lato" w:cs="Arial"/>
                <w:sz w:val="18"/>
                <w:szCs w:val="18"/>
              </w:rPr>
              <w:t>1)    art. 5 ust. 2 pkt 1, 3 i 5 ustawy z dnia 22 sierpnia 1997 r. o ochronie osób i mienia (Dz. U. z 2025 r. poz. 532),</w:t>
            </w:r>
          </w:p>
          <w:p w14:paraId="461BA7DE" w14:textId="77777777" w:rsidR="00A1261B" w:rsidRPr="008846F4" w:rsidRDefault="00A1261B" w:rsidP="008846F4">
            <w:pPr>
              <w:spacing w:before="120" w:after="120"/>
              <w:ind w:left="414" w:right="130" w:hanging="284"/>
              <w:contextualSpacing/>
              <w:rPr>
                <w:rFonts w:ascii="Lato" w:hAnsi="Lato" w:cs="Arial"/>
                <w:sz w:val="18"/>
                <w:szCs w:val="18"/>
              </w:rPr>
            </w:pPr>
            <w:r w:rsidRPr="008846F4">
              <w:rPr>
                <w:rFonts w:ascii="Lato" w:hAnsi="Lato" w:cs="Arial"/>
                <w:sz w:val="18"/>
                <w:szCs w:val="18"/>
              </w:rPr>
              <w:t>2)    art. 3 pkt 2 ustawy z dnia 26 kwietnia 2007 r. o zarządzaniu kryzysowym (Dz. U. z 2023 r. poz. 122 oraz z 2024 r. poz. 834, 1222, 1473,  1572, 1907),</w:t>
            </w:r>
          </w:p>
          <w:p w14:paraId="2E03CB96" w14:textId="77777777" w:rsidR="00A1261B" w:rsidRPr="008846F4" w:rsidRDefault="00A1261B" w:rsidP="008846F4">
            <w:pPr>
              <w:spacing w:before="120" w:after="120"/>
              <w:ind w:left="414" w:right="130" w:hanging="284"/>
              <w:contextualSpacing/>
              <w:rPr>
                <w:rFonts w:ascii="Lato" w:hAnsi="Lato" w:cs="Arial"/>
                <w:sz w:val="18"/>
                <w:szCs w:val="18"/>
              </w:rPr>
            </w:pPr>
            <w:r w:rsidRPr="008846F4">
              <w:rPr>
                <w:rFonts w:ascii="Lato" w:hAnsi="Lato" w:cs="Arial"/>
                <w:sz w:val="18"/>
                <w:szCs w:val="18"/>
              </w:rPr>
              <w:t xml:space="preserve">3)    art. 613 ust. 1 ustawy z dnia 11 marca 2022 r. o obronie Ojczyzny </w:t>
            </w:r>
            <w:r w:rsidRPr="008846F4">
              <w:rPr>
                <w:rFonts w:ascii="Lato" w:hAnsi="Lato" w:cs="Arial"/>
                <w:sz w:val="18"/>
                <w:szCs w:val="18"/>
              </w:rPr>
              <w:br/>
              <w:t>(Dz. U. z 2025 r. poz. 825),</w:t>
            </w:r>
          </w:p>
          <w:p w14:paraId="62A60E76" w14:textId="77777777" w:rsidR="00A1261B" w:rsidRPr="008846F4" w:rsidRDefault="00A1261B" w:rsidP="008846F4">
            <w:pPr>
              <w:spacing w:before="120" w:after="120"/>
              <w:ind w:left="414" w:right="130" w:hanging="284"/>
              <w:contextualSpacing/>
              <w:rPr>
                <w:rFonts w:ascii="Lato" w:hAnsi="Lato" w:cs="Arial"/>
                <w:sz w:val="18"/>
                <w:szCs w:val="18"/>
              </w:rPr>
            </w:pPr>
            <w:r w:rsidRPr="008846F4">
              <w:rPr>
                <w:rFonts w:ascii="Lato" w:hAnsi="Lato" w:cs="Arial"/>
                <w:sz w:val="18"/>
                <w:szCs w:val="18"/>
              </w:rPr>
              <w:t>4)    przepisach wydanych na podstawie art. 91 ustawy z dnia 21 sierpnia 1997 r. o gospodarce nieruchomościami (Dz. U. z 2024 r. poz. 1145, 1222, 1717, 1881),</w:t>
            </w:r>
          </w:p>
          <w:p w14:paraId="17859DF6" w14:textId="77777777" w:rsidR="00A1261B" w:rsidRPr="008846F4" w:rsidRDefault="00A1261B" w:rsidP="008846F4">
            <w:pPr>
              <w:spacing w:before="120" w:after="120"/>
              <w:ind w:left="410" w:right="128" w:hanging="282"/>
              <w:rPr>
                <w:rFonts w:ascii="Lato" w:hAnsi="Lato" w:cs="Arial"/>
                <w:sz w:val="18"/>
                <w:szCs w:val="18"/>
              </w:rPr>
            </w:pPr>
            <w:r w:rsidRPr="008846F4">
              <w:rPr>
                <w:rFonts w:ascii="Lato" w:hAnsi="Lato" w:cs="Arial"/>
                <w:sz w:val="18"/>
                <w:szCs w:val="18"/>
              </w:rPr>
              <w:t>5)    art. 4 ust. 2-2d</w:t>
            </w:r>
          </w:p>
          <w:p w14:paraId="7C0998B7" w14:textId="77777777"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oraz wykorzystywanych przez podmioty, o których mowa w art. 11 ustawy z dnia 24 maja 2002 r. o Agencji Bezpieczeństwa Wewnętrznego oraz Agencji Wywiadu (Dz. U. z 2025 r. poz. 902), a także innych obiektów i obszarów  istotnych z punktu widzenia obronności i bezpieczeństwa państwa.</w:t>
            </w:r>
          </w:p>
          <w:p w14:paraId="1734A715" w14:textId="169EBCF9"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 xml:space="preserve">2. Minister Obrony Narodowej może znieść nałożenie ograniczeń w udostępnianiu danych dotyczących obiektów i obszarów, o których mowa w ust. 1. </w:t>
            </w:r>
          </w:p>
          <w:p w14:paraId="59FA9B2E" w14:textId="2DD6704B"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 xml:space="preserve">3. Informację o  nałożeniu ograniczenia w upublicznianiu danych oraz o zniesieniu takiego ograniczenia Minister Obrony Narodowej przekazuje do Głównego Geodety Kraju lub właściwych terytorialnie organów administracji geodezyjnej i kartograficznej. </w:t>
            </w:r>
          </w:p>
          <w:p w14:paraId="7E2029A5" w14:textId="4780A8BF"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lastRenderedPageBreak/>
              <w:t xml:space="preserve">4.  Minister Obrony Narodowej prowadzi i aktualizuje wykaz obiektów i obszarów w stosunku do których nałożył i zniósł ograniczenia w upublicznianiu danych. </w:t>
            </w:r>
          </w:p>
          <w:p w14:paraId="32EA9B66" w14:textId="4E14849C"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5. Wykaz, o którym mowa w ust. 4 nie stanowi rejestru publicznego, o którym mowa w art. 3 pkt 5  ustawy z  dnia 17 lutego 2005 r. o informatyzacji działalności podmiotów realizujących zadania publiczne (Dz. U. z 2024 r. poz. 1557, 1222, 1717).</w:t>
            </w:r>
          </w:p>
          <w:p w14:paraId="6D5866A7" w14:textId="77777777"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6. Minister Obrony Narodowej określi, w drodze rozporządzenia,  dane, których upublicznianie może być ograniczone, zawarte w bazach danych, o których mowa w art.  4 ust. 1a pkt 3, 8, 11 i 12 oraz sposób i zakres ograniczania upubliczniania danych oraz zniesienia ograniczenia upubliczniania, mając na uwadze względy bezpieczeństwa i obronności państwa.</w:t>
            </w:r>
          </w:p>
          <w:p w14:paraId="73670342" w14:textId="77777777" w:rsidR="00A1261B" w:rsidRPr="008846F4" w:rsidRDefault="00A1261B" w:rsidP="008846F4">
            <w:pPr>
              <w:spacing w:before="120" w:after="120"/>
              <w:ind w:left="128" w:right="128"/>
              <w:rPr>
                <w:rFonts w:ascii="Lato" w:hAnsi="Lato" w:cs="Arial"/>
                <w:sz w:val="18"/>
                <w:szCs w:val="18"/>
              </w:rPr>
            </w:pPr>
            <w:r w:rsidRPr="008846F4">
              <w:rPr>
                <w:rFonts w:ascii="Lato" w:hAnsi="Lato" w:cs="Arial"/>
                <w:sz w:val="18"/>
                <w:szCs w:val="18"/>
              </w:rPr>
              <w:t>7. Główny Geodeta Kraju lub właściwie terytorialnie organy administracji geodezyjnej i kartograficznej obowiązane są do ograniczenia upubliczniania danych, w zakresie określonym przez Ministra Obrony Narodowej.</w:t>
            </w:r>
          </w:p>
          <w:p w14:paraId="5BEB6812" w14:textId="62C45A1F" w:rsidR="00A1261B" w:rsidRPr="008846F4" w:rsidRDefault="00A1261B" w:rsidP="008846F4">
            <w:pPr>
              <w:spacing w:before="120" w:after="120"/>
              <w:ind w:left="128" w:right="128"/>
              <w:rPr>
                <w:rFonts w:ascii="Lato" w:eastAsia="Arial" w:hAnsi="Lato" w:cs="Arial"/>
                <w:sz w:val="18"/>
                <w:szCs w:val="18"/>
              </w:rPr>
            </w:pPr>
            <w:r w:rsidRPr="008846F4">
              <w:rPr>
                <w:rFonts w:ascii="Lato" w:hAnsi="Lato" w:cs="Arial"/>
                <w:sz w:val="18"/>
                <w:szCs w:val="18"/>
              </w:rPr>
              <w:t xml:space="preserve">8. Minister Obrony Narodowej może powierzyć realizację zadań, o których mowa w ust. 1 - 4, kierownikowi komórki organizacyjnej lub jednostki organizacyjnej podległej Ministrowi Obrony Narodowej lub przez niego nadzorowanej właściwej w sprawach rozpoznania </w:t>
            </w:r>
            <w:proofErr w:type="spellStart"/>
            <w:r w:rsidRPr="008846F4">
              <w:rPr>
                <w:rFonts w:ascii="Lato" w:hAnsi="Lato" w:cs="Arial"/>
                <w:sz w:val="18"/>
                <w:szCs w:val="18"/>
              </w:rPr>
              <w:t>geoprzestrzennego</w:t>
            </w:r>
            <w:proofErr w:type="spellEnd"/>
            <w:r w:rsidRPr="008846F4">
              <w:rPr>
                <w:rFonts w:ascii="Lato" w:hAnsi="Lato" w:cs="Arial"/>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B949F00" w14:textId="271A3ED6" w:rsidR="00A1261B" w:rsidRPr="0037774A" w:rsidRDefault="00A1261B" w:rsidP="008846F4">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 xml:space="preserve">Uwaga została uwzględniona z modyfikacją. </w:t>
            </w:r>
          </w:p>
        </w:tc>
      </w:tr>
      <w:tr w:rsidR="00A1261B" w:rsidRPr="0037774A" w14:paraId="43B48A50" w14:textId="48D558FF" w:rsidTr="00A1261B">
        <w:trPr>
          <w:trHeight w:val="20"/>
        </w:trPr>
        <w:tc>
          <w:tcPr>
            <w:tcW w:w="709" w:type="dxa"/>
            <w:tcBorders>
              <w:top w:val="single" w:sz="4" w:space="0" w:color="auto"/>
              <w:left w:val="single" w:sz="4" w:space="0" w:color="auto"/>
              <w:bottom w:val="single" w:sz="4" w:space="0" w:color="auto"/>
            </w:tcBorders>
            <w:shd w:val="clear" w:color="auto" w:fill="FFFFFF"/>
          </w:tcPr>
          <w:p w14:paraId="48744F0C"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1095E72" w14:textId="7A214E66"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6AC98F98" w14:textId="77777777" w:rsidR="00A1261B" w:rsidRPr="0037774A" w:rsidRDefault="00A1261B" w:rsidP="0037774A">
            <w:pPr>
              <w:pStyle w:val="Inne0"/>
              <w:spacing w:before="120" w:after="120"/>
              <w:ind w:left="138" w:right="274"/>
              <w:rPr>
                <w:rFonts w:ascii="Lato" w:eastAsia="Arial" w:hAnsi="Lato" w:cs="Arial"/>
                <w:bCs/>
                <w:sz w:val="18"/>
                <w:szCs w:val="18"/>
              </w:rPr>
            </w:pPr>
            <w:r w:rsidRPr="0037774A">
              <w:rPr>
                <w:rFonts w:ascii="Lato" w:eastAsia="Arial" w:hAnsi="Lato" w:cs="Arial"/>
                <w:bCs/>
                <w:sz w:val="18"/>
                <w:szCs w:val="18"/>
              </w:rPr>
              <w:t xml:space="preserve">Projektowane brzmienie definicji gleboznawczej klasyfikacji gruntów odnosi się do podziału gruntów rolnych na klasy bonitacyjne. Zauważyć należy, że zgodnie z § 9 ust. 1 rozporządzenia Ministra Rozwoju, Pracy i Technologii z dnia 27 lipca 2021 r. w sprawie ewidencji gruntów i budynków (Dz. U. z 2024 r. poz. 219, z </w:t>
            </w:r>
            <w:proofErr w:type="spellStart"/>
            <w:r w:rsidRPr="0037774A">
              <w:rPr>
                <w:rFonts w:ascii="Lato" w:eastAsia="Arial" w:hAnsi="Lato" w:cs="Arial"/>
                <w:bCs/>
                <w:sz w:val="18"/>
                <w:szCs w:val="18"/>
              </w:rPr>
              <w:t>późn</w:t>
            </w:r>
            <w:proofErr w:type="spellEnd"/>
            <w:r w:rsidRPr="0037774A">
              <w:rPr>
                <w:rFonts w:ascii="Lato" w:eastAsia="Arial" w:hAnsi="Lato" w:cs="Arial"/>
                <w:bCs/>
                <w:sz w:val="18"/>
                <w:szCs w:val="18"/>
              </w:rPr>
              <w:t>. zm.) grunty rolne dzielą się na użytki rolne i nieużytki.</w:t>
            </w:r>
          </w:p>
          <w:p w14:paraId="4F790225" w14:textId="5196B3D4"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 xml:space="preserve">W związku z tym, że dla nieużytków nie ustala się klasy bonitacyjnej proponuje się zmianę definicji gleboznawczej klasyfikacji gruntów polegającą na doprecyzowaniu, że jest to podział gruntów stanowiących użytki rolne na klasy bonitacyjne.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D7D9E5D"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t>Proponuje się w art. 2 pkt 12 nadać brzmienie:</w:t>
            </w:r>
          </w:p>
          <w:p w14:paraId="70543143" w14:textId="77312129"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„12)</w:t>
            </w:r>
            <w:r w:rsidRPr="0037774A">
              <w:rPr>
                <w:rFonts w:ascii="Lato" w:eastAsia="Arial" w:hAnsi="Lato" w:cs="Arial"/>
                <w:b/>
                <w:bCs/>
                <w:sz w:val="18"/>
                <w:szCs w:val="18"/>
              </w:rPr>
              <w:tab/>
              <w:t xml:space="preserve">gleboznawczej klasyfikacji gruntów – rozumie się przez to </w:t>
            </w:r>
            <w:r w:rsidRPr="0037774A">
              <w:rPr>
                <w:rFonts w:ascii="Lato" w:eastAsia="Arial" w:hAnsi="Lato" w:cs="Arial"/>
                <w:b/>
                <w:bCs/>
                <w:color w:val="auto"/>
                <w:sz w:val="18"/>
                <w:szCs w:val="18"/>
              </w:rPr>
              <w:t xml:space="preserve">podział gruntów stanowiących użytki rolne na klasy </w:t>
            </w:r>
            <w:r w:rsidRPr="0037774A">
              <w:rPr>
                <w:rFonts w:ascii="Lato" w:eastAsia="Arial" w:hAnsi="Lato" w:cs="Arial"/>
                <w:b/>
                <w:bCs/>
                <w:sz w:val="18"/>
                <w:szCs w:val="18"/>
              </w:rPr>
              <w:t>bonitacyjne ze względu na wartość produkcyjną gleb, ustaloną na podstawie ich cech morfologicznych, właściwości fizycznych i chemicznych oraz innych uwarunkowań środowiskowych takich jak klimat i rzeźba terenu;”</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79C2D3B" w14:textId="77777777" w:rsidR="00A1261B" w:rsidRDefault="00A1261B" w:rsidP="00C73599">
            <w:pPr>
              <w:pStyle w:val="Inne0"/>
              <w:spacing w:before="120" w:after="120"/>
              <w:ind w:left="138" w:right="274"/>
              <w:rPr>
                <w:rFonts w:ascii="Lato" w:eastAsia="Arial" w:hAnsi="Lato" w:cs="Arial"/>
                <w:sz w:val="18"/>
                <w:szCs w:val="18"/>
              </w:rPr>
            </w:pPr>
            <w:r>
              <w:rPr>
                <w:rFonts w:ascii="Lato" w:eastAsia="Arial" w:hAnsi="Lato" w:cs="Arial"/>
                <w:sz w:val="18"/>
                <w:szCs w:val="18"/>
              </w:rPr>
              <w:t>Uwaga nie została uwzględniona.</w:t>
            </w:r>
          </w:p>
          <w:p w14:paraId="6BB65781" w14:textId="0E1CD9B5" w:rsidR="00A1261B" w:rsidRDefault="00A1261B" w:rsidP="00C73599">
            <w:pPr>
              <w:pStyle w:val="Inne0"/>
              <w:spacing w:before="120" w:after="120"/>
              <w:ind w:left="138" w:right="274"/>
              <w:rPr>
                <w:rFonts w:ascii="Lato" w:eastAsia="Arial" w:hAnsi="Lato" w:cs="Arial"/>
                <w:bCs/>
                <w:sz w:val="18"/>
                <w:szCs w:val="18"/>
              </w:rPr>
            </w:pPr>
            <w:r>
              <w:rPr>
                <w:rFonts w:ascii="Lato" w:eastAsia="Arial" w:hAnsi="Lato" w:cs="Arial"/>
                <w:sz w:val="18"/>
                <w:szCs w:val="18"/>
              </w:rPr>
              <w:t xml:space="preserve">Należy zauważyć, że podział </w:t>
            </w:r>
            <w:r w:rsidRPr="0037774A">
              <w:rPr>
                <w:rFonts w:ascii="Lato" w:eastAsia="Arial" w:hAnsi="Lato" w:cs="Arial"/>
                <w:bCs/>
                <w:sz w:val="18"/>
                <w:szCs w:val="18"/>
              </w:rPr>
              <w:t>grunt</w:t>
            </w:r>
            <w:r>
              <w:rPr>
                <w:rFonts w:ascii="Lato" w:eastAsia="Arial" w:hAnsi="Lato" w:cs="Arial"/>
                <w:bCs/>
                <w:sz w:val="18"/>
                <w:szCs w:val="18"/>
              </w:rPr>
              <w:t>ów</w:t>
            </w:r>
            <w:r w:rsidRPr="0037774A">
              <w:rPr>
                <w:rFonts w:ascii="Lato" w:eastAsia="Arial" w:hAnsi="Lato" w:cs="Arial"/>
                <w:bCs/>
                <w:sz w:val="18"/>
                <w:szCs w:val="18"/>
              </w:rPr>
              <w:t xml:space="preserve"> roln</w:t>
            </w:r>
            <w:r>
              <w:rPr>
                <w:rFonts w:ascii="Lato" w:eastAsia="Arial" w:hAnsi="Lato" w:cs="Arial"/>
                <w:bCs/>
                <w:sz w:val="18"/>
                <w:szCs w:val="18"/>
              </w:rPr>
              <w:t xml:space="preserve">ych </w:t>
            </w:r>
            <w:r w:rsidRPr="0037774A">
              <w:rPr>
                <w:rFonts w:ascii="Lato" w:eastAsia="Arial" w:hAnsi="Lato" w:cs="Arial"/>
                <w:bCs/>
                <w:sz w:val="18"/>
                <w:szCs w:val="18"/>
              </w:rPr>
              <w:t>na użytki rolne i nieużytki</w:t>
            </w:r>
            <w:r>
              <w:rPr>
                <w:rFonts w:ascii="Lato" w:eastAsia="Arial" w:hAnsi="Lato" w:cs="Arial"/>
                <w:bCs/>
                <w:sz w:val="18"/>
                <w:szCs w:val="18"/>
              </w:rPr>
              <w:t xml:space="preserve"> wynika z rozporządzenia </w:t>
            </w:r>
            <w:r w:rsidRPr="0037774A">
              <w:rPr>
                <w:rFonts w:ascii="Lato" w:eastAsia="Arial" w:hAnsi="Lato" w:cs="Arial"/>
                <w:bCs/>
                <w:sz w:val="18"/>
                <w:szCs w:val="18"/>
              </w:rPr>
              <w:t>z dnia 27 lipca 2021 r. w sprawie ewidencji gruntów i budynków</w:t>
            </w:r>
            <w:r>
              <w:rPr>
                <w:rFonts w:ascii="Lato" w:eastAsia="Arial" w:hAnsi="Lato" w:cs="Arial"/>
                <w:bCs/>
                <w:sz w:val="18"/>
                <w:szCs w:val="18"/>
              </w:rPr>
              <w:t xml:space="preserve"> a nie z ustawy </w:t>
            </w:r>
            <w:proofErr w:type="spellStart"/>
            <w:r>
              <w:rPr>
                <w:rFonts w:ascii="Lato" w:eastAsia="Arial" w:hAnsi="Lato" w:cs="Arial"/>
                <w:bCs/>
                <w:sz w:val="18"/>
                <w:szCs w:val="18"/>
              </w:rPr>
              <w:t>PGiK</w:t>
            </w:r>
            <w:proofErr w:type="spellEnd"/>
            <w:r>
              <w:rPr>
                <w:rFonts w:ascii="Lato" w:eastAsia="Arial" w:hAnsi="Lato" w:cs="Arial"/>
                <w:bCs/>
                <w:sz w:val="18"/>
                <w:szCs w:val="18"/>
              </w:rPr>
              <w:t xml:space="preserve"> i jest podziałem technicznym do celów prowadzenia ewidencji gruntów i budynków</w:t>
            </w:r>
            <w:r w:rsidRPr="0037774A">
              <w:rPr>
                <w:rFonts w:ascii="Lato" w:eastAsia="Arial" w:hAnsi="Lato" w:cs="Arial"/>
                <w:bCs/>
                <w:sz w:val="18"/>
                <w:szCs w:val="18"/>
              </w:rPr>
              <w:t>.</w:t>
            </w:r>
            <w:r>
              <w:rPr>
                <w:rFonts w:ascii="Lato" w:eastAsia="Arial" w:hAnsi="Lato" w:cs="Arial"/>
                <w:bCs/>
                <w:sz w:val="18"/>
                <w:szCs w:val="18"/>
              </w:rPr>
              <w:t xml:space="preserve"> Przepisy ustawowe nie wprowadzają podziału gruntów rolnych na poszczególne grupy użytków gruntowych, a co za tym idzie nie powinny posługiwać się terminologią, która nie wynika z samej ustawy. Obowiązek przeprowadzania gleboznawczej klasyfikacji gruntów rolnych nie wynika z definicji ustawowej, ale z art. 20 ust. 3 ustawy </w:t>
            </w:r>
            <w:proofErr w:type="spellStart"/>
            <w:r>
              <w:rPr>
                <w:rFonts w:ascii="Lato" w:eastAsia="Arial" w:hAnsi="Lato" w:cs="Arial"/>
                <w:bCs/>
                <w:sz w:val="18"/>
                <w:szCs w:val="18"/>
              </w:rPr>
              <w:t>PGiK</w:t>
            </w:r>
            <w:proofErr w:type="spellEnd"/>
            <w:r>
              <w:rPr>
                <w:rFonts w:ascii="Lato" w:eastAsia="Arial" w:hAnsi="Lato" w:cs="Arial"/>
                <w:bCs/>
                <w:sz w:val="18"/>
                <w:szCs w:val="18"/>
              </w:rPr>
              <w:t>.</w:t>
            </w:r>
          </w:p>
          <w:p w14:paraId="3BC40554" w14:textId="4A652A99" w:rsidR="00A1261B" w:rsidRPr="0037774A" w:rsidRDefault="00A1261B" w:rsidP="008846F4">
            <w:pPr>
              <w:pStyle w:val="Inne0"/>
              <w:spacing w:before="120" w:after="120"/>
              <w:ind w:left="138" w:right="274"/>
              <w:rPr>
                <w:rFonts w:ascii="Lato" w:eastAsia="Arial" w:hAnsi="Lato" w:cs="Arial"/>
                <w:sz w:val="18"/>
                <w:szCs w:val="18"/>
              </w:rPr>
            </w:pPr>
            <w:r>
              <w:rPr>
                <w:rFonts w:ascii="Lato" w:eastAsia="Arial" w:hAnsi="Lato" w:cs="Arial"/>
                <w:bCs/>
                <w:sz w:val="18"/>
                <w:szCs w:val="18"/>
              </w:rPr>
              <w:lastRenderedPageBreak/>
              <w:t xml:space="preserve">Z tego względu ewentualne zmiany mogą zostać wprowadzone do rozporządzenia </w:t>
            </w:r>
            <w:r w:rsidRPr="0037774A">
              <w:rPr>
                <w:rFonts w:ascii="Lato" w:eastAsia="Arial" w:hAnsi="Lato" w:cs="Arial"/>
                <w:bCs/>
                <w:sz w:val="18"/>
                <w:szCs w:val="18"/>
              </w:rPr>
              <w:t>w sprawie ewidencji gruntów i budynków</w:t>
            </w:r>
            <w:r>
              <w:rPr>
                <w:rFonts w:ascii="Lato" w:eastAsia="Arial" w:hAnsi="Lato" w:cs="Arial"/>
                <w:bCs/>
                <w:sz w:val="18"/>
                <w:szCs w:val="18"/>
              </w:rPr>
              <w:t>, które wskazywać będą, że nieużytki nie stanowią gruntów rolnych ale osobną grupę użytków gruntowych.</w:t>
            </w:r>
          </w:p>
        </w:tc>
      </w:tr>
      <w:tr w:rsidR="00A1261B" w:rsidRPr="0037774A" w14:paraId="0BDDF108" w14:textId="6A0D476C" w:rsidTr="00A1261B">
        <w:trPr>
          <w:trHeight w:val="20"/>
        </w:trPr>
        <w:tc>
          <w:tcPr>
            <w:tcW w:w="709" w:type="dxa"/>
            <w:tcBorders>
              <w:top w:val="single" w:sz="4" w:space="0" w:color="auto"/>
              <w:left w:val="single" w:sz="4" w:space="0" w:color="auto"/>
              <w:bottom w:val="single" w:sz="4" w:space="0" w:color="auto"/>
            </w:tcBorders>
            <w:shd w:val="clear" w:color="auto" w:fill="FFFFFF"/>
          </w:tcPr>
          <w:p w14:paraId="002B086A"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DEE8CD3" w14:textId="32D217C2"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139D249E" w14:textId="40E63CAD"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 xml:space="preserve">W związku z wprowadzeniem definicji prac klasyfikacyjnych, należy uzupełnić zadania wojewódzkiego inspektora nadzoru geodezyjnego i kartograficznego dotyczące nadzorowania przestrzegania i stosowania przepisów ustawy także w zakresie zgodności wykonywania prac klasyfikacyjnych z przepisami ustawy.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BB29276"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t>Proponuje się w art. 7b w ust. 1 w pkt. 1 lit. a nadać brzmienie:</w:t>
            </w:r>
          </w:p>
          <w:p w14:paraId="0E927875" w14:textId="6CA99BFF"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„a)</w:t>
            </w:r>
            <w:r w:rsidRPr="0037774A">
              <w:rPr>
                <w:rFonts w:ascii="Lato" w:eastAsia="Arial" w:hAnsi="Lato" w:cs="Arial"/>
                <w:b/>
                <w:bCs/>
                <w:sz w:val="18"/>
                <w:szCs w:val="18"/>
              </w:rPr>
              <w:tab/>
              <w:t>zgodność wykonywania prac geodezyjnych i kartograficznych oraz prac klasyfikacyjnych z przepisami ustawy,”,</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1D9BA27" w14:textId="7777777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4578F6EE" w14:textId="742F73A7" w:rsidR="00A1261B" w:rsidRDefault="00A1261B" w:rsidP="00C73599">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Jak zostało wyjaśnione w uzasadnieniu do projektu ustawy - </w:t>
            </w:r>
            <w:r w:rsidRPr="00C73599">
              <w:rPr>
                <w:rFonts w:ascii="Lato" w:eastAsia="Arial" w:hAnsi="Lato" w:cs="Arial"/>
                <w:sz w:val="18"/>
                <w:szCs w:val="18"/>
              </w:rPr>
              <w:t xml:space="preserve">ocena zgodności wykonywania prac klasyfikacyjnych z przepisami ustawy (w tym </w:t>
            </w:r>
            <w:r>
              <w:rPr>
                <w:rFonts w:ascii="Lato" w:eastAsia="Arial" w:hAnsi="Lato" w:cs="Arial"/>
                <w:sz w:val="18"/>
                <w:szCs w:val="18"/>
              </w:rPr>
              <w:t xml:space="preserve">starosta ma </w:t>
            </w:r>
            <w:r w:rsidRPr="00C73599">
              <w:rPr>
                <w:rFonts w:ascii="Lato" w:eastAsia="Arial" w:hAnsi="Lato" w:cs="Arial"/>
                <w:sz w:val="18"/>
                <w:szCs w:val="18"/>
              </w:rPr>
              <w:t xml:space="preserve">możliwość przeprowadzenia kontroli terenowej i wykonania odkrywek glebowych) dokonywana </w:t>
            </w:r>
            <w:r>
              <w:rPr>
                <w:rFonts w:ascii="Lato" w:eastAsia="Arial" w:hAnsi="Lato" w:cs="Arial"/>
                <w:sz w:val="18"/>
                <w:szCs w:val="18"/>
              </w:rPr>
              <w:t>jest</w:t>
            </w:r>
            <w:r w:rsidRPr="00C73599">
              <w:rPr>
                <w:rFonts w:ascii="Lato" w:eastAsia="Arial" w:hAnsi="Lato" w:cs="Arial"/>
                <w:sz w:val="18"/>
                <w:szCs w:val="18"/>
              </w:rPr>
              <w:t xml:space="preserve"> przez starostę w postępowaniu administracyjnym</w:t>
            </w:r>
            <w:r>
              <w:rPr>
                <w:rFonts w:ascii="Lato" w:eastAsia="Arial" w:hAnsi="Lato" w:cs="Arial"/>
                <w:sz w:val="18"/>
                <w:szCs w:val="18"/>
              </w:rPr>
              <w:t>.</w:t>
            </w:r>
            <w:r w:rsidRPr="00C73599">
              <w:rPr>
                <w:rFonts w:ascii="Lato" w:eastAsia="Arial" w:hAnsi="Lato" w:cs="Arial"/>
                <w:sz w:val="18"/>
                <w:szCs w:val="18"/>
              </w:rPr>
              <w:t xml:space="preserve"> W przepisach prawa obowiązuje zasada jednotorowości proceduralnej</w:t>
            </w:r>
            <w:r>
              <w:rPr>
                <w:rFonts w:ascii="Lato" w:eastAsia="Arial" w:hAnsi="Lato" w:cs="Arial"/>
                <w:sz w:val="18"/>
                <w:szCs w:val="18"/>
              </w:rPr>
              <w:t xml:space="preserve"> (art. 222, 233-235 i 240 KPA)</w:t>
            </w:r>
            <w:r w:rsidRPr="00C73599">
              <w:rPr>
                <w:rFonts w:ascii="Lato" w:eastAsia="Arial" w:hAnsi="Lato" w:cs="Arial"/>
                <w:sz w:val="18"/>
                <w:szCs w:val="18"/>
              </w:rPr>
              <w:t>, któr</w:t>
            </w:r>
            <w:r>
              <w:rPr>
                <w:rFonts w:ascii="Lato" w:eastAsia="Arial" w:hAnsi="Lato" w:cs="Arial"/>
                <w:sz w:val="18"/>
                <w:szCs w:val="18"/>
              </w:rPr>
              <w:t>a</w:t>
            </w:r>
            <w:r w:rsidRPr="00C73599">
              <w:rPr>
                <w:rFonts w:ascii="Lato" w:eastAsia="Arial" w:hAnsi="Lato" w:cs="Arial"/>
                <w:sz w:val="18"/>
                <w:szCs w:val="18"/>
              </w:rPr>
              <w:t xml:space="preserve"> wyklucza, aby w jakimkolwiek innym (nieinstancyjnym) postępowaniu, w tym sprawdzającym, podmiot sprawdzał ponownie lub kolejno merytorycznie dowody, w szczególności zgodność wykonania prac klasyfikacyjnych (przez upoważnionego w tym postępowaniu przez starostę klasyfikatora) z przepisami ustawy </w:t>
            </w:r>
            <w:proofErr w:type="spellStart"/>
            <w:r>
              <w:rPr>
                <w:rFonts w:ascii="Lato" w:eastAsia="Arial" w:hAnsi="Lato" w:cs="Arial"/>
                <w:sz w:val="18"/>
                <w:szCs w:val="18"/>
              </w:rPr>
              <w:t>PGiK</w:t>
            </w:r>
            <w:proofErr w:type="spellEnd"/>
            <w:r w:rsidRPr="00C73599">
              <w:rPr>
                <w:rFonts w:ascii="Lato" w:eastAsia="Arial" w:hAnsi="Lato" w:cs="Arial"/>
                <w:sz w:val="18"/>
                <w:szCs w:val="18"/>
              </w:rPr>
              <w:t xml:space="preserve">, które co do zasady badane są w postępowaniu administracyjnym kończącym się wydaniem decyzji administracyjnej. </w:t>
            </w:r>
            <w:r>
              <w:rPr>
                <w:rFonts w:ascii="Lato" w:eastAsia="Arial" w:hAnsi="Lato" w:cs="Arial"/>
                <w:sz w:val="18"/>
                <w:szCs w:val="18"/>
              </w:rPr>
              <w:t>Oznacza to, że nie można w postępowaniu skargowym (lub innym) prowadzonym przez wojewódzkiego inspektora nadzoru geodezyjnego i kartograficznego rozpatrywać zarzutów będących przedmiotem merytorycznego rozpatrywania w postępowaniu administracyjnym.</w:t>
            </w:r>
          </w:p>
          <w:p w14:paraId="519A0B93" w14:textId="2B6464BA" w:rsidR="00A1261B" w:rsidRDefault="00A1261B" w:rsidP="00C73599">
            <w:pPr>
              <w:pStyle w:val="Inne0"/>
              <w:shd w:val="clear" w:color="auto" w:fill="auto"/>
              <w:spacing w:before="120" w:after="120"/>
              <w:ind w:left="131" w:right="138"/>
              <w:rPr>
                <w:rFonts w:ascii="Lato" w:eastAsia="Arial" w:hAnsi="Lato" w:cs="Arial"/>
                <w:sz w:val="18"/>
                <w:szCs w:val="18"/>
              </w:rPr>
            </w:pPr>
            <w:r w:rsidRPr="00C73599">
              <w:rPr>
                <w:rFonts w:ascii="Lato" w:eastAsia="Arial" w:hAnsi="Lato" w:cs="Arial"/>
                <w:sz w:val="18"/>
                <w:szCs w:val="18"/>
              </w:rPr>
              <w:t>Zgodność wykonywania prac klasyfikacyjnych z przepisami ustawy dokonywana jest w postępowaniu administracyjnym przez organ I instancji - starostę, a później ewentualnie w postępowaniu odwoławczym przez organ II instancji - wojewódzkiego inspektora nadzoru geodezyjnego i kartograficznego.</w:t>
            </w:r>
            <w:r>
              <w:rPr>
                <w:rFonts w:ascii="Lato" w:eastAsia="Arial" w:hAnsi="Lato" w:cs="Arial"/>
                <w:sz w:val="18"/>
                <w:szCs w:val="18"/>
              </w:rPr>
              <w:t xml:space="preserve"> </w:t>
            </w:r>
          </w:p>
          <w:p w14:paraId="1A79E742" w14:textId="7397CF31" w:rsidR="00A1261B" w:rsidRPr="0037774A" w:rsidRDefault="00A1261B" w:rsidP="005F652A">
            <w:pPr>
              <w:pStyle w:val="Inne0"/>
              <w:shd w:val="clear" w:color="auto" w:fill="auto"/>
              <w:spacing w:before="120" w:after="120"/>
              <w:ind w:right="138"/>
              <w:rPr>
                <w:rFonts w:ascii="Lato" w:eastAsia="Arial" w:hAnsi="Lato" w:cs="Arial"/>
                <w:sz w:val="18"/>
                <w:szCs w:val="18"/>
              </w:rPr>
            </w:pPr>
          </w:p>
        </w:tc>
      </w:tr>
      <w:tr w:rsidR="00A1261B" w:rsidRPr="0037774A" w14:paraId="13F2AD0C" w14:textId="51A98D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8571CC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0F74A11" w14:textId="41D26B64"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406EA894" w14:textId="77777777" w:rsidR="00A1261B" w:rsidRPr="0037774A" w:rsidRDefault="00A1261B" w:rsidP="0037774A">
            <w:pPr>
              <w:pStyle w:val="Inne0"/>
              <w:spacing w:before="120" w:after="120"/>
              <w:ind w:left="138" w:right="274"/>
              <w:rPr>
                <w:rFonts w:ascii="Lato" w:eastAsia="Arial" w:hAnsi="Lato" w:cs="Arial"/>
                <w:bCs/>
                <w:sz w:val="18"/>
                <w:szCs w:val="18"/>
              </w:rPr>
            </w:pPr>
            <w:r w:rsidRPr="0037774A">
              <w:rPr>
                <w:rFonts w:ascii="Lato" w:eastAsia="Arial" w:hAnsi="Lato" w:cs="Arial"/>
                <w:bCs/>
                <w:sz w:val="18"/>
                <w:szCs w:val="18"/>
              </w:rPr>
              <w:t xml:space="preserve">Obecne propozycje zapisów dotyczące wykonawców prac geodezyjnych lub kartograficznych uniemożliwiają wykonywanie przez jednostki organizacyjne samorządu województwa prac geodezyjnych lub kartograficznych realizowanych w ramach zadań samorządu województwa. Samorząd województwa przy pomocy takich jednostek wykonuje np. </w:t>
            </w:r>
            <w:bookmarkStart w:id="1" w:name="_Hlk209448480"/>
            <w:r w:rsidRPr="0037774A">
              <w:rPr>
                <w:rFonts w:ascii="Lato" w:eastAsia="Arial" w:hAnsi="Lato" w:cs="Arial"/>
                <w:bCs/>
                <w:sz w:val="18"/>
                <w:szCs w:val="18"/>
              </w:rPr>
              <w:t xml:space="preserve">prace scaleniowo-wymienne </w:t>
            </w:r>
            <w:bookmarkStart w:id="2" w:name="_Hlk209448535"/>
            <w:bookmarkEnd w:id="1"/>
            <w:r w:rsidRPr="0037774A">
              <w:rPr>
                <w:rFonts w:ascii="Lato" w:eastAsia="Arial" w:hAnsi="Lato" w:cs="Arial"/>
                <w:bCs/>
                <w:sz w:val="18"/>
                <w:szCs w:val="18"/>
              </w:rPr>
              <w:t xml:space="preserve">zgodnie z art. 3 ust. 4 </w:t>
            </w:r>
            <w:r w:rsidRPr="0037774A">
              <w:rPr>
                <w:rFonts w:ascii="Lato" w:eastAsia="Arial" w:hAnsi="Lato" w:cs="Arial"/>
                <w:bCs/>
                <w:sz w:val="18"/>
                <w:szCs w:val="18"/>
              </w:rPr>
              <w:lastRenderedPageBreak/>
              <w:t xml:space="preserve">ustawy z dnia 26 marca 1982 r. o scalaniu i wymianie gruntów (Dz. U. z 2023 r. poz. 1197). </w:t>
            </w:r>
            <w:bookmarkEnd w:id="2"/>
            <w:r w:rsidRPr="0037774A">
              <w:rPr>
                <w:rFonts w:ascii="Lato" w:eastAsia="Arial" w:hAnsi="Lato" w:cs="Arial"/>
                <w:bCs/>
                <w:sz w:val="18"/>
                <w:szCs w:val="18"/>
              </w:rPr>
              <w:t>Takie jednostki są ustawowo powołanie do realizacji tych zadań i zatrudniają wykwalifikowanych pracowników, posiadających uprawnienia zawodowe niezbędne do właściwej realizacji zadań.</w:t>
            </w:r>
          </w:p>
          <w:p w14:paraId="69E1574C" w14:textId="70461A04"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Proponuje się rozszerzyć katalog wykonawców prac geodezyjnych lub kartograficznych o jednostki samorządu województwa, zatrudniające osoby posiadające uprawnienia zawodowe w dziedzinie geodezji i kartografii, o których mowa w art. 43 ustawy – Prawo geodezyjne i kartograficzne.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C610D01"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lastRenderedPageBreak/>
              <w:t>Proponuje się w art. 11 po ust. 5 dodać ust. 6 w brzmieniu:</w:t>
            </w:r>
          </w:p>
          <w:p w14:paraId="04DEF8BF" w14:textId="423CBB73"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 xml:space="preserve">„6. </w:t>
            </w:r>
            <w:bookmarkStart w:id="3" w:name="_Hlk209447720"/>
            <w:r w:rsidRPr="0037774A">
              <w:rPr>
                <w:rFonts w:ascii="Lato" w:eastAsia="Arial" w:hAnsi="Lato" w:cs="Arial"/>
                <w:b/>
                <w:bCs/>
                <w:sz w:val="18"/>
                <w:szCs w:val="18"/>
              </w:rPr>
              <w:t xml:space="preserve">Wykonawcą prac geodezyjnych lub prac kartograficznych jest także jednostka organizacyjna samorządu województwa powołana </w:t>
            </w:r>
            <w:r w:rsidRPr="0037774A">
              <w:rPr>
                <w:rFonts w:ascii="Lato" w:eastAsia="Arial" w:hAnsi="Lato" w:cs="Arial"/>
                <w:b/>
                <w:bCs/>
                <w:color w:val="auto"/>
                <w:sz w:val="18"/>
                <w:szCs w:val="18"/>
              </w:rPr>
              <w:t xml:space="preserve">przez ten organ do realizacji prac geodezyjnych lub kartograficznych, zatrudniająca osoby posiadające uprawnienia </w:t>
            </w:r>
            <w:r w:rsidRPr="0037774A">
              <w:rPr>
                <w:rFonts w:ascii="Lato" w:eastAsia="Arial" w:hAnsi="Lato" w:cs="Arial"/>
                <w:b/>
                <w:bCs/>
                <w:color w:val="auto"/>
                <w:sz w:val="18"/>
                <w:szCs w:val="18"/>
              </w:rPr>
              <w:lastRenderedPageBreak/>
              <w:t>zawodowe w dziedzinie geodezji i kartografii, o których mowa w art. 43, właściwe do realizacji tych prac.”</w:t>
            </w:r>
            <w:bookmarkEnd w:id="3"/>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A22B9E8" w14:textId="415ACB47" w:rsidR="008B779F" w:rsidRDefault="008B779F" w:rsidP="008B779F">
            <w:pPr>
              <w:pStyle w:val="Inne0"/>
              <w:shd w:val="clear" w:color="auto" w:fill="auto"/>
              <w:spacing w:before="120" w:after="120"/>
              <w:rPr>
                <w:rFonts w:ascii="Lato" w:eastAsia="Arial" w:hAnsi="Lato" w:cs="Arial"/>
                <w:sz w:val="18"/>
                <w:szCs w:val="18"/>
              </w:rPr>
            </w:pPr>
            <w:r>
              <w:rPr>
                <w:rFonts w:ascii="Lato" w:eastAsia="Arial" w:hAnsi="Lato" w:cs="Arial"/>
                <w:sz w:val="18"/>
                <w:szCs w:val="18"/>
              </w:rPr>
              <w:lastRenderedPageBreak/>
              <w:t>Uwaga nie została uwzględniona.</w:t>
            </w:r>
          </w:p>
          <w:p w14:paraId="66D3B5AA" w14:textId="7DA1D3EA" w:rsidR="008B779F" w:rsidRDefault="00A1261B" w:rsidP="008B779F">
            <w:pPr>
              <w:pStyle w:val="Inne0"/>
              <w:shd w:val="clear" w:color="auto" w:fill="auto"/>
              <w:spacing w:before="120" w:after="120"/>
              <w:rPr>
                <w:rFonts w:ascii="Lato" w:eastAsia="Arial" w:hAnsi="Lato" w:cs="Arial"/>
                <w:sz w:val="18"/>
                <w:szCs w:val="18"/>
              </w:rPr>
            </w:pPr>
            <w:r>
              <w:rPr>
                <w:rFonts w:ascii="Lato" w:eastAsia="Arial" w:hAnsi="Lato" w:cs="Arial"/>
                <w:sz w:val="18"/>
                <w:szCs w:val="18"/>
              </w:rPr>
              <w:t xml:space="preserve">Dokonano zmiany projektowanego brzmienia art. 11 ustawy </w:t>
            </w:r>
            <w:proofErr w:type="spellStart"/>
            <w:r>
              <w:rPr>
                <w:rFonts w:ascii="Lato" w:eastAsia="Arial" w:hAnsi="Lato" w:cs="Arial"/>
                <w:sz w:val="18"/>
                <w:szCs w:val="18"/>
              </w:rPr>
              <w:t>PGiK</w:t>
            </w:r>
            <w:proofErr w:type="spellEnd"/>
            <w:r w:rsidR="008B779F">
              <w:rPr>
                <w:rFonts w:ascii="Lato" w:eastAsia="Arial" w:hAnsi="Lato" w:cs="Arial"/>
                <w:sz w:val="18"/>
                <w:szCs w:val="18"/>
              </w:rPr>
              <w:t xml:space="preserve">, zakłada ono jednak, że prace </w:t>
            </w:r>
            <w:r w:rsidR="008B779F" w:rsidRPr="008B779F">
              <w:rPr>
                <w:rFonts w:ascii="Lato" w:eastAsia="Arial" w:hAnsi="Lato" w:cs="Arial"/>
                <w:sz w:val="18"/>
                <w:szCs w:val="18"/>
              </w:rPr>
              <w:t xml:space="preserve">geodezyjne lub prace kartograficzne </w:t>
            </w:r>
            <w:r w:rsidR="008B779F">
              <w:rPr>
                <w:rFonts w:ascii="Lato" w:eastAsia="Arial" w:hAnsi="Lato" w:cs="Arial"/>
                <w:sz w:val="18"/>
                <w:szCs w:val="18"/>
              </w:rPr>
              <w:t xml:space="preserve">będą </w:t>
            </w:r>
            <w:r w:rsidR="008B779F" w:rsidRPr="008B779F">
              <w:rPr>
                <w:rFonts w:ascii="Lato" w:eastAsia="Arial" w:hAnsi="Lato" w:cs="Arial"/>
                <w:sz w:val="18"/>
                <w:szCs w:val="18"/>
              </w:rPr>
              <w:t>mog</w:t>
            </w:r>
            <w:r w:rsidR="008B779F">
              <w:rPr>
                <w:rFonts w:ascii="Lato" w:eastAsia="Arial" w:hAnsi="Lato" w:cs="Arial"/>
                <w:sz w:val="18"/>
                <w:szCs w:val="18"/>
              </w:rPr>
              <w:t>ły</w:t>
            </w:r>
            <w:r w:rsidR="008B779F" w:rsidRPr="008B779F">
              <w:rPr>
                <w:rFonts w:ascii="Lato" w:eastAsia="Arial" w:hAnsi="Lato" w:cs="Arial"/>
                <w:sz w:val="18"/>
                <w:szCs w:val="18"/>
              </w:rPr>
              <w:t xml:space="preserve"> wykonywać </w:t>
            </w:r>
            <w:r w:rsidR="008B779F">
              <w:rPr>
                <w:rFonts w:ascii="Lato" w:eastAsia="Arial" w:hAnsi="Lato" w:cs="Arial"/>
                <w:sz w:val="18"/>
                <w:szCs w:val="18"/>
              </w:rPr>
              <w:t xml:space="preserve">wyłącznie </w:t>
            </w:r>
            <w:r w:rsidR="008B779F" w:rsidRPr="008B779F">
              <w:rPr>
                <w:rFonts w:ascii="Lato" w:eastAsia="Arial" w:hAnsi="Lato" w:cs="Arial"/>
                <w:sz w:val="18"/>
                <w:szCs w:val="18"/>
              </w:rPr>
              <w:t>osoby posiadające uprawnienia zawodowe w dziedzinie geodezji i kartografii, o których mowa w art. 43, właściwe do realizacji tych prac, lub osoby działające pod ich bezpośrednim nadzorem.</w:t>
            </w:r>
            <w:r w:rsidR="008B779F">
              <w:rPr>
                <w:rFonts w:ascii="Lato" w:eastAsia="Arial" w:hAnsi="Lato" w:cs="Arial"/>
                <w:sz w:val="18"/>
                <w:szCs w:val="18"/>
              </w:rPr>
              <w:t xml:space="preserve"> Katalog prac zastrzeżonych do osobistego </w:t>
            </w:r>
            <w:r w:rsidR="008B779F">
              <w:rPr>
                <w:rFonts w:ascii="Lato" w:eastAsia="Arial" w:hAnsi="Lato" w:cs="Arial"/>
                <w:sz w:val="18"/>
                <w:szCs w:val="18"/>
              </w:rPr>
              <w:lastRenderedPageBreak/>
              <w:t xml:space="preserve">wykonywania został określony w art. 42 ust. 2 ustawy </w:t>
            </w:r>
            <w:proofErr w:type="spellStart"/>
            <w:r w:rsidR="008B779F">
              <w:rPr>
                <w:rFonts w:ascii="Lato" w:eastAsia="Arial" w:hAnsi="Lato" w:cs="Arial"/>
                <w:sz w:val="18"/>
                <w:szCs w:val="18"/>
              </w:rPr>
              <w:t>PGiK</w:t>
            </w:r>
            <w:proofErr w:type="spellEnd"/>
            <w:r w:rsidR="008B779F">
              <w:rPr>
                <w:rFonts w:ascii="Lato" w:eastAsia="Arial" w:hAnsi="Lato" w:cs="Arial"/>
                <w:sz w:val="18"/>
                <w:szCs w:val="18"/>
              </w:rPr>
              <w:t xml:space="preserve"> i wynika on z obecnie obowiązujących regulacji w tym zakresie.</w:t>
            </w:r>
          </w:p>
          <w:p w14:paraId="70A4FACD" w14:textId="45B1A2B5" w:rsidR="00A1261B" w:rsidRPr="0037774A" w:rsidRDefault="0070061A" w:rsidP="0070061A">
            <w:pPr>
              <w:pStyle w:val="Inne0"/>
              <w:shd w:val="clear" w:color="auto" w:fill="auto"/>
              <w:spacing w:before="120" w:after="120"/>
              <w:rPr>
                <w:rFonts w:ascii="Lato" w:eastAsia="Arial" w:hAnsi="Lato" w:cs="Arial"/>
                <w:sz w:val="18"/>
                <w:szCs w:val="18"/>
              </w:rPr>
            </w:pPr>
            <w:r>
              <w:rPr>
                <w:rFonts w:ascii="Lato" w:eastAsia="Arial" w:hAnsi="Lato" w:cs="Arial"/>
                <w:sz w:val="18"/>
                <w:szCs w:val="18"/>
              </w:rPr>
              <w:t xml:space="preserve">Jeżeli, zgodnie ze zgłoszoną uwagą, jednostka </w:t>
            </w:r>
            <w:r w:rsidRPr="0070061A">
              <w:rPr>
                <w:rFonts w:ascii="Lato" w:eastAsia="Arial" w:hAnsi="Lato" w:cs="Arial"/>
                <w:sz w:val="18"/>
                <w:szCs w:val="18"/>
              </w:rPr>
              <w:t>organizacyjn</w:t>
            </w:r>
            <w:r>
              <w:rPr>
                <w:rFonts w:ascii="Lato" w:eastAsia="Arial" w:hAnsi="Lato" w:cs="Arial"/>
                <w:sz w:val="18"/>
                <w:szCs w:val="18"/>
              </w:rPr>
              <w:t>a</w:t>
            </w:r>
            <w:r w:rsidRPr="0070061A">
              <w:rPr>
                <w:rFonts w:ascii="Lato" w:eastAsia="Arial" w:hAnsi="Lato" w:cs="Arial"/>
                <w:sz w:val="18"/>
                <w:szCs w:val="18"/>
              </w:rPr>
              <w:t xml:space="preserve"> samorządu województwa powołan</w:t>
            </w:r>
            <w:r>
              <w:rPr>
                <w:rFonts w:ascii="Lato" w:eastAsia="Arial" w:hAnsi="Lato" w:cs="Arial"/>
                <w:sz w:val="18"/>
                <w:szCs w:val="18"/>
              </w:rPr>
              <w:t>a</w:t>
            </w:r>
            <w:r w:rsidRPr="0070061A">
              <w:rPr>
                <w:rFonts w:ascii="Lato" w:eastAsia="Arial" w:hAnsi="Lato" w:cs="Arial"/>
                <w:sz w:val="18"/>
                <w:szCs w:val="18"/>
              </w:rPr>
              <w:t xml:space="preserve"> przez ten organ</w:t>
            </w:r>
            <w:r>
              <w:t xml:space="preserve"> </w:t>
            </w:r>
            <w:r w:rsidRPr="0070061A">
              <w:rPr>
                <w:rFonts w:ascii="Lato" w:eastAsia="Arial" w:hAnsi="Lato" w:cs="Arial"/>
                <w:sz w:val="18"/>
                <w:szCs w:val="18"/>
              </w:rPr>
              <w:t xml:space="preserve">do realizacji prac geodezyjnych lub kartograficznych, zatrudnia osoby posiadające uprawnienia zawodowe w dziedzinie geodezji i kartografii, o których mowa w art. 43, </w:t>
            </w:r>
            <w:r>
              <w:rPr>
                <w:rFonts w:ascii="Lato" w:eastAsia="Arial" w:hAnsi="Lato" w:cs="Arial"/>
                <w:sz w:val="18"/>
                <w:szCs w:val="18"/>
              </w:rPr>
              <w:t xml:space="preserve">to osoby te będą uprawnione zgodnie z projektowanymi przepisami do dokonywania zgłoszenia pracy geodezyjnej w imieniu tego podmiotu (projektowany art. 12 ust. 1b ustawy </w:t>
            </w:r>
            <w:proofErr w:type="spellStart"/>
            <w:r>
              <w:rPr>
                <w:rFonts w:ascii="Lato" w:eastAsia="Arial" w:hAnsi="Lato" w:cs="Arial"/>
                <w:sz w:val="18"/>
                <w:szCs w:val="18"/>
              </w:rPr>
              <w:t>PGiK</w:t>
            </w:r>
            <w:proofErr w:type="spellEnd"/>
            <w:r>
              <w:rPr>
                <w:rFonts w:ascii="Lato" w:eastAsia="Arial" w:hAnsi="Lato" w:cs="Arial"/>
                <w:sz w:val="18"/>
                <w:szCs w:val="18"/>
              </w:rPr>
              <w:t>), jak również wykonywania tych prac lub nadzorowania ich wykonywania.</w:t>
            </w:r>
          </w:p>
        </w:tc>
      </w:tr>
      <w:tr w:rsidR="00A1261B" w:rsidRPr="0037774A" w14:paraId="247A3981" w14:textId="04366BE2" w:rsidTr="00A1261B">
        <w:trPr>
          <w:trHeight w:val="20"/>
        </w:trPr>
        <w:tc>
          <w:tcPr>
            <w:tcW w:w="709" w:type="dxa"/>
            <w:tcBorders>
              <w:top w:val="single" w:sz="4" w:space="0" w:color="auto"/>
              <w:left w:val="single" w:sz="4" w:space="0" w:color="auto"/>
              <w:bottom w:val="single" w:sz="4" w:space="0" w:color="auto"/>
            </w:tcBorders>
            <w:shd w:val="clear" w:color="auto" w:fill="FFFFFF"/>
          </w:tcPr>
          <w:p w14:paraId="5FE5553D"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C03E19E" w14:textId="0E17C172"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4064FB52" w14:textId="77777777" w:rsidR="00A1261B" w:rsidRPr="0037774A" w:rsidRDefault="00A1261B" w:rsidP="0037774A">
            <w:pPr>
              <w:pStyle w:val="Inne0"/>
              <w:spacing w:before="120" w:after="120"/>
              <w:ind w:left="138" w:right="274"/>
              <w:rPr>
                <w:rFonts w:ascii="Lato" w:eastAsia="Arial" w:hAnsi="Lato" w:cs="Arial"/>
                <w:bCs/>
                <w:sz w:val="18"/>
                <w:szCs w:val="18"/>
              </w:rPr>
            </w:pPr>
            <w:r w:rsidRPr="0037774A">
              <w:rPr>
                <w:rFonts w:ascii="Lato" w:eastAsia="Arial" w:hAnsi="Lato" w:cs="Arial"/>
                <w:bCs/>
                <w:sz w:val="18"/>
                <w:szCs w:val="18"/>
              </w:rPr>
              <w:t xml:space="preserve">Proponuje się wykreślenie „prac klasyfikacyjnych” w art. 12b ust. 4, określającym podstawę przyjęcia tych prac do państwowego zasobu geodezyjnego i kartograficznego, ponieważ jest to uregulowane w art. 26c ust. 4 zdanie drugie: Protokół odbioru operatu klasyfikacyjnego stanowi podstawę jego przyjęcia do państwowego zasobu geodezyjnego i kartograficznego. </w:t>
            </w:r>
          </w:p>
          <w:p w14:paraId="3BF37025" w14:textId="7D0A4882"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color w:val="auto"/>
                <w:sz w:val="18"/>
                <w:szCs w:val="18"/>
              </w:rPr>
              <w:t xml:space="preserve">Prace klasyfikacyjne są pracami wykonywanymi w ramach postępowania administracyjnego w sprawie ustalenia gleboznawczej klasyfikacji gruntów (art. 40a ust. 2 pkt 3a) i są wykonywane na zlecenie starosty, a nie są realizowane w ramach zamówienie publicznego np. jak w przypadku modernizacji </w:t>
            </w:r>
            <w:proofErr w:type="spellStart"/>
            <w:r w:rsidRPr="0037774A">
              <w:rPr>
                <w:rFonts w:ascii="Lato" w:eastAsia="Arial" w:hAnsi="Lato" w:cs="Arial"/>
                <w:bCs/>
                <w:color w:val="auto"/>
                <w:sz w:val="18"/>
                <w:szCs w:val="18"/>
              </w:rPr>
              <w:t>egib</w:t>
            </w:r>
            <w:proofErr w:type="spellEnd"/>
            <w:r w:rsidRPr="0037774A">
              <w:rPr>
                <w:rFonts w:ascii="Lato" w:eastAsia="Arial" w:hAnsi="Lato" w:cs="Arial"/>
                <w:bCs/>
                <w:color w:val="auto"/>
                <w:sz w:val="18"/>
                <w:szCs w:val="18"/>
              </w:rPr>
              <w:t>.</w:t>
            </w:r>
            <w:r w:rsidRPr="0037774A">
              <w:rPr>
                <w:rFonts w:ascii="Lato" w:hAnsi="Lato"/>
                <w:color w:val="auto"/>
                <w:sz w:val="18"/>
                <w:szCs w:val="18"/>
              </w:rPr>
              <w:t xml:space="preserve"> </w:t>
            </w:r>
            <w:r w:rsidRPr="0037774A">
              <w:rPr>
                <w:rFonts w:ascii="Lato" w:eastAsia="Arial" w:hAnsi="Lato" w:cs="Arial"/>
                <w:bCs/>
                <w:color w:val="auto"/>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E8CAD9F" w14:textId="77777777" w:rsidR="00A1261B" w:rsidRPr="0037774A" w:rsidRDefault="00A1261B" w:rsidP="0037774A">
            <w:pPr>
              <w:pStyle w:val="Inne0"/>
              <w:tabs>
                <w:tab w:val="left" w:pos="268"/>
                <w:tab w:val="left" w:pos="597"/>
              </w:tabs>
              <w:spacing w:before="120" w:after="120"/>
              <w:ind w:left="125" w:right="136"/>
              <w:rPr>
                <w:rFonts w:ascii="Lato" w:eastAsia="Arial" w:hAnsi="Lato" w:cs="Arial"/>
                <w:b/>
                <w:bCs/>
                <w:sz w:val="18"/>
                <w:szCs w:val="18"/>
              </w:rPr>
            </w:pPr>
            <w:r w:rsidRPr="0037774A">
              <w:rPr>
                <w:rFonts w:ascii="Lato" w:eastAsia="Arial" w:hAnsi="Lato" w:cs="Arial"/>
                <w:b/>
                <w:bCs/>
                <w:sz w:val="18"/>
                <w:szCs w:val="18"/>
              </w:rPr>
              <w:t>Proponuje się w art. 12b w ust. 4 w zdaniu drugim wykreślić wyrazy „lub prac klasyfikacyjnych”.</w:t>
            </w:r>
          </w:p>
          <w:p w14:paraId="05221E20"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6D575AC" w14:textId="0DFB1718"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4695230D" w14:textId="361026A5" w:rsidTr="00A1261B">
        <w:trPr>
          <w:trHeight w:val="20"/>
        </w:trPr>
        <w:tc>
          <w:tcPr>
            <w:tcW w:w="709" w:type="dxa"/>
            <w:tcBorders>
              <w:top w:val="single" w:sz="4" w:space="0" w:color="auto"/>
              <w:left w:val="single" w:sz="4" w:space="0" w:color="auto"/>
              <w:bottom w:val="single" w:sz="4" w:space="0" w:color="auto"/>
            </w:tcBorders>
            <w:shd w:val="clear" w:color="auto" w:fill="FFFFFF"/>
          </w:tcPr>
          <w:p w14:paraId="7FFCDDEE"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2DAEC06" w14:textId="45ED731F"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439D5FB2" w14:textId="4166353E"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Propozycja ujednolicenia nazewnictwa. W art. 26c ust. 1 pkt 4 jest mowa o decyzji o ustaleniu gleboznawczej klasyfikacji gruntów, a nie o decyzji</w:t>
            </w:r>
            <w:r w:rsidRPr="0037774A">
              <w:rPr>
                <w:rFonts w:ascii="Lato" w:hAnsi="Lato"/>
                <w:sz w:val="18"/>
                <w:szCs w:val="18"/>
              </w:rPr>
              <w:t xml:space="preserve"> </w:t>
            </w:r>
            <w:r w:rsidRPr="0037774A">
              <w:rPr>
                <w:rFonts w:ascii="Lato" w:eastAsia="Arial" w:hAnsi="Lato" w:cs="Arial"/>
                <w:bCs/>
                <w:sz w:val="18"/>
                <w:szCs w:val="18"/>
              </w:rPr>
              <w:t>o ustaleniu gleboznawczej klasyfikacji gruntu.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9156238" w14:textId="77777777" w:rsidR="00A1261B" w:rsidRPr="0037774A" w:rsidRDefault="00A1261B" w:rsidP="0037774A">
            <w:pPr>
              <w:pStyle w:val="Inne0"/>
              <w:spacing w:before="120" w:after="120"/>
              <w:ind w:left="125" w:right="136"/>
              <w:rPr>
                <w:rFonts w:ascii="Lato" w:eastAsia="Arial" w:hAnsi="Lato" w:cs="Arial"/>
                <w:b/>
                <w:bCs/>
                <w:sz w:val="18"/>
                <w:szCs w:val="18"/>
              </w:rPr>
            </w:pPr>
            <w:r w:rsidRPr="0037774A">
              <w:rPr>
                <w:rFonts w:ascii="Lato" w:eastAsia="Arial" w:hAnsi="Lato" w:cs="Arial"/>
                <w:bCs/>
                <w:sz w:val="18"/>
                <w:szCs w:val="18"/>
              </w:rPr>
              <w:t>Proponuje się w art. 23 w ust. 3 w pkt 1 lit. g nadać brzmienie:</w:t>
            </w:r>
          </w:p>
          <w:p w14:paraId="076D0E61" w14:textId="1465B7E4"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 xml:space="preserve">„g) ustaleniu gleboznawczej klasyfikacji </w:t>
            </w:r>
            <w:r w:rsidRPr="0037774A">
              <w:rPr>
                <w:rFonts w:ascii="Lato" w:eastAsia="Arial" w:hAnsi="Lato" w:cs="Arial"/>
                <w:b/>
                <w:bCs/>
                <w:color w:val="auto"/>
                <w:sz w:val="18"/>
                <w:szCs w:val="18"/>
              </w:rPr>
              <w:t>gruntów,</w:t>
            </w:r>
            <w:r w:rsidRPr="0037774A">
              <w:rPr>
                <w:rFonts w:ascii="Lato" w:eastAsia="Arial" w:hAnsi="Lato" w:cs="Arial"/>
                <w:b/>
                <w:bCs/>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4A755A5" w14:textId="2579C733"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46DE753A" w14:textId="428D5C4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26E907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6A866BD" w14:textId="1D4C6C7D"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17EAB5E7" w14:textId="77777777" w:rsidR="00A1261B" w:rsidRPr="0037774A" w:rsidRDefault="00A1261B" w:rsidP="0037774A">
            <w:pPr>
              <w:pStyle w:val="Inne0"/>
              <w:spacing w:before="120" w:after="120"/>
              <w:ind w:left="138" w:right="274"/>
              <w:rPr>
                <w:rFonts w:ascii="Lato" w:eastAsia="Arial" w:hAnsi="Lato" w:cs="Arial"/>
                <w:bCs/>
                <w:sz w:val="18"/>
                <w:szCs w:val="18"/>
              </w:rPr>
            </w:pPr>
            <w:r w:rsidRPr="0037774A">
              <w:rPr>
                <w:rFonts w:ascii="Lato" w:eastAsia="Arial" w:hAnsi="Lato" w:cs="Arial"/>
                <w:bCs/>
                <w:sz w:val="18"/>
                <w:szCs w:val="18"/>
              </w:rPr>
              <w:t xml:space="preserve">Obecna propozycja zapisu art. 26a określa, że gleboznawczą klasyfikacją gruntów można </w:t>
            </w:r>
            <w:r w:rsidRPr="0037774A">
              <w:rPr>
                <w:rFonts w:ascii="Lato" w:eastAsia="Arial" w:hAnsi="Lato" w:cs="Arial"/>
                <w:bCs/>
                <w:color w:val="auto"/>
                <w:sz w:val="18"/>
                <w:szCs w:val="18"/>
              </w:rPr>
              <w:t xml:space="preserve">obejmować tylko grunty </w:t>
            </w:r>
            <w:r w:rsidRPr="0037774A">
              <w:rPr>
                <w:rFonts w:ascii="Lato" w:eastAsia="Arial" w:hAnsi="Lato" w:cs="Arial"/>
                <w:bCs/>
                <w:sz w:val="18"/>
                <w:szCs w:val="18"/>
              </w:rPr>
              <w:t xml:space="preserve">rolne. Taki zapis może budzić wątpliwości czy wszczynanie postępowania w sprawie gleboznawczej klasyfikacji gruntów będzie możliwe tylko dla gruntów rolnych ujawnionych w ewidencji gruntów i budynków czy też dla gruntów faktycznie użytkowanych rolniczo, a wykazanych w ewidencji gruntów i budynków jako inne niż rolne. Obecne brzmienie art. 20 ust. 3 ustawy w orzecznictwie sądów administracyjnych interpretowane jest w ten sposób, że nie można </w:t>
            </w:r>
            <w:r w:rsidRPr="0037774A">
              <w:rPr>
                <w:rFonts w:ascii="Lato" w:eastAsia="Arial" w:hAnsi="Lato" w:cs="Arial"/>
                <w:bCs/>
                <w:sz w:val="18"/>
                <w:szCs w:val="18"/>
              </w:rPr>
              <w:lastRenderedPageBreak/>
              <w:t xml:space="preserve">przeprowadzać postępowania w sprawie gleboznawczej klasyfikacji gruntów na gruntach niestanowiących gruntów rolnych lub leśnych. W takich przypadkach konieczna jest uprzednia aktualizacja ewidencji gruntów i budynków w zakresie użytków gruntowych (np. ujawnienie w </w:t>
            </w:r>
            <w:proofErr w:type="spellStart"/>
            <w:r w:rsidRPr="0037774A">
              <w:rPr>
                <w:rFonts w:ascii="Lato" w:eastAsia="Arial" w:hAnsi="Lato" w:cs="Arial"/>
                <w:bCs/>
                <w:sz w:val="18"/>
                <w:szCs w:val="18"/>
              </w:rPr>
              <w:t>egib</w:t>
            </w:r>
            <w:proofErr w:type="spellEnd"/>
            <w:r w:rsidRPr="0037774A">
              <w:rPr>
                <w:rFonts w:ascii="Lato" w:eastAsia="Arial" w:hAnsi="Lato" w:cs="Arial"/>
                <w:bCs/>
                <w:sz w:val="18"/>
                <w:szCs w:val="18"/>
              </w:rPr>
              <w:t xml:space="preserve"> użytku grunty orne - R bez klasy bonitacyjnej) i dopiero przeprowadzenie gleboznawczej klasyfikacji gruntów. </w:t>
            </w:r>
          </w:p>
          <w:p w14:paraId="22512521" w14:textId="77777777" w:rsidR="00A1261B" w:rsidRPr="0037774A" w:rsidRDefault="00A1261B" w:rsidP="0037774A">
            <w:pPr>
              <w:pStyle w:val="Inne0"/>
              <w:spacing w:before="120" w:after="120"/>
              <w:ind w:left="138" w:right="274"/>
              <w:rPr>
                <w:rFonts w:ascii="Lato" w:eastAsia="Arial" w:hAnsi="Lato" w:cs="Arial"/>
                <w:bCs/>
                <w:sz w:val="18"/>
                <w:szCs w:val="18"/>
              </w:rPr>
            </w:pPr>
            <w:r w:rsidRPr="0037774A">
              <w:rPr>
                <w:rFonts w:ascii="Lato" w:eastAsia="Arial" w:hAnsi="Lato" w:cs="Arial"/>
                <w:bCs/>
                <w:sz w:val="18"/>
                <w:szCs w:val="18"/>
              </w:rPr>
              <w:t>Propozycja zmiany zapisu ma na celu umożliwienie wszczynania postępowania w sprawie gleboznawczej klasyfikacji gruntów także na gruntach użytkowanych rolniczo, a ujawnionych w ewi</w:t>
            </w:r>
            <w:r w:rsidRPr="0037774A">
              <w:rPr>
                <w:rFonts w:ascii="Lato" w:eastAsia="Arial" w:hAnsi="Lato" w:cs="Arial"/>
                <w:bCs/>
                <w:color w:val="auto"/>
                <w:sz w:val="18"/>
                <w:szCs w:val="18"/>
              </w:rPr>
              <w:t xml:space="preserve">dencji gruntów i budynków jako inne niż użytki rolne. Proponowana zmiana pozwoli na jednoczesną zmianę użytku gruntowego (np. K, </w:t>
            </w:r>
            <w:proofErr w:type="spellStart"/>
            <w:r w:rsidRPr="0037774A">
              <w:rPr>
                <w:rFonts w:ascii="Lato" w:eastAsia="Arial" w:hAnsi="Lato" w:cs="Arial"/>
                <w:bCs/>
                <w:color w:val="auto"/>
                <w:sz w:val="18"/>
                <w:szCs w:val="18"/>
              </w:rPr>
              <w:t>Tr</w:t>
            </w:r>
            <w:proofErr w:type="spellEnd"/>
            <w:r w:rsidRPr="0037774A">
              <w:rPr>
                <w:rFonts w:ascii="Lato" w:eastAsia="Arial" w:hAnsi="Lato" w:cs="Arial"/>
                <w:bCs/>
                <w:color w:val="auto"/>
                <w:sz w:val="18"/>
                <w:szCs w:val="18"/>
              </w:rPr>
              <w:t>, dr) na użytek rolny i ustalenie dla takiego gruntu klasy bonitacyjnej w jednym postepowaniu w ramach gleboznawczej klasyfikacji gruntów, a następnie ujawnienie tych danych w ewidencji gruntów i budynków</w:t>
            </w:r>
          </w:p>
          <w:p w14:paraId="457A4E21" w14:textId="1E0A1E09"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W związku z tym, że dla nieużytków nie ustala się klasy bonitacyjnej proponuje się ograniczenie ustalania gleboznawczej klasyfikacji gruntów tylko dla gruntów stanowiących użytki rolne.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52EF7D8"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lastRenderedPageBreak/>
              <w:t>Proponowaną treść art. 26a przenieść do ust. 1, któremu proponuje się nadać brzmienie:</w:t>
            </w:r>
          </w:p>
          <w:p w14:paraId="0014304B" w14:textId="75E6D243"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„Art. 26a.1. Gleboznawczą klasyfikację gruntów przeprowadza się w sposób jednolity dla całego kraju na podstawie urzędowej tabeli klas gruntów i ustala się dla gruntów stanowiących użytki rolne.”</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40CC2A2" w14:textId="7D029D15"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częściowo.</w:t>
            </w:r>
          </w:p>
          <w:p w14:paraId="09FD9B7B" w14:textId="7C33A49E" w:rsidR="00A1261B" w:rsidRDefault="00A1261B" w:rsidP="0037774A">
            <w:pPr>
              <w:pStyle w:val="Inne0"/>
              <w:shd w:val="clear" w:color="auto" w:fill="auto"/>
              <w:spacing w:before="120" w:after="120"/>
              <w:ind w:left="131" w:right="138"/>
              <w:rPr>
                <w:rFonts w:ascii="Lato" w:eastAsia="Arial" w:hAnsi="Lato" w:cs="Arial"/>
                <w:bCs/>
                <w:sz w:val="18"/>
                <w:szCs w:val="18"/>
              </w:rPr>
            </w:pPr>
            <w:r>
              <w:rPr>
                <w:rFonts w:ascii="Lato" w:eastAsia="Arial" w:hAnsi="Lato" w:cs="Arial"/>
                <w:sz w:val="18"/>
                <w:szCs w:val="18"/>
              </w:rPr>
              <w:t xml:space="preserve">Należy wskazać, że zaproponowane brzmienie przepisu nie będzie pozwalało na </w:t>
            </w:r>
            <w:r w:rsidRPr="0071113B">
              <w:rPr>
                <w:rFonts w:ascii="Lato" w:eastAsia="Arial" w:hAnsi="Lato" w:cs="Arial"/>
                <w:sz w:val="18"/>
                <w:szCs w:val="18"/>
              </w:rPr>
              <w:t>przeprowadza</w:t>
            </w:r>
            <w:r>
              <w:rPr>
                <w:rFonts w:ascii="Lato" w:eastAsia="Arial" w:hAnsi="Lato" w:cs="Arial"/>
                <w:sz w:val="18"/>
                <w:szCs w:val="18"/>
              </w:rPr>
              <w:t>nie</w:t>
            </w:r>
            <w:r w:rsidRPr="0071113B">
              <w:rPr>
                <w:rFonts w:ascii="Lato" w:eastAsia="Arial" w:hAnsi="Lato" w:cs="Arial"/>
                <w:sz w:val="18"/>
                <w:szCs w:val="18"/>
              </w:rPr>
              <w:t xml:space="preserve"> postępowania w sprawie gleboznawczej klasyfikacji gruntów na gruntach niestanowiących gruntów rolnych</w:t>
            </w:r>
            <w:r>
              <w:rPr>
                <w:rFonts w:ascii="Lato" w:eastAsia="Arial" w:hAnsi="Lato" w:cs="Arial"/>
                <w:sz w:val="18"/>
                <w:szCs w:val="18"/>
              </w:rPr>
              <w:t xml:space="preserve">, o które wnioskuje resort rolnictwa. Proponowane brzmienie wręcz utrwali przywołany w uzasadnieniu pogląd orzecznictwa sądów administracyjnych, że klasyfikację można przeprowadzić wyłącznie dla </w:t>
            </w:r>
            <w:r w:rsidRPr="0071113B">
              <w:rPr>
                <w:rFonts w:ascii="Lato" w:eastAsia="Arial" w:hAnsi="Lato" w:cs="Arial"/>
                <w:sz w:val="18"/>
                <w:szCs w:val="18"/>
              </w:rPr>
              <w:t>gruntów ujawnionych w ewidencji gruntów i budynków</w:t>
            </w:r>
            <w:r>
              <w:rPr>
                <w:rFonts w:ascii="Lato" w:eastAsia="Arial" w:hAnsi="Lato" w:cs="Arial"/>
                <w:sz w:val="18"/>
                <w:szCs w:val="18"/>
              </w:rPr>
              <w:t xml:space="preserve"> pod określoną grupą użytków gruntowych. Pojęcie bowiem </w:t>
            </w:r>
            <w:r>
              <w:rPr>
                <w:rFonts w:ascii="Lato" w:eastAsia="Arial" w:hAnsi="Lato" w:cs="Arial"/>
                <w:sz w:val="18"/>
                <w:szCs w:val="18"/>
              </w:rPr>
              <w:lastRenderedPageBreak/>
              <w:t xml:space="preserve">użytków rolnych funkcjonuje w rozporządzeniu </w:t>
            </w:r>
            <w:r w:rsidRPr="0037774A">
              <w:rPr>
                <w:rFonts w:ascii="Lato" w:eastAsia="Arial" w:hAnsi="Lato" w:cs="Arial"/>
                <w:bCs/>
                <w:sz w:val="18"/>
                <w:szCs w:val="18"/>
              </w:rPr>
              <w:t>z dnia 27 lipca 2021 r. w sprawie ewidencji gruntów i budynków</w:t>
            </w:r>
            <w:r>
              <w:rPr>
                <w:rFonts w:ascii="Lato" w:eastAsia="Arial" w:hAnsi="Lato" w:cs="Arial"/>
                <w:bCs/>
                <w:sz w:val="18"/>
                <w:szCs w:val="18"/>
              </w:rPr>
              <w:t>,</w:t>
            </w:r>
            <w:r>
              <w:rPr>
                <w:rFonts w:ascii="Lato" w:eastAsia="Arial" w:hAnsi="Lato" w:cs="Arial"/>
                <w:sz w:val="18"/>
                <w:szCs w:val="18"/>
              </w:rPr>
              <w:t xml:space="preserve"> podział bowiem </w:t>
            </w:r>
            <w:r w:rsidRPr="0037774A">
              <w:rPr>
                <w:rFonts w:ascii="Lato" w:eastAsia="Arial" w:hAnsi="Lato" w:cs="Arial"/>
                <w:bCs/>
                <w:sz w:val="18"/>
                <w:szCs w:val="18"/>
              </w:rPr>
              <w:t>grunt</w:t>
            </w:r>
            <w:r>
              <w:rPr>
                <w:rFonts w:ascii="Lato" w:eastAsia="Arial" w:hAnsi="Lato" w:cs="Arial"/>
                <w:bCs/>
                <w:sz w:val="18"/>
                <w:szCs w:val="18"/>
              </w:rPr>
              <w:t>ów</w:t>
            </w:r>
            <w:r w:rsidRPr="0037774A">
              <w:rPr>
                <w:rFonts w:ascii="Lato" w:eastAsia="Arial" w:hAnsi="Lato" w:cs="Arial"/>
                <w:bCs/>
                <w:sz w:val="18"/>
                <w:szCs w:val="18"/>
              </w:rPr>
              <w:t xml:space="preserve"> roln</w:t>
            </w:r>
            <w:r>
              <w:rPr>
                <w:rFonts w:ascii="Lato" w:eastAsia="Arial" w:hAnsi="Lato" w:cs="Arial"/>
                <w:bCs/>
                <w:sz w:val="18"/>
                <w:szCs w:val="18"/>
              </w:rPr>
              <w:t xml:space="preserve">ych </w:t>
            </w:r>
            <w:r w:rsidRPr="0037774A">
              <w:rPr>
                <w:rFonts w:ascii="Lato" w:eastAsia="Arial" w:hAnsi="Lato" w:cs="Arial"/>
                <w:bCs/>
                <w:sz w:val="18"/>
                <w:szCs w:val="18"/>
              </w:rPr>
              <w:t>na użytki rolne i nieużytki</w:t>
            </w:r>
            <w:r>
              <w:rPr>
                <w:rFonts w:ascii="Lato" w:eastAsia="Arial" w:hAnsi="Lato" w:cs="Arial"/>
                <w:bCs/>
                <w:sz w:val="18"/>
                <w:szCs w:val="18"/>
              </w:rPr>
              <w:t xml:space="preserve"> jest podziałem technicznym do celów prowadzenia ewidencji gruntów i budynków</w:t>
            </w:r>
            <w:r w:rsidRPr="0037774A">
              <w:rPr>
                <w:rFonts w:ascii="Lato" w:eastAsia="Arial" w:hAnsi="Lato" w:cs="Arial"/>
                <w:bCs/>
                <w:sz w:val="18"/>
                <w:szCs w:val="18"/>
              </w:rPr>
              <w:t>.</w:t>
            </w:r>
          </w:p>
          <w:p w14:paraId="6435DF68" w14:textId="60A38B80" w:rsidR="00A1261B" w:rsidRPr="00BC7438" w:rsidRDefault="00A1261B" w:rsidP="0037774A">
            <w:pPr>
              <w:pStyle w:val="Inne0"/>
              <w:shd w:val="clear" w:color="auto" w:fill="auto"/>
              <w:spacing w:before="120" w:after="120"/>
              <w:ind w:left="131" w:right="138"/>
              <w:rPr>
                <w:rFonts w:ascii="Lato" w:eastAsia="Arial" w:hAnsi="Lato" w:cs="Arial"/>
                <w:bCs/>
                <w:sz w:val="18"/>
                <w:szCs w:val="18"/>
              </w:rPr>
            </w:pPr>
            <w:r>
              <w:rPr>
                <w:rFonts w:ascii="Lato" w:eastAsia="Arial" w:hAnsi="Lato" w:cs="Arial"/>
                <w:bCs/>
                <w:sz w:val="18"/>
                <w:szCs w:val="18"/>
              </w:rPr>
              <w:t xml:space="preserve">Propozycja brzmienia </w:t>
            </w:r>
            <w:r w:rsidRPr="00BC7438">
              <w:rPr>
                <w:rFonts w:ascii="Lato" w:eastAsia="Arial" w:hAnsi="Lato" w:cs="Arial"/>
                <w:bCs/>
                <w:sz w:val="18"/>
                <w:szCs w:val="18"/>
              </w:rPr>
              <w:t>przepisu:</w:t>
            </w:r>
          </w:p>
          <w:p w14:paraId="0B752BF4" w14:textId="4937AE0A" w:rsidR="00A1261B" w:rsidRPr="00BC7438" w:rsidRDefault="00A1261B" w:rsidP="0037774A">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 xml:space="preserve">„Art. 26a. Grunty rolne </w:t>
            </w:r>
            <w:r w:rsidR="008C78A4">
              <w:rPr>
                <w:rFonts w:ascii="Lato" w:eastAsia="Arial" w:hAnsi="Lato" w:cs="Arial"/>
                <w:sz w:val="18"/>
                <w:szCs w:val="18"/>
              </w:rPr>
              <w:t xml:space="preserve">oraz </w:t>
            </w:r>
            <w:r w:rsidRPr="00BC7438">
              <w:rPr>
                <w:rFonts w:ascii="Lato" w:eastAsia="Arial" w:hAnsi="Lato" w:cs="Arial"/>
                <w:sz w:val="18"/>
                <w:szCs w:val="18"/>
              </w:rPr>
              <w:t>użytkowane rolniczo</w:t>
            </w:r>
            <w:r w:rsidR="008C78A4">
              <w:rPr>
                <w:rFonts w:ascii="Lato" w:eastAsia="Arial" w:hAnsi="Lato" w:cs="Arial"/>
                <w:sz w:val="18"/>
                <w:szCs w:val="18"/>
              </w:rPr>
              <w:t xml:space="preserve"> grunty niestanowiące gruntów rolnych</w:t>
            </w:r>
            <w:r w:rsidRPr="00BC7438">
              <w:rPr>
                <w:rFonts w:ascii="Lato" w:eastAsia="Arial" w:hAnsi="Lato" w:cs="Arial"/>
                <w:sz w:val="18"/>
                <w:szCs w:val="18"/>
              </w:rPr>
              <w:t>, obejmuje się gleboznawczą klasyfikacją gruntów, przeprowadzaną w sposób jednolity dla całego kraju, na podstawie urzędowej tabeli klas gruntów.”</w:t>
            </w:r>
          </w:p>
          <w:p w14:paraId="4419F89E" w14:textId="3A5203E5" w:rsidR="00A1261B" w:rsidRPr="0037774A" w:rsidRDefault="00A1261B" w:rsidP="0071113B">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W zakresie ograniczenia przeprowadzania gleboznawczej klasyfikacji gruntów wyłącznie do użytków rolnych odpowiedź jak w lp. 1</w:t>
            </w:r>
            <w:r w:rsidR="0070061A">
              <w:rPr>
                <w:rFonts w:ascii="Lato" w:eastAsia="Arial" w:hAnsi="Lato" w:cs="Arial"/>
                <w:sz w:val="18"/>
                <w:szCs w:val="18"/>
              </w:rPr>
              <w:t>6</w:t>
            </w:r>
            <w:r w:rsidRPr="00BC7438">
              <w:rPr>
                <w:rFonts w:ascii="Lato" w:eastAsia="Arial" w:hAnsi="Lato" w:cs="Arial"/>
                <w:sz w:val="18"/>
                <w:szCs w:val="18"/>
              </w:rPr>
              <w:t>.</w:t>
            </w:r>
          </w:p>
        </w:tc>
      </w:tr>
      <w:tr w:rsidR="00A1261B" w:rsidRPr="0037774A" w14:paraId="3CAFBAB5" w14:textId="3363A3A9" w:rsidTr="00A1261B">
        <w:trPr>
          <w:trHeight w:val="20"/>
        </w:trPr>
        <w:tc>
          <w:tcPr>
            <w:tcW w:w="709" w:type="dxa"/>
            <w:tcBorders>
              <w:top w:val="single" w:sz="4" w:space="0" w:color="auto"/>
              <w:left w:val="single" w:sz="4" w:space="0" w:color="auto"/>
              <w:bottom w:val="single" w:sz="4" w:space="0" w:color="auto"/>
            </w:tcBorders>
            <w:shd w:val="clear" w:color="auto" w:fill="FFFFFF"/>
          </w:tcPr>
          <w:p w14:paraId="5F44098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02DBF74" w14:textId="4A8373F3"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300404C0" w14:textId="77777777" w:rsidR="00A1261B" w:rsidRPr="0037774A" w:rsidRDefault="00A1261B" w:rsidP="0037774A">
            <w:pPr>
              <w:pStyle w:val="Inne0"/>
              <w:spacing w:before="120" w:after="120"/>
              <w:ind w:left="138" w:right="274"/>
              <w:rPr>
                <w:rFonts w:ascii="Lato" w:eastAsia="Arial" w:hAnsi="Lato" w:cs="Arial"/>
                <w:bCs/>
                <w:sz w:val="18"/>
                <w:szCs w:val="18"/>
              </w:rPr>
            </w:pPr>
            <w:r w:rsidRPr="0037774A">
              <w:rPr>
                <w:rFonts w:ascii="Lato" w:eastAsia="Arial" w:hAnsi="Lato" w:cs="Arial"/>
                <w:bCs/>
                <w:sz w:val="18"/>
                <w:szCs w:val="18"/>
              </w:rPr>
              <w:t>W uzasadnieniu do projektu ustawy znajduje się informacja, że: „</w:t>
            </w:r>
            <w:r w:rsidRPr="0037774A">
              <w:rPr>
                <w:rFonts w:ascii="Lato" w:eastAsia="Arial" w:hAnsi="Lato" w:cs="Arial"/>
                <w:bCs/>
                <w:i/>
                <w:sz w:val="18"/>
                <w:szCs w:val="18"/>
              </w:rPr>
              <w:t>Projektowane przepisy dodatkowo wyłączają z obowiązku przeprowadzenia gleboznawczej klasyfikacji gruntów na gruntach rolnych, dla których została wydana decyzja zezwalająca na wyłączenie gruntów z produkcji rolniczej, o której mowa w ustawie z dnia 3 lutego 1995 r. o ochronie gruntów rolnych i leśnych (Dz. U. z 2024 r. poz. 82).”</w:t>
            </w:r>
          </w:p>
          <w:p w14:paraId="2536FA91" w14:textId="77777777" w:rsidR="00A1261B" w:rsidRPr="0037774A" w:rsidRDefault="00A1261B" w:rsidP="0037774A">
            <w:pPr>
              <w:pStyle w:val="Inne0"/>
              <w:spacing w:before="120" w:after="120"/>
              <w:ind w:left="138" w:right="274"/>
              <w:rPr>
                <w:rFonts w:ascii="Lato" w:eastAsia="Arial" w:hAnsi="Lato" w:cs="Arial"/>
                <w:bCs/>
                <w:sz w:val="18"/>
                <w:szCs w:val="18"/>
              </w:rPr>
            </w:pPr>
            <w:r w:rsidRPr="0037774A">
              <w:rPr>
                <w:rFonts w:ascii="Lato" w:eastAsia="Arial" w:hAnsi="Lato" w:cs="Arial"/>
                <w:bCs/>
                <w:sz w:val="18"/>
                <w:szCs w:val="18"/>
              </w:rPr>
              <w:t>Natomiast projekt ustawy nie zawiera takiej regulacji.</w:t>
            </w:r>
          </w:p>
          <w:p w14:paraId="0616AF51" w14:textId="493744B9"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 xml:space="preserve">Z uwagi na istotny charakter takiej regulacji proponuje się dodanie przepisu mającego na celu wyłączenie możliwości przeprowadzenia gleboznawczej klasyfikacji gruntów w przypadku, gdy nastąpiło </w:t>
            </w:r>
            <w:r w:rsidRPr="0037774A">
              <w:rPr>
                <w:rFonts w:ascii="Lato" w:eastAsia="Arial" w:hAnsi="Lato" w:cs="Arial"/>
                <w:bCs/>
                <w:color w:val="auto"/>
                <w:sz w:val="18"/>
                <w:szCs w:val="18"/>
              </w:rPr>
              <w:t xml:space="preserve">już wyłączenie gruntów rolnych z produkcji rolniczej lub została wydana decyzja na podstawie art. 11 albo art. 28 ust. 1 i ust. 2 ustawy </w:t>
            </w:r>
            <w:r w:rsidRPr="0037774A">
              <w:rPr>
                <w:rFonts w:ascii="Lato" w:eastAsia="Arial" w:hAnsi="Lato" w:cs="Arial"/>
                <w:bCs/>
                <w:sz w:val="18"/>
                <w:szCs w:val="18"/>
              </w:rPr>
              <w:t xml:space="preserve">z dnia 3 lutego 1995 r. o ochronie gruntów rolnych i </w:t>
            </w:r>
            <w:r w:rsidRPr="0037774A">
              <w:rPr>
                <w:rFonts w:ascii="Lato" w:eastAsia="Arial" w:hAnsi="Lato" w:cs="Arial"/>
                <w:bCs/>
                <w:sz w:val="18"/>
                <w:szCs w:val="18"/>
              </w:rPr>
              <w:lastRenderedPageBreak/>
              <w:t xml:space="preserve">leśnych w zakresie wyłączenia gruntów z produkcji rolniczej. Praktyka pokazuje, że w przypadku naliczenia należności i opłat rocznych związanych z wyłączeniem gruntów rolnych z produkcji, inwestorzy w celu obniżenia tych opłat podejmowali czynności zmierzające do obniżenia klasy bonitacyjnej gruntów, w szczególności klas I-III. Zgodnie bowiem z art. 12 ust. 7 ustawy o ochronie gruntów rolnych i leśnych opłaty za wyłączenie gruntów z produkcji zależą od jakości gruntu oraz jego pochodzenia. Proponowana regulacja pozwoli na wyeliminowanie takich praktyk.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85441F3"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lastRenderedPageBreak/>
              <w:t xml:space="preserve">Po art. 26a ust. 1 proponuje się dodać ust. 2 w brzmieniu: </w:t>
            </w:r>
          </w:p>
          <w:p w14:paraId="2F5078AA" w14:textId="0372F1D4"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2. Nie przeprowadza się gleboznawczej klasyfikacji gruntów na gruntach stanowiących użytki rolne</w:t>
            </w:r>
            <w:r w:rsidRPr="0037774A">
              <w:rPr>
                <w:rFonts w:ascii="Lato" w:hAnsi="Lato"/>
                <w:b/>
                <w:sz w:val="18"/>
                <w:szCs w:val="18"/>
              </w:rPr>
              <w:t xml:space="preserve"> </w:t>
            </w:r>
            <w:r w:rsidRPr="0037774A">
              <w:rPr>
                <w:rFonts w:ascii="Lato" w:eastAsia="Arial" w:hAnsi="Lato" w:cs="Arial"/>
                <w:b/>
                <w:bCs/>
                <w:sz w:val="18"/>
                <w:szCs w:val="18"/>
              </w:rPr>
              <w:t xml:space="preserve">wyłączonych z produkcji rolniczej lub dla których została wydana decyzja na podstawie art. 11 </w:t>
            </w:r>
            <w:r w:rsidRPr="0037774A">
              <w:rPr>
                <w:rFonts w:ascii="Lato" w:eastAsia="Arial" w:hAnsi="Lato" w:cs="Arial"/>
                <w:b/>
                <w:bCs/>
                <w:color w:val="auto"/>
                <w:sz w:val="18"/>
                <w:szCs w:val="18"/>
              </w:rPr>
              <w:t>albo art. 28 ust. 1 i ust. 2 ustawy z dnia 3 lutego 1995 r. o ochronie gruntów</w:t>
            </w:r>
            <w:r w:rsidRPr="0037774A">
              <w:rPr>
                <w:rFonts w:ascii="Lato" w:eastAsia="Arial" w:hAnsi="Lato" w:cs="Arial"/>
                <w:b/>
                <w:bCs/>
                <w:sz w:val="18"/>
                <w:szCs w:val="18"/>
              </w:rPr>
              <w:t xml:space="preserve"> rolnych i leśnych (Dz. U. z 2024 r. poz. 82).</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A58DA5B" w14:textId="12AD65C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z modyfikacją.</w:t>
            </w:r>
          </w:p>
          <w:p w14:paraId="5195ADFC" w14:textId="7777777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Proponowane brzmienie:</w:t>
            </w:r>
          </w:p>
          <w:p w14:paraId="108A5134" w14:textId="69F90C09" w:rsidR="00A1261B" w:rsidRPr="00C7378A" w:rsidRDefault="00A1261B" w:rsidP="0037774A">
            <w:pPr>
              <w:pStyle w:val="Inne0"/>
              <w:shd w:val="clear" w:color="auto" w:fill="auto"/>
              <w:spacing w:before="120" w:after="120"/>
              <w:ind w:left="131" w:right="138"/>
              <w:rPr>
                <w:rFonts w:ascii="Lato" w:eastAsia="Arial" w:hAnsi="Lato" w:cs="Arial"/>
                <w:sz w:val="18"/>
                <w:szCs w:val="18"/>
              </w:rPr>
            </w:pPr>
            <w:bookmarkStart w:id="4" w:name="_Hlk210988714"/>
            <w:r w:rsidRPr="00BC7438">
              <w:rPr>
                <w:rFonts w:ascii="Lato" w:eastAsia="Arial" w:hAnsi="Lato" w:cs="Arial"/>
                <w:sz w:val="18"/>
                <w:szCs w:val="18"/>
              </w:rPr>
              <w:t>„2. Nie przeprowadza się gleboznawczej klasyfikacji gruntów na gruntach rolnych</w:t>
            </w:r>
            <w:r w:rsidRPr="00BC7438">
              <w:rPr>
                <w:rFonts w:ascii="Lato" w:hAnsi="Lato"/>
                <w:sz w:val="18"/>
                <w:szCs w:val="18"/>
              </w:rPr>
              <w:t xml:space="preserve"> </w:t>
            </w:r>
            <w:r w:rsidRPr="00BC7438">
              <w:rPr>
                <w:rFonts w:ascii="Lato" w:eastAsia="Arial" w:hAnsi="Lato" w:cs="Arial"/>
                <w:sz w:val="18"/>
                <w:szCs w:val="18"/>
              </w:rPr>
              <w:t xml:space="preserve">wyłączonych z produkcji rolniczej na podstawie decyzji, o których mowa w art. 11 ust. 1 i 2 </w:t>
            </w:r>
            <w:r w:rsidRPr="00BC7438">
              <w:rPr>
                <w:rFonts w:ascii="Lato" w:eastAsia="Arial" w:hAnsi="Lato" w:cs="Arial"/>
                <w:color w:val="auto"/>
                <w:sz w:val="18"/>
                <w:szCs w:val="18"/>
              </w:rPr>
              <w:t>lub art. 28 ust. 2 ustawy z dnia 3 lutego 1995 r. o ochronie gruntów</w:t>
            </w:r>
            <w:r w:rsidRPr="00BC7438">
              <w:rPr>
                <w:rFonts w:ascii="Lato" w:eastAsia="Arial" w:hAnsi="Lato" w:cs="Arial"/>
                <w:sz w:val="18"/>
                <w:szCs w:val="18"/>
              </w:rPr>
              <w:t xml:space="preserve"> rolnych i leśnych (Dz. U. z 2024 r. poz. 82), jeżeli od ich wydania nie minęło 2 lata.”</w:t>
            </w:r>
            <w:bookmarkEnd w:id="4"/>
          </w:p>
        </w:tc>
      </w:tr>
      <w:tr w:rsidR="00A1261B" w:rsidRPr="0037774A" w14:paraId="12C41CF4" w14:textId="255A0452" w:rsidTr="00A1261B">
        <w:trPr>
          <w:trHeight w:val="20"/>
        </w:trPr>
        <w:tc>
          <w:tcPr>
            <w:tcW w:w="709" w:type="dxa"/>
            <w:tcBorders>
              <w:top w:val="single" w:sz="4" w:space="0" w:color="auto"/>
              <w:left w:val="single" w:sz="4" w:space="0" w:color="auto"/>
              <w:bottom w:val="single" w:sz="4" w:space="0" w:color="auto"/>
            </w:tcBorders>
            <w:shd w:val="clear" w:color="auto" w:fill="FFFFFF"/>
          </w:tcPr>
          <w:p w14:paraId="3C9A7D0F"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DBC70FC" w14:textId="71F6C620"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1147206F" w14:textId="231BBA6E"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Propozycja ujednolicenia nazewnictwa. Proponuje się przy przeprowadzaniu gleboznawczej klasyfikacji gruntów z urzędu na gruntach objętych postępowaniem scaleniowym zastosować analogiczny zapis jak w przypadku przeprowadzania gleboznawczej klasyfikacji gruntów</w:t>
            </w:r>
            <w:r w:rsidRPr="0037774A">
              <w:rPr>
                <w:rFonts w:ascii="Lato" w:hAnsi="Lato"/>
                <w:sz w:val="18"/>
                <w:szCs w:val="18"/>
              </w:rPr>
              <w:t xml:space="preserve"> </w:t>
            </w:r>
            <w:r w:rsidRPr="0037774A">
              <w:rPr>
                <w:rFonts w:ascii="Lato" w:eastAsia="Arial" w:hAnsi="Lato" w:cs="Arial"/>
                <w:bCs/>
                <w:sz w:val="18"/>
                <w:szCs w:val="18"/>
              </w:rPr>
              <w:t>na gruntach, na których starosta przeprowadził modernizację ewidencji gruntów i budynków, tj. w przypadku stwierdzenia trwałej zmiany użytków gruntowych na gruntach podlegających gleboznawczej klasyfikacji gruntów.</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9CBCAB9"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t>W art. 26b w pkt. 1 lit. d proponuje się nadać brzmienie:</w:t>
            </w:r>
          </w:p>
          <w:p w14:paraId="70B3EE3B" w14:textId="1A2D2753"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 xml:space="preserve">„d) na gruntach objętych postępowaniem scaleniowym – w przypadku stwierdzenia </w:t>
            </w:r>
            <w:bookmarkStart w:id="5" w:name="_Hlk204177668"/>
            <w:r w:rsidRPr="0037774A">
              <w:rPr>
                <w:rFonts w:ascii="Lato" w:eastAsia="Arial" w:hAnsi="Lato" w:cs="Arial"/>
                <w:b/>
                <w:bCs/>
                <w:sz w:val="18"/>
                <w:szCs w:val="18"/>
              </w:rPr>
              <w:t>trwałej zmiany użytków gruntowych na gruntach podlegających gleboznawczej klasyfikacji gruntów</w:t>
            </w:r>
            <w:bookmarkEnd w:id="5"/>
            <w:r w:rsidRPr="0037774A">
              <w:rPr>
                <w:rFonts w:ascii="Lato" w:eastAsia="Arial" w:hAnsi="Lato" w:cs="Arial"/>
                <w:b/>
                <w:bCs/>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16836C7" w14:textId="70EE64BF" w:rsidR="00A1261B" w:rsidRPr="00BC7438" w:rsidRDefault="00A1261B" w:rsidP="0037774A">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Uwaga została uwzględniona z modyfikacją.</w:t>
            </w:r>
          </w:p>
          <w:p w14:paraId="6C334CBD" w14:textId="7687B82C" w:rsidR="00A1261B" w:rsidRPr="00BC7438" w:rsidRDefault="00A1261B" w:rsidP="0037774A">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Zmiana użytków gruntowych w ewidencji gruntów i budynków jest jedynie technicznym następstwem faktycznej zmiany sposobu użytkowania danego terenu i to ona powinna być przesłanką do przeprowadzenia gleboznawczej klasyfikacji gruntów.</w:t>
            </w:r>
          </w:p>
          <w:p w14:paraId="00973610" w14:textId="77777777" w:rsidR="00A1261B" w:rsidRPr="00BC7438" w:rsidRDefault="00A1261B" w:rsidP="0037774A">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Przyjęte brzmienie:</w:t>
            </w:r>
          </w:p>
          <w:p w14:paraId="09647BC2" w14:textId="30D7BAFE" w:rsidR="00A1261B" w:rsidRPr="00BC7438" w:rsidRDefault="00A1261B" w:rsidP="0037774A">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„d) na gruntach objętych postępowaniem scaleniowym – w przypadku stwierdzenia trwałej zmiany sposobu użytkowania gruntów na gruntach podlegających gleboznawczej klasyfikacji gruntów,”</w:t>
            </w:r>
          </w:p>
        </w:tc>
      </w:tr>
      <w:tr w:rsidR="00A1261B" w:rsidRPr="0037774A" w14:paraId="4C5348DE" w14:textId="6EEC7D44" w:rsidTr="00A1261B">
        <w:trPr>
          <w:trHeight w:val="20"/>
        </w:trPr>
        <w:tc>
          <w:tcPr>
            <w:tcW w:w="709" w:type="dxa"/>
            <w:tcBorders>
              <w:top w:val="single" w:sz="4" w:space="0" w:color="auto"/>
              <w:left w:val="single" w:sz="4" w:space="0" w:color="auto"/>
              <w:bottom w:val="single" w:sz="4" w:space="0" w:color="auto"/>
            </w:tcBorders>
            <w:shd w:val="clear" w:color="auto" w:fill="FFFFFF"/>
          </w:tcPr>
          <w:p w14:paraId="08976C00"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416E7AF" w14:textId="514A6867"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6DC2FA71" w14:textId="2E941BAC"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Propozycja ujednolicenia nazewnictwa. Proponuje się przy przeprowadzaniu gleboznawczej klasyfikacji gruntów na wniosek zastosować analogiczny zapis jak w przypadku przeprowadzania gleboznawczej klasyfikacji gruntów</w:t>
            </w:r>
            <w:r w:rsidRPr="0037774A">
              <w:rPr>
                <w:rFonts w:ascii="Lato" w:hAnsi="Lato"/>
                <w:sz w:val="18"/>
                <w:szCs w:val="18"/>
              </w:rPr>
              <w:t xml:space="preserve"> </w:t>
            </w:r>
            <w:r w:rsidRPr="0037774A">
              <w:rPr>
                <w:rFonts w:ascii="Lato" w:eastAsia="Arial" w:hAnsi="Lato" w:cs="Arial"/>
                <w:bCs/>
                <w:sz w:val="18"/>
                <w:szCs w:val="18"/>
              </w:rPr>
              <w:t>na gruntach, na których starosta przeprowadził modernizację ewidencji gruntów i budynków, tj. w przypadku stwierdzenia trwałej zmiany użytków gruntowych na gruntach podlegających gleboznawczej klasyfikacji gruntów.</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2F670AD"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t>W art. 26b w pkt. 2 lit. a proponuje się nadać brzmienie:</w:t>
            </w:r>
          </w:p>
          <w:p w14:paraId="6C0EA108" w14:textId="434D527F"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„a) trwałej zmiany użytków gruntowych na gruntach podlegających gleboznawczej klasyfikacji gruntów,”</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9EDA5FE" w14:textId="7777777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5C032ACC" w14:textId="06108EE4" w:rsidR="00A1261B" w:rsidRDefault="00A1261B" w:rsidP="00E06B89">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Obecne brzmienie jest prawidłowe. Zmiana </w:t>
            </w:r>
            <w:r w:rsidR="00C10003">
              <w:rPr>
                <w:rFonts w:ascii="Lato" w:eastAsia="Arial" w:hAnsi="Lato" w:cs="Arial"/>
                <w:sz w:val="18"/>
                <w:szCs w:val="18"/>
              </w:rPr>
              <w:t xml:space="preserve">oznaczenia </w:t>
            </w:r>
            <w:r>
              <w:rPr>
                <w:rFonts w:ascii="Lato" w:eastAsia="Arial" w:hAnsi="Lato" w:cs="Arial"/>
                <w:sz w:val="18"/>
                <w:szCs w:val="18"/>
              </w:rPr>
              <w:t>użytków gruntowych w ewidencji gruntów i budynków jest jedynie technicznym następstwem faktycznej zmiany sposobu użytkowania danego terenu i to ona powinna być przesłanką do przeprowadzenia gleboznawczej klasyfikacji gruntów.</w:t>
            </w:r>
          </w:p>
          <w:p w14:paraId="018E97F6" w14:textId="008DCDCC" w:rsidR="00A1261B" w:rsidRPr="0037774A" w:rsidRDefault="00A1261B" w:rsidP="0037774A">
            <w:pPr>
              <w:pStyle w:val="Inne0"/>
              <w:shd w:val="clear" w:color="auto" w:fill="auto"/>
              <w:spacing w:before="120" w:after="120"/>
              <w:ind w:left="131" w:right="138"/>
              <w:rPr>
                <w:rFonts w:ascii="Lato" w:eastAsia="Arial" w:hAnsi="Lato" w:cs="Arial"/>
                <w:sz w:val="18"/>
                <w:szCs w:val="18"/>
              </w:rPr>
            </w:pPr>
          </w:p>
        </w:tc>
      </w:tr>
      <w:tr w:rsidR="00A1261B" w:rsidRPr="0037774A" w14:paraId="1BA16A40" w14:textId="56686E64" w:rsidTr="00A1261B">
        <w:trPr>
          <w:trHeight w:val="20"/>
        </w:trPr>
        <w:tc>
          <w:tcPr>
            <w:tcW w:w="709" w:type="dxa"/>
            <w:tcBorders>
              <w:top w:val="single" w:sz="4" w:space="0" w:color="auto"/>
              <w:left w:val="single" w:sz="4" w:space="0" w:color="auto"/>
              <w:bottom w:val="single" w:sz="4" w:space="0" w:color="auto"/>
            </w:tcBorders>
            <w:shd w:val="clear" w:color="auto" w:fill="FFFFFF"/>
          </w:tcPr>
          <w:p w14:paraId="321F5C71"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82A3530" w14:textId="0862AE14"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06475FFD" w14:textId="4CBCFAE0"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 xml:space="preserve">Przepis art. 26 b ust. pkt 1 lit. f jest zbyt ogólny i nie wskazuje na konkretne przesłanki, które pozwalałyby organowi z urzędu podjąć postępowanie w zakresie zmiany gleboznawczej klasyfikacji gruntów. Wskazać należy, że przepisy art. 24 ust. 2a lit. d ustawy - Prawo geodezyjne i kartograficzne określają kiedy dane ewidencyjne mogą być zmieniane w związku z błędami wykrytymi na podstawie materiałów państwowego </w:t>
            </w:r>
            <w:r w:rsidRPr="0037774A">
              <w:rPr>
                <w:rFonts w:ascii="Lato" w:eastAsia="Arial" w:hAnsi="Lato" w:cs="Arial"/>
                <w:bCs/>
                <w:sz w:val="18"/>
                <w:szCs w:val="18"/>
              </w:rPr>
              <w:lastRenderedPageBreak/>
              <w:t>zasobu geodezyjnego i kartograficznego. W związku z tym, kwestia ta jest już uregulowana w przepisach i wprowadzenie dodatkowej regulacji w projektowanych przepisach, będzie jedynie budziło wątpliwości, jakie inne przypadki mogą pozwolić na podjęcie z urzędu tej czynności.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8F13367" w14:textId="77777777" w:rsidR="00A1261B" w:rsidRPr="0037774A" w:rsidRDefault="00A1261B" w:rsidP="0037774A">
            <w:pPr>
              <w:pStyle w:val="Inne0"/>
              <w:spacing w:before="120" w:after="120"/>
              <w:ind w:left="125" w:right="136"/>
              <w:rPr>
                <w:rFonts w:ascii="Lato" w:eastAsia="Arial" w:hAnsi="Lato" w:cs="Arial"/>
                <w:bCs/>
                <w:sz w:val="18"/>
                <w:szCs w:val="18"/>
              </w:rPr>
            </w:pPr>
            <w:r w:rsidRPr="0037774A">
              <w:rPr>
                <w:rFonts w:ascii="Lato" w:eastAsia="Arial" w:hAnsi="Lato" w:cs="Arial"/>
                <w:bCs/>
                <w:sz w:val="18"/>
                <w:szCs w:val="18"/>
              </w:rPr>
              <w:lastRenderedPageBreak/>
              <w:t xml:space="preserve">W art. 26b ust. 1 pkt 1 proponuje się wykreślić lit f. </w:t>
            </w:r>
          </w:p>
          <w:p w14:paraId="7B3A0F99"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F5FCABE" w14:textId="1A9DA9C5" w:rsidR="00A1261B" w:rsidRPr="0037774A" w:rsidRDefault="00A1261B" w:rsidP="00E06B89">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259E5B31" w14:textId="18F1CD38" w:rsidTr="00A1261B">
        <w:trPr>
          <w:trHeight w:val="20"/>
        </w:trPr>
        <w:tc>
          <w:tcPr>
            <w:tcW w:w="709" w:type="dxa"/>
            <w:tcBorders>
              <w:top w:val="single" w:sz="4" w:space="0" w:color="auto"/>
              <w:left w:val="single" w:sz="4" w:space="0" w:color="auto"/>
              <w:bottom w:val="single" w:sz="4" w:space="0" w:color="auto"/>
            </w:tcBorders>
            <w:shd w:val="clear" w:color="auto" w:fill="FFFFFF"/>
          </w:tcPr>
          <w:p w14:paraId="1A75C7EF"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383D585" w14:textId="568564ED"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63A323E9" w14:textId="567DAF3D"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bCs/>
                <w:sz w:val="18"/>
                <w:szCs w:val="18"/>
              </w:rPr>
              <w:t>Propozycja ujednolicenia nazewnictwa. W definicji prac klasyfikacyjnych (art. 2 pkt 1a) oraz w art. 26c ust. 3 jest mowa o sporządzaniu operatu klasyfikacyjnego, a nie o wykonaniu</w:t>
            </w:r>
            <w:r w:rsidRPr="0037774A">
              <w:rPr>
                <w:rFonts w:ascii="Lato" w:hAnsi="Lato"/>
                <w:sz w:val="18"/>
                <w:szCs w:val="18"/>
              </w:rPr>
              <w:t xml:space="preserve"> </w:t>
            </w:r>
            <w:r w:rsidRPr="0037774A">
              <w:rPr>
                <w:rFonts w:ascii="Lato" w:eastAsia="Arial" w:hAnsi="Lato" w:cs="Arial"/>
                <w:bCs/>
                <w:sz w:val="18"/>
                <w:szCs w:val="18"/>
              </w:rPr>
              <w:t xml:space="preserve">operatu klasyfikacyjnego.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B89A84" w14:textId="77777777" w:rsidR="00A1261B" w:rsidRPr="0037774A" w:rsidRDefault="00A1261B" w:rsidP="0037774A">
            <w:pPr>
              <w:pStyle w:val="Inne0"/>
              <w:shd w:val="clear" w:color="auto" w:fill="auto"/>
              <w:spacing w:before="120" w:after="120"/>
              <w:ind w:left="125" w:right="136"/>
              <w:rPr>
                <w:rFonts w:ascii="Lato" w:eastAsia="Arial" w:hAnsi="Lato" w:cs="Arial"/>
                <w:bCs/>
                <w:sz w:val="18"/>
                <w:szCs w:val="18"/>
              </w:rPr>
            </w:pPr>
            <w:r w:rsidRPr="0037774A">
              <w:rPr>
                <w:rFonts w:ascii="Lato" w:eastAsia="Arial" w:hAnsi="Lato" w:cs="Arial"/>
                <w:bCs/>
                <w:sz w:val="18"/>
                <w:szCs w:val="18"/>
              </w:rPr>
              <w:t>W art. 26c w ust. 1 pkt. 1 proponuje się nadać brzmienie:</w:t>
            </w:r>
          </w:p>
          <w:p w14:paraId="04A57E43" w14:textId="7B0C8E3F"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 xml:space="preserve">1) </w:t>
            </w:r>
            <w:r w:rsidRPr="0037774A">
              <w:rPr>
                <w:rFonts w:ascii="Lato" w:eastAsia="Arial" w:hAnsi="Lato" w:cs="Arial"/>
                <w:b/>
                <w:bCs/>
                <w:color w:val="auto"/>
                <w:sz w:val="18"/>
                <w:szCs w:val="18"/>
              </w:rPr>
              <w:t xml:space="preserve">zleca sporządzenie </w:t>
            </w:r>
            <w:r w:rsidRPr="0037774A">
              <w:rPr>
                <w:rFonts w:ascii="Lato" w:eastAsia="Arial" w:hAnsi="Lato" w:cs="Arial"/>
                <w:b/>
                <w:bCs/>
                <w:sz w:val="18"/>
                <w:szCs w:val="18"/>
              </w:rPr>
              <w:t>operatu klasyfikacyjnego klasyfikatorowi gruntów i upoważnia go do wykonania prac klasyfikacyjnych;</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F5A89EE" w14:textId="5BB1B0DE"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71D743ED" w14:textId="1F6A25DC" w:rsidTr="00A1261B">
        <w:trPr>
          <w:trHeight w:val="20"/>
        </w:trPr>
        <w:tc>
          <w:tcPr>
            <w:tcW w:w="709" w:type="dxa"/>
            <w:tcBorders>
              <w:top w:val="single" w:sz="4" w:space="0" w:color="auto"/>
              <w:left w:val="single" w:sz="4" w:space="0" w:color="auto"/>
              <w:bottom w:val="single" w:sz="4" w:space="0" w:color="auto"/>
            </w:tcBorders>
            <w:shd w:val="clear" w:color="auto" w:fill="FFFFFF"/>
          </w:tcPr>
          <w:p w14:paraId="471D1C86"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2DC2396" w14:textId="2BB9EDFD"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124E0258" w14:textId="16EBDA5B"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Arial"/>
                <w:sz w:val="18"/>
                <w:szCs w:val="18"/>
              </w:rPr>
              <w:t>Proponuje się doprecyzować w art. 26c ust. 2, że starosta dokonuje oceny zgodności</w:t>
            </w:r>
            <w:r w:rsidRPr="0037774A">
              <w:rPr>
                <w:rFonts w:ascii="Lato" w:hAnsi="Lato" w:cs="Arial"/>
                <w:color w:val="auto"/>
                <w:sz w:val="18"/>
                <w:szCs w:val="18"/>
              </w:rPr>
              <w:t xml:space="preserve"> sporządzonego </w:t>
            </w:r>
            <w:r w:rsidRPr="0037774A">
              <w:rPr>
                <w:rFonts w:ascii="Lato" w:hAnsi="Lato" w:cs="Arial"/>
                <w:sz w:val="18"/>
                <w:szCs w:val="18"/>
              </w:rPr>
              <w:t>operatu klasyfikacyjnego z obowiązującymi przepisami prawa przy pomocy klasyfikatora gruntów jedynie w przypadku przeprowadzania kontroli terenowej i wykonania odkrywek glebowych.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124878F" w14:textId="77777777" w:rsidR="00A1261B" w:rsidRPr="0037774A" w:rsidRDefault="00A1261B" w:rsidP="0037774A">
            <w:pPr>
              <w:pStyle w:val="Inne0"/>
              <w:shd w:val="clear" w:color="auto" w:fill="auto"/>
              <w:spacing w:before="120" w:after="120"/>
              <w:ind w:left="125" w:right="136"/>
              <w:rPr>
                <w:rFonts w:ascii="Lato" w:eastAsia="Arial" w:hAnsi="Lato" w:cs="Arial"/>
                <w:bCs/>
                <w:sz w:val="18"/>
                <w:szCs w:val="18"/>
              </w:rPr>
            </w:pPr>
            <w:r w:rsidRPr="0037774A">
              <w:rPr>
                <w:rFonts w:ascii="Lato" w:eastAsia="Arial" w:hAnsi="Lato" w:cs="Arial"/>
                <w:bCs/>
                <w:sz w:val="18"/>
                <w:szCs w:val="18"/>
              </w:rPr>
              <w:t>Proponuje się w art. 26c w ust. 1 pkt 3 nadać następujące brzmienie:</w:t>
            </w:r>
          </w:p>
          <w:p w14:paraId="21716320" w14:textId="77777777" w:rsidR="00A1261B" w:rsidRPr="0037774A" w:rsidRDefault="00A1261B" w:rsidP="0037774A">
            <w:pPr>
              <w:pStyle w:val="Inne0"/>
              <w:tabs>
                <w:tab w:val="left" w:pos="366"/>
                <w:tab w:val="left" w:pos="552"/>
              </w:tabs>
              <w:spacing w:before="120" w:after="120"/>
              <w:ind w:left="125" w:right="136"/>
              <w:rPr>
                <w:rFonts w:ascii="Lato" w:eastAsia="Arial" w:hAnsi="Lato" w:cs="Arial"/>
                <w:b/>
                <w:bCs/>
                <w:sz w:val="18"/>
                <w:szCs w:val="18"/>
              </w:rPr>
            </w:pPr>
            <w:r w:rsidRPr="0037774A">
              <w:rPr>
                <w:rFonts w:ascii="Lato" w:eastAsia="Arial" w:hAnsi="Lato" w:cs="Arial"/>
                <w:b/>
                <w:bCs/>
                <w:sz w:val="18"/>
                <w:szCs w:val="18"/>
              </w:rPr>
              <w:t>„3)</w:t>
            </w:r>
            <w:r w:rsidRPr="0037774A">
              <w:rPr>
                <w:rFonts w:ascii="Lato" w:eastAsia="Arial" w:hAnsi="Lato" w:cs="Arial"/>
                <w:b/>
                <w:bCs/>
                <w:sz w:val="18"/>
                <w:szCs w:val="18"/>
              </w:rPr>
              <w:tab/>
              <w:t>dokonuje oceny zgodności operatu klasyfikacyjnego z obowiązującymi przepisami prawa, w tym:</w:t>
            </w:r>
          </w:p>
          <w:p w14:paraId="15F484F0" w14:textId="77777777" w:rsidR="00A1261B" w:rsidRPr="0037774A" w:rsidRDefault="00A1261B" w:rsidP="0037774A">
            <w:pPr>
              <w:pStyle w:val="Inne0"/>
              <w:spacing w:before="120" w:after="120"/>
              <w:ind w:left="125" w:right="136"/>
              <w:rPr>
                <w:rFonts w:ascii="Lato" w:eastAsia="Arial" w:hAnsi="Lato" w:cs="Arial"/>
                <w:b/>
                <w:bCs/>
                <w:sz w:val="18"/>
                <w:szCs w:val="18"/>
              </w:rPr>
            </w:pPr>
            <w:r w:rsidRPr="0037774A">
              <w:rPr>
                <w:rFonts w:ascii="Lato" w:eastAsia="Arial" w:hAnsi="Lato" w:cs="Arial"/>
                <w:b/>
                <w:bCs/>
                <w:sz w:val="18"/>
                <w:szCs w:val="18"/>
              </w:rPr>
              <w:t xml:space="preserve">a) w uzasadnionych przypadkach przeprowadza kontrolę terenową i wykonanie odkrywek glebowych, </w:t>
            </w:r>
          </w:p>
          <w:p w14:paraId="609CBB82" w14:textId="77777777" w:rsidR="00A1261B" w:rsidRPr="0037774A" w:rsidRDefault="00A1261B" w:rsidP="0037774A">
            <w:pPr>
              <w:pStyle w:val="Inne0"/>
              <w:shd w:val="clear" w:color="auto" w:fill="auto"/>
              <w:spacing w:before="120" w:after="120"/>
              <w:ind w:left="125" w:right="136"/>
              <w:rPr>
                <w:rFonts w:ascii="Lato" w:eastAsia="Arial" w:hAnsi="Lato" w:cs="Arial"/>
                <w:b/>
                <w:bCs/>
                <w:sz w:val="18"/>
                <w:szCs w:val="18"/>
              </w:rPr>
            </w:pPr>
            <w:r w:rsidRPr="0037774A">
              <w:rPr>
                <w:rFonts w:ascii="Lato" w:eastAsia="Arial" w:hAnsi="Lato" w:cs="Arial"/>
                <w:b/>
                <w:bCs/>
                <w:sz w:val="18"/>
                <w:szCs w:val="18"/>
              </w:rPr>
              <w:t>b) w przypadku stwierdzenia wadliwego wykonania prac zwraca dokumentację do poprawy i uzupełnienia;”</w:t>
            </w:r>
          </w:p>
          <w:p w14:paraId="55BC9D12" w14:textId="77D25FA3"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Cs/>
                <w:sz w:val="18"/>
                <w:szCs w:val="18"/>
              </w:rPr>
              <w:t>W art. 26c w ust. 2 po wyrazach „o której mowa w ust. 1 pkt 3” proponuje się dodać „lit. a”.</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63B3DD1" w14:textId="25E55276"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7281276E" w14:textId="69BF4D0C" w:rsidTr="00A1261B">
        <w:trPr>
          <w:trHeight w:val="20"/>
        </w:trPr>
        <w:tc>
          <w:tcPr>
            <w:tcW w:w="709" w:type="dxa"/>
            <w:tcBorders>
              <w:top w:val="single" w:sz="4" w:space="0" w:color="auto"/>
              <w:left w:val="single" w:sz="4" w:space="0" w:color="auto"/>
              <w:bottom w:val="single" w:sz="4" w:space="0" w:color="auto"/>
            </w:tcBorders>
            <w:shd w:val="clear" w:color="auto" w:fill="FFFFFF"/>
          </w:tcPr>
          <w:p w14:paraId="6A55CDD0"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8C581FF" w14:textId="5CABE241"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4C1900E2" w14:textId="4913C323"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Arial"/>
                <w:sz w:val="18"/>
                <w:szCs w:val="18"/>
              </w:rPr>
              <w:t>Propozycja uregulowania kwestii upoważniania klasyfikatora gruntów w przypadku realizacji prac klasyfikacyjnych po wszczęciu postępowania scaleniowego. Prace klasyfikacyjne stanowią jeden z rodzajów prac scaleniowych niezbędnych do prowadzenia postępowania scaleniowego i mają istotny wpływ na dokonanie szacunku gruntów. Dlatego zasadne jest, aby prace klasyfikacyjne wykonywane w ramach postepowania scaleniowego realizował upoważniony przez starostę  klasyfikator gruntów wskazany przez jednostkę organizacyjną samorządu województwa wykonującą prace scaleniowe w ramach podpisanego porozumienia.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631E24B" w14:textId="77777777" w:rsidR="00A1261B" w:rsidRPr="0037774A" w:rsidRDefault="00A1261B" w:rsidP="0037774A">
            <w:pPr>
              <w:pStyle w:val="Inne0"/>
              <w:shd w:val="clear" w:color="auto" w:fill="auto"/>
              <w:spacing w:before="120" w:after="120"/>
              <w:ind w:left="125" w:right="136"/>
              <w:rPr>
                <w:rFonts w:ascii="Lato" w:eastAsia="Arial" w:hAnsi="Lato" w:cs="Arial"/>
                <w:bCs/>
                <w:sz w:val="18"/>
                <w:szCs w:val="18"/>
              </w:rPr>
            </w:pPr>
            <w:r w:rsidRPr="0037774A">
              <w:rPr>
                <w:rFonts w:ascii="Lato" w:eastAsia="Arial" w:hAnsi="Lato" w:cs="Arial"/>
                <w:bCs/>
                <w:sz w:val="18"/>
                <w:szCs w:val="18"/>
              </w:rPr>
              <w:t>Proponuje się w art. 26c projektowanemu ust. 2 nadać brzmienie:</w:t>
            </w:r>
          </w:p>
          <w:p w14:paraId="12C32327" w14:textId="77777777" w:rsidR="00A1261B" w:rsidRPr="0037774A" w:rsidRDefault="00A1261B" w:rsidP="0037774A">
            <w:pPr>
              <w:pStyle w:val="Inne0"/>
              <w:shd w:val="clear" w:color="auto" w:fill="auto"/>
              <w:spacing w:before="120" w:after="120"/>
              <w:ind w:left="125" w:right="136"/>
              <w:rPr>
                <w:rFonts w:ascii="Lato" w:eastAsia="Arial" w:hAnsi="Lato" w:cs="Arial"/>
                <w:b/>
                <w:bCs/>
                <w:sz w:val="18"/>
                <w:szCs w:val="18"/>
              </w:rPr>
            </w:pPr>
            <w:r w:rsidRPr="0037774A">
              <w:rPr>
                <w:rFonts w:ascii="Lato" w:eastAsia="Arial" w:hAnsi="Lato" w:cs="Arial"/>
                <w:b/>
                <w:bCs/>
                <w:sz w:val="18"/>
                <w:szCs w:val="18"/>
              </w:rPr>
              <w:t xml:space="preserve">„2. </w:t>
            </w:r>
            <w:bookmarkStart w:id="6" w:name="_Hlk204178303"/>
            <w:r w:rsidRPr="0037774A">
              <w:rPr>
                <w:rFonts w:ascii="Lato" w:eastAsia="Arial" w:hAnsi="Lato" w:cs="Arial"/>
                <w:b/>
                <w:bCs/>
                <w:sz w:val="18"/>
                <w:szCs w:val="18"/>
              </w:rPr>
              <w:t>W przypadku przeprowadzania postępowania, o którym mowa w art. 26b ust. 1 pkt 1 lit. d, prace klasyfikacyjne wykonuje upoważniony przez starostę klasyfikator gruntów wskazany przez jednostkę organizacyjną, o której mowa w art. 3 ust. 4 ustawy z dnia 26 marca 1982 r. o scalaniu i wymianie gruntów (Dz. U. z 2023 r. poz. 1197), w ramach podpisanego porozumienia na wykonanie prac scaleniowych</w:t>
            </w:r>
            <w:bookmarkEnd w:id="6"/>
            <w:r w:rsidRPr="0037774A">
              <w:rPr>
                <w:rFonts w:ascii="Lato" w:eastAsia="Arial" w:hAnsi="Lato" w:cs="Arial"/>
                <w:b/>
                <w:bCs/>
                <w:sz w:val="18"/>
                <w:szCs w:val="18"/>
              </w:rPr>
              <w:t>.”,</w:t>
            </w:r>
          </w:p>
          <w:p w14:paraId="7643B1A5" w14:textId="632842B8"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Cs/>
                <w:sz w:val="18"/>
                <w:szCs w:val="18"/>
              </w:rPr>
              <w:t>natomiast dotychczasowe ustępy 2-9 proponuje się przenumerować jako 3-10.</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AFBA231" w14:textId="7DA27F32"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188D9306" w14:textId="528A3406" w:rsidTr="00A1261B">
        <w:trPr>
          <w:trHeight w:val="20"/>
        </w:trPr>
        <w:tc>
          <w:tcPr>
            <w:tcW w:w="709" w:type="dxa"/>
            <w:tcBorders>
              <w:top w:val="single" w:sz="4" w:space="0" w:color="auto"/>
              <w:left w:val="single" w:sz="4" w:space="0" w:color="auto"/>
              <w:bottom w:val="single" w:sz="4" w:space="0" w:color="auto"/>
            </w:tcBorders>
            <w:shd w:val="clear" w:color="auto" w:fill="FFFFFF"/>
          </w:tcPr>
          <w:p w14:paraId="5FD28A04"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B059A64" w14:textId="67BD2FBB"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w:t>
            </w:r>
            <w:r w:rsidRPr="0037774A">
              <w:rPr>
                <w:rFonts w:ascii="Lato" w:eastAsia="Arial" w:hAnsi="Lato" w:cs="Arial"/>
                <w:bCs/>
                <w:sz w:val="18"/>
                <w:szCs w:val="18"/>
              </w:rPr>
              <w:lastRenderedPageBreak/>
              <w:t xml:space="preserve">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5FDD0534"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lastRenderedPageBreak/>
              <w:t xml:space="preserve">Proponowane regulacje w art. 26d dotyczące </w:t>
            </w:r>
            <w:r w:rsidRPr="0037774A">
              <w:rPr>
                <w:rFonts w:ascii="Lato" w:hAnsi="Lato" w:cs="Arial"/>
                <w:sz w:val="18"/>
                <w:szCs w:val="18"/>
              </w:rPr>
              <w:lastRenderedPageBreak/>
              <w:t xml:space="preserve">określenia niezbędnych kwalifikacji dla osób uprawnionych do przeprowadzania czynności klasyfikacyjnych w ramach gleboznawczej klasyfikacji gruntów znacznie różnią się od propozycji zgłoszonych do Wykazu prac legislacyjnych i programowych Rady Ministrów, a uzgodnionych w ramach </w:t>
            </w:r>
            <w:proofErr w:type="spellStart"/>
            <w:r w:rsidRPr="0037774A">
              <w:rPr>
                <w:rFonts w:ascii="Lato" w:hAnsi="Lato" w:cs="Arial"/>
                <w:sz w:val="18"/>
                <w:szCs w:val="18"/>
              </w:rPr>
              <w:t>prekonsultacji</w:t>
            </w:r>
            <w:proofErr w:type="spellEnd"/>
            <w:r w:rsidRPr="0037774A">
              <w:rPr>
                <w:rFonts w:ascii="Lato" w:hAnsi="Lato" w:cs="Arial"/>
                <w:sz w:val="18"/>
                <w:szCs w:val="18"/>
              </w:rPr>
              <w:t xml:space="preserve"> z Ministerstwem Rolnictwa i Rozwoju Wsi. </w:t>
            </w:r>
          </w:p>
          <w:p w14:paraId="3D1D87CA"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 xml:space="preserve">Uzgodnione propozycje w ramach </w:t>
            </w:r>
            <w:proofErr w:type="spellStart"/>
            <w:r w:rsidRPr="0037774A">
              <w:rPr>
                <w:rFonts w:ascii="Lato" w:hAnsi="Lato" w:cs="Arial"/>
                <w:sz w:val="18"/>
                <w:szCs w:val="18"/>
              </w:rPr>
              <w:t>prekonsultacji</w:t>
            </w:r>
            <w:proofErr w:type="spellEnd"/>
            <w:r w:rsidRPr="0037774A">
              <w:rPr>
                <w:rFonts w:ascii="Lato" w:hAnsi="Lato" w:cs="Arial"/>
                <w:sz w:val="18"/>
                <w:szCs w:val="18"/>
              </w:rPr>
              <w:t xml:space="preserve"> i zawarte w Wykazie prac legislacyjnych i programowych Rady Ministrów nr UD60 określały, że:</w:t>
            </w:r>
          </w:p>
          <w:p w14:paraId="30EF1970"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1) uprawnienia zawodowe w zakresie gleboznawczej klasyfikacji gruntów nadawane będą przez Głównego Geodetę Kraju. Osoba zainteresowana uzyskaniem uprawnień zawodowych w zakresie gleboznawczej klasyfikacji gruntów będzie musiała wykazać się posiadaniem świadectwa ukończenia studiów o specjalności gleboznawstwo, albo podyplomowych studiów w zakresie gleboznawstwa, gleboznawczej klasyfikacji gruntów i kartografii gleb lub kursów z zakresu gleboznawczej klasyfikacji gruntów, gleboznawczej klasyfikacji gruntów i kartografii gleb, odpowiednią praktyką zawodową z zakresu gleboznawczej klasyfikacji gruntów oraz znajomością przepisów w zakresie gleboznawczej klasyfikacji gruntów oraz ewidencji gruntów i budynków (egzamin);</w:t>
            </w:r>
          </w:p>
          <w:p w14:paraId="5FAFBB59"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 xml:space="preserve">2) praktyka zawodowa z zakresu gleboznawczej klasyfikacji gruntów obejmować będzie wykonywanie prac klasyfikacyjnych pod kierunkiem klasyfikatora gruntów i będzie można ją odbyć po ukończeniu studiów, studiów podyplomowych lub odpowiednich kursów. Dziennik praktyki zawodowej wydawany będzie przez Głównego Geodetę Kraju na wniosek osoby zainteresowanej. W celu uzyskania uprawnień zawodowych osoba zainteresowana będzie musiała złożyć wniosek do Głównego Geodety Kraju o nadanie uprawnień zawodowych oraz przejść postępowanie kwalifikacyjne, składające się z części wstępnej (weryfikacji dokumentów) i sprawdzającej (egzamin ze znajomości przepisów). Komisja kwalifikacyjna powoływana będzie przez Głównego Geodetę Kraju z udziałem przedstawicieli stowarzyszeń społeczno-zawodowych działających w zakresie </w:t>
            </w:r>
            <w:r w:rsidRPr="0037774A">
              <w:rPr>
                <w:rFonts w:ascii="Lato" w:hAnsi="Lato" w:cs="Arial"/>
                <w:sz w:val="18"/>
                <w:szCs w:val="18"/>
              </w:rPr>
              <w:lastRenderedPageBreak/>
              <w:t>gleboznawczej klasyfikacji gruntów;</w:t>
            </w:r>
          </w:p>
          <w:p w14:paraId="73B3211E"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3) warunki uznawania praktyki zawodowej z zakresu gleboznawczej klasyfikacji gruntów, a także sposób prowadzenia dziennika praktyki zawodowej i wysokość opłaty za jego wydanie osobie zainteresowanej jak również wysokość opłaty za przeprowadzenie postępowania kwalifikacyjnego, zostaną określone w rozporządzeniu wykonawczym. Przyjmuje się, że wysokość opłaty za przeprowadzenie postępowania kwalifikacyjnego przy uzyskiwaniu uprawnień w zakresie gleboznawczej klasyfikacji gruntów pozostanie na tym samym poziomie co dla uprawnień zawodowych w dziedzinie geodezji i kartografii. Wysokość opłaty za postępowanie kwalifikacyjne obejmujące część wstępną i część sprawdzającą wynosi obecnie 1074 zł (1228 zł) i stanowi dochód Funduszu Gospodarki Zasobem Geodezyjnym i Kartograficznym (</w:t>
            </w:r>
            <w:proofErr w:type="spellStart"/>
            <w:r w:rsidRPr="0037774A">
              <w:rPr>
                <w:rFonts w:ascii="Lato" w:hAnsi="Lato" w:cs="Arial"/>
                <w:sz w:val="18"/>
                <w:szCs w:val="18"/>
              </w:rPr>
              <w:t>FGZGiK</w:t>
            </w:r>
            <w:proofErr w:type="spellEnd"/>
            <w:r w:rsidRPr="0037774A">
              <w:rPr>
                <w:rFonts w:ascii="Lato" w:hAnsi="Lato" w:cs="Arial"/>
                <w:sz w:val="18"/>
                <w:szCs w:val="18"/>
              </w:rPr>
              <w:t>), prowadzonego przez Głównego Geodetę Kraju;</w:t>
            </w:r>
          </w:p>
          <w:p w14:paraId="3A0A694B"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4) prawo do wykonywania prac klasyfikacyjnych uzyskiwane będzie z dniem wpisu osoby przez Głównego Geodetę Kraju do centralnego rejestru osób posiadających uprawnienia zawodowe. Przewiduje się, że czas niezbędny na zdobycie uprawnień zawodowych z zakresu gleboznawczej klasyfikacji gruntów (konieczny do uzyskania niezbędnego wykształcenia i odbycia obowiązkowej praktyki zawodowej) wyniesie od 3 do 6 lat, w zależności od rodzaju uzyskanego wykształcenia. Dla osób, które dotychczas wykonywały gleboznawczą klasyfikację gruntów, określone zostaną podstawy, które umożliwią wpisanie ich przez Głównego Geodetę Kraju, w drodze decyzji, do centralnego rejestru osób posiadających uprawnienia zawodowe, po złożeniu przez te osoby wniosku, zawierającego potwierdzenie posiadanego wykształcenia w zakresie gleboznawstwa lub gleboznawczej klasyfikacji gruntów i kartografii gleb oraz doświadczenia zawodowego w zakresie sporządzania projektów ustalenia gleboznawczej klasyfikacji gruntów.</w:t>
            </w:r>
          </w:p>
          <w:p w14:paraId="3C764394"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 xml:space="preserve">W związku z powyższym, nie akceptujemy propozycji rozwiązań zawartych w art. 26d projektu ustawy, które nie rozwiązują problemu braku regulacji dotyczących określenia niezbędnych </w:t>
            </w:r>
            <w:r w:rsidRPr="0037774A">
              <w:rPr>
                <w:rFonts w:ascii="Lato" w:hAnsi="Lato" w:cs="Arial"/>
                <w:sz w:val="18"/>
                <w:szCs w:val="18"/>
              </w:rPr>
              <w:lastRenderedPageBreak/>
              <w:t>kwalifikacji dla osób uprawnionych do przeprowadzania czynności klasyfikacyjnych w ramach gleboznawczej klasyfikacji gruntów, o którym mowa w Wynikach kontroli Najwyższej Izby Kontroli w zakresie:</w:t>
            </w:r>
          </w:p>
          <w:p w14:paraId="200B5CBC" w14:textId="77777777" w:rsidR="00A1261B" w:rsidRPr="0037774A" w:rsidRDefault="00A1261B" w:rsidP="0037774A">
            <w:pPr>
              <w:pStyle w:val="Akapitzlist"/>
              <w:widowControl/>
              <w:numPr>
                <w:ilvl w:val="0"/>
                <w:numId w:val="20"/>
              </w:numPr>
              <w:spacing w:before="120" w:after="120"/>
              <w:ind w:left="138" w:right="274" w:hanging="284"/>
              <w:contextualSpacing w:val="0"/>
              <w:rPr>
                <w:rFonts w:ascii="Lato" w:hAnsi="Lato" w:cs="Arial"/>
                <w:sz w:val="18"/>
                <w:szCs w:val="18"/>
              </w:rPr>
            </w:pPr>
            <w:r w:rsidRPr="0037774A">
              <w:rPr>
                <w:rFonts w:ascii="Lato" w:hAnsi="Lato" w:cs="Arial"/>
                <w:sz w:val="18"/>
                <w:szCs w:val="18"/>
              </w:rPr>
              <w:t xml:space="preserve">wykonywania gleboznawczej klasyfikacji gruntów na terenie województwa kujawsko-pomorskiego (nr </w:t>
            </w:r>
            <w:proofErr w:type="spellStart"/>
            <w:r w:rsidRPr="0037774A">
              <w:rPr>
                <w:rFonts w:ascii="Lato" w:hAnsi="Lato" w:cs="Arial"/>
                <w:sz w:val="18"/>
                <w:szCs w:val="18"/>
              </w:rPr>
              <w:t>ewid</w:t>
            </w:r>
            <w:proofErr w:type="spellEnd"/>
            <w:r w:rsidRPr="0037774A">
              <w:rPr>
                <w:rFonts w:ascii="Lato" w:hAnsi="Lato" w:cs="Arial"/>
                <w:sz w:val="18"/>
                <w:szCs w:val="18"/>
              </w:rPr>
              <w:t>. NIK 28/2021/P/20/059/LBY),</w:t>
            </w:r>
          </w:p>
          <w:p w14:paraId="6EF15536" w14:textId="77777777" w:rsidR="00A1261B" w:rsidRPr="0037774A" w:rsidRDefault="00A1261B" w:rsidP="0037774A">
            <w:pPr>
              <w:pStyle w:val="Akapitzlist"/>
              <w:widowControl/>
              <w:numPr>
                <w:ilvl w:val="0"/>
                <w:numId w:val="20"/>
              </w:numPr>
              <w:spacing w:before="120" w:after="120"/>
              <w:ind w:left="138" w:right="274" w:hanging="284"/>
              <w:contextualSpacing w:val="0"/>
              <w:rPr>
                <w:rFonts w:ascii="Lato" w:hAnsi="Lato" w:cs="Arial"/>
                <w:sz w:val="18"/>
                <w:szCs w:val="18"/>
              </w:rPr>
            </w:pPr>
            <w:r w:rsidRPr="0037774A">
              <w:rPr>
                <w:rFonts w:ascii="Lato" w:hAnsi="Lato" w:cs="Arial"/>
                <w:sz w:val="18"/>
                <w:szCs w:val="18"/>
              </w:rPr>
              <w:t xml:space="preserve">wykonywania gleboznawczej klasyfikacji gruntów (nr </w:t>
            </w:r>
            <w:proofErr w:type="spellStart"/>
            <w:r w:rsidRPr="0037774A">
              <w:rPr>
                <w:rFonts w:ascii="Lato" w:hAnsi="Lato" w:cs="Arial"/>
                <w:sz w:val="18"/>
                <w:szCs w:val="18"/>
              </w:rPr>
              <w:t>ewid</w:t>
            </w:r>
            <w:proofErr w:type="spellEnd"/>
            <w:r w:rsidRPr="0037774A">
              <w:rPr>
                <w:rFonts w:ascii="Lato" w:hAnsi="Lato" w:cs="Arial"/>
                <w:sz w:val="18"/>
                <w:szCs w:val="18"/>
              </w:rPr>
              <w:t>. NIK 164/2022/P/22/053/LBY).</w:t>
            </w:r>
          </w:p>
          <w:p w14:paraId="3B5EEC4F"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Zauważyć trzeba, że proponowane zapisy mogą w praktyce stanowić swoiste „zamknięcie zawodu” dla osób, które nie wykonywały dotychczas projektów ustalenia gleboznawczej klasyfikacji gruntów stanowiących podstawę wydania ostatecznej decyzji w przedmiocie gleboznawczej klasyfikacji gruntów, a w szczególności dla młodych osób wchodzących obecnie na rynek pracy po ukończeniu studiów. Treść proponowanych przepisów sugeruje, że przepisy te w sposób zdecydowany promują osoby z kilkuletnim doświadczeniem, które realizowały już zadania na rzecz starostów w ramach postępowań administracyjnych. Nie ulega bowiem wątpliwościom, że osoby które przed wejściem w życie projektu ustawy nie musiały się legitymować żadnym „świadectwem”, mogły bez problemu sporządzać projekty ustalenia gleboznawczej klasyfikacji gruntów. Osoby, które dopiero „wchodzą na rynek”, tej szansy mieć nie będą.</w:t>
            </w:r>
          </w:p>
          <w:p w14:paraId="1100A721" w14:textId="439C578F"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Arial"/>
                <w:sz w:val="18"/>
                <w:szCs w:val="18"/>
              </w:rPr>
              <w:t xml:space="preserve">Ponadto projektowane regulacje nakładają na ministra właściwego do spraw rozwoju wsi nowe zadania, bez określenia oceny skutków regulacji i wskazania źródeł finansowania tych zadań.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1184453" w14:textId="5FD7E004"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Cs/>
                <w:sz w:val="18"/>
                <w:szCs w:val="18"/>
              </w:rPr>
              <w:lastRenderedPageBreak/>
              <w:t xml:space="preserve">Proponuje się powrócić do propozycji regulacji </w:t>
            </w:r>
            <w:r w:rsidRPr="0037774A">
              <w:rPr>
                <w:rFonts w:ascii="Lato" w:eastAsia="Arial" w:hAnsi="Lato" w:cs="Arial"/>
                <w:bCs/>
                <w:sz w:val="18"/>
                <w:szCs w:val="18"/>
              </w:rPr>
              <w:lastRenderedPageBreak/>
              <w:t xml:space="preserve">uzgodnionych pierwotnie w ramach </w:t>
            </w:r>
            <w:proofErr w:type="spellStart"/>
            <w:r w:rsidRPr="0037774A">
              <w:rPr>
                <w:rFonts w:ascii="Lato" w:eastAsia="Arial" w:hAnsi="Lato" w:cs="Arial"/>
                <w:bCs/>
                <w:sz w:val="18"/>
                <w:szCs w:val="18"/>
              </w:rPr>
              <w:t>prekonsultacji</w:t>
            </w:r>
            <w:proofErr w:type="spellEnd"/>
            <w:r w:rsidRPr="0037774A">
              <w:rPr>
                <w:rFonts w:ascii="Lato" w:eastAsia="Arial" w:hAnsi="Lato" w:cs="Arial"/>
                <w:bCs/>
                <w:sz w:val="18"/>
                <w:szCs w:val="18"/>
              </w:rPr>
              <w:t xml:space="preserve"> z Ministerstwem Rolnictwa i Rozwoju Wsi, w szczególności określających, że: mają to być uprawnienia zawodowe w zakresie gleboznawczej klasyfikacji gruntów nadawane przez Głównego Geodetę Kraju w wyniku zdanego egzaminu oraz wpisywane do rejestru osób uprawnionych, a także określające kary w zakresie odpowiedzialności zawodowej. Ponadto zasadne jest uregulowanie przepisów przejściowych dla osób dotychczas wykonujących gleboznawczą klasyfikację gruntów i odrębnych przepisów dla osób, które zainteresowane będą zdobyciem uprawnień po wejściu w życie ustawy. </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48C2C21" w14:textId="7777777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nie została uwzględniona.</w:t>
            </w:r>
          </w:p>
          <w:p w14:paraId="0D30E5DE" w14:textId="2A6E90EF" w:rsidR="00A1261B" w:rsidRDefault="00A1261B" w:rsidP="00A87EB1">
            <w:pPr>
              <w:pStyle w:val="Inne0"/>
              <w:spacing w:before="120" w:after="120"/>
              <w:ind w:left="131" w:right="138"/>
              <w:rPr>
                <w:rFonts w:ascii="Lato" w:eastAsia="Arial" w:hAnsi="Lato" w:cs="Arial"/>
                <w:sz w:val="18"/>
                <w:szCs w:val="18"/>
              </w:rPr>
            </w:pPr>
            <w:r>
              <w:rPr>
                <w:rFonts w:ascii="Lato" w:eastAsia="Arial" w:hAnsi="Lato" w:cs="Arial"/>
                <w:sz w:val="18"/>
                <w:szCs w:val="18"/>
              </w:rPr>
              <w:lastRenderedPageBreak/>
              <w:t xml:space="preserve">Należy wskazać, że Najwyższa Izba Kontroli w </w:t>
            </w:r>
            <w:r w:rsidRPr="008A1326">
              <w:rPr>
                <w:rFonts w:ascii="Lato" w:eastAsia="Arial" w:hAnsi="Lato" w:cs="Arial"/>
                <w:sz w:val="18"/>
                <w:szCs w:val="18"/>
              </w:rPr>
              <w:t>ramach zaleceń z kontroli nr 28/2021/P/20/059/LBY, pn. „Wykonywanie gleboznawczej klasyfikacji gruntów na terenie województwa kujawsko-pomorskiego” oraz kontroli nr 164/2022/P/22/053/LBY, pn. „Wykonywanie gleboznawczej klasyfikacji gruntów”</w:t>
            </w:r>
            <w:r>
              <w:rPr>
                <w:rFonts w:ascii="Lato" w:eastAsia="Arial" w:hAnsi="Lato" w:cs="Arial"/>
                <w:sz w:val="18"/>
                <w:szCs w:val="18"/>
              </w:rPr>
              <w:t xml:space="preserve"> wskazała na konieczność </w:t>
            </w:r>
            <w:r w:rsidRPr="008A1326">
              <w:rPr>
                <w:rFonts w:ascii="Lato" w:eastAsia="Arial" w:hAnsi="Lato" w:cs="Arial"/>
                <w:sz w:val="18"/>
                <w:szCs w:val="18"/>
              </w:rPr>
              <w:t>określ</w:t>
            </w:r>
            <w:r>
              <w:rPr>
                <w:rFonts w:ascii="Lato" w:eastAsia="Arial" w:hAnsi="Lato" w:cs="Arial"/>
                <w:sz w:val="18"/>
                <w:szCs w:val="18"/>
              </w:rPr>
              <w:t>enia</w:t>
            </w:r>
            <w:r w:rsidRPr="008A1326">
              <w:rPr>
                <w:rFonts w:ascii="Lato" w:eastAsia="Arial" w:hAnsi="Lato" w:cs="Arial"/>
                <w:sz w:val="18"/>
                <w:szCs w:val="18"/>
              </w:rPr>
              <w:t xml:space="preserve"> niezbędn</w:t>
            </w:r>
            <w:r>
              <w:rPr>
                <w:rFonts w:ascii="Lato" w:eastAsia="Arial" w:hAnsi="Lato" w:cs="Arial"/>
                <w:sz w:val="18"/>
                <w:szCs w:val="18"/>
              </w:rPr>
              <w:t>ych</w:t>
            </w:r>
            <w:r w:rsidRPr="008A1326">
              <w:rPr>
                <w:rFonts w:ascii="Lato" w:eastAsia="Arial" w:hAnsi="Lato" w:cs="Arial"/>
                <w:sz w:val="18"/>
                <w:szCs w:val="18"/>
              </w:rPr>
              <w:t xml:space="preserve"> kwalifikacj</w:t>
            </w:r>
            <w:r>
              <w:rPr>
                <w:rFonts w:ascii="Lato" w:eastAsia="Arial" w:hAnsi="Lato" w:cs="Arial"/>
                <w:sz w:val="18"/>
                <w:szCs w:val="18"/>
              </w:rPr>
              <w:t>i</w:t>
            </w:r>
            <w:r w:rsidRPr="008A1326">
              <w:rPr>
                <w:rFonts w:ascii="Lato" w:eastAsia="Arial" w:hAnsi="Lato" w:cs="Arial"/>
                <w:sz w:val="18"/>
                <w:szCs w:val="18"/>
              </w:rPr>
              <w:t xml:space="preserve"> osób uprawnionych do przeprowadzania czynności klasyfikacyjnych w ramach gleboznawczej klasyfikacji gruntów,</w:t>
            </w:r>
            <w:r>
              <w:rPr>
                <w:rFonts w:ascii="Lato" w:eastAsia="Arial" w:hAnsi="Lato" w:cs="Arial"/>
                <w:sz w:val="18"/>
                <w:szCs w:val="18"/>
              </w:rPr>
              <w:t xml:space="preserve"> nie wskazywała natomiast, że ma to być zawód regulowany. Zawarte w projekcie ustawy zapisy realizują zalecenia Najwyższej Izby Kontroli. </w:t>
            </w:r>
          </w:p>
          <w:p w14:paraId="6E42AB6B" w14:textId="4403A1DE" w:rsidR="00A1261B" w:rsidRPr="00DF431B" w:rsidRDefault="00A1261B" w:rsidP="00A87EB1">
            <w:pPr>
              <w:pStyle w:val="Inne0"/>
              <w:spacing w:before="120" w:after="120"/>
              <w:ind w:left="131" w:right="138"/>
              <w:rPr>
                <w:rFonts w:ascii="Lato" w:eastAsia="Arial" w:hAnsi="Lato" w:cs="Arial"/>
                <w:sz w:val="18"/>
                <w:szCs w:val="18"/>
              </w:rPr>
            </w:pPr>
            <w:r>
              <w:rPr>
                <w:rFonts w:ascii="Lato" w:eastAsia="Arial" w:hAnsi="Lato" w:cs="Arial"/>
                <w:sz w:val="18"/>
                <w:szCs w:val="18"/>
              </w:rPr>
              <w:t>Należy jednocześnie wskazać, że sprawy gleboznawczej klasyfikacji gruntów nie należą do właściwości Głównego Geodety Kraju ani Głównego Urzędu Geodezji i Kartografii i są finansowane z innej jednostki klasyfikacji budżetowej. Dodatkowo, zgodnie z r</w:t>
            </w:r>
            <w:r w:rsidRPr="00A87EB1">
              <w:rPr>
                <w:rFonts w:ascii="Lato" w:eastAsia="Arial" w:hAnsi="Lato" w:cs="Arial"/>
                <w:sz w:val="18"/>
                <w:szCs w:val="18"/>
              </w:rPr>
              <w:t>ozporządzenie</w:t>
            </w:r>
            <w:r>
              <w:rPr>
                <w:rFonts w:ascii="Lato" w:eastAsia="Arial" w:hAnsi="Lato" w:cs="Arial"/>
                <w:sz w:val="18"/>
                <w:szCs w:val="18"/>
              </w:rPr>
              <w:t>m</w:t>
            </w:r>
            <w:r w:rsidRPr="00A87EB1">
              <w:rPr>
                <w:rFonts w:ascii="Lato" w:eastAsia="Arial" w:hAnsi="Lato" w:cs="Arial"/>
                <w:sz w:val="18"/>
                <w:szCs w:val="18"/>
              </w:rPr>
              <w:t xml:space="preserve"> Prezesa Rady Ministrów z dnia </w:t>
            </w:r>
            <w:r>
              <w:rPr>
                <w:rFonts w:ascii="Lato" w:eastAsia="Arial" w:hAnsi="Lato" w:cs="Arial"/>
                <w:sz w:val="18"/>
                <w:szCs w:val="18"/>
              </w:rPr>
              <w:t>25 lipca 2025</w:t>
            </w:r>
            <w:r w:rsidRPr="00A87EB1">
              <w:rPr>
                <w:rFonts w:ascii="Lato" w:eastAsia="Arial" w:hAnsi="Lato" w:cs="Arial"/>
                <w:sz w:val="18"/>
                <w:szCs w:val="18"/>
              </w:rPr>
              <w:t xml:space="preserve"> r. w sprawie szczegółowego zakresu działania Ministra </w:t>
            </w:r>
            <w:r>
              <w:rPr>
                <w:rFonts w:ascii="Lato" w:eastAsia="Arial" w:hAnsi="Lato" w:cs="Arial"/>
                <w:sz w:val="18"/>
                <w:szCs w:val="18"/>
              </w:rPr>
              <w:t>Finansów i Gospodarki</w:t>
            </w:r>
            <w:r w:rsidRPr="00A87EB1">
              <w:rPr>
                <w:rFonts w:ascii="Lato" w:eastAsia="Arial" w:hAnsi="Lato" w:cs="Arial"/>
                <w:sz w:val="18"/>
                <w:szCs w:val="18"/>
              </w:rPr>
              <w:t xml:space="preserve"> (Dz.U. z </w:t>
            </w:r>
            <w:r>
              <w:rPr>
                <w:rFonts w:ascii="Lato" w:eastAsia="Arial" w:hAnsi="Lato" w:cs="Arial"/>
                <w:sz w:val="18"/>
                <w:szCs w:val="18"/>
              </w:rPr>
              <w:t>2025</w:t>
            </w:r>
            <w:r w:rsidRPr="00A87EB1">
              <w:rPr>
                <w:rFonts w:ascii="Lato" w:eastAsia="Arial" w:hAnsi="Lato" w:cs="Arial"/>
                <w:sz w:val="18"/>
                <w:szCs w:val="18"/>
              </w:rPr>
              <w:t xml:space="preserve"> r. poz. </w:t>
            </w:r>
            <w:r>
              <w:rPr>
                <w:rFonts w:ascii="Lato" w:eastAsia="Arial" w:hAnsi="Lato" w:cs="Arial"/>
                <w:sz w:val="18"/>
                <w:szCs w:val="18"/>
              </w:rPr>
              <w:t>997</w:t>
            </w:r>
            <w:r w:rsidRPr="00A87EB1">
              <w:rPr>
                <w:rFonts w:ascii="Lato" w:eastAsia="Arial" w:hAnsi="Lato" w:cs="Arial"/>
                <w:sz w:val="18"/>
                <w:szCs w:val="18"/>
              </w:rPr>
              <w:t>)</w:t>
            </w:r>
            <w:r>
              <w:rPr>
                <w:rFonts w:ascii="Lato" w:eastAsia="Arial" w:hAnsi="Lato" w:cs="Arial"/>
                <w:sz w:val="18"/>
                <w:szCs w:val="18"/>
              </w:rPr>
              <w:t xml:space="preserve">, nadzór nad Głównym Geodetą Kraju sprawuje Minister Finansów i Gospodarki, natomiast sprawy gleboznawczej klasyfikacji gruntów należą do kompetencji ministra </w:t>
            </w:r>
            <w:r w:rsidRPr="00E06B89">
              <w:rPr>
                <w:rFonts w:ascii="Lato" w:eastAsia="Arial" w:hAnsi="Lato" w:cs="Arial"/>
                <w:sz w:val="18"/>
                <w:szCs w:val="18"/>
              </w:rPr>
              <w:t>właściw</w:t>
            </w:r>
            <w:r>
              <w:rPr>
                <w:rFonts w:ascii="Lato" w:eastAsia="Arial" w:hAnsi="Lato" w:cs="Arial"/>
                <w:sz w:val="18"/>
                <w:szCs w:val="18"/>
              </w:rPr>
              <w:t>ego</w:t>
            </w:r>
            <w:r w:rsidRPr="00E06B89">
              <w:rPr>
                <w:rFonts w:ascii="Lato" w:eastAsia="Arial" w:hAnsi="Lato" w:cs="Arial"/>
                <w:sz w:val="18"/>
                <w:szCs w:val="18"/>
              </w:rPr>
              <w:t xml:space="preserve"> do spraw rozwoju wsi</w:t>
            </w:r>
            <w:r>
              <w:rPr>
                <w:rFonts w:ascii="Lato" w:eastAsia="Arial" w:hAnsi="Lato" w:cs="Arial"/>
                <w:sz w:val="18"/>
                <w:szCs w:val="18"/>
              </w:rPr>
              <w:t>. Powyższe powoduje rozdźwięk kompetencyjny, uniemożliwiający nałożenie na organ podległy Ministrowi Finansów i Gospodarki</w:t>
            </w:r>
            <w:r w:rsidRPr="00A87EB1">
              <w:rPr>
                <w:rFonts w:ascii="Lato" w:eastAsia="Arial" w:hAnsi="Lato" w:cs="Arial"/>
                <w:sz w:val="18"/>
                <w:szCs w:val="18"/>
              </w:rPr>
              <w:t xml:space="preserve"> </w:t>
            </w:r>
            <w:r>
              <w:rPr>
                <w:rFonts w:ascii="Lato" w:eastAsia="Arial" w:hAnsi="Lato" w:cs="Arial"/>
                <w:sz w:val="18"/>
                <w:szCs w:val="18"/>
              </w:rPr>
              <w:t xml:space="preserve">zadań z zakresu gleboznawczej klasyfikacji gruntów, za które odpowiada inny minister - Minister Rolnictwa i Rozwoju Wsi. </w:t>
            </w:r>
            <w:r w:rsidRPr="00DF431B">
              <w:rPr>
                <w:rFonts w:ascii="Lato" w:eastAsia="Arial" w:hAnsi="Lato" w:cs="Arial"/>
                <w:sz w:val="18"/>
                <w:szCs w:val="18"/>
              </w:rPr>
              <w:t xml:space="preserve">Mając na względzie powyższe odstąpiono od propozycji zmian zawartych w propozycji, która podlegała </w:t>
            </w:r>
            <w:proofErr w:type="spellStart"/>
            <w:r w:rsidRPr="00DF431B">
              <w:rPr>
                <w:rFonts w:ascii="Lato" w:eastAsia="Arial" w:hAnsi="Lato" w:cs="Arial"/>
                <w:sz w:val="18"/>
                <w:szCs w:val="18"/>
              </w:rPr>
              <w:t>prekonsultacjom</w:t>
            </w:r>
            <w:proofErr w:type="spellEnd"/>
            <w:r w:rsidRPr="00DF431B">
              <w:rPr>
                <w:rFonts w:ascii="Lato" w:eastAsia="Arial" w:hAnsi="Lato" w:cs="Arial"/>
                <w:sz w:val="18"/>
                <w:szCs w:val="18"/>
              </w:rPr>
              <w:t xml:space="preserve"> publicznym w 2022 roku. </w:t>
            </w:r>
          </w:p>
          <w:p w14:paraId="645477C0" w14:textId="14BEFDBF" w:rsidR="00A1261B" w:rsidRDefault="00A1261B" w:rsidP="008A1326">
            <w:pPr>
              <w:pStyle w:val="Inne0"/>
              <w:spacing w:before="120" w:after="120"/>
              <w:ind w:left="131" w:right="138"/>
              <w:rPr>
                <w:rFonts w:ascii="Lato" w:eastAsia="Arial" w:hAnsi="Lato" w:cs="Arial"/>
                <w:sz w:val="18"/>
                <w:szCs w:val="18"/>
              </w:rPr>
            </w:pPr>
            <w:r w:rsidRPr="00DF431B">
              <w:rPr>
                <w:rFonts w:ascii="Lato" w:eastAsia="Arial" w:hAnsi="Lato" w:cs="Arial"/>
                <w:sz w:val="18"/>
                <w:szCs w:val="18"/>
              </w:rPr>
              <w:t>Jeżeli Minister Rolnictwa i Rozwoju Wsi uznaje za zasadne ustanowienie</w:t>
            </w:r>
            <w:r>
              <w:rPr>
                <w:rFonts w:ascii="Lato" w:eastAsia="Arial" w:hAnsi="Lato" w:cs="Arial"/>
                <w:sz w:val="18"/>
                <w:szCs w:val="18"/>
              </w:rPr>
              <w:t xml:space="preserve"> instytucji uprawnień zawodowych w zakresie gleboznawczej klasyfikacji gruntów, wprowadzenie regulacji w tym zakresie do ustawy </w:t>
            </w:r>
            <w:proofErr w:type="spellStart"/>
            <w:r w:rsidR="00C10003">
              <w:rPr>
                <w:rFonts w:ascii="Lato" w:eastAsia="Arial" w:hAnsi="Lato" w:cs="Arial"/>
                <w:sz w:val="18"/>
                <w:szCs w:val="18"/>
              </w:rPr>
              <w:t>PGiK</w:t>
            </w:r>
            <w:proofErr w:type="spellEnd"/>
            <w:r>
              <w:rPr>
                <w:rFonts w:ascii="Lato" w:eastAsia="Arial" w:hAnsi="Lato" w:cs="Arial"/>
                <w:sz w:val="18"/>
                <w:szCs w:val="18"/>
              </w:rPr>
              <w:t xml:space="preserve"> może zostać dokonane dopiero po przedstawieniu przez resort rolnictwa propozycji zmian legislacyjnych, które będą określać kompleksowo procedurę wnioskowania o nadanie uprawnień zawodowych i sposób ich uzyskiwania, podmioty/organy odpowiedzialne za przeprowadzenie postępowań kwalifikacyjnych i nadanie uprawnień zawodowych, nad którymi nadzór sprawuje Minister Rolnictwa i Rozwoju Wsi, odpowiedzialny za sprawy gleboznawczej klasyfikacji gruntów, oraz regulacji w zakresie odpowiedzialności zawodowej. </w:t>
            </w:r>
          </w:p>
          <w:p w14:paraId="1AFABEB2" w14:textId="709A2398" w:rsidR="00A1261B" w:rsidRPr="0037774A" w:rsidRDefault="00A1261B" w:rsidP="008A1326">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Do proponowanych regulacji konieczne jest </w:t>
            </w:r>
            <w:r>
              <w:rPr>
                <w:rFonts w:ascii="Lato" w:eastAsia="Arial" w:hAnsi="Lato" w:cs="Arial"/>
                <w:sz w:val="18"/>
                <w:szCs w:val="18"/>
              </w:rPr>
              <w:lastRenderedPageBreak/>
              <w:t>przedstawienie również analizy proporcjonalności, o której mowa w</w:t>
            </w:r>
            <w:r>
              <w:t xml:space="preserve"> </w:t>
            </w:r>
            <w:r w:rsidRPr="00A87EB1">
              <w:rPr>
                <w:rFonts w:ascii="Lato" w:eastAsia="Arial" w:hAnsi="Lato" w:cs="Arial"/>
                <w:sz w:val="18"/>
                <w:szCs w:val="18"/>
              </w:rPr>
              <w:t>przepis</w:t>
            </w:r>
            <w:r>
              <w:rPr>
                <w:rFonts w:ascii="Lato" w:eastAsia="Arial" w:hAnsi="Lato" w:cs="Arial"/>
                <w:sz w:val="18"/>
                <w:szCs w:val="18"/>
              </w:rPr>
              <w:t>ach</w:t>
            </w:r>
            <w:r w:rsidRPr="00A87EB1">
              <w:rPr>
                <w:rFonts w:ascii="Lato" w:eastAsia="Arial" w:hAnsi="Lato" w:cs="Arial"/>
                <w:sz w:val="18"/>
                <w:szCs w:val="18"/>
              </w:rPr>
              <w:t xml:space="preserve"> dyrektywy Parlamentu Europejskiego i Rady (UE) 2018/958 z dnia 28 czerwca 2018 r. w sprawie analizy proporcjonalności przed przyjęciem nowych regulacji dotyczących zawodów (Dz. Urz. UE L 173 z 09.07.2018, str. 25) oraz ustaw</w:t>
            </w:r>
            <w:r>
              <w:rPr>
                <w:rFonts w:ascii="Lato" w:eastAsia="Arial" w:hAnsi="Lato" w:cs="Arial"/>
                <w:sz w:val="18"/>
                <w:szCs w:val="18"/>
              </w:rPr>
              <w:t>ie</w:t>
            </w:r>
            <w:r w:rsidRPr="00A87EB1">
              <w:rPr>
                <w:rFonts w:ascii="Lato" w:eastAsia="Arial" w:hAnsi="Lato" w:cs="Arial"/>
                <w:sz w:val="18"/>
                <w:szCs w:val="18"/>
              </w:rPr>
              <w:t xml:space="preserve"> z dnia 22 grudnia 2015 r. o zasadach uznawania kwalifikacji zawodowych nabytych w państwach członkowskich Unii Europejskiej (Dz.U. z 2023 r. poz. 334).</w:t>
            </w:r>
          </w:p>
        </w:tc>
      </w:tr>
      <w:tr w:rsidR="00A1261B" w:rsidRPr="0037774A" w14:paraId="307C08D0" w14:textId="20727773" w:rsidTr="00A1261B">
        <w:trPr>
          <w:trHeight w:val="20"/>
        </w:trPr>
        <w:tc>
          <w:tcPr>
            <w:tcW w:w="709" w:type="dxa"/>
            <w:tcBorders>
              <w:top w:val="single" w:sz="4" w:space="0" w:color="auto"/>
              <w:left w:val="single" w:sz="4" w:space="0" w:color="auto"/>
              <w:bottom w:val="single" w:sz="4" w:space="0" w:color="auto"/>
            </w:tcBorders>
            <w:shd w:val="clear" w:color="auto" w:fill="FFFFFF"/>
          </w:tcPr>
          <w:p w14:paraId="0A4E0528"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E2876F1" w14:textId="740D6829"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4161D186"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Art. 26e ust. 1 pkt 2</w:t>
            </w:r>
          </w:p>
          <w:p w14:paraId="60AFD96B" w14:textId="77777777" w:rsidR="00A1261B" w:rsidRPr="0037774A" w:rsidRDefault="00A1261B" w:rsidP="0037774A">
            <w:pPr>
              <w:spacing w:before="120" w:after="120"/>
              <w:ind w:left="138" w:right="274"/>
              <w:rPr>
                <w:rFonts w:ascii="Lato" w:hAnsi="Lato" w:cs="Arial"/>
                <w:sz w:val="18"/>
                <w:szCs w:val="18"/>
              </w:rPr>
            </w:pPr>
            <w:r w:rsidRPr="0037774A">
              <w:rPr>
                <w:rFonts w:ascii="Lato" w:hAnsi="Lato" w:cs="Arial"/>
                <w:sz w:val="18"/>
                <w:szCs w:val="18"/>
              </w:rPr>
              <w:t>Osoby wykonujące czynności w ramach prac klasyfikacyjnych, a także osoby przeprowadzające kontrolę terenową i wykonanie odkrywek glebowych, o których mowa w art. 7b ust. 1 pkt 1 w lit. c oraz w art. 26c ust. 2 są uprawnione do:</w:t>
            </w:r>
          </w:p>
          <w:p w14:paraId="5534D29C" w14:textId="77777777" w:rsidR="00A1261B" w:rsidRPr="0037774A" w:rsidRDefault="00A1261B" w:rsidP="0037774A">
            <w:pPr>
              <w:tabs>
                <w:tab w:val="left" w:pos="419"/>
                <w:tab w:val="left" w:pos="591"/>
              </w:tabs>
              <w:spacing w:before="120" w:after="120"/>
              <w:ind w:left="138" w:right="274"/>
              <w:rPr>
                <w:rFonts w:ascii="Lato" w:hAnsi="Lato" w:cs="Arial"/>
                <w:sz w:val="18"/>
                <w:szCs w:val="18"/>
              </w:rPr>
            </w:pPr>
            <w:r w:rsidRPr="0037774A">
              <w:rPr>
                <w:rFonts w:ascii="Lato" w:hAnsi="Lato" w:cs="Arial"/>
                <w:sz w:val="18"/>
                <w:szCs w:val="18"/>
              </w:rPr>
              <w:t>2)</w:t>
            </w:r>
            <w:r w:rsidRPr="0037774A">
              <w:rPr>
                <w:rFonts w:ascii="Lato" w:hAnsi="Lato" w:cs="Arial"/>
                <w:sz w:val="18"/>
                <w:szCs w:val="18"/>
              </w:rPr>
              <w:tab/>
              <w:t>dokonywania przecinek drzew i krzewów.</w:t>
            </w:r>
          </w:p>
          <w:p w14:paraId="2167EA39" w14:textId="6680845C"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Arial"/>
                <w:sz w:val="18"/>
                <w:szCs w:val="18"/>
              </w:rPr>
              <w:t xml:space="preserve">Pozostaje nierozwiązany problem strat w uprawach w sytuacji konieczności (wynikającej z zapisów </w:t>
            </w:r>
            <w:r w:rsidRPr="0037774A">
              <w:rPr>
                <w:rFonts w:ascii="Lato" w:hAnsi="Lato" w:cs="Arial"/>
                <w:sz w:val="18"/>
                <w:szCs w:val="18"/>
              </w:rPr>
              <w:lastRenderedPageBreak/>
              <w:t>umowy) przeprowadzenia czynności na gruncie na polach obsianych np. kukurydzą bądź innymi uprawami uniemożliwiającymi wejście na grunt.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B62A785" w14:textId="77777777" w:rsidR="00A1261B" w:rsidRPr="0037774A" w:rsidRDefault="00A1261B" w:rsidP="0037774A">
            <w:pPr>
              <w:pStyle w:val="Inne0"/>
              <w:shd w:val="clear" w:color="auto" w:fill="auto"/>
              <w:spacing w:before="120" w:after="120"/>
              <w:ind w:left="125" w:right="136"/>
              <w:rPr>
                <w:rFonts w:ascii="Lato" w:eastAsia="Arial" w:hAnsi="Lato" w:cs="Arial"/>
                <w:bCs/>
                <w:sz w:val="18"/>
                <w:szCs w:val="18"/>
              </w:rPr>
            </w:pPr>
            <w:r w:rsidRPr="0037774A">
              <w:rPr>
                <w:rFonts w:ascii="Lato" w:eastAsia="Arial" w:hAnsi="Lato" w:cs="Arial"/>
                <w:bCs/>
                <w:sz w:val="18"/>
                <w:szCs w:val="18"/>
              </w:rPr>
              <w:lastRenderedPageBreak/>
              <w:t>Proponuje się w art. 26e w ust. 1 pkt. 2 nadać brzmienie:</w:t>
            </w:r>
          </w:p>
          <w:p w14:paraId="2A914B20" w14:textId="42C17AF3"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 xml:space="preserve">„2) dokonywania przecinek drzew i krzewów </w:t>
            </w:r>
            <w:bookmarkStart w:id="7" w:name="_Hlk204180415"/>
            <w:r w:rsidRPr="0037774A">
              <w:rPr>
                <w:rFonts w:ascii="Lato" w:eastAsia="Arial" w:hAnsi="Lato" w:cs="Arial"/>
                <w:b/>
                <w:bCs/>
                <w:sz w:val="18"/>
                <w:szCs w:val="18"/>
              </w:rPr>
              <w:t>oraz upraw uniemożliwiających wykonanie prac klasyfikacyjnych na gruncie</w:t>
            </w:r>
            <w:bookmarkEnd w:id="7"/>
            <w:r w:rsidRPr="0037774A">
              <w:rPr>
                <w:rFonts w:ascii="Lato" w:eastAsia="Arial" w:hAnsi="Lato" w:cs="Arial"/>
                <w:b/>
                <w:bCs/>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ADF2BEF" w14:textId="4EA53D86" w:rsidR="00A1261B" w:rsidRDefault="00A1261B" w:rsidP="0076332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625D46E0" w14:textId="77777777" w:rsidR="00A1261B" w:rsidRPr="0037774A" w:rsidRDefault="00A1261B" w:rsidP="0037774A">
            <w:pPr>
              <w:pStyle w:val="Inne0"/>
              <w:shd w:val="clear" w:color="auto" w:fill="auto"/>
              <w:spacing w:before="120" w:after="120"/>
              <w:ind w:left="131" w:right="138"/>
              <w:rPr>
                <w:rFonts w:ascii="Lato" w:eastAsia="Arial" w:hAnsi="Lato" w:cs="Arial"/>
                <w:sz w:val="18"/>
                <w:szCs w:val="18"/>
              </w:rPr>
            </w:pPr>
          </w:p>
        </w:tc>
      </w:tr>
      <w:tr w:rsidR="00A1261B" w:rsidRPr="0037774A" w14:paraId="27DDD878" w14:textId="2F74DFE2" w:rsidTr="00A1261B">
        <w:trPr>
          <w:trHeight w:val="20"/>
        </w:trPr>
        <w:tc>
          <w:tcPr>
            <w:tcW w:w="709" w:type="dxa"/>
            <w:tcBorders>
              <w:top w:val="single" w:sz="4" w:space="0" w:color="auto"/>
              <w:left w:val="single" w:sz="4" w:space="0" w:color="auto"/>
              <w:bottom w:val="single" w:sz="4" w:space="0" w:color="auto"/>
            </w:tcBorders>
            <w:shd w:val="clear" w:color="auto" w:fill="FFFFFF"/>
          </w:tcPr>
          <w:p w14:paraId="216AF220"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ED771F2" w14:textId="139689D5"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4A3B0CDB" w14:textId="113263C8"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hAnsi="Lato" w:cs="Arial"/>
                <w:sz w:val="18"/>
                <w:szCs w:val="18"/>
              </w:rPr>
              <w:t>Zaproponowany w art. 19 pkt 1 6-cio miesięczny termin wejścia w życie przepisów w zakresie gleboznawczej klasyfikacji gruntów, w tym przepisów wykonawczych, o których mowa w art. 26f, jest terminem zbyt krótkim na przygotowanie niezbędnych regulacji. Proponuje się wydłużenie terminu wejścia w życie przepisów dotyczących gleboznawczej klasyfikacji gruntów z 6 do 12 miesięcy od dnia ogłoszenia.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52ABA5C" w14:textId="77777777" w:rsidR="00A1261B" w:rsidRPr="0037774A" w:rsidRDefault="00A1261B" w:rsidP="0037774A">
            <w:pPr>
              <w:pStyle w:val="Inne0"/>
              <w:shd w:val="clear" w:color="auto" w:fill="auto"/>
              <w:spacing w:before="120" w:after="120"/>
              <w:ind w:left="125" w:right="136"/>
              <w:rPr>
                <w:rFonts w:ascii="Lato" w:eastAsia="Arial" w:hAnsi="Lato" w:cs="Arial"/>
                <w:bCs/>
                <w:sz w:val="18"/>
                <w:szCs w:val="18"/>
              </w:rPr>
            </w:pPr>
            <w:r w:rsidRPr="0037774A">
              <w:rPr>
                <w:rFonts w:ascii="Lato" w:eastAsia="Arial" w:hAnsi="Lato" w:cs="Arial"/>
                <w:bCs/>
                <w:sz w:val="18"/>
                <w:szCs w:val="18"/>
              </w:rPr>
              <w:t>Proponuje się w art. 19 po pkt. 1 dodać pkt 2 w brzmieniu:</w:t>
            </w:r>
          </w:p>
          <w:p w14:paraId="56691363" w14:textId="633C38EE"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Lato" w:eastAsia="Arial" w:hAnsi="Lato" w:cs="Arial"/>
                <w:b/>
                <w:bCs/>
                <w:sz w:val="18"/>
                <w:szCs w:val="18"/>
              </w:rPr>
              <w:t>„2) art. 1 pkt 27, które wchodzą w życie po upływie 12 miesięcy od dnia ogłoszenia;”</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A16AD5F" w14:textId="77777777" w:rsidR="00A1261B" w:rsidRDefault="00A1261B" w:rsidP="0076332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31BDB925" w14:textId="77777777" w:rsidR="00A1261B" w:rsidRPr="0037774A" w:rsidRDefault="00A1261B" w:rsidP="0037774A">
            <w:pPr>
              <w:pStyle w:val="Inne0"/>
              <w:shd w:val="clear" w:color="auto" w:fill="auto"/>
              <w:spacing w:before="120" w:after="120"/>
              <w:ind w:left="131" w:right="138"/>
              <w:rPr>
                <w:rFonts w:ascii="Lato" w:eastAsia="Arial" w:hAnsi="Lato" w:cs="Arial"/>
                <w:sz w:val="18"/>
                <w:szCs w:val="18"/>
              </w:rPr>
            </w:pPr>
          </w:p>
        </w:tc>
      </w:tr>
      <w:tr w:rsidR="00A1261B" w:rsidRPr="0037774A" w14:paraId="0ADC1B3B" w14:textId="56748453" w:rsidTr="00A1261B">
        <w:trPr>
          <w:trHeight w:val="20"/>
        </w:trPr>
        <w:tc>
          <w:tcPr>
            <w:tcW w:w="709" w:type="dxa"/>
            <w:tcBorders>
              <w:top w:val="single" w:sz="4" w:space="0" w:color="auto"/>
              <w:left w:val="single" w:sz="4" w:space="0" w:color="auto"/>
              <w:bottom w:val="single" w:sz="4" w:space="0" w:color="auto"/>
            </w:tcBorders>
            <w:shd w:val="clear" w:color="auto" w:fill="FFFFFF"/>
          </w:tcPr>
          <w:p w14:paraId="04C6310A"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253FE03" w14:textId="440AD09B"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Lato" w:eastAsia="Arial" w:hAnsi="Lato" w:cs="Arial"/>
                <w:bCs/>
                <w:sz w:val="18"/>
                <w:szCs w:val="18"/>
              </w:rPr>
              <w:t xml:space="preserve">Ministerstwo Rolnictwa </w:t>
            </w:r>
            <w:r w:rsidRPr="0037774A">
              <w:rPr>
                <w:rFonts w:ascii="Lato" w:eastAsia="Arial" w:hAnsi="Lato" w:cs="Arial"/>
                <w:bCs/>
                <w:sz w:val="18"/>
                <w:szCs w:val="18"/>
              </w:rPr>
              <w:br/>
              <w:t>i Rozwoju Wsi</w:t>
            </w:r>
          </w:p>
        </w:tc>
        <w:tc>
          <w:tcPr>
            <w:tcW w:w="4536" w:type="dxa"/>
            <w:tcBorders>
              <w:top w:val="single" w:sz="4" w:space="0" w:color="auto"/>
              <w:left w:val="single" w:sz="4" w:space="0" w:color="auto"/>
              <w:bottom w:val="single" w:sz="4" w:space="0" w:color="auto"/>
            </w:tcBorders>
            <w:shd w:val="clear" w:color="auto" w:fill="FFFFFF"/>
          </w:tcPr>
          <w:p w14:paraId="74D94CEA"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 xml:space="preserve">Proponowane regulacje dotyczące określenia niezbędnych kwalifikacji dla osób uprawnionych do przeprowadzania czynności klasyfikacyjnych w ramach gleboznawczej klasyfikacji gruntów znacznie różnią się od propozycji zgłoszonych do Wykazu prac legislacyjnych i programowych Rady Ministrów, a uzgodnionych w ramach </w:t>
            </w:r>
            <w:proofErr w:type="spellStart"/>
            <w:r w:rsidRPr="0037774A">
              <w:rPr>
                <w:rFonts w:ascii="Lato" w:eastAsia="Arial" w:hAnsi="Lato" w:cs="Arial"/>
                <w:sz w:val="18"/>
                <w:szCs w:val="18"/>
              </w:rPr>
              <w:t>prekonsultacji</w:t>
            </w:r>
            <w:proofErr w:type="spellEnd"/>
            <w:r w:rsidRPr="0037774A">
              <w:rPr>
                <w:rFonts w:ascii="Lato" w:eastAsia="Arial" w:hAnsi="Lato" w:cs="Arial"/>
                <w:sz w:val="18"/>
                <w:szCs w:val="18"/>
              </w:rPr>
              <w:t xml:space="preserve"> z Ministerstwem Rolnictwa i Rozwoju Wsi.</w:t>
            </w:r>
          </w:p>
          <w:p w14:paraId="4F689322"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 xml:space="preserve">Uzgodnione propozycje w ramach </w:t>
            </w:r>
            <w:proofErr w:type="spellStart"/>
            <w:r w:rsidRPr="0037774A">
              <w:rPr>
                <w:rFonts w:ascii="Lato" w:eastAsia="Arial" w:hAnsi="Lato" w:cs="Arial"/>
                <w:sz w:val="18"/>
                <w:szCs w:val="18"/>
              </w:rPr>
              <w:t>prekonsultacji</w:t>
            </w:r>
            <w:proofErr w:type="spellEnd"/>
            <w:r w:rsidRPr="0037774A">
              <w:rPr>
                <w:rFonts w:ascii="Lato" w:eastAsia="Arial" w:hAnsi="Lato" w:cs="Arial"/>
                <w:sz w:val="18"/>
                <w:szCs w:val="18"/>
              </w:rPr>
              <w:t xml:space="preserve"> i zawarte w Wykazie prac legislacyjnych i programowych Rady Ministrów nr UD60 określały, że:</w:t>
            </w:r>
          </w:p>
          <w:p w14:paraId="79E16F5E" w14:textId="1222C80E" w:rsidR="00A1261B" w:rsidRPr="0037774A" w:rsidRDefault="00A1261B" w:rsidP="0037774A">
            <w:pPr>
              <w:pStyle w:val="Inne0"/>
              <w:numPr>
                <w:ilvl w:val="0"/>
                <w:numId w:val="21"/>
              </w:numPr>
              <w:spacing w:before="120" w:after="120"/>
              <w:ind w:left="138" w:right="274"/>
              <w:rPr>
                <w:rFonts w:ascii="Lato" w:eastAsia="Arial" w:hAnsi="Lato" w:cs="Arial"/>
                <w:sz w:val="18"/>
                <w:szCs w:val="18"/>
              </w:rPr>
            </w:pPr>
            <w:r w:rsidRPr="0037774A">
              <w:rPr>
                <w:rFonts w:ascii="Lato" w:eastAsia="Arial" w:hAnsi="Lato" w:cs="Arial"/>
                <w:sz w:val="18"/>
                <w:szCs w:val="18"/>
              </w:rPr>
              <w:t>uprawnienia zawodowe w zakresie gleboznawczej klasyfikacji gruntów nadawane będą przez Głównego Geodetę Kraju. Osoba zainteresowana uzyskaniem uprawnień zawodowych w zakresie gleboznawczej klasyfikacji gruntów będzie musiała wykazać się posiadaniem świadectwa ukończenia studiów o specjalności gleboznawstwo, albo podyplomowych studiów w zakresie gleboznawstwa, gleboznawczej klasyfikacji gruntów i kartografii gleb lub kursów z zakresu gleboznawczej klasyfikacji gruntów, gleboznawczej klasyfikacji gruntów i kartografii gleb, odpowiednią praktyką zawodową z zakresu gleboznawczej klasyfikacji gruntów oraz znajomością przepisów w zakresie gleboznawczej klasyfikacji gruntów oraz ewidencji gruntów i budynków (egzamin);</w:t>
            </w:r>
          </w:p>
          <w:p w14:paraId="47C57AEA"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2)</w:t>
            </w:r>
            <w:r w:rsidRPr="0037774A">
              <w:rPr>
                <w:rFonts w:ascii="Lato" w:eastAsia="Arial" w:hAnsi="Lato" w:cs="Arial"/>
                <w:sz w:val="18"/>
                <w:szCs w:val="18"/>
              </w:rPr>
              <w:tab/>
              <w:t xml:space="preserve">praktyka zawodowa z zakresu gleboznawczej klasyfikacji gruntów obejmować będzie wykonywanie prac klasyfikacyjnych pod kierunkiem klasyfikatora gruntów i będzie można ją </w:t>
            </w:r>
            <w:r w:rsidRPr="0037774A">
              <w:rPr>
                <w:rFonts w:ascii="Lato" w:eastAsia="Arial" w:hAnsi="Lato" w:cs="Arial"/>
                <w:sz w:val="18"/>
                <w:szCs w:val="18"/>
              </w:rPr>
              <w:lastRenderedPageBreak/>
              <w:t>odbyć po ukończeniu studiów, studiów podyplomowych lub odpowiednich kursów. Dziennik praktyki zawodowej wydawany będzie przez Głównego Geodetę Kraju na wniosek osoby zainteresowanej. W celu uzyskania uprawnień zawodowych osoba zainteresowana będzie musiała złożyć wniosek do Głównego Geodety Kraju o nadanie uprawnień zawodowych oraz przejść postępowanie kwalifikacyjne, składające się z części wstępnej (weryfikacji dokumentów) i sprawdzającej (egzamin ze znajomości przepisów). Komisja kwalifikacyjna powoływana będzie przez Głównego Geodetę Kraju z udziałem przedstawicieli stowarzyszeń społeczno-zawodowych działających w zakresie gleboznawczej klasyfikacji gruntów;</w:t>
            </w:r>
          </w:p>
          <w:p w14:paraId="7E092C0F"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3)</w:t>
            </w:r>
            <w:r w:rsidRPr="0037774A">
              <w:rPr>
                <w:rFonts w:ascii="Lato" w:eastAsia="Arial" w:hAnsi="Lato" w:cs="Arial"/>
                <w:sz w:val="18"/>
                <w:szCs w:val="18"/>
              </w:rPr>
              <w:tab/>
              <w:t>warunki uznawania praktyki zawodowej z zakresu gleboznawczej klasyfikacji gruntów, a także sposób prowadzenia dziennika praktyki zawodowej i wysokość opłaty za jego wydanie osobie zainteresowanej jak również wysokość opłaty za przeprowadzenie postępowania kwalifikacyjnego, zostaną określone w rozporządzeniu wykonawczym. Przyjmuje się, że wysokość opłaty za przeprowadzenie postępowania kwalifikacyjnego przy uzyskiwaniu uprawnień w zakresie gleboznawczej klasyfikacji gruntów pozostanie na tym samym poziomie co dla uprawnień zawodowych w dziedzinie geodezji i kartografii. Wysokość opłaty za postępowanie kwalifikacyjne obejmujące część wstępną i część sprawdzającą wynosi 1074 zł (obecnie 1228 zł) i stanowi dochód Funduszu Gospodarki Zasobem Geodezyjnym i Kartograficznym (</w:t>
            </w:r>
            <w:proofErr w:type="spellStart"/>
            <w:r w:rsidRPr="0037774A">
              <w:rPr>
                <w:rFonts w:ascii="Lato" w:eastAsia="Arial" w:hAnsi="Lato" w:cs="Arial"/>
                <w:sz w:val="18"/>
                <w:szCs w:val="18"/>
              </w:rPr>
              <w:t>FGZGiK</w:t>
            </w:r>
            <w:proofErr w:type="spellEnd"/>
            <w:r w:rsidRPr="0037774A">
              <w:rPr>
                <w:rFonts w:ascii="Lato" w:eastAsia="Arial" w:hAnsi="Lato" w:cs="Arial"/>
                <w:sz w:val="18"/>
                <w:szCs w:val="18"/>
              </w:rPr>
              <w:t>), prowadzonego przez Głównego Geodetę Kraju;</w:t>
            </w:r>
          </w:p>
          <w:p w14:paraId="40EC3F79"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4)</w:t>
            </w:r>
            <w:r w:rsidRPr="0037774A">
              <w:rPr>
                <w:rFonts w:ascii="Lato" w:eastAsia="Arial" w:hAnsi="Lato" w:cs="Arial"/>
                <w:sz w:val="18"/>
                <w:szCs w:val="18"/>
              </w:rPr>
              <w:tab/>
              <w:t xml:space="preserve">prawo do wykonywania prac klasyfikacyjnych uzyskiwane będzie z dniem wpisu osoby przez Głównego Geodetę Kraju do centralnego rejestru osób posiadających uprawnienia zawodowe. Przewiduje się, że czas niezbędny na zdobycie uprawnień zawodowych z zakresu gleboznawczej klasyfikacji gruntów (konieczny do uzyskania niezbędnego wykształcenia i odbycia obowiązkowej praktyki zawodowej) wyniesie od 3 do 6 lat, w zależności od rodzaju uzyskanego wykształcenia. Dla osób, które dotychczas wykonywały gleboznawczą klasyfikację gruntów, określone zostaną podstawy, które </w:t>
            </w:r>
            <w:r w:rsidRPr="0037774A">
              <w:rPr>
                <w:rFonts w:ascii="Lato" w:eastAsia="Arial" w:hAnsi="Lato" w:cs="Arial"/>
                <w:sz w:val="18"/>
                <w:szCs w:val="18"/>
              </w:rPr>
              <w:lastRenderedPageBreak/>
              <w:t>umożliwią wpisanie ich przez Głównego Geodetę Kraju, w drodze decyzji, do centralnego rejestru osób posiadających uprawnienia zawodowe, po złożeniu przez te osoby wniosku, zawierającego potwierdzenie posiadanego wykształcenia w zakresie gleboznawstwa lub gleboznawczej klasyfikacji gruntów i kartografii gleb oraz doświadczenia zawodowego w zakresie sporządzania projektów ustalenia gleboznawczej klasyfikacji gruntów.</w:t>
            </w:r>
          </w:p>
          <w:p w14:paraId="424BE0E5"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W związku z powyższym, nie akceptujemy propozycji rozwiązań zawartych w art. 26d projektu ustawy, które nie rozwiązują problemu braku regulacji dotyczących określenia niezbędnych kwalifikacji dla osób uprawnionych do przeprowadzania czynności klasyfikacyjnych w ramach gleboznawczej klasyfikacji gruntów, o którym mowa w Wynikach kontroli Najwyższej Izby Kontroli w zakresie:</w:t>
            </w:r>
          </w:p>
          <w:p w14:paraId="73FF8628"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 xml:space="preserve">1) wykonywania gleboznawczej klasyfikacji gruntów na terenie województwa kujawsko-pomorskiego (nr </w:t>
            </w:r>
            <w:proofErr w:type="spellStart"/>
            <w:r w:rsidRPr="0037774A">
              <w:rPr>
                <w:rFonts w:ascii="Lato" w:eastAsia="Arial" w:hAnsi="Lato" w:cs="Arial"/>
                <w:sz w:val="18"/>
                <w:szCs w:val="18"/>
              </w:rPr>
              <w:t>ewid</w:t>
            </w:r>
            <w:proofErr w:type="spellEnd"/>
            <w:r w:rsidRPr="0037774A">
              <w:rPr>
                <w:rFonts w:ascii="Lato" w:eastAsia="Arial" w:hAnsi="Lato" w:cs="Arial"/>
                <w:sz w:val="18"/>
                <w:szCs w:val="18"/>
              </w:rPr>
              <w:t>. NIK 28/2021/P/20/059/LBY),</w:t>
            </w:r>
          </w:p>
          <w:p w14:paraId="2CCAABFC"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 xml:space="preserve">2) wykonywania gleboznawczej klasyfikacji gruntów (nr </w:t>
            </w:r>
            <w:proofErr w:type="spellStart"/>
            <w:r w:rsidRPr="0037774A">
              <w:rPr>
                <w:rFonts w:ascii="Lato" w:eastAsia="Arial" w:hAnsi="Lato" w:cs="Arial"/>
                <w:sz w:val="18"/>
                <w:szCs w:val="18"/>
              </w:rPr>
              <w:t>ewid</w:t>
            </w:r>
            <w:proofErr w:type="spellEnd"/>
            <w:r w:rsidRPr="0037774A">
              <w:rPr>
                <w:rFonts w:ascii="Lato" w:eastAsia="Arial" w:hAnsi="Lato" w:cs="Arial"/>
                <w:sz w:val="18"/>
                <w:szCs w:val="18"/>
              </w:rPr>
              <w:t>. NIK 164/2022/P/22/053/LBY).</w:t>
            </w:r>
          </w:p>
          <w:p w14:paraId="7634BB55" w14:textId="77777777" w:rsidR="00A1261B" w:rsidRPr="0037774A" w:rsidRDefault="00A1261B" w:rsidP="0037774A">
            <w:pPr>
              <w:pStyle w:val="Inne0"/>
              <w:spacing w:before="120" w:after="120"/>
              <w:ind w:left="138" w:right="274"/>
              <w:rPr>
                <w:rFonts w:ascii="Lato" w:eastAsia="Arial" w:hAnsi="Lato" w:cs="Arial"/>
                <w:sz w:val="18"/>
                <w:szCs w:val="18"/>
              </w:rPr>
            </w:pPr>
            <w:r w:rsidRPr="0037774A">
              <w:rPr>
                <w:rFonts w:ascii="Lato" w:eastAsia="Arial" w:hAnsi="Lato" w:cs="Arial"/>
                <w:sz w:val="18"/>
                <w:szCs w:val="18"/>
              </w:rPr>
              <w:t>Zauważyć trzeba, że proponowane zapisy mogą w praktyce stanowić swoiste „zamknięcie zawodu” dla osób, które nie wykonywały dotychczas projektów ustalenia gleboznawczej klasyfikacji gruntów stanowiących podstawę wydania ostatecznej decyzji w przedmiocie gleboznawczej klasyfikacji gruntów, a w szczególności dla młodych osób wchodzących obecnie na rynek pracy po ukończeniu studiów. Treść proponowanych przepisów sugeruje, że przepisy te w sposób zdecydowany promują osoby z kilkuletnim doświadczeniem, które realizowały już zadania na rzecz starostów w ramach postępowań administracyjnych. Nie ulega bowiem wątpliwościom, że osoby które przed wejściem w życie projektu ustawy nie musiały się legitymować żadnym „świadectwem”, mogły bez problemu sporządzać projekty ustalenia gleboznawczej klasyfikacji gruntów. Osoby, które dopiero „wchodzą na rynek”, tej szansy mieć nie będą.</w:t>
            </w:r>
          </w:p>
          <w:p w14:paraId="2B448777" w14:textId="6003B572"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Lato" w:eastAsia="Arial" w:hAnsi="Lato" w:cs="Arial"/>
                <w:sz w:val="18"/>
                <w:szCs w:val="18"/>
              </w:rPr>
              <w:t xml:space="preserve">Ponadto projektowane regulacje nakładają na </w:t>
            </w:r>
            <w:r w:rsidRPr="0037774A">
              <w:rPr>
                <w:rFonts w:ascii="Lato" w:eastAsia="Arial" w:hAnsi="Lato" w:cs="Arial"/>
                <w:sz w:val="18"/>
                <w:szCs w:val="18"/>
              </w:rPr>
              <w:lastRenderedPageBreak/>
              <w:t>ministra właściwego do spraw rozwoju wsi nowe zadania, bez określenia oceny skutków regulacji i wskazania źródeł finansowania tych zadań.</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F0DB9EB"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DD0AD6A" w14:textId="3BF67E0C" w:rsidR="00C10003" w:rsidRDefault="00C10003" w:rsidP="00C10003">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4F0553B8" w14:textId="4B365F97" w:rsidR="00A1261B" w:rsidRPr="0037774A" w:rsidRDefault="00C10003" w:rsidP="0037774A">
            <w:pPr>
              <w:pStyle w:val="Inne0"/>
              <w:shd w:val="clear" w:color="auto" w:fill="auto"/>
              <w:spacing w:before="120" w:after="120"/>
              <w:ind w:left="131" w:right="138"/>
              <w:rPr>
                <w:rFonts w:ascii="Lato" w:eastAsia="Arial" w:hAnsi="Lato" w:cs="Arial"/>
                <w:sz w:val="18"/>
                <w:szCs w:val="18"/>
              </w:rPr>
            </w:pPr>
            <w:r w:rsidRPr="00C10003">
              <w:rPr>
                <w:rFonts w:ascii="Lato" w:eastAsia="Arial" w:hAnsi="Lato" w:cs="Arial"/>
                <w:sz w:val="18"/>
                <w:szCs w:val="18"/>
              </w:rPr>
              <w:t xml:space="preserve">Stanowisko zawarte w odniesieniu do uwagi lp. </w:t>
            </w:r>
            <w:r w:rsidR="00857BD1">
              <w:rPr>
                <w:rFonts w:ascii="Lato" w:eastAsia="Arial" w:hAnsi="Lato" w:cs="Arial"/>
                <w:sz w:val="18"/>
                <w:szCs w:val="18"/>
              </w:rPr>
              <w:t>29</w:t>
            </w:r>
          </w:p>
        </w:tc>
      </w:tr>
      <w:tr w:rsidR="00A1261B" w:rsidRPr="0037774A" w14:paraId="65A9E3AD" w14:textId="1A69A572" w:rsidTr="00A1261B">
        <w:trPr>
          <w:trHeight w:val="20"/>
        </w:trPr>
        <w:tc>
          <w:tcPr>
            <w:tcW w:w="709" w:type="dxa"/>
            <w:tcBorders>
              <w:top w:val="single" w:sz="4" w:space="0" w:color="auto"/>
              <w:left w:val="single" w:sz="4" w:space="0" w:color="auto"/>
              <w:bottom w:val="single" w:sz="4" w:space="0" w:color="auto"/>
            </w:tcBorders>
            <w:shd w:val="clear" w:color="auto" w:fill="FFFFFF"/>
          </w:tcPr>
          <w:p w14:paraId="24DB4684"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B2D0036" w14:textId="35338572"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149336E4" w14:textId="77777777" w:rsidR="00A1261B" w:rsidRPr="0037774A" w:rsidRDefault="00A1261B" w:rsidP="00763326">
            <w:pPr>
              <w:ind w:left="127"/>
              <w:rPr>
                <w:rFonts w:ascii="Arial" w:eastAsia="Arial" w:hAnsi="Arial" w:cs="Arial"/>
                <w:b/>
                <w:bCs/>
                <w:color w:val="auto"/>
                <w:sz w:val="18"/>
                <w:szCs w:val="18"/>
              </w:rPr>
            </w:pPr>
            <w:r w:rsidRPr="0037774A">
              <w:rPr>
                <w:rFonts w:ascii="Arial" w:eastAsia="Arial" w:hAnsi="Arial" w:cs="Arial"/>
                <w:b/>
                <w:bCs/>
                <w:color w:val="auto"/>
                <w:sz w:val="18"/>
                <w:szCs w:val="18"/>
              </w:rPr>
              <w:t>Uwaga ogólna</w:t>
            </w:r>
          </w:p>
          <w:p w14:paraId="586DCB51" w14:textId="6EAD7F73"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Zgodnie z zasadami budowania Architektury Informacyjnej Państwa należy zwrócić uwagę na zawarcie w projektowanym rejestrze/systemie niezbędnych atrybutów dot. kategorii budynków opisanych w projekcie, w momencie uzupełniania modelu architektonicznego zgodnie z wymogami Architektury Informacyjnej Państwa.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0FF4894" w14:textId="77777777" w:rsidR="00A1261B" w:rsidRPr="0037774A" w:rsidRDefault="00A1261B" w:rsidP="0037774A">
            <w:pPr>
              <w:rPr>
                <w:rFonts w:ascii="Arial" w:eastAsia="Arial" w:hAnsi="Arial" w:cs="Arial"/>
                <w:sz w:val="18"/>
                <w:szCs w:val="18"/>
              </w:rPr>
            </w:pPr>
          </w:p>
          <w:p w14:paraId="071DC902"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1FCB398" w14:textId="3B9C78D4"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nieprecyzyjna. Brak możliwości odniesienia się do uwagi ze względu na brak określenia jakiego rejestru/systemu dotyczy.</w:t>
            </w:r>
          </w:p>
        </w:tc>
      </w:tr>
      <w:tr w:rsidR="00A1261B" w:rsidRPr="0037774A" w14:paraId="5BEC24D2" w14:textId="3682BC5D" w:rsidTr="00A1261B">
        <w:trPr>
          <w:trHeight w:val="20"/>
        </w:trPr>
        <w:tc>
          <w:tcPr>
            <w:tcW w:w="709" w:type="dxa"/>
            <w:tcBorders>
              <w:top w:val="single" w:sz="4" w:space="0" w:color="auto"/>
              <w:left w:val="single" w:sz="4" w:space="0" w:color="auto"/>
              <w:bottom w:val="single" w:sz="4" w:space="0" w:color="auto"/>
            </w:tcBorders>
            <w:shd w:val="clear" w:color="auto" w:fill="FFFFFF"/>
          </w:tcPr>
          <w:p w14:paraId="41904B66"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7A962F1" w14:textId="2C901B86"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2F7CC1A4" w14:textId="77777777" w:rsidR="00A1261B" w:rsidRPr="0037774A" w:rsidRDefault="00A1261B" w:rsidP="00763326">
            <w:pPr>
              <w:pStyle w:val="Inne0"/>
              <w:shd w:val="clear" w:color="auto" w:fill="auto"/>
              <w:spacing w:before="120"/>
              <w:ind w:left="127"/>
              <w:rPr>
                <w:rFonts w:ascii="Arial" w:eastAsia="Arial" w:hAnsi="Arial" w:cs="Arial"/>
                <w:b/>
                <w:bCs/>
                <w:sz w:val="18"/>
                <w:szCs w:val="18"/>
              </w:rPr>
            </w:pPr>
            <w:r w:rsidRPr="0037774A">
              <w:rPr>
                <w:rFonts w:ascii="Arial" w:eastAsia="Arial" w:hAnsi="Arial" w:cs="Arial"/>
                <w:b/>
                <w:bCs/>
                <w:sz w:val="18"/>
                <w:szCs w:val="18"/>
              </w:rPr>
              <w:t xml:space="preserve">Uwaga do art. 1 pkt 3 projektu </w:t>
            </w:r>
          </w:p>
          <w:p w14:paraId="601D81E0" w14:textId="77777777" w:rsidR="00A1261B" w:rsidRPr="0037774A" w:rsidRDefault="00A1261B" w:rsidP="00763326">
            <w:pPr>
              <w:pStyle w:val="Inne0"/>
              <w:shd w:val="clear" w:color="auto" w:fill="auto"/>
              <w:spacing w:after="120"/>
              <w:ind w:left="127"/>
              <w:rPr>
                <w:rFonts w:ascii="Arial" w:eastAsia="Arial" w:hAnsi="Arial" w:cs="Arial"/>
                <w:sz w:val="18"/>
                <w:szCs w:val="18"/>
              </w:rPr>
            </w:pPr>
            <w:r w:rsidRPr="0037774A">
              <w:rPr>
                <w:rFonts w:ascii="Arial" w:eastAsia="Arial" w:hAnsi="Arial" w:cs="Arial"/>
                <w:sz w:val="18"/>
                <w:szCs w:val="18"/>
              </w:rPr>
              <w:t>(w zakresie dodawanego art. 4a ust. 1 pkt 2 lit. b oraz ust. 2 pkt 1 ustawy z dnia 17 maja 1989 r. – Prawo geodezyjne i kartograficzne)</w:t>
            </w:r>
          </w:p>
          <w:p w14:paraId="670C4B49" w14:textId="77777777" w:rsidR="00A1261B" w:rsidRPr="0037774A" w:rsidRDefault="00A1261B" w:rsidP="00763326">
            <w:pPr>
              <w:pStyle w:val="Inne0"/>
              <w:ind w:left="127"/>
              <w:rPr>
                <w:rFonts w:ascii="Arial" w:eastAsia="Arial" w:hAnsi="Arial" w:cs="Arial"/>
                <w:sz w:val="18"/>
                <w:szCs w:val="18"/>
              </w:rPr>
            </w:pPr>
            <w:r w:rsidRPr="0037774A">
              <w:rPr>
                <w:rFonts w:ascii="Arial" w:eastAsia="Arial" w:hAnsi="Arial" w:cs="Arial"/>
                <w:sz w:val="18"/>
                <w:szCs w:val="18"/>
              </w:rPr>
              <w:t>Projektowany art. 4a ust. 1 pkt 2 lit. b ustawy z dnia 17 maja 1989 r. – Prawo geodezyjne i kartograficzne (Dz. U. z 2024 r. poz. 1151 i 1824), zwane dalej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przewiduje możliwość ograniczenia udostępniania danych innym podmiotom niż uprawnione. Projektowany art. 4a ust. 2 pkt 1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upoważnia ministra do określenia w rozporządzeniu: „rodzajów danych [...] podlegających ograniczeniom w upublicznianiu [...] lub wyłączonych z udostępniania”.</w:t>
            </w:r>
          </w:p>
          <w:p w14:paraId="18459E0E" w14:textId="5DB11259"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Projektowana regulacja może prowadzić do nieproporcjonalnego ograniczenia praw osób fizycznych, np. właścicieli nieruchomości położonych na terenach zamkniętych II kategorii, do dostępu do ich własnych danych osobowych, zgodnie z art. 15 RODO. Z punktu widzenia RODO ograniczenie prawa dostępu musi być odpowiednio uzasadnione, proporcjonalne i zawierać gwarancje ochrony praw osób, których dane dotyczą. Zgodnie z art. 23 ust. 1 RODO prawo Unii Europejskiej lub prawo państwa członkowskiego Unii Europejskiej, któremu podlegają administrator danych lub podmiot przetwarzający, może aktem prawnym ograniczyć zakres obowiązków i praw przewidzianych w art. 12–22 i w art. 34, a także w art. 5 RODO – o ile jego przepisy odpowiadają prawom i obowiązkom przewidzianym w art. 12–22 RODO – jeżeli ograniczenie takie nie narusza istoty podstawowych praw i wolności oraz jest w demokratycznym społeczeństwie środkiem niezbędnym i proporcjonalnym, służącym m.in. bezpieczeństwu narodowemu, obronie. </w:t>
            </w:r>
            <w:r w:rsidRPr="0037774A">
              <w:rPr>
                <w:rFonts w:ascii="Arial" w:eastAsia="Arial" w:hAnsi="Arial" w:cs="Arial"/>
                <w:sz w:val="18"/>
                <w:szCs w:val="18"/>
              </w:rPr>
              <w:lastRenderedPageBreak/>
              <w:t>Projektowane przepisy spełniają przesłankę celu, bowiem służą bezpieczeństwu narodowemu i obronie, jednak zdają się nie zawierać elementów niezbędnych wskazanych w art. 23 ust. 1 RODO, tj. nie odpowiadają prawom i obowiązkom przewidzianym w art. 15 RODO. Wobec tego uzasadnionym wydaje się być odpowiednie doprecyzowanie projektowanych przepisów, aby wprowadzane ograniczenia w dostępie do danych osobowych właścicieli nieruchomości, które w drodze zwykłej decyzji administracyjnej organu znajdą się na terenie zamkniętym, nie naruszały prawa dostępu osoby, której dane dotyczą, do informacji o sobie na podstawie art. 15 RODO, którym przed wydaniem takiej decyzji dana osoba dysponowała.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1CD4525"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0811613" w14:textId="07941344"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288C3B63" w14:textId="0338AC06" w:rsidTr="00A1261B">
        <w:trPr>
          <w:trHeight w:val="20"/>
        </w:trPr>
        <w:tc>
          <w:tcPr>
            <w:tcW w:w="709" w:type="dxa"/>
            <w:tcBorders>
              <w:top w:val="single" w:sz="4" w:space="0" w:color="auto"/>
              <w:left w:val="single" w:sz="4" w:space="0" w:color="auto"/>
              <w:bottom w:val="single" w:sz="4" w:space="0" w:color="auto"/>
            </w:tcBorders>
            <w:shd w:val="clear" w:color="auto" w:fill="FFFFFF"/>
          </w:tcPr>
          <w:p w14:paraId="0EADE2F6" w14:textId="77777777" w:rsidR="00A1261B" w:rsidRPr="0037774A" w:rsidRDefault="00A1261B" w:rsidP="008846F4">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FE8AE5D" w14:textId="6D19D092" w:rsidR="00A1261B" w:rsidRPr="0037774A" w:rsidRDefault="00A1261B" w:rsidP="008846F4">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126374FE" w14:textId="77777777" w:rsidR="00A1261B" w:rsidRPr="0037774A" w:rsidRDefault="00A1261B" w:rsidP="008846F4">
            <w:pPr>
              <w:pStyle w:val="Inne0"/>
              <w:shd w:val="clear" w:color="auto" w:fill="auto"/>
              <w:spacing w:before="120"/>
              <w:rPr>
                <w:rFonts w:ascii="Arial" w:eastAsia="Arial" w:hAnsi="Arial" w:cs="Arial"/>
                <w:b/>
                <w:bCs/>
                <w:sz w:val="18"/>
                <w:szCs w:val="18"/>
              </w:rPr>
            </w:pPr>
            <w:r w:rsidRPr="0037774A">
              <w:rPr>
                <w:rFonts w:ascii="Arial" w:eastAsia="Arial" w:hAnsi="Arial" w:cs="Arial"/>
                <w:b/>
                <w:bCs/>
                <w:sz w:val="18"/>
                <w:szCs w:val="18"/>
              </w:rPr>
              <w:t xml:space="preserve">Uwaga do art. 1 pkt 3 </w:t>
            </w:r>
          </w:p>
          <w:p w14:paraId="0C8BE2CF" w14:textId="77777777" w:rsidR="00A1261B" w:rsidRPr="0037774A" w:rsidRDefault="00A1261B" w:rsidP="008846F4">
            <w:pPr>
              <w:pStyle w:val="Inne0"/>
              <w:shd w:val="clear" w:color="auto" w:fill="auto"/>
              <w:spacing w:after="120"/>
              <w:rPr>
                <w:rFonts w:ascii="Arial" w:eastAsia="Arial" w:hAnsi="Arial" w:cs="Arial"/>
                <w:sz w:val="18"/>
                <w:szCs w:val="18"/>
              </w:rPr>
            </w:pPr>
            <w:r w:rsidRPr="0037774A">
              <w:rPr>
                <w:rFonts w:ascii="Arial" w:eastAsia="Arial" w:hAnsi="Arial" w:cs="Arial"/>
                <w:sz w:val="18"/>
                <w:szCs w:val="18"/>
              </w:rPr>
              <w:t>(w zakresie dodawanego art. 4a ust. 2 pkt 1 ustawy z dnia 17 maja 1989 r. – Prawo geodezyjne i kartograficzne)</w:t>
            </w:r>
          </w:p>
          <w:p w14:paraId="5C760C10" w14:textId="6D88CAF4" w:rsidR="00A1261B" w:rsidRPr="0037774A" w:rsidRDefault="00A1261B" w:rsidP="008846F4">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Projektowany przepis zawiera sformułowanie „najwyższe dopuszczalne parametry publikacji”, które wydaje się mało precyzyjne. Nie wiadomo bowiem, jakie jest znaczenie tego sformułowania. Być może lepszym rozwiązaniem byłoby użycie sformułowania, o którym mowa w uzasadnieniu.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B99954" w14:textId="33DEF5D7" w:rsidR="00A1261B" w:rsidRPr="0037774A" w:rsidRDefault="00A1261B" w:rsidP="008846F4">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t xml:space="preserve">1) rodzaje danych gromadzonych w bazach danych, o których mowa w art. 4 ust. 1a pkt 3, 8, 11 i 12 oraz materiałów państwowego zasobu geodezyjnego i kartograficznego wykorzystanych do aktualizacji tych baz, na terenach zamkniętych </w:t>
            </w:r>
            <w:r w:rsidRPr="0037774A">
              <w:rPr>
                <w:rFonts w:ascii="Arial" w:eastAsia="Arial" w:hAnsi="Arial" w:cs="Arial"/>
                <w:sz w:val="18"/>
                <w:szCs w:val="18"/>
              </w:rPr>
              <w:br/>
              <w:t>II kategorii, podlegających ograniczeniom w upublicznianiu wraz z zakresem ograniczeń publikacji lub wyłączonych z udostępniania,</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02C22D8" w14:textId="4C9FFD33" w:rsidR="00A1261B" w:rsidRPr="0037774A" w:rsidRDefault="00A1261B" w:rsidP="008846F4">
            <w:pPr>
              <w:pStyle w:val="Inne0"/>
              <w:shd w:val="clear" w:color="auto" w:fill="auto"/>
              <w:spacing w:before="120" w:after="120"/>
              <w:ind w:left="131" w:right="138"/>
              <w:rPr>
                <w:rFonts w:ascii="Lato" w:eastAsia="Arial" w:hAnsi="Lato" w:cs="Arial"/>
                <w:sz w:val="18"/>
                <w:szCs w:val="18"/>
              </w:rPr>
            </w:pPr>
            <w:r w:rsidRPr="00191B47">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191B47">
              <w:rPr>
                <w:rFonts w:ascii="Lato" w:eastAsia="Arial" w:hAnsi="Lato" w:cs="Arial"/>
                <w:sz w:val="18"/>
                <w:szCs w:val="18"/>
              </w:rPr>
              <w:t xml:space="preserve">zagadnienia ustanawiania i znoszenia terenów zamkniętych. </w:t>
            </w:r>
          </w:p>
        </w:tc>
      </w:tr>
      <w:tr w:rsidR="00A1261B" w:rsidRPr="0037774A" w14:paraId="663026C2" w14:textId="284188F2" w:rsidTr="00A1261B">
        <w:trPr>
          <w:trHeight w:val="20"/>
        </w:trPr>
        <w:tc>
          <w:tcPr>
            <w:tcW w:w="709" w:type="dxa"/>
            <w:tcBorders>
              <w:top w:val="single" w:sz="4" w:space="0" w:color="auto"/>
              <w:left w:val="single" w:sz="4" w:space="0" w:color="auto"/>
              <w:bottom w:val="single" w:sz="4" w:space="0" w:color="auto"/>
            </w:tcBorders>
            <w:shd w:val="clear" w:color="auto" w:fill="FFFFFF"/>
          </w:tcPr>
          <w:p w14:paraId="26CF0794" w14:textId="77777777" w:rsidR="00A1261B" w:rsidRPr="0037774A" w:rsidRDefault="00A1261B" w:rsidP="008846F4">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F627E99" w14:textId="0B8A150C" w:rsidR="00A1261B" w:rsidRPr="0037774A" w:rsidRDefault="00A1261B" w:rsidP="008846F4">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4B561BF7" w14:textId="77777777" w:rsidR="00A1261B" w:rsidRPr="0037774A" w:rsidRDefault="00A1261B" w:rsidP="008846F4">
            <w:pPr>
              <w:pStyle w:val="Inne0"/>
              <w:spacing w:before="240"/>
              <w:ind w:left="127"/>
              <w:rPr>
                <w:rFonts w:ascii="Arial" w:eastAsia="Arial" w:hAnsi="Arial" w:cs="Arial"/>
                <w:b/>
                <w:bCs/>
                <w:sz w:val="18"/>
                <w:szCs w:val="18"/>
              </w:rPr>
            </w:pPr>
            <w:r w:rsidRPr="0037774A">
              <w:rPr>
                <w:rFonts w:ascii="Arial" w:eastAsia="Arial" w:hAnsi="Arial" w:cs="Arial"/>
                <w:b/>
                <w:bCs/>
                <w:sz w:val="18"/>
                <w:szCs w:val="18"/>
              </w:rPr>
              <w:t xml:space="preserve">Uwaga do art. 1 pkt 3 </w:t>
            </w:r>
          </w:p>
          <w:p w14:paraId="417BABD2" w14:textId="77777777" w:rsidR="00A1261B" w:rsidRPr="0037774A" w:rsidRDefault="00A1261B" w:rsidP="008846F4">
            <w:pPr>
              <w:pStyle w:val="Inne0"/>
              <w:spacing w:after="120"/>
              <w:ind w:left="127"/>
              <w:rPr>
                <w:rFonts w:ascii="Arial" w:eastAsia="Arial" w:hAnsi="Arial" w:cs="Arial"/>
                <w:sz w:val="18"/>
                <w:szCs w:val="18"/>
              </w:rPr>
            </w:pPr>
            <w:r w:rsidRPr="0037774A">
              <w:rPr>
                <w:rFonts w:ascii="Arial" w:eastAsia="Arial" w:hAnsi="Arial" w:cs="Arial"/>
                <w:sz w:val="18"/>
                <w:szCs w:val="18"/>
              </w:rPr>
              <w:t xml:space="preserve">(propozycja uzupełnienia dodawanego art. 4a ustawy z dnia 17 maja 1989 r. – Prawo geodezyjne i kartograficzne) </w:t>
            </w:r>
          </w:p>
          <w:p w14:paraId="407B7001" w14:textId="77777777" w:rsidR="00A1261B" w:rsidRPr="0037774A" w:rsidRDefault="00A1261B" w:rsidP="008846F4">
            <w:pPr>
              <w:pStyle w:val="Inne0"/>
              <w:ind w:left="127"/>
              <w:rPr>
                <w:rFonts w:ascii="Arial" w:eastAsia="Arial" w:hAnsi="Arial" w:cs="Arial"/>
                <w:sz w:val="18"/>
                <w:szCs w:val="18"/>
              </w:rPr>
            </w:pPr>
            <w:r w:rsidRPr="0037774A">
              <w:rPr>
                <w:rFonts w:ascii="Arial" w:eastAsia="Arial" w:hAnsi="Arial" w:cs="Arial"/>
                <w:sz w:val="18"/>
                <w:szCs w:val="18"/>
              </w:rPr>
              <w:t>Wobec brzmienia definicji linii kolejowej o znaczeniu państwowym, linii kolejowej o znaczeniu obronnym, linii kolejowej o znaczeniu wyłącznie obronnym ustalonego przepisami art. 4 pkt 2a–2c ustawy z dnia 28 marca 2003 r. o transporcie kolejowym (Dz. U. z 2024 r. poz. 697 i 731) oraz brzmieniem art. 6 ust. 1 tej ustawy celowym wydaje się być wyłączenie możliwości ustanawiania terenów zamkniętych II kategorii dla dróg kolejowych zawierających linie kolejowe niewydzielone jako linie o znaczeniu państwowym przepisami art. 6 ust. 1–2a ustawy z dnia 28 marca 2003 r. o transporcie kolejowym.</w:t>
            </w:r>
          </w:p>
          <w:p w14:paraId="309F9883" w14:textId="5A84B299" w:rsidR="00A1261B" w:rsidRPr="0037774A" w:rsidRDefault="00A1261B" w:rsidP="008846F4">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Przy obecnym stanie prawnym, decyzjami Ministra Infrastruktury terenami zamkniętymi dla obszarów kolejowych objętych jest blisko 18400 działek </w:t>
            </w:r>
            <w:r w:rsidRPr="0037774A">
              <w:rPr>
                <w:rFonts w:ascii="Arial" w:eastAsia="Arial" w:hAnsi="Arial" w:cs="Arial"/>
                <w:sz w:val="18"/>
                <w:szCs w:val="18"/>
              </w:rPr>
              <w:lastRenderedPageBreak/>
              <w:t>ewidencyjnych, co powoduje znaczące trudności i długotrwałość uzyskiwania materiałów geodezyjnych dla prowadzenia czynności geodezyjnych na potrzeby budownictwa infrastruktury telekomunikacyjnej. Znaczący procent tych działek ewidencyjnych związany jest z infrastrukturą kolejową, na której zarządca nie dopuścił ruchu kolejowego lub na których zlikwidowano linie kolejowe.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AAA6D7" w14:textId="2FC4886D" w:rsidR="00A1261B" w:rsidRPr="0037774A" w:rsidRDefault="00A1261B" w:rsidP="008846F4">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lastRenderedPageBreak/>
              <w:t>6. Nie ustala się terenów zamkniętych II kategorii dla dróg kolejowych nie będących liniami kolejowymi o znaczeniu państwowym, o których mowa w art. 4 pkt 2a ustawy z dnia 28 marca 2003 r. o transporcie kolejowym (Dz. U. z 2024 r. poz. 697 i 731).</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52F7989" w14:textId="0614B96B" w:rsidR="00A1261B" w:rsidRPr="0037774A" w:rsidRDefault="00A1261B" w:rsidP="008846F4">
            <w:pPr>
              <w:pStyle w:val="Inne0"/>
              <w:shd w:val="clear" w:color="auto" w:fill="auto"/>
              <w:spacing w:before="120" w:after="120"/>
              <w:ind w:left="131" w:right="138"/>
              <w:rPr>
                <w:rFonts w:ascii="Lato" w:eastAsia="Arial" w:hAnsi="Lato" w:cs="Arial"/>
                <w:sz w:val="18"/>
                <w:szCs w:val="18"/>
              </w:rPr>
            </w:pPr>
            <w:r w:rsidRPr="00191B47">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191B47">
              <w:rPr>
                <w:rFonts w:ascii="Lato" w:eastAsia="Arial" w:hAnsi="Lato" w:cs="Arial"/>
                <w:sz w:val="18"/>
                <w:szCs w:val="18"/>
              </w:rPr>
              <w:t xml:space="preserve">zagadnienia ustanawiania i znoszenia terenów zamkniętych. </w:t>
            </w:r>
          </w:p>
        </w:tc>
      </w:tr>
      <w:tr w:rsidR="00A1261B" w:rsidRPr="0037774A" w14:paraId="223B1EE2" w14:textId="395683DE" w:rsidTr="00A1261B">
        <w:trPr>
          <w:trHeight w:val="20"/>
        </w:trPr>
        <w:tc>
          <w:tcPr>
            <w:tcW w:w="709" w:type="dxa"/>
            <w:tcBorders>
              <w:top w:val="single" w:sz="4" w:space="0" w:color="auto"/>
              <w:left w:val="single" w:sz="4" w:space="0" w:color="auto"/>
              <w:bottom w:val="single" w:sz="4" w:space="0" w:color="auto"/>
            </w:tcBorders>
            <w:shd w:val="clear" w:color="auto" w:fill="FFFFFF"/>
          </w:tcPr>
          <w:p w14:paraId="604BCA6C"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6A18B4B" w14:textId="21B28635"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58D3531A" w14:textId="77777777" w:rsidR="00A1261B" w:rsidRPr="0037774A" w:rsidRDefault="00A1261B" w:rsidP="005F7047">
            <w:pPr>
              <w:pStyle w:val="Inne0"/>
              <w:shd w:val="clear" w:color="auto" w:fill="auto"/>
              <w:spacing w:before="120"/>
              <w:ind w:left="127" w:right="129"/>
              <w:rPr>
                <w:rFonts w:ascii="Arial" w:eastAsia="Arial" w:hAnsi="Arial" w:cs="Arial"/>
                <w:b/>
                <w:bCs/>
                <w:sz w:val="18"/>
                <w:szCs w:val="18"/>
              </w:rPr>
            </w:pPr>
            <w:r w:rsidRPr="0037774A">
              <w:rPr>
                <w:rFonts w:ascii="Arial" w:eastAsia="Arial" w:hAnsi="Arial" w:cs="Arial"/>
                <w:b/>
                <w:bCs/>
                <w:sz w:val="18"/>
                <w:szCs w:val="18"/>
              </w:rPr>
              <w:t xml:space="preserve">Uwaga do art. 1 pkt 3 </w:t>
            </w:r>
          </w:p>
          <w:p w14:paraId="3E2800F6" w14:textId="77777777" w:rsidR="00A1261B" w:rsidRPr="0037774A" w:rsidRDefault="00A1261B" w:rsidP="005F7047">
            <w:pPr>
              <w:pStyle w:val="Inne0"/>
              <w:shd w:val="clear" w:color="auto" w:fill="auto"/>
              <w:spacing w:after="120"/>
              <w:ind w:left="127" w:right="129"/>
              <w:rPr>
                <w:rFonts w:ascii="Arial" w:eastAsia="Arial" w:hAnsi="Arial" w:cs="Arial"/>
                <w:sz w:val="18"/>
                <w:szCs w:val="18"/>
              </w:rPr>
            </w:pPr>
            <w:r w:rsidRPr="0037774A">
              <w:rPr>
                <w:rFonts w:ascii="Arial" w:eastAsia="Arial" w:hAnsi="Arial" w:cs="Arial"/>
                <w:sz w:val="18"/>
                <w:szCs w:val="18"/>
              </w:rPr>
              <w:t>(w zakresie dodawanego art. 4b ust. 1 ustawy z dnia 17 maja 1989 r. – Prawo geodezyjne i kartograficzne)</w:t>
            </w:r>
          </w:p>
          <w:p w14:paraId="1FB9A227" w14:textId="77777777" w:rsidR="00A1261B" w:rsidRPr="0037774A" w:rsidRDefault="00A1261B" w:rsidP="005F7047">
            <w:pPr>
              <w:pStyle w:val="Inne0"/>
              <w:ind w:left="127" w:right="129"/>
              <w:rPr>
                <w:rFonts w:ascii="Arial" w:eastAsia="Arial" w:hAnsi="Arial" w:cs="Arial"/>
                <w:sz w:val="18"/>
                <w:szCs w:val="18"/>
              </w:rPr>
            </w:pPr>
            <w:r w:rsidRPr="0037774A">
              <w:rPr>
                <w:rFonts w:ascii="Arial" w:eastAsia="Arial" w:hAnsi="Arial" w:cs="Arial"/>
                <w:sz w:val="18"/>
                <w:szCs w:val="18"/>
              </w:rPr>
              <w:t xml:space="preserve">Zgodnie z projektowanym art. 4b ust. 1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tereny zamknięte są ustalane lub znoszone w drodze decyzji przez właściwych ministrów, właściwych wojewodów, Szefa Agencji Bezpieczeństwa Wewnętrznego, Szefa Agencji Wywiadu, Szefa Służby Kontrwywiadu Wojskowego, Szefa Służby Wywiadu Wojskowego, Szefa Centralnego Biura Antykorupcyjnego, Komendantów Głównych Policji, Państwowej Straży Pożarnej i Straży Granicznej lub Komendanta Służby Ochrony Państwa. W decyzji określa się w szczególności:</w:t>
            </w:r>
          </w:p>
          <w:p w14:paraId="2F8E8245" w14:textId="77777777" w:rsidR="00A1261B" w:rsidRPr="0037774A" w:rsidRDefault="00A1261B" w:rsidP="005F7047">
            <w:pPr>
              <w:pStyle w:val="Inne0"/>
              <w:numPr>
                <w:ilvl w:val="0"/>
                <w:numId w:val="22"/>
              </w:numPr>
              <w:ind w:left="694" w:right="129"/>
              <w:rPr>
                <w:rFonts w:ascii="Arial" w:eastAsia="Arial" w:hAnsi="Arial" w:cs="Arial"/>
                <w:sz w:val="18"/>
                <w:szCs w:val="18"/>
              </w:rPr>
            </w:pPr>
            <w:r w:rsidRPr="0037774A">
              <w:rPr>
                <w:rFonts w:ascii="Arial" w:eastAsia="Arial" w:hAnsi="Arial" w:cs="Arial"/>
                <w:sz w:val="18"/>
                <w:szCs w:val="18"/>
              </w:rPr>
              <w:t>województwo, powiat i gminę, na obszarze których położony jest teren zamknięty;</w:t>
            </w:r>
          </w:p>
          <w:p w14:paraId="09284B37" w14:textId="77777777" w:rsidR="00A1261B" w:rsidRPr="0037774A" w:rsidRDefault="00A1261B" w:rsidP="005F7047">
            <w:pPr>
              <w:pStyle w:val="Inne0"/>
              <w:numPr>
                <w:ilvl w:val="0"/>
                <w:numId w:val="22"/>
              </w:numPr>
              <w:ind w:left="694" w:right="129"/>
              <w:rPr>
                <w:rFonts w:ascii="Arial" w:eastAsia="Arial" w:hAnsi="Arial" w:cs="Arial"/>
                <w:sz w:val="18"/>
                <w:szCs w:val="18"/>
              </w:rPr>
            </w:pPr>
            <w:r w:rsidRPr="0037774A">
              <w:rPr>
                <w:rFonts w:ascii="Arial" w:eastAsia="Arial" w:hAnsi="Arial" w:cs="Arial"/>
                <w:sz w:val="18"/>
                <w:szCs w:val="18"/>
              </w:rPr>
              <w:t xml:space="preserve">granice terenu zamkniętego w postaci wektorowej </w:t>
            </w:r>
            <w:r w:rsidRPr="0037774A">
              <w:rPr>
                <w:rFonts w:ascii="Arial" w:eastAsia="Arial" w:hAnsi="Arial" w:cs="Arial"/>
                <w:sz w:val="18"/>
                <w:szCs w:val="18"/>
              </w:rPr>
              <w:br/>
              <w:t>w obowiązującym państwowym systemie odniesień przestrzennych;</w:t>
            </w:r>
          </w:p>
          <w:p w14:paraId="69DA2EA8" w14:textId="77777777" w:rsidR="00A1261B" w:rsidRPr="0037774A" w:rsidRDefault="00A1261B" w:rsidP="005F7047">
            <w:pPr>
              <w:pStyle w:val="Inne0"/>
              <w:numPr>
                <w:ilvl w:val="0"/>
                <w:numId w:val="22"/>
              </w:numPr>
              <w:ind w:left="694" w:right="129"/>
              <w:rPr>
                <w:rFonts w:ascii="Arial" w:eastAsia="Arial" w:hAnsi="Arial" w:cs="Arial"/>
                <w:sz w:val="18"/>
                <w:szCs w:val="18"/>
              </w:rPr>
            </w:pPr>
            <w:r w:rsidRPr="0037774A">
              <w:rPr>
                <w:rFonts w:ascii="Arial" w:eastAsia="Arial" w:hAnsi="Arial" w:cs="Arial"/>
                <w:sz w:val="18"/>
                <w:szCs w:val="18"/>
              </w:rPr>
              <w:t>zarządcę terenu zamkniętego;</w:t>
            </w:r>
          </w:p>
          <w:p w14:paraId="723CCD47" w14:textId="77777777" w:rsidR="00A1261B" w:rsidRPr="0037774A" w:rsidRDefault="00A1261B" w:rsidP="005F7047">
            <w:pPr>
              <w:pStyle w:val="Inne0"/>
              <w:numPr>
                <w:ilvl w:val="0"/>
                <w:numId w:val="22"/>
              </w:numPr>
              <w:ind w:left="694" w:right="129"/>
              <w:rPr>
                <w:rFonts w:ascii="Arial" w:eastAsia="Arial" w:hAnsi="Arial" w:cs="Arial"/>
                <w:sz w:val="18"/>
                <w:szCs w:val="18"/>
              </w:rPr>
            </w:pPr>
            <w:r w:rsidRPr="0037774A">
              <w:rPr>
                <w:rFonts w:ascii="Arial" w:eastAsia="Arial" w:hAnsi="Arial" w:cs="Arial"/>
                <w:sz w:val="18"/>
                <w:szCs w:val="18"/>
              </w:rPr>
              <w:t>kategorię terenu zamkniętego, o której mowa w art. 4a ust. 1.</w:t>
            </w:r>
          </w:p>
          <w:p w14:paraId="219C0C5D" w14:textId="77777777" w:rsidR="00A1261B" w:rsidRPr="0037774A" w:rsidRDefault="00A1261B" w:rsidP="005F7047">
            <w:pPr>
              <w:pStyle w:val="Inne0"/>
              <w:ind w:left="127" w:right="129"/>
              <w:rPr>
                <w:rFonts w:ascii="Arial" w:eastAsia="Arial" w:hAnsi="Arial" w:cs="Arial"/>
                <w:sz w:val="18"/>
                <w:szCs w:val="18"/>
              </w:rPr>
            </w:pPr>
            <w:r w:rsidRPr="0037774A">
              <w:rPr>
                <w:rFonts w:ascii="Arial" w:eastAsia="Arial" w:hAnsi="Arial" w:cs="Arial"/>
                <w:sz w:val="18"/>
                <w:szCs w:val="18"/>
              </w:rPr>
              <w:t>Używanie stwierdzeń „w tym”, „w szczególności”, czy „co najmniej” przy ustalaniu zakresu danych osobowych, jakie będą obowiązkowo przetwarzane w decyzjach, nie wydaje się być adekwatnym względem zasad określonych w art. 5 ust. 1 lit. a</w:t>
            </w:r>
            <w:r w:rsidRPr="0037774A">
              <w:rPr>
                <w:rFonts w:ascii="Arial" w:eastAsia="Arial" w:hAnsi="Arial" w:cs="Arial"/>
                <w:sz w:val="18"/>
                <w:szCs w:val="18"/>
              </w:rPr>
              <w:sym w:font="Symbol" w:char="F02D"/>
            </w:r>
            <w:r w:rsidRPr="0037774A">
              <w:rPr>
                <w:rFonts w:ascii="Arial" w:eastAsia="Arial" w:hAnsi="Arial" w:cs="Arial"/>
                <w:sz w:val="18"/>
                <w:szCs w:val="18"/>
              </w:rPr>
              <w:t xml:space="preserve">c RODO. Projektowana regulacja ustanawia jedynie przykładowe dane, jakie będą przetwarzane w decyzjach, na co wskazuje stwierdzenie „w szczególności”, a przez to katalog danych osobowych, jakie będą mogły być wymagalne i obowiązkowo przetwarzane jest otwarty, nieograniczony i nieprecyzyjny. Przepis ten zezwala tym samym na przetwarzanie danych osobowych, które nie są wystarczająco zdefiniowane, ani możliwe do zidentyfikowania. Zatem przepisy materialne </w:t>
            </w:r>
            <w:r w:rsidRPr="0037774A">
              <w:rPr>
                <w:rFonts w:ascii="Arial" w:eastAsia="Arial" w:hAnsi="Arial" w:cs="Arial"/>
                <w:sz w:val="18"/>
                <w:szCs w:val="18"/>
              </w:rPr>
              <w:lastRenderedPageBreak/>
              <w:t>regulujące ingerencję w prawo do prywatności nie spełniają wymogu jasności i precyzji RODO.</w:t>
            </w:r>
          </w:p>
          <w:p w14:paraId="7A931117" w14:textId="77777777" w:rsidR="00A1261B" w:rsidRPr="0037774A" w:rsidRDefault="00A1261B" w:rsidP="005F7047">
            <w:pPr>
              <w:pStyle w:val="Inne0"/>
              <w:ind w:left="127" w:right="129"/>
              <w:rPr>
                <w:rFonts w:ascii="Arial" w:eastAsia="Arial" w:hAnsi="Arial" w:cs="Arial"/>
                <w:sz w:val="18"/>
                <w:szCs w:val="18"/>
              </w:rPr>
            </w:pPr>
            <w:r w:rsidRPr="0037774A">
              <w:rPr>
                <w:rFonts w:ascii="Arial" w:eastAsia="Arial" w:hAnsi="Arial" w:cs="Arial"/>
                <w:sz w:val="18"/>
                <w:szCs w:val="18"/>
              </w:rPr>
              <w:t xml:space="preserve">Zgodnie z art. 5 ust. 1 lit. a RODO dane osobowe muszą być przetwarzane zgodnie z prawem, rzetelnie i w sposób przejrzysty dla osoby, której dane dotyczą. Stosownie do art. 5 ust. 1 lit. b RODO dane osobowe muszą być zbierane w konkretnych, wyraźnych i prawnie uzasadnionych celach </w:t>
            </w:r>
            <w:r w:rsidRPr="0037774A">
              <w:rPr>
                <w:rFonts w:ascii="Arial" w:eastAsia="Arial" w:hAnsi="Arial" w:cs="Arial"/>
                <w:sz w:val="18"/>
                <w:szCs w:val="18"/>
              </w:rPr>
              <w:br/>
              <w:t>i nieprzetwarzane dalej w sposób niezgodny z tymi celami. Ponadto zasada minimalizacji danych określona w art. 5 ust. 1 lit. c RODO wymaga, aby dane osobowe były adekwatne, stosowne oraz ograniczone do tego, co niezbędne do celów, w których są przetwarzane.</w:t>
            </w:r>
          </w:p>
          <w:p w14:paraId="7703A03B" w14:textId="77777777" w:rsidR="00A1261B" w:rsidRPr="0037774A" w:rsidRDefault="00A1261B" w:rsidP="005F7047">
            <w:pPr>
              <w:pStyle w:val="Inne0"/>
              <w:ind w:left="127" w:right="129"/>
              <w:rPr>
                <w:rFonts w:ascii="Arial" w:eastAsia="Arial" w:hAnsi="Arial" w:cs="Arial"/>
                <w:sz w:val="18"/>
                <w:szCs w:val="18"/>
              </w:rPr>
            </w:pPr>
            <w:r w:rsidRPr="0037774A">
              <w:rPr>
                <w:rFonts w:ascii="Arial" w:eastAsia="Arial" w:hAnsi="Arial" w:cs="Arial"/>
                <w:sz w:val="18"/>
                <w:szCs w:val="18"/>
              </w:rPr>
              <w:t xml:space="preserve">Wobec powyższego z wprowadzenia do wyliczenia w zdaniu drugim w projektowanym art. 4b ust. 1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należałoby usunąć wyrazy „w szczególności” oraz dodać punkt dotyczący oznaczenia stron postępowania, jeśli takie są w tym postępowaniu (do kogo konkretnie takie decyzje będą skierowane, czy również do wszystkich właścicieli nieruchomości położonych na takim terenie, który zostanie zmieniony na kategorię terenu zamkniętego?).</w:t>
            </w:r>
          </w:p>
          <w:p w14:paraId="0E6991F8" w14:textId="6126E175"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W przypadku gdy projektodawca chce zostawić możliwość przetwarzania innych danych niestanowiących danych osobowych, proponuje się po usunięciu wyrazów „w szczególności” z wprowadzenia do wyliczenia w projektowanym art. 4b ust. 1 dodać pkt 5 w brzmieniu: </w:t>
            </w:r>
            <w:r w:rsidRPr="0037774A">
              <w:rPr>
                <w:rFonts w:ascii="Arial" w:eastAsia="Arial" w:hAnsi="Arial" w:cs="Arial"/>
                <w:sz w:val="18"/>
                <w:szCs w:val="18"/>
              </w:rPr>
              <w:br/>
              <w:t>„5) inne niezbędne informacje, niestanowiące danych osobowych.”. Wówczas zostanie pozostawiony dla decyzji otwarty katalog dla danych nieosobowych, dla których przepisy RODO nie mają zastosowania.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31182C8"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70DA24E" w14:textId="54FBB618"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70A4FB8C" w14:textId="71186F30" w:rsidTr="00A1261B">
        <w:trPr>
          <w:trHeight w:val="20"/>
        </w:trPr>
        <w:tc>
          <w:tcPr>
            <w:tcW w:w="709" w:type="dxa"/>
            <w:tcBorders>
              <w:top w:val="single" w:sz="4" w:space="0" w:color="auto"/>
              <w:left w:val="single" w:sz="4" w:space="0" w:color="auto"/>
              <w:bottom w:val="single" w:sz="4" w:space="0" w:color="auto"/>
            </w:tcBorders>
            <w:shd w:val="clear" w:color="auto" w:fill="FFFFFF"/>
          </w:tcPr>
          <w:p w14:paraId="511C825E"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DC227D0" w14:textId="2BA4203E"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5275C316" w14:textId="77777777" w:rsidR="00A1261B" w:rsidRPr="0037774A" w:rsidRDefault="00A1261B" w:rsidP="005F7047">
            <w:pPr>
              <w:pStyle w:val="Inne0"/>
              <w:shd w:val="clear" w:color="auto" w:fill="auto"/>
              <w:spacing w:before="120"/>
              <w:ind w:left="127"/>
              <w:rPr>
                <w:rFonts w:ascii="Arial" w:eastAsia="Arial" w:hAnsi="Arial" w:cs="Arial"/>
                <w:b/>
                <w:bCs/>
                <w:sz w:val="18"/>
                <w:szCs w:val="18"/>
              </w:rPr>
            </w:pPr>
            <w:r w:rsidRPr="0037774A">
              <w:rPr>
                <w:rFonts w:ascii="Arial" w:eastAsia="Arial" w:hAnsi="Arial" w:cs="Arial"/>
                <w:b/>
                <w:bCs/>
                <w:sz w:val="18"/>
                <w:szCs w:val="18"/>
              </w:rPr>
              <w:t xml:space="preserve">Uwaga do art. 1 pkt 3 </w:t>
            </w:r>
          </w:p>
          <w:p w14:paraId="0ACA17A9" w14:textId="77777777" w:rsidR="00A1261B" w:rsidRPr="0037774A" w:rsidRDefault="00A1261B" w:rsidP="005F7047">
            <w:pPr>
              <w:pStyle w:val="Inne0"/>
              <w:shd w:val="clear" w:color="auto" w:fill="auto"/>
              <w:spacing w:after="120"/>
              <w:ind w:left="127"/>
              <w:rPr>
                <w:rFonts w:ascii="Arial" w:eastAsia="Arial" w:hAnsi="Arial" w:cs="Arial"/>
                <w:sz w:val="18"/>
                <w:szCs w:val="18"/>
              </w:rPr>
            </w:pPr>
            <w:r w:rsidRPr="0037774A">
              <w:rPr>
                <w:rFonts w:ascii="Arial" w:eastAsia="Arial" w:hAnsi="Arial" w:cs="Arial"/>
                <w:sz w:val="18"/>
                <w:szCs w:val="18"/>
              </w:rPr>
              <w:t>(w zakresie dodawanego art. 4d ust. 1 ustawy z dnia 17 maja 1989 r. – Prawo geodezyjne i kartograficzne)</w:t>
            </w:r>
          </w:p>
          <w:p w14:paraId="05FA5AC2"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 xml:space="preserve">Zgodnie z projektowanym art. 4d ust. 1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w rejestrze terenów zamkniętych gromadzi się i udostępnia wyłącznie informacje jawne, w szczególności określone w decyzji, o której mowa w art. 4b ust. 1.</w:t>
            </w:r>
          </w:p>
          <w:p w14:paraId="707865F8"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Używanie stwierdzeń „w tym”, „w szczególności”, czy „co najmniej” przy ustalaniu zakresu danych, w tym danych osobowych, jakie będą obowiązkowo przetwarzane w rejestrze terenów zamkniętych nie wydaje się być właściwe względem zasad RODO, określonych w art. 5 ust. 1 lit. a</w:t>
            </w:r>
            <w:r w:rsidRPr="0037774A">
              <w:rPr>
                <w:rFonts w:ascii="Arial" w:eastAsia="Arial" w:hAnsi="Arial" w:cs="Arial"/>
                <w:sz w:val="18"/>
                <w:szCs w:val="18"/>
              </w:rPr>
              <w:sym w:font="Symbol" w:char="F02D"/>
            </w:r>
            <w:r w:rsidRPr="0037774A">
              <w:rPr>
                <w:rFonts w:ascii="Arial" w:eastAsia="Arial" w:hAnsi="Arial" w:cs="Arial"/>
                <w:sz w:val="18"/>
                <w:szCs w:val="18"/>
              </w:rPr>
              <w:t xml:space="preserve">c RODO. </w:t>
            </w:r>
            <w:r w:rsidRPr="0037774A">
              <w:rPr>
                <w:rFonts w:ascii="Arial" w:eastAsia="Arial" w:hAnsi="Arial" w:cs="Arial"/>
                <w:sz w:val="18"/>
                <w:szCs w:val="18"/>
              </w:rPr>
              <w:lastRenderedPageBreak/>
              <w:t>Projektowana regulacja ustanawia jedynie przykładowe dane jakie będą przetwarzane w rejestrze terenów zamkniętych, na co wskazuje stwierdzenie „w szczególności”, a przez to katalog danych osobowych, jakie będą mogły być wymagalne i obowiązkowo przetwarzane w tym rejestrze jest otwarty, nieograniczony i nieprecyzyjny. Przepis ten zezwala tym samym na przetwarzanie danych osobowych, które nie są wystarczająco zdefiniowane ani możliwe do zidentyfikowania. Zatem przepisy materialne regulujące ingerencję w prawo do prywatności wydają się nie spełniać wymogu jasności i precyzji RODO.</w:t>
            </w:r>
          </w:p>
          <w:p w14:paraId="2C7E4455" w14:textId="55ECBC5A"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Zgodnie z art. 5 ust. 1 lit. a RODO dane osobowe muszą być przetwarzane zgodnie z prawem, rzetelnie i w sposób przejrzysty dla osoby, której dane dotyczą. Stosownie do art. 5 ust. 1 lit. b RODO, dane osobowe muszą być zbierane w konkretnych, wyraźnych i prawnie uzasadnionych celach </w:t>
            </w:r>
            <w:r w:rsidRPr="0037774A">
              <w:rPr>
                <w:rFonts w:ascii="Arial" w:eastAsia="Arial" w:hAnsi="Arial" w:cs="Arial"/>
                <w:sz w:val="18"/>
                <w:szCs w:val="18"/>
              </w:rPr>
              <w:br/>
              <w:t xml:space="preserve">i nieprzetwarzane dalej w sposób niezgodny z tymi celami. Ponadto, zasada minimalizacji danych określona w art. 5 ust. 1 lit. c RODO wymaga, aby dane osobowe były adekwatne, stosowne oraz ograniczone do tego, co niezbędne do celów, w których są przetwarzane. Proponuje się zatem usunięcie z projektowanego przepisu art. 4d ust. 1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wyrazów „w szczególności”.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3104EB1"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16E7102" w14:textId="3BD65ACD"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3A2AD1B5" w14:textId="14F23B36" w:rsidTr="00A1261B">
        <w:trPr>
          <w:trHeight w:val="20"/>
        </w:trPr>
        <w:tc>
          <w:tcPr>
            <w:tcW w:w="709" w:type="dxa"/>
            <w:tcBorders>
              <w:top w:val="single" w:sz="4" w:space="0" w:color="auto"/>
              <w:left w:val="single" w:sz="4" w:space="0" w:color="auto"/>
              <w:bottom w:val="single" w:sz="4" w:space="0" w:color="auto"/>
            </w:tcBorders>
            <w:shd w:val="clear" w:color="auto" w:fill="FFFFFF"/>
          </w:tcPr>
          <w:p w14:paraId="045322F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7065C6" w14:textId="760299D7"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5CD4C271" w14:textId="77777777" w:rsidR="00A1261B" w:rsidRPr="0037774A" w:rsidRDefault="00A1261B" w:rsidP="005F7047">
            <w:pPr>
              <w:pStyle w:val="Inne0"/>
              <w:spacing w:before="120"/>
              <w:ind w:left="127"/>
              <w:rPr>
                <w:rFonts w:ascii="Arial" w:eastAsia="Arial" w:hAnsi="Arial" w:cs="Arial"/>
                <w:b/>
                <w:bCs/>
                <w:sz w:val="18"/>
                <w:szCs w:val="18"/>
              </w:rPr>
            </w:pPr>
            <w:r w:rsidRPr="0037774A">
              <w:rPr>
                <w:rFonts w:ascii="Arial" w:eastAsia="Arial" w:hAnsi="Arial" w:cs="Arial"/>
                <w:b/>
                <w:bCs/>
                <w:sz w:val="18"/>
                <w:szCs w:val="18"/>
              </w:rPr>
              <w:t>Uwaga do art. 1 pkt 8 oraz art. 1 pkt 11</w:t>
            </w:r>
          </w:p>
          <w:p w14:paraId="69345445"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(w zakresie dodawanych w art. 7a pkt 5a oraz art. 7d pkt 1a ustawy z dnia 17 maja 1989 r. – Prawo geodezyjne i kartograficzne)</w:t>
            </w:r>
          </w:p>
          <w:p w14:paraId="1791D880"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 xml:space="preserve">Projektowane przepisy art. 7a pkt 5a oraz art. 7d pkt 1a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wprowadzają obowiązek zapewnienia Głównemu Geodecie Kraju (GGK) bezpośredniego dostępu do baz danych prowadzonych przez starostów. Uzasadnienie projektu wskazuje, że celem projektowanych zmian jest m.in. usprawnienie nadzoru i zapewnienie spójności danych. Należy jednak zauważyć, że stworzenie takiego bezpośredniego dostępu do baz zawierających dane osobowe na dużą skalę, bez jednoczesnego wprowadzenia w ustawie ogólnych zasad zapewniających bezpieczeństwo dla tych danych, stwarza wysokie ryzyko naruszenia zasady integralności i poufności danych.</w:t>
            </w:r>
          </w:p>
          <w:p w14:paraId="512B5C86"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 xml:space="preserve">Zgodnie z art. 5 ust. 1 lit. f RODO, dane osobowe muszą być przetwarzane w sposób zapewniający odpowiednie bezpieczeństwo danych osobowych, </w:t>
            </w:r>
            <w:r w:rsidRPr="0037774A">
              <w:rPr>
                <w:rFonts w:ascii="Arial" w:eastAsia="Arial" w:hAnsi="Arial" w:cs="Arial"/>
                <w:sz w:val="18"/>
                <w:szCs w:val="18"/>
              </w:rPr>
              <w:lastRenderedPageBreak/>
              <w:t xml:space="preserve">w tym ochronę przed niedozwolonym lub niezgodnym z prawem przetwarzaniem oraz przypadkową utratą, zniszczeniem lub uszkodzeniem, za pomocą odpowiednich środków technicznych lub organizacyjnych. Art. 32 RODO nakłada na administratora obowiązek wdrożenia odpowiednich środków technicznych i organizacyjnych, aby zapewnić stopień bezpieczeństwa odpowiadający ryzyku. Uzasadnienie do projektu opisuje, że dostęp będzie polegał na automatycznym połączeniu się z bazą danych powiatu i pobraniu danych. Taka architektura systemu, tworząca centralny punkt dostępu do rozproszonych baz danych, może stać się celem ataków. Projekt ustawy wydaje się nie precyzować, jakie konkretne mechanizmy kontroli dostępu, szyfrowania transmisji, logowania operacji czy audytu bezpieczeństwa zostaną zastosowane. Pozostawienie tych kwestii do uregulowania na poziomie technicznym bez ogólnych zasad prawnych w ustawie w tym zakresie nie wydaje się być wystarczające z punktu widzenia RODO, zwłaszcza przy tak dużej skali przetwarzania danych. </w:t>
            </w:r>
          </w:p>
          <w:p w14:paraId="66FD17D2" w14:textId="07895919"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W związku z tym w celu zapewnienia odpowiedniego stopnia bezpieczeństwa przetwarzania danych osobowych z innych bazach danych należałoby jak się zdaje już w projektowanej ustawie przewidzieć odpowiednie ogólne zasady prawne i organizacyjne dostępu do baz danych i ich przetwarzania.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687CAA7"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1627EEE" w14:textId="77777777" w:rsidR="00A1261B" w:rsidRPr="00BC7438" w:rsidRDefault="00A1261B" w:rsidP="00BC7438">
            <w:pPr>
              <w:pStyle w:val="Inne0"/>
              <w:spacing w:before="120" w:after="120"/>
              <w:ind w:left="131" w:right="138"/>
              <w:rPr>
                <w:rFonts w:ascii="Lato" w:eastAsia="Arial" w:hAnsi="Lato" w:cs="Arial"/>
                <w:sz w:val="18"/>
                <w:szCs w:val="18"/>
              </w:rPr>
            </w:pPr>
            <w:r w:rsidRPr="00BC7438">
              <w:rPr>
                <w:rFonts w:ascii="Lato" w:eastAsia="Arial" w:hAnsi="Lato" w:cs="Arial"/>
                <w:sz w:val="18"/>
                <w:szCs w:val="18"/>
              </w:rPr>
              <w:t>Wyjaśnienie</w:t>
            </w:r>
          </w:p>
          <w:p w14:paraId="2583F97A" w14:textId="50C9DA29" w:rsidR="00C10003" w:rsidRDefault="00C10003" w:rsidP="00C10003">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Należy wskazać, że już obecnie Główny Geodeta Kraju przetwarza dane ewidencji gruntów i budynków, zawierające dane osobowe, na potrzeby prowadzenia Zintegrowanego Systemu Informacji o Nieruchomościach (art. 24b ustawy </w:t>
            </w:r>
            <w:proofErr w:type="spellStart"/>
            <w:r>
              <w:rPr>
                <w:rFonts w:ascii="Lato" w:eastAsia="Arial" w:hAnsi="Lato" w:cs="Arial"/>
                <w:sz w:val="18"/>
                <w:szCs w:val="18"/>
              </w:rPr>
              <w:t>PGiK</w:t>
            </w:r>
            <w:proofErr w:type="spellEnd"/>
            <w:r>
              <w:rPr>
                <w:rFonts w:ascii="Lato" w:eastAsia="Arial" w:hAnsi="Lato" w:cs="Arial"/>
                <w:sz w:val="18"/>
                <w:szCs w:val="18"/>
              </w:rPr>
              <w:t xml:space="preserve">), pozostałe bazy danych wymienione w projektowanym art. 7a ust. 1 pkt 5a ustawy </w:t>
            </w:r>
            <w:proofErr w:type="spellStart"/>
            <w:r>
              <w:rPr>
                <w:rFonts w:ascii="Lato" w:eastAsia="Arial" w:hAnsi="Lato" w:cs="Arial"/>
                <w:sz w:val="18"/>
                <w:szCs w:val="18"/>
              </w:rPr>
              <w:t>PGiK</w:t>
            </w:r>
            <w:proofErr w:type="spellEnd"/>
            <w:r>
              <w:rPr>
                <w:rFonts w:ascii="Lato" w:eastAsia="Arial" w:hAnsi="Lato" w:cs="Arial"/>
                <w:sz w:val="18"/>
                <w:szCs w:val="18"/>
              </w:rPr>
              <w:t xml:space="preserve"> nie gromadzą danych o osobach fizycznych.  </w:t>
            </w:r>
          </w:p>
          <w:p w14:paraId="2BD64628" w14:textId="602108FB" w:rsidR="00A1261B" w:rsidRPr="0037774A" w:rsidRDefault="00A1261B" w:rsidP="00C10003">
            <w:pPr>
              <w:pStyle w:val="Inne0"/>
              <w:spacing w:before="120" w:after="120"/>
              <w:ind w:left="131" w:right="138"/>
              <w:rPr>
                <w:rFonts w:ascii="Lato" w:eastAsia="Arial" w:hAnsi="Lato" w:cs="Arial"/>
                <w:sz w:val="18"/>
                <w:szCs w:val="18"/>
              </w:rPr>
            </w:pPr>
            <w:r w:rsidRPr="00BC7438">
              <w:rPr>
                <w:rFonts w:ascii="Lato" w:eastAsia="Arial" w:hAnsi="Lato" w:cs="Arial"/>
                <w:sz w:val="18"/>
                <w:szCs w:val="18"/>
              </w:rPr>
              <w:t xml:space="preserve">Dla projektowanej regulacji została przeprowadzona </w:t>
            </w:r>
            <w:r w:rsidR="00C10003">
              <w:rPr>
                <w:rFonts w:ascii="Lato" w:eastAsia="Arial" w:hAnsi="Lato" w:cs="Arial"/>
                <w:sz w:val="18"/>
                <w:szCs w:val="18"/>
              </w:rPr>
              <w:t xml:space="preserve">przez Główny Urząd Geodezji i Kartografii </w:t>
            </w:r>
            <w:r w:rsidRPr="00BC7438">
              <w:rPr>
                <w:rFonts w:ascii="Lato" w:eastAsia="Arial" w:hAnsi="Lato" w:cs="Arial"/>
                <w:sz w:val="18"/>
                <w:szCs w:val="18"/>
              </w:rPr>
              <w:t>ocena skutków dla ochrony danych (DPIA).</w:t>
            </w:r>
            <w:r w:rsidR="00C10003">
              <w:rPr>
                <w:rFonts w:ascii="Lato" w:eastAsia="Arial" w:hAnsi="Lato" w:cs="Arial"/>
                <w:sz w:val="18"/>
                <w:szCs w:val="18"/>
              </w:rPr>
              <w:t xml:space="preserve"> </w:t>
            </w:r>
            <w:r w:rsidRPr="00BC7438">
              <w:rPr>
                <w:rFonts w:ascii="Lato" w:eastAsia="Arial" w:hAnsi="Lato" w:cs="Arial"/>
                <w:sz w:val="18"/>
                <w:szCs w:val="18"/>
              </w:rPr>
              <w:t>Szczegóły dot</w:t>
            </w:r>
            <w:r w:rsidR="00C10003">
              <w:rPr>
                <w:rFonts w:ascii="Lato" w:eastAsia="Arial" w:hAnsi="Lato" w:cs="Arial"/>
                <w:sz w:val="18"/>
                <w:szCs w:val="18"/>
              </w:rPr>
              <w:t>yczące</w:t>
            </w:r>
            <w:r w:rsidRPr="00BC7438">
              <w:rPr>
                <w:rFonts w:ascii="Lato" w:eastAsia="Arial" w:hAnsi="Lato" w:cs="Arial"/>
                <w:sz w:val="18"/>
                <w:szCs w:val="18"/>
              </w:rPr>
              <w:t xml:space="preserve"> środków technicznych i organizacyjnych nie będą określone na poziomie ustawy  z uwagi na szybkość zmian technologicznych w zakresie </w:t>
            </w:r>
            <w:proofErr w:type="spellStart"/>
            <w:r w:rsidRPr="00BC7438">
              <w:rPr>
                <w:rFonts w:ascii="Lato" w:eastAsia="Arial" w:hAnsi="Lato" w:cs="Arial"/>
                <w:sz w:val="18"/>
                <w:szCs w:val="18"/>
              </w:rPr>
              <w:t>cyberbezpieczeństwa</w:t>
            </w:r>
            <w:proofErr w:type="spellEnd"/>
            <w:r w:rsidR="00C10003">
              <w:rPr>
                <w:rFonts w:ascii="Lato" w:eastAsia="Arial" w:hAnsi="Lato" w:cs="Arial"/>
                <w:sz w:val="18"/>
                <w:szCs w:val="18"/>
              </w:rPr>
              <w:t>.</w:t>
            </w:r>
          </w:p>
        </w:tc>
      </w:tr>
      <w:tr w:rsidR="00A1261B" w:rsidRPr="0037774A" w14:paraId="0A4B6D6F" w14:textId="564E4791" w:rsidTr="00A1261B">
        <w:trPr>
          <w:trHeight w:val="20"/>
        </w:trPr>
        <w:tc>
          <w:tcPr>
            <w:tcW w:w="709" w:type="dxa"/>
            <w:tcBorders>
              <w:top w:val="single" w:sz="4" w:space="0" w:color="auto"/>
              <w:left w:val="single" w:sz="4" w:space="0" w:color="auto"/>
              <w:bottom w:val="single" w:sz="4" w:space="0" w:color="auto"/>
            </w:tcBorders>
            <w:shd w:val="clear" w:color="auto" w:fill="FFFFFF"/>
          </w:tcPr>
          <w:p w14:paraId="17BBD536"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BEF44E6" w14:textId="3B2BD472"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1B81F461" w14:textId="77777777" w:rsidR="00A1261B" w:rsidRPr="0037774A" w:rsidRDefault="00A1261B" w:rsidP="005F7047">
            <w:pPr>
              <w:spacing w:before="120"/>
              <w:ind w:left="127"/>
              <w:rPr>
                <w:rFonts w:ascii="Arial" w:eastAsia="Arial" w:hAnsi="Arial" w:cs="Arial"/>
                <w:b/>
                <w:bCs/>
                <w:sz w:val="18"/>
                <w:szCs w:val="18"/>
              </w:rPr>
            </w:pPr>
            <w:r w:rsidRPr="0037774A">
              <w:rPr>
                <w:rFonts w:ascii="Arial" w:eastAsia="Arial" w:hAnsi="Arial" w:cs="Arial"/>
                <w:b/>
                <w:bCs/>
                <w:sz w:val="18"/>
                <w:szCs w:val="18"/>
              </w:rPr>
              <w:t xml:space="preserve">Uwaga do art. 1 pkt 18 lit. a </w:t>
            </w:r>
          </w:p>
          <w:p w14:paraId="6388F458" w14:textId="77777777" w:rsidR="00A1261B" w:rsidRPr="0037774A" w:rsidRDefault="00A1261B" w:rsidP="005F7047">
            <w:pPr>
              <w:spacing w:after="120"/>
              <w:ind w:left="127"/>
              <w:rPr>
                <w:rFonts w:ascii="Arial" w:hAnsi="Arial" w:cs="Arial"/>
                <w:sz w:val="18"/>
                <w:szCs w:val="18"/>
              </w:rPr>
            </w:pPr>
            <w:r w:rsidRPr="0037774A">
              <w:rPr>
                <w:rFonts w:ascii="Arial" w:eastAsia="Arial" w:hAnsi="Arial" w:cs="Arial"/>
                <w:sz w:val="18"/>
                <w:szCs w:val="18"/>
              </w:rPr>
              <w:t>(w zakresie nowelizacji art. 13 ust. 3 ustawy z dnia 17 maja 1989 r. – Prawo geodezyjne i kartograficzne)</w:t>
            </w:r>
          </w:p>
          <w:p w14:paraId="4532DB95" w14:textId="1812BC46"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hAnsi="Arial" w:cs="Arial"/>
                <w:sz w:val="18"/>
                <w:szCs w:val="18"/>
              </w:rPr>
              <w:t xml:space="preserve">Zarówno dotychczas obowiązujący przepis, jak i proponowana jego zmiana, zdaje się nie uwzględniać konieczności wykonywania czynności </w:t>
            </w:r>
            <w:bookmarkStart w:id="8" w:name="_Hlk200827233"/>
            <w:r w:rsidRPr="0037774A">
              <w:rPr>
                <w:rFonts w:ascii="Arial" w:hAnsi="Arial" w:cs="Arial"/>
                <w:sz w:val="18"/>
                <w:szCs w:val="18"/>
              </w:rPr>
              <w:t>geodezyjnych na potrzeby budownictwa na terenach zamkniętych</w:t>
            </w:r>
            <w:bookmarkEnd w:id="8"/>
            <w:r w:rsidRPr="0037774A">
              <w:rPr>
                <w:rFonts w:ascii="Arial" w:hAnsi="Arial" w:cs="Arial"/>
                <w:sz w:val="18"/>
                <w:szCs w:val="18"/>
              </w:rPr>
              <w:t xml:space="preserve">, w tym budowy infrastruktury telekomunikacyjnej. Wyniki tych czynności podlegają przekazaniu do baz podmiotów ustalających tereny zamknięte I kategorii lub do baz danych państwowego zasobu geodezyjnego i kartograficznego w przypadku inwestycji na terenach zamkniętych II kategorii. Zauważając, że istnieje obowiązek przekazywania do państwowego zasobu materiałów powstałych w wyniku czynności geodezyjnych na potrzeby budownictwa, a nie są one zlecane przez organy państwowej służby geodezyjnej i kartograficznej, nowelizacja </w:t>
            </w:r>
            <w:proofErr w:type="spellStart"/>
            <w:r w:rsidRPr="0037774A">
              <w:rPr>
                <w:rFonts w:ascii="Arial" w:hAnsi="Arial" w:cs="Arial"/>
                <w:sz w:val="18"/>
                <w:szCs w:val="18"/>
              </w:rPr>
              <w:t>PGiK</w:t>
            </w:r>
            <w:proofErr w:type="spellEnd"/>
            <w:r w:rsidRPr="0037774A">
              <w:rPr>
                <w:rFonts w:ascii="Arial" w:hAnsi="Arial" w:cs="Arial"/>
                <w:sz w:val="18"/>
                <w:szCs w:val="18"/>
              </w:rPr>
              <w:t xml:space="preserve"> </w:t>
            </w:r>
            <w:r w:rsidRPr="0037774A">
              <w:rPr>
                <w:rFonts w:ascii="Arial" w:hAnsi="Arial" w:cs="Arial"/>
                <w:sz w:val="18"/>
                <w:szCs w:val="18"/>
              </w:rPr>
              <w:lastRenderedPageBreak/>
              <w:t xml:space="preserve">wydaje się, że powinna uwzględniać ten aspekt. Jednocześnie celowym wydaje się być przeniesienie wyrażania zgód na wykonywanie czynności geodezyjnych na niższy szczebel, tj. zarządców nieruchomości. Jest to powiązane z przepisami ustawy z dnia 7 lipca 1994 r. </w:t>
            </w:r>
            <w:r w:rsidRPr="0037774A">
              <w:rPr>
                <w:rFonts w:ascii="Arial" w:hAnsi="Arial" w:cs="Arial"/>
                <w:sz w:val="18"/>
                <w:szCs w:val="18"/>
              </w:rPr>
              <w:sym w:font="Symbol" w:char="F02D"/>
            </w:r>
            <w:r w:rsidRPr="0037774A">
              <w:rPr>
                <w:rFonts w:ascii="Arial" w:hAnsi="Arial" w:cs="Arial"/>
                <w:sz w:val="18"/>
                <w:szCs w:val="18"/>
              </w:rPr>
              <w:t xml:space="preserve"> Prawo budowlane (Dz. U. z 2025 r. poz. 418), w tym art. 33 ust. 2 pkt 2.</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B1ECD87" w14:textId="21CD76EA"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lastRenderedPageBreak/>
              <w:t>3. Na terenach zamkniętych I kategorii prace geodezyjne mogą być wykonywane tylko na zlecenie lub za zgodą podmiotów, które ustaliły te tereny. Na terenach zamkniętych II kategorii prace geodezyjne mogą być wykonywane tylko za zgodą ich zarządców lub podmiotów, które ustaliły te tereny.</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41C7A1E" w14:textId="5194370A"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uwagami Ministra Obrony Narodowej odstąpiono od wprowadzania w projekcie ustawy zmian dotyczących uregulowania zagadnienia ustanawiania i znoszenia </w:t>
            </w:r>
            <w:r w:rsidRPr="008846F4">
              <w:rPr>
                <w:rFonts w:ascii="Lato" w:eastAsia="Arial" w:hAnsi="Lato" w:cs="Arial"/>
                <w:sz w:val="18"/>
                <w:szCs w:val="18"/>
              </w:rPr>
              <w:t>terenów zamkniętych</w:t>
            </w:r>
            <w:r>
              <w:rPr>
                <w:rFonts w:ascii="Lato" w:eastAsia="Arial" w:hAnsi="Lato" w:cs="Arial"/>
                <w:sz w:val="18"/>
                <w:szCs w:val="18"/>
              </w:rPr>
              <w:t>.</w:t>
            </w:r>
          </w:p>
        </w:tc>
      </w:tr>
      <w:tr w:rsidR="00A1261B" w:rsidRPr="0037774A" w14:paraId="6F07C386" w14:textId="23858EB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AB1E96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6540974" w14:textId="6257AC4C"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5879CFC7" w14:textId="77777777" w:rsidR="00A1261B" w:rsidRPr="0037774A" w:rsidRDefault="00A1261B" w:rsidP="005F7047">
            <w:pPr>
              <w:spacing w:before="120"/>
              <w:ind w:left="127"/>
              <w:rPr>
                <w:rFonts w:ascii="Arial" w:hAnsi="Arial" w:cs="Arial"/>
                <w:b/>
                <w:bCs/>
                <w:sz w:val="18"/>
                <w:szCs w:val="18"/>
              </w:rPr>
            </w:pPr>
            <w:r w:rsidRPr="0037774A">
              <w:rPr>
                <w:rFonts w:ascii="Arial" w:hAnsi="Arial" w:cs="Arial"/>
                <w:b/>
                <w:bCs/>
                <w:sz w:val="18"/>
                <w:szCs w:val="18"/>
              </w:rPr>
              <w:t xml:space="preserve">Uwaga do art. 1 pkt 20 </w:t>
            </w:r>
          </w:p>
          <w:p w14:paraId="5424DBE9" w14:textId="77777777" w:rsidR="00A1261B" w:rsidRPr="0037774A" w:rsidRDefault="00A1261B" w:rsidP="005F7047">
            <w:pPr>
              <w:spacing w:before="120" w:after="120"/>
              <w:ind w:left="127"/>
              <w:rPr>
                <w:rFonts w:ascii="Arial" w:hAnsi="Arial" w:cs="Arial"/>
                <w:sz w:val="18"/>
                <w:szCs w:val="18"/>
              </w:rPr>
            </w:pPr>
            <w:r w:rsidRPr="0037774A">
              <w:rPr>
                <w:rFonts w:ascii="Arial" w:hAnsi="Arial" w:cs="Arial"/>
                <w:sz w:val="18"/>
                <w:szCs w:val="18"/>
              </w:rPr>
              <w:t xml:space="preserve">(w zakresie nowelizacji art. 20 ust. 2 pkt 2 </w:t>
            </w:r>
            <w:r w:rsidRPr="0037774A">
              <w:rPr>
                <w:rFonts w:ascii="Arial" w:eastAsia="Arial" w:hAnsi="Arial" w:cs="Arial"/>
                <w:sz w:val="18"/>
                <w:szCs w:val="18"/>
              </w:rPr>
              <w:t>ustawy z dnia 17 maja 1989 r. – Prawo geodezyjne i kartograficzne</w:t>
            </w:r>
            <w:r w:rsidRPr="0037774A">
              <w:rPr>
                <w:rFonts w:ascii="Arial" w:hAnsi="Arial" w:cs="Arial"/>
                <w:sz w:val="18"/>
                <w:szCs w:val="18"/>
              </w:rPr>
              <w:t>)</w:t>
            </w:r>
          </w:p>
          <w:p w14:paraId="25155296" w14:textId="77777777" w:rsidR="00A1261B" w:rsidRPr="0037774A" w:rsidRDefault="00A1261B" w:rsidP="005F7047">
            <w:pPr>
              <w:ind w:left="127"/>
              <w:rPr>
                <w:rFonts w:ascii="Arial" w:hAnsi="Arial" w:cs="Arial"/>
                <w:sz w:val="18"/>
                <w:szCs w:val="18"/>
              </w:rPr>
            </w:pPr>
            <w:r w:rsidRPr="0037774A">
              <w:rPr>
                <w:rFonts w:ascii="Arial" w:hAnsi="Arial" w:cs="Arial"/>
                <w:sz w:val="18"/>
                <w:szCs w:val="18"/>
              </w:rPr>
              <w:t xml:space="preserve">Projekt przewiduje zmianę w art. 20 ust. 2 pkt 2 </w:t>
            </w:r>
            <w:proofErr w:type="spellStart"/>
            <w:r w:rsidRPr="0037774A">
              <w:rPr>
                <w:rFonts w:ascii="Arial" w:hAnsi="Arial" w:cs="Arial"/>
                <w:sz w:val="18"/>
                <w:szCs w:val="18"/>
              </w:rPr>
              <w:t>PGiK</w:t>
            </w:r>
            <w:proofErr w:type="spellEnd"/>
            <w:r w:rsidRPr="0037774A">
              <w:rPr>
                <w:rFonts w:ascii="Arial" w:hAnsi="Arial" w:cs="Arial"/>
                <w:sz w:val="18"/>
                <w:szCs w:val="18"/>
              </w:rPr>
              <w:t>, zastępując „miejsce pobytu stałego lub adres siedziby” ogólnym pojęciem „adresy”. Uzasadnienie projektu wskazuje, że ma to umożliwić ujawnienie również adresu do korespondencji lub adresu do e-doręczeń. Choć cel wydaje się słuszny, taka ogólna formuła w ustawie wydaje się stwarzać niepotrzebne ryzyko gromadzenia nadmiarowych danych.</w:t>
            </w:r>
          </w:p>
          <w:p w14:paraId="40FB9CB4" w14:textId="3E0E0F45"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hAnsi="Arial" w:cs="Arial"/>
                <w:sz w:val="18"/>
                <w:szCs w:val="18"/>
              </w:rPr>
              <w:t xml:space="preserve">Zgodnie z art. 5 ust. 1 lit. a RODO dane osobowe muszą być przetwarzane zgodnie z prawem, rzetelnie i w sposób przejrzysty dla osoby, której dane dotyczą. Stosownie do art. 5 ust. 1 lit. c RODO dane osobowe muszą być adekwatne, stosowne oraz ograniczone do tego, co niezbędne do celów, w których są przetwarzane. Stosownie do powyższych zasad RODO wszelkie przetwarzanie danych osobowych powinno być zgodne z prawem i rzetelne. Dla osób fizycznych powinno być przejrzyste, że dotyczące ich dane osobowe są zbierane, wykorzystywane, przeglądane lub w inny sposób przetwarzane oraz w jakim stopniu te dane osobowe są lub będą przetwarzane. Wymaga to w szczególności zapewnienia ograniczenia zakresu przetwarzania danych do ścisłego minimum. Dane osobowe powinny być przetwarzane tylko </w:t>
            </w:r>
            <w:r w:rsidRPr="0037774A">
              <w:rPr>
                <w:rFonts w:ascii="Arial" w:hAnsi="Arial" w:cs="Arial"/>
                <w:sz w:val="18"/>
                <w:szCs w:val="18"/>
              </w:rPr>
              <w:br/>
              <w:t xml:space="preserve">w przypadkach, gdy celu przetwarzania nie można w rozsądny sposób osiągnąć innymi sposobami. Zbieranie ściśle określonych danych osobowych powinno mieć miejsce w ściśle określonym celu. Biorąc to pod rozwagę należy wskazać, że projektodawca proponowanym brzmieniem ww. przepisu, tj. używając sformułowania „adresy” nie uwzględnia ww. zasady RODO, bowiem pomija określenie precyzyjnie katalogu danych osobowych </w:t>
            </w:r>
            <w:r w:rsidRPr="0037774A">
              <w:rPr>
                <w:rFonts w:ascii="Arial" w:hAnsi="Arial" w:cs="Arial"/>
                <w:sz w:val="18"/>
                <w:szCs w:val="18"/>
              </w:rPr>
              <w:lastRenderedPageBreak/>
              <w:t>dla ustanawianego w nim nowego procesu przetwarzania. Pozostawienie w ustawie ogólnego sformułowania „adresy” może prowadzić do praktyki, w której organy będą gromadzić od właścicieli nieruchomości kilka różnych adresów (np. zameldowania, zamieszkania, do korespondencji, do e-doręczeń), podczas gdy do realizacji zadań ustawowych (np. doręczania korespondencji) niezbędny jest tylko jeden z nich. Dlatego wydaje się, że ustawa powinna zawierać mechanizm zabezpieczający, np. przez wskazanie konkretnych adresów, które będą przetwarzane, tak aby uniknąć zbierania danych w zbyt szerokim zakresie.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C6CAE8C" w14:textId="77777777" w:rsidR="00A1261B" w:rsidRPr="0037774A" w:rsidRDefault="00A1261B" w:rsidP="0037774A">
            <w:pPr>
              <w:pStyle w:val="PKTpunkt"/>
              <w:spacing w:line="240" w:lineRule="auto"/>
              <w:jc w:val="left"/>
              <w:rPr>
                <w:rFonts w:ascii="Arial" w:hAnsi="Arial"/>
                <w:sz w:val="18"/>
                <w:szCs w:val="18"/>
              </w:rPr>
            </w:pPr>
            <w:r w:rsidRPr="0037774A">
              <w:rPr>
                <w:rFonts w:ascii="Arial" w:hAnsi="Arial"/>
                <w:sz w:val="18"/>
                <w:szCs w:val="18"/>
              </w:rPr>
              <w:lastRenderedPageBreak/>
              <w:t>20)</w:t>
            </w:r>
            <w:r w:rsidRPr="0037774A">
              <w:rPr>
                <w:rFonts w:ascii="Arial" w:hAnsi="Arial"/>
                <w:sz w:val="18"/>
                <w:szCs w:val="18"/>
              </w:rPr>
              <w:tab/>
              <w:t>w art. 20:</w:t>
            </w:r>
          </w:p>
          <w:p w14:paraId="3070FA97" w14:textId="77777777" w:rsidR="00A1261B" w:rsidRPr="0037774A" w:rsidRDefault="00A1261B" w:rsidP="0037774A">
            <w:pPr>
              <w:pStyle w:val="LITlitera"/>
              <w:spacing w:line="240" w:lineRule="auto"/>
              <w:jc w:val="left"/>
              <w:rPr>
                <w:rFonts w:ascii="Arial" w:hAnsi="Arial"/>
                <w:sz w:val="18"/>
                <w:szCs w:val="18"/>
              </w:rPr>
            </w:pPr>
            <w:r w:rsidRPr="0037774A">
              <w:rPr>
                <w:rFonts w:ascii="Arial" w:hAnsi="Arial"/>
                <w:sz w:val="18"/>
                <w:szCs w:val="18"/>
              </w:rPr>
              <w:t>a)</w:t>
            </w:r>
            <w:r w:rsidRPr="0037774A">
              <w:rPr>
                <w:rFonts w:ascii="Arial" w:hAnsi="Arial"/>
                <w:sz w:val="18"/>
                <w:szCs w:val="18"/>
              </w:rPr>
              <w:tab/>
              <w:t>w ust. 2 pkt 2 otrzymuje brzmienie:</w:t>
            </w:r>
          </w:p>
          <w:p w14:paraId="794A4280" w14:textId="77777777" w:rsidR="00A1261B" w:rsidRPr="0037774A" w:rsidRDefault="00A1261B" w:rsidP="0037774A">
            <w:pPr>
              <w:pStyle w:val="ZLITPKTzmpktliter"/>
              <w:spacing w:line="240" w:lineRule="auto"/>
              <w:jc w:val="left"/>
              <w:rPr>
                <w:rFonts w:ascii="Arial" w:hAnsi="Arial"/>
                <w:sz w:val="18"/>
                <w:szCs w:val="18"/>
              </w:rPr>
            </w:pPr>
            <w:r w:rsidRPr="0037774A">
              <w:rPr>
                <w:rFonts w:ascii="Arial" w:hAnsi="Arial"/>
                <w:sz w:val="18"/>
                <w:szCs w:val="18"/>
              </w:rPr>
              <w:t>„2)</w:t>
            </w:r>
            <w:r w:rsidRPr="0037774A">
              <w:rPr>
                <w:rFonts w:ascii="Arial" w:hAnsi="Arial"/>
                <w:sz w:val="18"/>
                <w:szCs w:val="18"/>
              </w:rPr>
              <w:tab/>
              <w:t>miejsce pobytu stałego lub adres siedziby oraz adres do korespondencji lub adres do doręczeń elektronicznych podmiotów, o których mowa w pkt 1;</w:t>
            </w:r>
          </w:p>
          <w:p w14:paraId="30E62BED" w14:textId="77777777" w:rsidR="00A1261B" w:rsidRPr="0037774A" w:rsidRDefault="00A1261B" w:rsidP="0037774A">
            <w:pPr>
              <w:pStyle w:val="ZLITPKTzmpktliter"/>
              <w:spacing w:line="240" w:lineRule="auto"/>
              <w:ind w:left="0" w:firstLine="0"/>
              <w:rPr>
                <w:rFonts w:ascii="Arial" w:hAnsi="Arial"/>
                <w:sz w:val="18"/>
                <w:szCs w:val="18"/>
              </w:rPr>
            </w:pPr>
          </w:p>
          <w:p w14:paraId="0FB77F02" w14:textId="092FEDA8"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hAnsi="Arial"/>
                <w:sz w:val="18"/>
                <w:szCs w:val="18"/>
              </w:rPr>
              <w:t>Ponadto należy odpowiednio uzupełnić uzasadnienie projektu o wykazanie w nim celowości i niezbędności pozyskiwania nowych kategorii danych osobowych, tj. adresu do korespondencji lub adresu do doręczeń elektronicznych.</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546C09A" w14:textId="7777777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6EBB35A3" w14:textId="482642D3"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Przepisy art. 20 ustawy </w:t>
            </w:r>
            <w:proofErr w:type="spellStart"/>
            <w:r w:rsidR="00C10003">
              <w:rPr>
                <w:rFonts w:ascii="Lato" w:eastAsia="Arial" w:hAnsi="Lato" w:cs="Arial"/>
                <w:sz w:val="18"/>
                <w:szCs w:val="18"/>
              </w:rPr>
              <w:t>PGiK</w:t>
            </w:r>
            <w:proofErr w:type="spellEnd"/>
            <w:r>
              <w:rPr>
                <w:rFonts w:ascii="Lato" w:eastAsia="Arial" w:hAnsi="Lato" w:cs="Arial"/>
                <w:sz w:val="18"/>
                <w:szCs w:val="18"/>
              </w:rPr>
              <w:t xml:space="preserve"> nie określają w sposób szczegółowy informacji gromadzonych w ewidencji gruntów i budynków. Zgodnie z delegacją zawartą w art. 26 ust. 2 ww. ustawy to akt wykonawczy (obecnie rozporządzenie z dnia 27 lipca 2021 r. w sprawie ewidencji gruntów i budynków) ma określać „</w:t>
            </w:r>
            <w:r w:rsidRPr="005F7047">
              <w:rPr>
                <w:rFonts w:ascii="Lato" w:eastAsia="Arial" w:hAnsi="Lato" w:cs="Arial"/>
                <w:sz w:val="18"/>
                <w:szCs w:val="18"/>
              </w:rPr>
              <w:t>szczegółowy zakres informacji objętych tą ewidencją</w:t>
            </w:r>
            <w:r>
              <w:rPr>
                <w:rFonts w:ascii="Lato" w:eastAsia="Arial" w:hAnsi="Lato" w:cs="Arial"/>
                <w:sz w:val="18"/>
                <w:szCs w:val="18"/>
              </w:rPr>
              <w:t>”. W związku z powyższym regulacje zawarte w art. 20 nie mogą być sformułowane zawężająco.</w:t>
            </w:r>
          </w:p>
          <w:p w14:paraId="55C0D6B3" w14:textId="7CACAE6A"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Odnośnie przetwarzania danych osobowych należy wskazać, że ewidencja gruntów i budynków co do zasady gromadzi dane osobowe podmiotów fizycznych w nich ujawnionych. Jednocześnie dopiero zmiana rozporządzenia z dnia 27 lipca 2021 r. w sprawie ewidencji gruntów i budynków, spowoduje jakiekolwiek zmiany w zakresie informacji gromadzonych w tym rejestrze, z tego względu wskazana przez Ministerstwo Cyfryzacji analiza zostanie przeprowadzona przy okazji ewentualnej nowelizacji ww. rozporządzenia.  </w:t>
            </w:r>
          </w:p>
        </w:tc>
      </w:tr>
      <w:tr w:rsidR="00A1261B" w:rsidRPr="0037774A" w14:paraId="41D8B681" w14:textId="61F97129" w:rsidTr="00A1261B">
        <w:trPr>
          <w:trHeight w:val="20"/>
        </w:trPr>
        <w:tc>
          <w:tcPr>
            <w:tcW w:w="709" w:type="dxa"/>
            <w:tcBorders>
              <w:top w:val="single" w:sz="4" w:space="0" w:color="auto"/>
              <w:left w:val="single" w:sz="4" w:space="0" w:color="auto"/>
              <w:bottom w:val="single" w:sz="4" w:space="0" w:color="auto"/>
            </w:tcBorders>
            <w:shd w:val="clear" w:color="auto" w:fill="FFFFFF"/>
          </w:tcPr>
          <w:p w14:paraId="17E4DF26"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25164D5" w14:textId="0EBCEF3F"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0132F39F" w14:textId="77777777" w:rsidR="00A1261B" w:rsidRPr="0037774A" w:rsidRDefault="00A1261B" w:rsidP="005F7047">
            <w:pPr>
              <w:pStyle w:val="Inne0"/>
              <w:shd w:val="clear" w:color="auto" w:fill="auto"/>
              <w:spacing w:before="120" w:after="120"/>
              <w:ind w:left="127"/>
              <w:rPr>
                <w:rFonts w:ascii="Arial" w:eastAsia="Arial" w:hAnsi="Arial" w:cs="Arial"/>
                <w:b/>
                <w:bCs/>
                <w:sz w:val="18"/>
                <w:szCs w:val="18"/>
              </w:rPr>
            </w:pPr>
            <w:r w:rsidRPr="0037774A">
              <w:rPr>
                <w:rFonts w:ascii="Arial" w:eastAsia="Arial" w:hAnsi="Arial" w:cs="Arial"/>
                <w:b/>
                <w:bCs/>
                <w:sz w:val="18"/>
                <w:szCs w:val="18"/>
              </w:rPr>
              <w:t>Uwaga do art. 1 pkt 24</w:t>
            </w:r>
          </w:p>
          <w:p w14:paraId="1AB8C2ED" w14:textId="77777777" w:rsidR="00A1261B" w:rsidRPr="0037774A" w:rsidRDefault="00A1261B" w:rsidP="005F7047">
            <w:pPr>
              <w:pStyle w:val="Inne0"/>
              <w:shd w:val="clear" w:color="auto" w:fill="auto"/>
              <w:spacing w:before="120" w:after="120"/>
              <w:ind w:left="127"/>
              <w:rPr>
                <w:rFonts w:ascii="Arial" w:eastAsia="Arial" w:hAnsi="Arial" w:cs="Arial"/>
                <w:sz w:val="18"/>
                <w:szCs w:val="18"/>
              </w:rPr>
            </w:pPr>
            <w:r w:rsidRPr="0037774A">
              <w:rPr>
                <w:rFonts w:ascii="Arial" w:eastAsia="Arial" w:hAnsi="Arial" w:cs="Arial"/>
                <w:sz w:val="18"/>
                <w:szCs w:val="18"/>
              </w:rPr>
              <w:t>(w zakresie dodawanego art. 24aa ustawy z dnia 17 maja 1989 r. – Prawo geodezyjne i kartograficzne)</w:t>
            </w:r>
          </w:p>
          <w:p w14:paraId="3D1ABF5D"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 xml:space="preserve">Nowo dodany art. 24aa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nakłada na starostę obowiązek przeprowadzania okresowej weryfikacji danych Ewidencji Gruntów i Budynków, m.in. na podstawie danych z baz, o których mowa w art. 4 ust. 1a pkt 11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czyli zobrazowań lotniczych i satelitarnych. Projekt nie przewiduje jednak żadnego mechanizmu informowania właścicieli nieruchomości o fakcie prowadzenia takiej weryfikacji i o źródłach danych wykorzystywanych w tym procesie.</w:t>
            </w:r>
          </w:p>
          <w:p w14:paraId="479629C7" w14:textId="462C19C8"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Zasada przejrzystości (art. 5 ust. 1 lit. a RODO) oraz obowiązki informacyjne administratora (art. 13 i 14 RODO) wymagają, aby osoby, których dane są przetwarzane, były o tym informowane w jasny i zrozumiały sposób. Weryfikacja danych o nieruchomościach z wykorzystaniem zobrazowań lotniczych czy satelitarnych jest formą przetwarzania danych osobowych (pośrednio, poprzez analizę nieruchomości powiązanej z właścicielem). Właściciele nieruchomości mają prawo wiedzieć, że ich dane są w ten sposób przetwarzane w celu wykrycia ewentualnych niezgodności (np. nielegalnej zabudowy).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4E5D849"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Proponuje się dodanie w projektowanym art. 24aa dodatkowego ustępu 4 o następującej treści:</w:t>
            </w:r>
          </w:p>
          <w:p w14:paraId="20A73F10"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w:t>
            </w:r>
            <w:bookmarkStart w:id="9" w:name="_Hlk204181316"/>
            <w:r w:rsidRPr="0037774A">
              <w:rPr>
                <w:rFonts w:ascii="Arial" w:eastAsia="Arial" w:hAnsi="Arial" w:cs="Arial"/>
                <w:sz w:val="18"/>
                <w:szCs w:val="18"/>
              </w:rPr>
              <w:t>4. Starosta informuje o zamiarze przeprowadzenia weryfikacji, o której mowa w ust. 1, podając do publicznej wiadomości na stronie podmiotowej Biuletynu Informacji Publicznej starostwa powiatowego oraz na tablicy ogłoszeń w siedzibie urzędu, co najmniej 14 dni przed planowanym terminem jej rozpoczęcia, informację o obrębie ewidencyjnym objętym weryfikacją oraz o planowanym terminie jej przeprowadzenia</w:t>
            </w:r>
            <w:bookmarkEnd w:id="9"/>
            <w:r w:rsidRPr="0037774A">
              <w:rPr>
                <w:rFonts w:ascii="Arial" w:eastAsia="Arial" w:hAnsi="Arial" w:cs="Arial"/>
                <w:sz w:val="18"/>
                <w:szCs w:val="18"/>
              </w:rPr>
              <w:t>.”.</w:t>
            </w:r>
          </w:p>
          <w:p w14:paraId="4B2B1AC9"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Uzasadnienie propozycji:</w:t>
            </w:r>
          </w:p>
          <w:p w14:paraId="66CD8E6F" w14:textId="4FAF5FEB"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t>Wprowadzenie takiego przepisu realizuje zasadę transparentności przetwarzania danych osobowych. Odrębne indywidualne zawiadamianie każdego właściciela byłoby nieproporcjonalnym obciążeniem dla administracji, dlatego publiczne ogłoszenie o zamiarze przeprowadzenia weryfikacji na danym obszarze (obrębie ewidencyjnym) i w określonym czasie stanowi skuteczny i adekwatny sposób wypełnienia obowiązku informacyjnego z art. 14 RODO. Daje to osobom, których dane dotyczą, świadomość faktu przetwarzania ich danych w sposób inny niż poprzez ich bezpośrednie zebranie, a także umożliwia im realizację przysługujących im praw.</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9770D75" w14:textId="35FDB033"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Uwaga bezprzedmiotowa w związku z odstąpieniem od wprowadzania przedmiotowej regulacji.</w:t>
            </w:r>
          </w:p>
        </w:tc>
      </w:tr>
      <w:tr w:rsidR="00A1261B" w:rsidRPr="0037774A" w14:paraId="75EFAD10" w14:textId="274C19FF" w:rsidTr="00A1261B">
        <w:trPr>
          <w:trHeight w:val="20"/>
        </w:trPr>
        <w:tc>
          <w:tcPr>
            <w:tcW w:w="709" w:type="dxa"/>
            <w:tcBorders>
              <w:top w:val="single" w:sz="4" w:space="0" w:color="auto"/>
              <w:left w:val="single" w:sz="4" w:space="0" w:color="auto"/>
              <w:bottom w:val="single" w:sz="4" w:space="0" w:color="auto"/>
            </w:tcBorders>
            <w:shd w:val="clear" w:color="auto" w:fill="FFFFFF"/>
          </w:tcPr>
          <w:p w14:paraId="31DE5A0A"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A31100B" w14:textId="15FF9E7A"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 xml:space="preserve">Ministerstwo </w:t>
            </w:r>
            <w:r w:rsidRPr="0037774A">
              <w:rPr>
                <w:rFonts w:ascii="Arial" w:eastAsia="Arial" w:hAnsi="Arial" w:cs="Arial"/>
                <w:color w:val="auto"/>
                <w:sz w:val="18"/>
                <w:szCs w:val="18"/>
              </w:rPr>
              <w:lastRenderedPageBreak/>
              <w:t>Cyfryzacji</w:t>
            </w:r>
          </w:p>
        </w:tc>
        <w:tc>
          <w:tcPr>
            <w:tcW w:w="4536" w:type="dxa"/>
            <w:tcBorders>
              <w:top w:val="single" w:sz="4" w:space="0" w:color="auto"/>
              <w:left w:val="single" w:sz="4" w:space="0" w:color="auto"/>
              <w:bottom w:val="single" w:sz="4" w:space="0" w:color="auto"/>
            </w:tcBorders>
            <w:shd w:val="clear" w:color="auto" w:fill="FFFFFF"/>
          </w:tcPr>
          <w:p w14:paraId="0A6F7B93" w14:textId="77777777" w:rsidR="00A1261B" w:rsidRPr="0037774A" w:rsidRDefault="00A1261B" w:rsidP="005F7047">
            <w:pPr>
              <w:pStyle w:val="Inne0"/>
              <w:shd w:val="clear" w:color="auto" w:fill="auto"/>
              <w:spacing w:before="120" w:after="120"/>
              <w:ind w:left="127"/>
              <w:rPr>
                <w:rFonts w:ascii="Arial" w:eastAsia="Arial" w:hAnsi="Arial" w:cs="Arial"/>
                <w:b/>
                <w:bCs/>
                <w:sz w:val="18"/>
                <w:szCs w:val="18"/>
              </w:rPr>
            </w:pPr>
            <w:r w:rsidRPr="0037774A">
              <w:rPr>
                <w:rFonts w:ascii="Arial" w:eastAsia="Arial" w:hAnsi="Arial" w:cs="Arial"/>
                <w:b/>
                <w:bCs/>
                <w:sz w:val="18"/>
                <w:szCs w:val="18"/>
              </w:rPr>
              <w:lastRenderedPageBreak/>
              <w:t xml:space="preserve">Uwaga do art. 1 pkt 27 </w:t>
            </w:r>
          </w:p>
          <w:p w14:paraId="71E4744A" w14:textId="77777777" w:rsidR="00A1261B" w:rsidRPr="0037774A" w:rsidRDefault="00A1261B" w:rsidP="005F7047">
            <w:pPr>
              <w:pStyle w:val="Inne0"/>
              <w:shd w:val="clear" w:color="auto" w:fill="auto"/>
              <w:spacing w:before="120" w:after="120"/>
              <w:ind w:left="127"/>
              <w:rPr>
                <w:rFonts w:ascii="Arial" w:eastAsia="Arial" w:hAnsi="Arial" w:cs="Arial"/>
                <w:sz w:val="18"/>
                <w:szCs w:val="18"/>
              </w:rPr>
            </w:pPr>
            <w:r w:rsidRPr="0037774A">
              <w:rPr>
                <w:rFonts w:ascii="Arial" w:eastAsia="Arial" w:hAnsi="Arial" w:cs="Arial"/>
                <w:sz w:val="18"/>
                <w:szCs w:val="18"/>
              </w:rPr>
              <w:lastRenderedPageBreak/>
              <w:t>(w zakresie dodawanego art. 26c ust. 5 ustawy z dnia 17 maja 1989 r. – Prawo geodezyjne i kartograficzne)</w:t>
            </w:r>
          </w:p>
          <w:p w14:paraId="07414ABE" w14:textId="644E3C6F"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Używanie stwierdzeń „w tym”, „w szczególności”, czy „co najmniej” przy ustalaniu zakresu danych osobowych, jakie będą obowiązkowo przetwarzane w zawiadomieniu, może nie wypełniać zasad określonych w art. 5 ust. 1 lit. a-c RODO. Proponowana regulacja ustanawia jedynie przykładowe dane, jakie będą przetwarzane w zawiadomieniu, na co wskazuje stwierdzenie: „w szczególności”, a przez to katalog danych osobowych, jakie będą mogły być wymagalne i obowiązkowo przetwarzane w zawiadomieniach, jest otwarty, nieograniczony i nieprecyzyjny. Projektowany przepis zezwala tym samym na przetwarzanie danych osobowych, które nie są wystarczająco zdefiniowane ani możliwe do zidentyfikowania.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8714A6A"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lastRenderedPageBreak/>
              <w:t xml:space="preserve">Usunięcie z wprowadzenia do wyliczenia w projektowanym art. 26c ust. 5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wyrazów </w:t>
            </w:r>
            <w:r w:rsidRPr="0037774A">
              <w:rPr>
                <w:rFonts w:ascii="Arial" w:eastAsia="Arial" w:hAnsi="Arial" w:cs="Arial"/>
                <w:sz w:val="18"/>
                <w:szCs w:val="18"/>
              </w:rPr>
              <w:lastRenderedPageBreak/>
              <w:t>„w szczególności”.</w:t>
            </w:r>
          </w:p>
          <w:p w14:paraId="1D40810D"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 xml:space="preserve">W przypadku gdy projektodawca chce zostawić możliwość przetwarzania innych danych niestanowiących danych osobowych, proponuje się, po usunięciu wyrazów „w szczególności” z wprowadzenia do wyliczenia w projektowanym art. 26c ust. 5 dodać pkt 6 w brzmieniu: </w:t>
            </w:r>
          </w:p>
          <w:p w14:paraId="4EA3A092"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w:t>
            </w:r>
            <w:bookmarkStart w:id="10" w:name="_Hlk204181417"/>
            <w:r w:rsidRPr="0037774A">
              <w:rPr>
                <w:rFonts w:ascii="Arial" w:eastAsia="Arial" w:hAnsi="Arial" w:cs="Arial"/>
                <w:sz w:val="18"/>
                <w:szCs w:val="18"/>
              </w:rPr>
              <w:t>6) inne niezbędne informacje, niestanowiące danych osobowych</w:t>
            </w:r>
            <w:bookmarkEnd w:id="10"/>
            <w:r w:rsidRPr="0037774A">
              <w:rPr>
                <w:rFonts w:ascii="Arial" w:eastAsia="Arial" w:hAnsi="Arial" w:cs="Arial"/>
                <w:sz w:val="18"/>
                <w:szCs w:val="18"/>
              </w:rPr>
              <w:t xml:space="preserve">.”. </w:t>
            </w:r>
          </w:p>
          <w:p w14:paraId="6EDD1F35" w14:textId="7653DA80"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t>Wówczas zostanie pozostawiony dla zawiadomienia otwarty katalog tylko dla danych nieosobowych, dla których przepisy RODO nie mają zastosowania.</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E39BD4F" w14:textId="77777777" w:rsidR="00A1261B" w:rsidRDefault="00A1261B" w:rsidP="005F704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została uwzględniona.</w:t>
            </w:r>
          </w:p>
          <w:p w14:paraId="2D8E12F8" w14:textId="77777777" w:rsidR="00A1261B" w:rsidRPr="0037774A" w:rsidRDefault="00A1261B" w:rsidP="0037774A">
            <w:pPr>
              <w:pStyle w:val="Inne0"/>
              <w:shd w:val="clear" w:color="auto" w:fill="auto"/>
              <w:spacing w:before="120" w:after="120"/>
              <w:ind w:left="131" w:right="138"/>
              <w:rPr>
                <w:rFonts w:ascii="Lato" w:eastAsia="Arial" w:hAnsi="Lato" w:cs="Arial"/>
                <w:sz w:val="18"/>
                <w:szCs w:val="18"/>
              </w:rPr>
            </w:pPr>
          </w:p>
        </w:tc>
      </w:tr>
      <w:tr w:rsidR="00A1261B" w:rsidRPr="0037774A" w14:paraId="69CDCFFE" w14:textId="3E7A8AF0" w:rsidTr="00A1261B">
        <w:trPr>
          <w:trHeight w:val="20"/>
        </w:trPr>
        <w:tc>
          <w:tcPr>
            <w:tcW w:w="709" w:type="dxa"/>
            <w:tcBorders>
              <w:top w:val="single" w:sz="4" w:space="0" w:color="auto"/>
              <w:left w:val="single" w:sz="4" w:space="0" w:color="auto"/>
              <w:bottom w:val="single" w:sz="4" w:space="0" w:color="auto"/>
            </w:tcBorders>
            <w:shd w:val="clear" w:color="auto" w:fill="FFFFFF"/>
          </w:tcPr>
          <w:p w14:paraId="06CF4131"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804AA60" w14:textId="09F25C0F"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31C27328" w14:textId="77777777" w:rsidR="00A1261B" w:rsidRPr="0037774A" w:rsidRDefault="00A1261B" w:rsidP="005F7047">
            <w:pPr>
              <w:pStyle w:val="Inne0"/>
              <w:spacing w:before="120" w:after="120"/>
              <w:ind w:left="127"/>
              <w:rPr>
                <w:rFonts w:ascii="Arial" w:eastAsia="Arial" w:hAnsi="Arial" w:cs="Arial"/>
                <w:b/>
                <w:bCs/>
                <w:sz w:val="18"/>
                <w:szCs w:val="18"/>
              </w:rPr>
            </w:pPr>
            <w:r w:rsidRPr="0037774A">
              <w:rPr>
                <w:rFonts w:ascii="Arial" w:eastAsia="Arial" w:hAnsi="Arial" w:cs="Arial"/>
                <w:b/>
                <w:bCs/>
                <w:sz w:val="18"/>
                <w:szCs w:val="18"/>
              </w:rPr>
              <w:t xml:space="preserve">Uwaga do art. 1 pkt 27 </w:t>
            </w:r>
          </w:p>
          <w:p w14:paraId="0BC898DB"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(w zakresie dodawanego art. 26d ust. 6 pkt 2 i 4 ustawy z dnia 17 maja 1989 r. – Prawo geodezyjne i kartograficzne)</w:t>
            </w:r>
          </w:p>
          <w:p w14:paraId="299CBC70"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 xml:space="preserve">Imię ojca (projektowany art. 26d ust. 6 pkt 2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stanowi daną osobową osoby trzeciej, niepotrzebną do celu przetwarzania określonego w projektowanych przepisach. Natomiast numer PESEL albo rodzaj i numer dokumentu tożsamości w przypadku osoby nieposiadającej numeru PESEL (projektowany art. 26d ust. 6 pkt 4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jest daną nadmiarową dla tego wniosku. Pozostałe liczne dane osobowe zawarte we wniosku wydają się w wystarczającym stopniu konkretyzować i indywidualizować daną osobę fizyczną. Prawdopodobieństwo, że w tym samym miejscu będą zamieszkiwały dwie osoby fizyczne o tym samym imieniu i nazwisku urodzone tego samego dnia w tym samym miejscu jest bardzo niewielkie, wręcz nieosiągalne. W związku z tym przetwarzanie danych osobowych w zakresie imienia ojca oraz numeru PESEL wydaje się być zbędne do celu przetwarzania.</w:t>
            </w:r>
          </w:p>
          <w:p w14:paraId="4608F9D8" w14:textId="7CF5D4F9"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Zgodnie z zasadą minimalizacji danych określoną w art. 5 ust. 1 lit. c RODO dane osobowe powinny być adekwatne, stosowne i ograniczone do tego, co niezbędne do celów, dla których są one przetwarzane. Wymaga to w szczególności zapewnienia ograniczenia zakresu przetwarzania </w:t>
            </w:r>
            <w:r w:rsidRPr="0037774A">
              <w:rPr>
                <w:rFonts w:ascii="Arial" w:eastAsia="Arial" w:hAnsi="Arial" w:cs="Arial"/>
                <w:sz w:val="18"/>
                <w:szCs w:val="18"/>
              </w:rPr>
              <w:lastRenderedPageBreak/>
              <w:t xml:space="preserve">danych do ścisłego minimum. Dane osobowe powinny być przetwarzane tylko w przypadkach, gdy celu przetwarzania nie można w rozsądny sposób osiągnąć innymi sposobami. Należy zapobiegać przetwarzaniu danych osobowych w zakresie szerszym, niż jest to konieczne. Ponadto w uzasadnieniu nie wyjaśniono niezbędności przetwarzania danych osobowych pozyskiwanych we wniosku, o którym mowa w projektowanym art. 26d ust. 6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DF84ED0" w14:textId="77777777" w:rsidR="00A1261B" w:rsidRPr="0037774A" w:rsidRDefault="00A1261B" w:rsidP="005F7047">
            <w:pPr>
              <w:pStyle w:val="Inne0"/>
              <w:shd w:val="clear" w:color="auto" w:fill="auto"/>
              <w:spacing w:before="120" w:after="120"/>
              <w:ind w:left="127"/>
              <w:rPr>
                <w:rFonts w:ascii="Arial" w:eastAsia="Arial" w:hAnsi="Arial" w:cs="Arial"/>
                <w:sz w:val="18"/>
                <w:szCs w:val="18"/>
              </w:rPr>
            </w:pPr>
            <w:r w:rsidRPr="0037774A">
              <w:rPr>
                <w:rFonts w:ascii="Arial" w:eastAsia="Arial" w:hAnsi="Arial" w:cs="Arial"/>
                <w:sz w:val="18"/>
                <w:szCs w:val="18"/>
              </w:rPr>
              <w:lastRenderedPageBreak/>
              <w:t xml:space="preserve">Proponuje się usunięcie z art. 1 pkt 27 projektu w zakresie dodawanego art. 26d ust. 6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pkt 2 („2) imię ojca;”) oraz pkt 4 („4) numer PESEL albo rodzaj i numer dokumentu tożsamości w przypadku osoby nieposiadającej numeru PESEL;”).</w:t>
            </w:r>
          </w:p>
          <w:p w14:paraId="6165AC8F" w14:textId="39F4733B"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t>Alternatywnie, z uwagi na niepowtarzalność nr PESEL, który w sposób niepodważalny konkretyzuje daną osobę i zawiera w sobie datę urodzenia, można usunąć imię ojca, dla wszystkich wnioskodawców oraz datę i miejsce urodzenia wnioskodawcy dla osób posiadających nr PESEL. W tym wariancie należałoby usunąć pkt 2 i 3 oraz zmodyfikować brzmienie pkt 4: „4) numer PESEL albo rodzaj i numer dokumentu tożsamości, datę i miejsce urodzenia w przypadku osoby nieposiadającej numeru PESEL;”.</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E30E0AA" w14:textId="4DE4F164" w:rsidR="00A1261B" w:rsidRPr="0037774A" w:rsidRDefault="00A1261B" w:rsidP="00AA1304">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r w:rsidR="00AA1304">
              <w:rPr>
                <w:rFonts w:ascii="Lato" w:eastAsia="Arial" w:hAnsi="Lato" w:cs="Arial"/>
                <w:sz w:val="18"/>
                <w:szCs w:val="18"/>
              </w:rPr>
              <w:t xml:space="preserve"> w części dotyczącej usunięcia informacji o imieniu ojca oraz</w:t>
            </w:r>
            <w:r w:rsidR="00AA1304">
              <w:t xml:space="preserve"> </w:t>
            </w:r>
            <w:r w:rsidR="00AA1304" w:rsidRPr="00AA1304">
              <w:rPr>
                <w:rFonts w:ascii="Lato" w:eastAsia="Arial" w:hAnsi="Lato" w:cs="Arial"/>
                <w:sz w:val="18"/>
                <w:szCs w:val="18"/>
              </w:rPr>
              <w:t>daty i miejsca urodzenia wnioskodawcy</w:t>
            </w:r>
            <w:r>
              <w:rPr>
                <w:rFonts w:ascii="Lato" w:eastAsia="Arial" w:hAnsi="Lato" w:cs="Arial"/>
                <w:sz w:val="18"/>
                <w:szCs w:val="18"/>
              </w:rPr>
              <w:t>.</w:t>
            </w:r>
            <w:r w:rsidR="00AA1304">
              <w:rPr>
                <w:rFonts w:ascii="Lato" w:eastAsia="Arial" w:hAnsi="Lato" w:cs="Arial"/>
                <w:sz w:val="18"/>
                <w:szCs w:val="18"/>
              </w:rPr>
              <w:t xml:space="preserve"> Odnośnie kwestii gromadzenia informacji o numerze PESEL uwaga nie została uwzględniona - </w:t>
            </w:r>
            <w:r w:rsidR="00AA1304" w:rsidRPr="00AA1304">
              <w:rPr>
                <w:rFonts w:ascii="Lato" w:eastAsia="Arial" w:hAnsi="Lato" w:cs="Arial"/>
                <w:sz w:val="18"/>
                <w:szCs w:val="18"/>
              </w:rPr>
              <w:t>Prezes Urzędu Ochrony Danych Osobowych</w:t>
            </w:r>
            <w:r w:rsidR="00AA1304">
              <w:rPr>
                <w:rFonts w:ascii="Lato" w:eastAsia="Arial" w:hAnsi="Lato" w:cs="Arial"/>
                <w:sz w:val="18"/>
                <w:szCs w:val="18"/>
              </w:rPr>
              <w:t xml:space="preserve"> nie zgłaszał do niej uwag.</w:t>
            </w:r>
          </w:p>
        </w:tc>
      </w:tr>
      <w:tr w:rsidR="00A1261B" w:rsidRPr="0037774A" w14:paraId="570D7147" w14:textId="3427E4E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7B1341E"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292B82" w14:textId="71F56709"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6E7EC4D8" w14:textId="77777777" w:rsidR="00A1261B" w:rsidRPr="0037774A" w:rsidRDefault="00A1261B" w:rsidP="005F7047">
            <w:pPr>
              <w:spacing w:before="120" w:after="120"/>
              <w:ind w:left="127"/>
              <w:rPr>
                <w:rFonts w:ascii="Arial" w:eastAsia="Arial" w:hAnsi="Arial" w:cs="Arial"/>
                <w:b/>
                <w:bCs/>
                <w:color w:val="auto"/>
                <w:sz w:val="18"/>
                <w:szCs w:val="18"/>
              </w:rPr>
            </w:pPr>
            <w:r w:rsidRPr="0037774A">
              <w:rPr>
                <w:rFonts w:ascii="Arial" w:eastAsia="Arial" w:hAnsi="Arial" w:cs="Arial"/>
                <w:b/>
                <w:bCs/>
                <w:color w:val="auto"/>
                <w:sz w:val="18"/>
                <w:szCs w:val="18"/>
              </w:rPr>
              <w:t xml:space="preserve">Uwaga do art. 1 pkt 28 lit. e </w:t>
            </w:r>
          </w:p>
          <w:p w14:paraId="105286FC" w14:textId="77777777" w:rsidR="00A1261B" w:rsidRPr="0037774A" w:rsidRDefault="00A1261B" w:rsidP="005F7047">
            <w:pPr>
              <w:pStyle w:val="Inne0"/>
              <w:shd w:val="clear" w:color="auto" w:fill="auto"/>
              <w:spacing w:before="120" w:after="120"/>
              <w:ind w:left="127"/>
              <w:rPr>
                <w:rFonts w:ascii="Arial" w:eastAsia="Arial" w:hAnsi="Arial" w:cs="Arial"/>
                <w:color w:val="auto"/>
                <w:sz w:val="18"/>
                <w:szCs w:val="18"/>
              </w:rPr>
            </w:pPr>
            <w:r w:rsidRPr="0037774A">
              <w:rPr>
                <w:rFonts w:ascii="Arial" w:eastAsia="Arial" w:hAnsi="Arial" w:cs="Arial"/>
                <w:color w:val="auto"/>
                <w:sz w:val="18"/>
                <w:szCs w:val="18"/>
              </w:rPr>
              <w:t xml:space="preserve">(w zakresie dodawanego art. 28b ust. 3a </w:t>
            </w:r>
            <w:r w:rsidRPr="0037774A">
              <w:rPr>
                <w:rFonts w:ascii="Arial" w:eastAsia="Arial" w:hAnsi="Arial" w:cs="Arial"/>
                <w:sz w:val="18"/>
                <w:szCs w:val="18"/>
              </w:rPr>
              <w:t>ustawy z dnia 17 maja 1989 r. – Prawo geodezyjne i kartograficzne</w:t>
            </w:r>
            <w:r w:rsidRPr="0037774A">
              <w:rPr>
                <w:rFonts w:ascii="Arial" w:eastAsia="Arial" w:hAnsi="Arial" w:cs="Arial"/>
                <w:color w:val="auto"/>
                <w:sz w:val="18"/>
                <w:szCs w:val="18"/>
              </w:rPr>
              <w:t xml:space="preserve">) </w:t>
            </w:r>
          </w:p>
          <w:p w14:paraId="3A76CE14" w14:textId="49113668"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W związku z uchyleniem ust. 3 w art. 28b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projektowany przepis nowego ust. 3a obarczony jest wadą błędnego odwołania do uchylonego ust. 3. Proponuje się całkowitą rezygnację z wprowadzenia tego przepisu.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ACCA36A"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85313B" w14:textId="46040DB5"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1F742442" w14:textId="05BE90EF" w:rsidTr="00A1261B">
        <w:trPr>
          <w:trHeight w:val="20"/>
        </w:trPr>
        <w:tc>
          <w:tcPr>
            <w:tcW w:w="709" w:type="dxa"/>
            <w:tcBorders>
              <w:top w:val="single" w:sz="4" w:space="0" w:color="auto"/>
              <w:left w:val="single" w:sz="4" w:space="0" w:color="auto"/>
              <w:bottom w:val="single" w:sz="4" w:space="0" w:color="auto"/>
            </w:tcBorders>
            <w:shd w:val="clear" w:color="auto" w:fill="FFFFFF"/>
          </w:tcPr>
          <w:p w14:paraId="39BF9F3D"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74CB6F6" w14:textId="34610AD9"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09EA0339" w14:textId="77777777" w:rsidR="00A1261B" w:rsidRPr="0037774A" w:rsidRDefault="00A1261B" w:rsidP="005F7047">
            <w:pPr>
              <w:spacing w:before="120" w:after="120"/>
              <w:ind w:left="127"/>
              <w:rPr>
                <w:rFonts w:ascii="Arial" w:eastAsia="Arial" w:hAnsi="Arial" w:cs="Arial"/>
                <w:b/>
                <w:bCs/>
                <w:color w:val="auto"/>
                <w:sz w:val="18"/>
                <w:szCs w:val="18"/>
              </w:rPr>
            </w:pPr>
            <w:r w:rsidRPr="0037774A">
              <w:rPr>
                <w:rFonts w:ascii="Arial" w:eastAsia="Arial" w:hAnsi="Arial" w:cs="Arial"/>
                <w:b/>
                <w:bCs/>
                <w:color w:val="auto"/>
                <w:sz w:val="18"/>
                <w:szCs w:val="18"/>
              </w:rPr>
              <w:t xml:space="preserve">Uwaga do art. 1 pkt 28 lit. e </w:t>
            </w:r>
          </w:p>
          <w:p w14:paraId="718A53C2" w14:textId="77777777" w:rsidR="00A1261B" w:rsidRPr="0037774A" w:rsidRDefault="00A1261B" w:rsidP="005F7047">
            <w:pPr>
              <w:spacing w:before="120" w:after="120"/>
              <w:ind w:left="127"/>
              <w:rPr>
                <w:rFonts w:ascii="Arial" w:eastAsia="Arial" w:hAnsi="Arial" w:cs="Arial"/>
                <w:color w:val="auto"/>
                <w:sz w:val="18"/>
                <w:szCs w:val="18"/>
              </w:rPr>
            </w:pPr>
            <w:r w:rsidRPr="0037774A">
              <w:rPr>
                <w:rFonts w:ascii="Arial" w:eastAsia="Arial" w:hAnsi="Arial" w:cs="Arial"/>
                <w:color w:val="auto"/>
                <w:sz w:val="18"/>
                <w:szCs w:val="18"/>
              </w:rPr>
              <w:t xml:space="preserve">(w zakresie dodawanego art. 28b ust. 3b </w:t>
            </w:r>
            <w:r w:rsidRPr="0037774A">
              <w:rPr>
                <w:rFonts w:ascii="Arial" w:eastAsia="Arial" w:hAnsi="Arial" w:cs="Arial"/>
                <w:sz w:val="18"/>
                <w:szCs w:val="18"/>
              </w:rPr>
              <w:t>ustawy z dnia 17 maja 1989 r. – Prawo geodezyjne i kartograficzne</w:t>
            </w:r>
            <w:r w:rsidRPr="0037774A">
              <w:rPr>
                <w:rFonts w:ascii="Arial" w:eastAsia="Arial" w:hAnsi="Arial" w:cs="Arial"/>
                <w:color w:val="auto"/>
                <w:sz w:val="18"/>
                <w:szCs w:val="18"/>
              </w:rPr>
              <w:t>)</w:t>
            </w:r>
          </w:p>
          <w:p w14:paraId="62BC2034" w14:textId="77777777" w:rsidR="00A1261B" w:rsidRPr="0037774A" w:rsidRDefault="00A1261B" w:rsidP="005F7047">
            <w:pPr>
              <w:ind w:left="127"/>
              <w:rPr>
                <w:rFonts w:ascii="Arial" w:eastAsia="Arial" w:hAnsi="Arial" w:cs="Arial"/>
                <w:color w:val="auto"/>
                <w:sz w:val="18"/>
                <w:szCs w:val="18"/>
              </w:rPr>
            </w:pPr>
            <w:r w:rsidRPr="0037774A">
              <w:rPr>
                <w:rFonts w:ascii="Arial" w:eastAsia="Arial" w:hAnsi="Arial" w:cs="Arial"/>
                <w:color w:val="auto"/>
                <w:sz w:val="18"/>
                <w:szCs w:val="18"/>
              </w:rPr>
              <w:t xml:space="preserve">Z propozycji brzmienia tego przepisu należy usunąć wyraz „aktualnej”, będący określeniem mapy zasadniczej i mapy do celów projektowych. Użycie wyrazów „aktualnej mapy zasadniczej” nakłada na inwestora poddającego koordynacji usytuowania projektowaną sieć uzbrojenia terenu obowiązek zaktualizowania treści mapy zasadniczej, co po pierwsze wydaje się być niemożliwe, gdyż zgodnie z art. 4 ust. 1e </w:t>
            </w:r>
            <w:proofErr w:type="spellStart"/>
            <w:r w:rsidRPr="0037774A">
              <w:rPr>
                <w:rFonts w:ascii="Arial" w:eastAsia="Arial" w:hAnsi="Arial" w:cs="Arial"/>
                <w:color w:val="auto"/>
                <w:sz w:val="18"/>
                <w:szCs w:val="18"/>
              </w:rPr>
              <w:t>PGiK</w:t>
            </w:r>
            <w:proofErr w:type="spellEnd"/>
            <w:r w:rsidRPr="0037774A">
              <w:rPr>
                <w:rFonts w:ascii="Arial" w:eastAsia="Arial" w:hAnsi="Arial" w:cs="Arial"/>
                <w:color w:val="auto"/>
                <w:sz w:val="18"/>
                <w:szCs w:val="18"/>
              </w:rPr>
              <w:t xml:space="preserve"> standardowe opracowanie kartograficzne będące mapą zasadniczą jest pochodną danych zawartych w bazach danych, o których mowa w art. 4 ust. 1a </w:t>
            </w:r>
            <w:proofErr w:type="spellStart"/>
            <w:r w:rsidRPr="0037774A">
              <w:rPr>
                <w:rFonts w:ascii="Arial" w:eastAsia="Arial" w:hAnsi="Arial" w:cs="Arial"/>
                <w:color w:val="auto"/>
                <w:sz w:val="18"/>
                <w:szCs w:val="18"/>
              </w:rPr>
              <w:t>PGiK</w:t>
            </w:r>
            <w:proofErr w:type="spellEnd"/>
            <w:r w:rsidRPr="0037774A">
              <w:rPr>
                <w:rFonts w:ascii="Arial" w:eastAsia="Arial" w:hAnsi="Arial" w:cs="Arial"/>
                <w:color w:val="auto"/>
                <w:sz w:val="18"/>
                <w:szCs w:val="18"/>
              </w:rPr>
              <w:t xml:space="preserve">, których obowiązek prowadzenia spoczywa na organach Służby Geodezyjnej i Kartograficznej. Z prowadzeniem zasobu geodezyjnego i kartograficznego, który zgodnie z art. 7d ustawy </w:t>
            </w:r>
            <w:proofErr w:type="spellStart"/>
            <w:r w:rsidRPr="0037774A">
              <w:rPr>
                <w:rFonts w:ascii="Arial" w:eastAsia="Arial" w:hAnsi="Arial" w:cs="Arial"/>
                <w:color w:val="auto"/>
                <w:sz w:val="18"/>
                <w:szCs w:val="18"/>
              </w:rPr>
              <w:t>PGiK</w:t>
            </w:r>
            <w:proofErr w:type="spellEnd"/>
            <w:r w:rsidRPr="0037774A">
              <w:rPr>
                <w:rFonts w:ascii="Arial" w:eastAsia="Arial" w:hAnsi="Arial" w:cs="Arial"/>
                <w:color w:val="auto"/>
                <w:sz w:val="18"/>
                <w:szCs w:val="18"/>
              </w:rPr>
              <w:t xml:space="preserve"> prowadzi starosta, jest nierozłącznie związane utrzymywanie powiatowego zasobu geodezyjnego i kartograficznego w aktualności.</w:t>
            </w:r>
          </w:p>
          <w:p w14:paraId="2513C001" w14:textId="662C45ED"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Wykonywanie map dla celów projektowych, zgodnie z przepisem § 30 ust. 2 pkt 1 rozporządzenia Ministra Rozwoju z dnia 18 sierpnia 2020 r. w sprawie standardów technicznych wykonywania geodezyjnych </w:t>
            </w:r>
            <w:r w:rsidRPr="0037774A">
              <w:rPr>
                <w:rFonts w:ascii="Arial" w:eastAsia="Arial" w:hAnsi="Arial" w:cs="Arial"/>
                <w:sz w:val="18"/>
                <w:szCs w:val="18"/>
              </w:rPr>
              <w:lastRenderedPageBreak/>
              <w:t>pomiarów sytuacyjnych i wysokościowych oraz opracowywania i przekazywania wyników tych pomiarów do państwowego zasobu geodezyjnego i kartograficznego (Dz. U. z 2022 r. poz. 1670) odbywa się z wykorzystaniem m.in. „materiałów udostępnionych z zasobu”, które powinna cechować bieżąca aktualność. Mapa dla celów projektowych jako jednorazowy dokument wykonywany dla obszaru wskazanego w zgłoszeniu prac geodezyjnych obejmującym obszar niezbędny do sporządzenia dokumentacji projektowej, musi się cechować atrybutem aktualności.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1B9A887" w14:textId="4B838989"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lastRenderedPageBreak/>
              <w:t>3b. Plan sytuacyjny, o którym mowa w ust. 2a, sporządza się na kopii mapy zasadniczej udostępnianej w celu jego sporządzenia przez starostów lub na kopii mapy do celów projektowych sporządzonej z wykorzystaniem udostępnianych w tym celu materiałów i danych z państwowego zasobu geodezyjnego i kartograficznego. Do planu sytuacyjnego dołącza się, w obowiązującym układzie współrzędnych geodezyjnych, propozycję usytuowania projektowanych sieci uzbrojenia terenu w postaci wektorowych danych przestrzennych w formacie uzgodnionym ze starostą albo wykaz współrzędnych punktów projektowanej sieci uzbrojenia terenu w postaci pliku tekstowego.</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4E0B0CB" w14:textId="77777777"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7ACAD4E5" w14:textId="2D30B218"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Projekt ustawy nie nakłada na wnioskodawcę obowiązku sporządzania planu sytuacyjnego na innym materiale niż przewidują to obowiązujące przepisy prawa. Obecnie w ustawie </w:t>
            </w:r>
            <w:proofErr w:type="spellStart"/>
            <w:r w:rsidR="00C10003">
              <w:rPr>
                <w:rFonts w:ascii="Lato" w:eastAsia="Arial" w:hAnsi="Lato" w:cs="Arial"/>
                <w:sz w:val="18"/>
                <w:szCs w:val="18"/>
              </w:rPr>
              <w:t>PGiK</w:t>
            </w:r>
            <w:proofErr w:type="spellEnd"/>
            <w:r>
              <w:rPr>
                <w:rFonts w:ascii="Lato" w:eastAsia="Arial" w:hAnsi="Lato" w:cs="Arial"/>
                <w:sz w:val="18"/>
                <w:szCs w:val="18"/>
              </w:rPr>
              <w:t xml:space="preserve">, zgodnie z art. 28b ust. 3, plan sytuacyjny sporządza się na </w:t>
            </w:r>
            <w:r w:rsidRPr="005F7047">
              <w:rPr>
                <w:rFonts w:ascii="Lato" w:eastAsia="Arial" w:hAnsi="Lato" w:cs="Arial"/>
                <w:sz w:val="18"/>
                <w:szCs w:val="18"/>
              </w:rPr>
              <w:t>kopii aktualnej mapy zasadniczej lub kopii aktualnej mapy do celów projektowych</w:t>
            </w:r>
            <w:r>
              <w:rPr>
                <w:rFonts w:ascii="Lato" w:eastAsia="Arial" w:hAnsi="Lato" w:cs="Arial"/>
                <w:sz w:val="18"/>
                <w:szCs w:val="18"/>
              </w:rPr>
              <w:t>.</w:t>
            </w:r>
          </w:p>
        </w:tc>
      </w:tr>
      <w:tr w:rsidR="00A1261B" w:rsidRPr="0037774A" w14:paraId="1C13194B" w14:textId="52565E9C" w:rsidTr="00A1261B">
        <w:trPr>
          <w:trHeight w:val="20"/>
        </w:trPr>
        <w:tc>
          <w:tcPr>
            <w:tcW w:w="709" w:type="dxa"/>
            <w:tcBorders>
              <w:top w:val="single" w:sz="4" w:space="0" w:color="auto"/>
              <w:left w:val="single" w:sz="4" w:space="0" w:color="auto"/>
              <w:bottom w:val="single" w:sz="4" w:space="0" w:color="auto"/>
            </w:tcBorders>
            <w:shd w:val="clear" w:color="auto" w:fill="FFFFFF"/>
          </w:tcPr>
          <w:p w14:paraId="459FB38B"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AB7C4D9" w14:textId="104030F4"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09A2AE80" w14:textId="77777777" w:rsidR="00A1261B" w:rsidRPr="0037774A" w:rsidRDefault="00A1261B" w:rsidP="005F7047">
            <w:pPr>
              <w:pStyle w:val="Inne0"/>
              <w:shd w:val="clear" w:color="auto" w:fill="auto"/>
              <w:spacing w:before="120" w:after="120"/>
              <w:ind w:left="127"/>
              <w:rPr>
                <w:rFonts w:ascii="Arial" w:eastAsia="Arial" w:hAnsi="Arial" w:cs="Arial"/>
                <w:b/>
                <w:bCs/>
                <w:sz w:val="18"/>
                <w:szCs w:val="18"/>
              </w:rPr>
            </w:pPr>
            <w:r w:rsidRPr="0037774A">
              <w:rPr>
                <w:rFonts w:ascii="Arial" w:eastAsia="Arial" w:hAnsi="Arial" w:cs="Arial"/>
                <w:b/>
                <w:bCs/>
                <w:sz w:val="18"/>
                <w:szCs w:val="18"/>
              </w:rPr>
              <w:t xml:space="preserve">Uwaga do art. 1 pkt 29 </w:t>
            </w:r>
          </w:p>
          <w:p w14:paraId="410D1E45" w14:textId="77777777" w:rsidR="00A1261B" w:rsidRPr="0037774A" w:rsidRDefault="00A1261B" w:rsidP="005F7047">
            <w:pPr>
              <w:pStyle w:val="Inne0"/>
              <w:shd w:val="clear" w:color="auto" w:fill="auto"/>
              <w:spacing w:before="120" w:after="120"/>
              <w:ind w:left="127"/>
              <w:rPr>
                <w:rFonts w:ascii="Arial" w:eastAsia="Arial" w:hAnsi="Arial" w:cs="Arial"/>
                <w:sz w:val="18"/>
                <w:szCs w:val="18"/>
              </w:rPr>
            </w:pPr>
            <w:r w:rsidRPr="0037774A">
              <w:rPr>
                <w:rFonts w:ascii="Arial" w:eastAsia="Arial" w:hAnsi="Arial" w:cs="Arial"/>
                <w:sz w:val="18"/>
                <w:szCs w:val="18"/>
              </w:rPr>
              <w:t>(w zakresie nowelizacji art. 28ba ust. 5 ustawy z dnia 17 maja 1989 r. – Prawo geodezyjne i kartograficzne)</w:t>
            </w:r>
          </w:p>
          <w:p w14:paraId="2F4F18A1" w14:textId="77777777" w:rsidR="00A1261B" w:rsidRPr="0037774A" w:rsidRDefault="00A1261B" w:rsidP="005F7047">
            <w:pPr>
              <w:pStyle w:val="Inne0"/>
              <w:shd w:val="clear" w:color="auto" w:fill="auto"/>
              <w:spacing w:before="120" w:after="120"/>
              <w:ind w:left="127"/>
              <w:rPr>
                <w:rFonts w:ascii="Arial" w:eastAsia="Arial" w:hAnsi="Arial" w:cs="Arial"/>
                <w:sz w:val="18"/>
                <w:szCs w:val="18"/>
              </w:rPr>
            </w:pPr>
            <w:r w:rsidRPr="0037774A">
              <w:rPr>
                <w:rFonts w:ascii="Arial" w:eastAsia="Arial" w:hAnsi="Arial" w:cs="Arial"/>
                <w:sz w:val="18"/>
                <w:szCs w:val="18"/>
              </w:rPr>
              <w:t>Ustęp ten zawiera błędne odwołanie do ust. 1, zamiast do ust. 3.</w:t>
            </w:r>
          </w:p>
          <w:p w14:paraId="17077B25" w14:textId="0870B0FB"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W ust. 1 jest mowa o terminie, w którym starosta jest zobowiązany dokonać zawiadomienia. Natomiast w ust.3 jest mowa o terminie, w którym uczestnicy narady koordynacyjnej mogą składać zastrzeżenia.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50C0AC4" w14:textId="66425483"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hAnsi="Arial"/>
                <w:sz w:val="18"/>
                <w:szCs w:val="18"/>
              </w:rPr>
              <w:t>5. W przypadku, gdy uczestnicy narady koordynacyjnej wniosą zastrzeżenia do usytuowania projektowanej sieci uzbrojenia terenu starosta najpóźniej w następnym dniu roboczym po dniu upływu terminu, o którym mowa w ust. 3, zawiadamia wnioskodawcę o treści zgłoszonych zastrzeżeń.</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E1A191B" w14:textId="7A420BE1" w:rsidR="00A1261B" w:rsidRDefault="00A1261B" w:rsidP="005F704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5678659B" w14:textId="77777777" w:rsidR="00A1261B" w:rsidRPr="0037774A" w:rsidRDefault="00A1261B" w:rsidP="0037774A">
            <w:pPr>
              <w:pStyle w:val="Inne0"/>
              <w:shd w:val="clear" w:color="auto" w:fill="auto"/>
              <w:spacing w:before="120" w:after="120"/>
              <w:ind w:left="131" w:right="138"/>
              <w:rPr>
                <w:rFonts w:ascii="Lato" w:eastAsia="Arial" w:hAnsi="Lato" w:cs="Arial"/>
                <w:sz w:val="18"/>
                <w:szCs w:val="18"/>
              </w:rPr>
            </w:pPr>
          </w:p>
        </w:tc>
      </w:tr>
      <w:tr w:rsidR="00A1261B" w:rsidRPr="0037774A" w14:paraId="0AB24563" w14:textId="63DECA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23BE1742"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E8EFD9E" w14:textId="19B122CC"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3B90B397" w14:textId="77777777" w:rsidR="00A1261B" w:rsidRPr="0037774A" w:rsidRDefault="00A1261B" w:rsidP="005F7047">
            <w:pPr>
              <w:pStyle w:val="Inne0"/>
              <w:shd w:val="clear" w:color="auto" w:fill="auto"/>
              <w:spacing w:before="120" w:after="120"/>
              <w:ind w:left="127"/>
              <w:rPr>
                <w:rFonts w:ascii="Arial" w:eastAsia="Arial" w:hAnsi="Arial" w:cs="Arial"/>
                <w:b/>
                <w:bCs/>
                <w:sz w:val="18"/>
                <w:szCs w:val="18"/>
              </w:rPr>
            </w:pPr>
            <w:r w:rsidRPr="0037774A">
              <w:rPr>
                <w:rFonts w:ascii="Arial" w:eastAsia="Arial" w:hAnsi="Arial" w:cs="Arial"/>
                <w:b/>
                <w:bCs/>
                <w:sz w:val="18"/>
                <w:szCs w:val="18"/>
              </w:rPr>
              <w:t xml:space="preserve">Uwaga do art. 1 pkt 33 </w:t>
            </w:r>
          </w:p>
          <w:p w14:paraId="39468CA2" w14:textId="77777777" w:rsidR="00A1261B" w:rsidRPr="0037774A" w:rsidRDefault="00A1261B" w:rsidP="005F7047">
            <w:pPr>
              <w:pStyle w:val="Inne0"/>
              <w:shd w:val="clear" w:color="auto" w:fill="auto"/>
              <w:spacing w:before="120" w:after="120"/>
              <w:ind w:left="127"/>
              <w:rPr>
                <w:rFonts w:ascii="Arial" w:eastAsia="Arial" w:hAnsi="Arial" w:cs="Arial"/>
                <w:sz w:val="18"/>
                <w:szCs w:val="18"/>
              </w:rPr>
            </w:pPr>
            <w:r w:rsidRPr="0037774A">
              <w:rPr>
                <w:rFonts w:ascii="Arial" w:eastAsia="Arial" w:hAnsi="Arial" w:cs="Arial"/>
                <w:sz w:val="18"/>
                <w:szCs w:val="18"/>
              </w:rPr>
              <w:t>(w zakresie nowelizacji art. 28d ust. 1 ustawy z dnia 17 maja 1989 r. – Prawo geodezyjne i kartograficzne)</w:t>
            </w:r>
          </w:p>
          <w:p w14:paraId="5EA46A8B" w14:textId="628E0874"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Zgodnie ze przepisami projektowanej ustawy podmiotami ustalającymi tereny zamknięte mogą być wyłącznie organy o charakterze centralnych organów administracji publicznej i służb specjalnych. Instytucje obsługujące te organy, w tym właściwych ministrów, z reguły nie zatrudniają specjalistów o głębokiej i szczegółowej wiedzy z zakresu stanu i lokalizacji obiektów infrastruktury na obszarach będących przedmiotem wydawanych decyzji ustalających tereny zamknięte. Instytucje te nie gromadzą również dokumentacji obiektów infrastrukturalnych dla tych obszarów. Stąd też do kręgu podmiotów, z którymi uzgadnia się sytuowanie projektowanych sieci uzbrojenia terenu, należy jak się zdaje włączyć podmioty zarządzające terenem zamkniętym. Niewłączenie tych podmiotów może bowiem skutkować brakiem możliwości dotrzymania przez uczestników narady koordynacyjnej terminu określonego w art. 28ba </w:t>
            </w:r>
            <w:r w:rsidRPr="0037774A">
              <w:rPr>
                <w:rFonts w:ascii="Arial" w:eastAsia="Arial" w:hAnsi="Arial" w:cs="Arial"/>
                <w:sz w:val="18"/>
                <w:szCs w:val="18"/>
              </w:rPr>
              <w:lastRenderedPageBreak/>
              <w:t xml:space="preserve">ust. 3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i oznaczać milczącą akceptację przedłożonego przez inwestora usytuowania projektowanej sieci uzbrojenia terenu.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4982FA9" w14:textId="7DE72FAA"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sz w:val="18"/>
                <w:szCs w:val="18"/>
              </w:rPr>
              <w:lastRenderedPageBreak/>
              <w:t>1. Przepisów art. 28a–28c nie stosuje się do projektowanych sieci uzbrojenia terenu sytuowanych w całości lub w części w granicach terenu zamkniętego I kategorii. O usytuowaniu sieci lub ich części położonych w granicach terenu zamkniętego I kategorii decyduje projektant w uzgodnieniu z podmiotem, który ustalił ten teren zamknięty lub w uzgodnieniu z podmiotem, który zarządza tym terenem zamkniętym.</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50A2B4B" w14:textId="12ADE155"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7DC446CF" w14:textId="222BC3F3" w:rsidTr="00A1261B">
        <w:trPr>
          <w:trHeight w:val="20"/>
        </w:trPr>
        <w:tc>
          <w:tcPr>
            <w:tcW w:w="709" w:type="dxa"/>
            <w:tcBorders>
              <w:top w:val="single" w:sz="4" w:space="0" w:color="auto"/>
              <w:left w:val="single" w:sz="4" w:space="0" w:color="auto"/>
              <w:bottom w:val="single" w:sz="4" w:space="0" w:color="auto"/>
            </w:tcBorders>
            <w:shd w:val="clear" w:color="auto" w:fill="FFFFFF"/>
          </w:tcPr>
          <w:p w14:paraId="741C8B74"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61ECC97" w14:textId="291C91AF"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480DA30B" w14:textId="77777777" w:rsidR="00A1261B" w:rsidRPr="0037774A" w:rsidRDefault="00A1261B" w:rsidP="005F7047">
            <w:pPr>
              <w:pStyle w:val="Inne0"/>
              <w:shd w:val="clear" w:color="auto" w:fill="auto"/>
              <w:spacing w:before="120" w:after="120"/>
              <w:ind w:left="127" w:right="129"/>
              <w:rPr>
                <w:rFonts w:ascii="Arial" w:eastAsia="Arial" w:hAnsi="Arial" w:cs="Arial"/>
                <w:b/>
                <w:bCs/>
                <w:sz w:val="18"/>
                <w:szCs w:val="18"/>
              </w:rPr>
            </w:pPr>
            <w:r w:rsidRPr="0037774A">
              <w:rPr>
                <w:rFonts w:ascii="Arial" w:eastAsia="Arial" w:hAnsi="Arial" w:cs="Arial"/>
                <w:b/>
                <w:bCs/>
                <w:sz w:val="18"/>
                <w:szCs w:val="18"/>
              </w:rPr>
              <w:t xml:space="preserve">Uwaga do art. 1 pkt 37 lit. a </w:t>
            </w:r>
          </w:p>
          <w:p w14:paraId="4E34A6E0" w14:textId="77777777" w:rsidR="00A1261B" w:rsidRPr="0037774A" w:rsidRDefault="00A1261B" w:rsidP="005F7047">
            <w:pPr>
              <w:pStyle w:val="Inne0"/>
              <w:shd w:val="clear" w:color="auto" w:fill="auto"/>
              <w:spacing w:before="120" w:after="120"/>
              <w:ind w:left="127" w:right="129"/>
              <w:rPr>
                <w:rFonts w:ascii="Arial" w:eastAsia="Arial" w:hAnsi="Arial" w:cs="Arial"/>
                <w:sz w:val="18"/>
                <w:szCs w:val="18"/>
              </w:rPr>
            </w:pPr>
            <w:r w:rsidRPr="0037774A">
              <w:rPr>
                <w:rFonts w:ascii="Arial" w:eastAsia="Arial" w:hAnsi="Arial" w:cs="Arial"/>
                <w:sz w:val="18"/>
                <w:szCs w:val="18"/>
              </w:rPr>
              <w:t xml:space="preserve">(propozycja dodania nowego przepisu </w:t>
            </w:r>
            <w:r w:rsidRPr="0037774A">
              <w:rPr>
                <w:rFonts w:ascii="Arial" w:eastAsia="Arial" w:hAnsi="Arial" w:cs="Arial"/>
                <w:sz w:val="18"/>
                <w:szCs w:val="18"/>
              </w:rPr>
              <w:sym w:font="Symbol" w:char="F02D"/>
            </w:r>
            <w:r w:rsidRPr="0037774A">
              <w:rPr>
                <w:rFonts w:ascii="Arial" w:eastAsia="Arial" w:hAnsi="Arial" w:cs="Arial"/>
                <w:sz w:val="18"/>
                <w:szCs w:val="18"/>
              </w:rPr>
              <w:t xml:space="preserve"> art. 40a ust. 2 pkt 2 lit. e ustawy z dnia 17 maja 1989 r. – Prawo geodezyjne i kartograficzne)</w:t>
            </w:r>
          </w:p>
          <w:p w14:paraId="54F2BCF6" w14:textId="77777777" w:rsidR="00A1261B" w:rsidRPr="0037774A" w:rsidRDefault="00A1261B" w:rsidP="005F7047">
            <w:pPr>
              <w:pStyle w:val="Inne0"/>
              <w:ind w:left="127" w:right="129"/>
              <w:rPr>
                <w:rFonts w:ascii="Arial" w:eastAsia="Arial" w:hAnsi="Arial" w:cs="Arial"/>
                <w:sz w:val="18"/>
                <w:szCs w:val="18"/>
              </w:rPr>
            </w:pP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jest aktem normatywnym z zakresu prawa gospodarczego i zasady jej opracowywania, w tym nowelizacji, podlegają przepisom rozdziału 6 ustawy z dnia 6 marca 2018 r. – Prawo przedsiębiorców (Dz. U. z 2024 r. poz. 236, z </w:t>
            </w:r>
            <w:proofErr w:type="spellStart"/>
            <w:r w:rsidRPr="0037774A">
              <w:rPr>
                <w:rFonts w:ascii="Arial" w:eastAsia="Arial" w:hAnsi="Arial" w:cs="Arial"/>
                <w:sz w:val="18"/>
                <w:szCs w:val="18"/>
              </w:rPr>
              <w:t>późn</w:t>
            </w:r>
            <w:proofErr w:type="spellEnd"/>
            <w:r w:rsidRPr="0037774A">
              <w:rPr>
                <w:rFonts w:ascii="Arial" w:eastAsia="Arial" w:hAnsi="Arial" w:cs="Arial"/>
                <w:sz w:val="18"/>
                <w:szCs w:val="18"/>
              </w:rPr>
              <w:t xml:space="preserve">. zm.), zwanej dalej „PP”. Przedłożony do uzgodnień projekt wydaje się nie realizować przepisów art. 67 pkt 2 i 4 oraz art. 68 PP. Dotyczy to przepisów projektowanego art. 40a ust. 2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w:t>
            </w:r>
          </w:p>
          <w:p w14:paraId="7F47FE2F" w14:textId="77777777" w:rsidR="00A1261B" w:rsidRPr="0037774A" w:rsidRDefault="00A1261B" w:rsidP="005F7047">
            <w:pPr>
              <w:pStyle w:val="Inne0"/>
              <w:shd w:val="clear" w:color="auto" w:fill="auto"/>
              <w:ind w:left="127" w:right="129"/>
              <w:rPr>
                <w:rFonts w:ascii="Arial" w:eastAsia="Arial" w:hAnsi="Arial" w:cs="Arial"/>
                <w:sz w:val="18"/>
                <w:szCs w:val="18"/>
              </w:rPr>
            </w:pPr>
            <w:r w:rsidRPr="0037774A">
              <w:rPr>
                <w:rFonts w:ascii="Arial" w:eastAsia="Arial" w:hAnsi="Arial" w:cs="Arial"/>
                <w:sz w:val="18"/>
                <w:szCs w:val="18"/>
              </w:rPr>
              <w:t xml:space="preserve">Celem proponowanego rozszerzenia art. 40a ust. 2 pkt 2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jest wdrożenie rozwiązań sprzyjających rozbudowie nowoczesnych sieci komunikacji elektronicznej o bardzo dużej przepustowości, zgodnie z kierunkami wyznaczonymi przez rozporządzenie Parlamentu Europejskiego i Rady (UE) 2024/1309 z dnia 29 kwietnia 2024 r. w sprawie środków mających na celu obniżenie kosztów wdrażania gigabitowych sieci łączności elektronicznej (tzw. Gigabit </w:t>
            </w:r>
            <w:proofErr w:type="spellStart"/>
            <w:r w:rsidRPr="0037774A">
              <w:rPr>
                <w:rFonts w:ascii="Arial" w:eastAsia="Arial" w:hAnsi="Arial" w:cs="Arial"/>
                <w:sz w:val="18"/>
                <w:szCs w:val="18"/>
              </w:rPr>
              <w:t>Infrastructure</w:t>
            </w:r>
            <w:proofErr w:type="spellEnd"/>
            <w:r w:rsidRPr="0037774A">
              <w:rPr>
                <w:rFonts w:ascii="Arial" w:eastAsia="Arial" w:hAnsi="Arial" w:cs="Arial"/>
                <w:sz w:val="18"/>
                <w:szCs w:val="18"/>
              </w:rPr>
              <w:t xml:space="preserve"> </w:t>
            </w:r>
            <w:proofErr w:type="spellStart"/>
            <w:r w:rsidRPr="0037774A">
              <w:rPr>
                <w:rFonts w:ascii="Arial" w:eastAsia="Arial" w:hAnsi="Arial" w:cs="Arial"/>
                <w:sz w:val="18"/>
                <w:szCs w:val="18"/>
              </w:rPr>
              <w:t>Act</w:t>
            </w:r>
            <w:proofErr w:type="spellEnd"/>
            <w:r w:rsidRPr="0037774A">
              <w:rPr>
                <w:rFonts w:ascii="Arial" w:eastAsia="Arial" w:hAnsi="Arial" w:cs="Arial"/>
                <w:sz w:val="18"/>
                <w:szCs w:val="18"/>
              </w:rPr>
              <w:t xml:space="preserve">, GIA). Akt ten bowiem określa narzędzia, które mają prowadzić do osiągnięcia celów związanych z realizacją sieci o bardzo dużej przepustowości, w tym w szczególności do uproszczenia i przyspieszenia rozwoju infrastruktury cyfrowej w Unii Europejskiej, co jest kluczowe dla rozwoju gospodarki cyfrowej. W odpowiedzi na dynamiczny rozwój technologii, GIA promuje wspólne wykorzystywanie infrastruktury technicznej, wzmacnia koordynację robót budowlanych, wprowadza cyfryzację obsługi procesu inwestycyjnego oraz dąży do minimalizacji kosztów co ma przyczynić się do efektywnego wdrażania sieci o bardzo dużej przepustowości, takich jak sieci światłowodowe i 5G, szczególnie na obszarach wiejskich i słabo zaludnionych. Podstawowym jednak celem unijnej legislacji jest obniżenie kosztów budowy sieci telekomunikacyjnych. Ustawodawca europejski jest w pełni świadomy, że budowa sieci jest skomplikowana, czego odbiciem jest długi czas jej realizacji. GIA ma zatem właśnie na celu obniżenie kosztów, skrócenie procedur i </w:t>
            </w:r>
            <w:r w:rsidRPr="0037774A">
              <w:rPr>
                <w:rFonts w:ascii="Arial" w:eastAsia="Arial" w:hAnsi="Arial" w:cs="Arial"/>
                <w:sz w:val="18"/>
                <w:szCs w:val="18"/>
              </w:rPr>
              <w:lastRenderedPageBreak/>
              <w:t>przyspieszenie inwestycji.</w:t>
            </w:r>
          </w:p>
          <w:p w14:paraId="07EF4298" w14:textId="77777777" w:rsidR="00A1261B" w:rsidRPr="0037774A" w:rsidRDefault="00A1261B" w:rsidP="005F7047">
            <w:pPr>
              <w:pStyle w:val="Inne0"/>
              <w:shd w:val="clear" w:color="auto" w:fill="auto"/>
              <w:ind w:left="127" w:right="129"/>
              <w:rPr>
                <w:rFonts w:ascii="Arial" w:eastAsia="Arial" w:hAnsi="Arial" w:cs="Arial"/>
                <w:sz w:val="18"/>
                <w:szCs w:val="18"/>
              </w:rPr>
            </w:pPr>
            <w:r w:rsidRPr="0037774A">
              <w:rPr>
                <w:rFonts w:ascii="Arial" w:eastAsia="Arial" w:hAnsi="Arial" w:cs="Arial"/>
                <w:sz w:val="18"/>
                <w:szCs w:val="18"/>
              </w:rPr>
              <w:t xml:space="preserve">Mając na uwadze powyższe proponuje się dodanie do nowelizacji przedstawionych przepisów, co nie tylko wdroży prawo unijne, ale także realnie wpłynie na rozwój sieci o bardzo dużej przepustowości. Dane z państwowego zasobu geodezyjnego i kartograficznego są niezbędne do prawidłowego, bezpiecznego i bezkolizyjnego projektowania sieci telekomunikacyjnych. W obecnym stanie prawnym, przedsiębiorcy komunikacyjni muszą ponosić opłaty za udostępnienie tych danych, mimo że te inwestycje służą realizacji celów publicznych, zgodnie z art. 6 pkt 1 ustawy z dnia 21 sierpnia 1997 r. o gospodarce nieruchomościami (Dz. U. z 2024 r. poz. 1145, 1222, 1717 i 1881). </w:t>
            </w:r>
          </w:p>
          <w:p w14:paraId="669B829D" w14:textId="00DA7BE4"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Zaproponowany przepis ogranicza bezpłatne pozyskiwanie danych wyłącznie do tych, wykorzystywanych przy realizacji sieci o bardzo dużej przepustowości oraz powiązanych zasobów. Zabezpiecza to interes Skarbu Państwa, a także ogranicza ryzyko nadużyć. Rozwiązanie to wpisuje się w politykę cyfryzacji państwa i może przyczynić się do zwiększenia liczby realizowanych inwestycji telekomunikacyjnych, szczególnie na obszarach słabiej zurbanizowanych.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EE9EFE" w14:textId="58CF95EB"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sz w:val="18"/>
                <w:szCs w:val="18"/>
              </w:rPr>
              <w:lastRenderedPageBreak/>
              <w:t>e) w celu i w zakresie niezbędnym dla przygotowania, projektowania, realizacji robót budowlanych i dokumentacji powykonawczej przez operatora, o którym mowa w art. 2 pkt 40  lit. b ustawy z dnia 12 lipca 2024 r. – Prawo komunikacji elektronicznej (Dz. U. poz. 1221 oraz z  2025 r. poz. 637), dotyczących inwestycji w sieci o bardzo dużej przepustowości lub powiązanych zasobów.</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FA4A9F7" w14:textId="77777777" w:rsidR="00A1261B" w:rsidRPr="00C10003" w:rsidRDefault="00A1261B" w:rsidP="0037774A">
            <w:pPr>
              <w:pStyle w:val="Inne0"/>
              <w:shd w:val="clear" w:color="auto" w:fill="auto"/>
              <w:spacing w:before="120" w:after="120"/>
              <w:ind w:left="131" w:right="138"/>
              <w:rPr>
                <w:rFonts w:ascii="Arial" w:eastAsia="Arial" w:hAnsi="Arial"/>
                <w:sz w:val="18"/>
                <w:szCs w:val="18"/>
              </w:rPr>
            </w:pPr>
            <w:r w:rsidRPr="00C10003">
              <w:rPr>
                <w:rFonts w:ascii="Arial" w:eastAsia="Arial" w:hAnsi="Arial"/>
                <w:sz w:val="18"/>
                <w:szCs w:val="18"/>
              </w:rPr>
              <w:t>Uwaga nie została uwzględniona.</w:t>
            </w:r>
          </w:p>
          <w:p w14:paraId="040903BE" w14:textId="296CE3F6" w:rsidR="00A1261B" w:rsidRPr="00C10003" w:rsidRDefault="00A1261B" w:rsidP="005F7047">
            <w:pPr>
              <w:pStyle w:val="Inne0"/>
              <w:spacing w:before="120" w:after="120"/>
              <w:ind w:left="131" w:right="138"/>
              <w:rPr>
                <w:rFonts w:ascii="Arial" w:eastAsia="Arial" w:hAnsi="Arial"/>
                <w:sz w:val="18"/>
                <w:szCs w:val="18"/>
              </w:rPr>
            </w:pPr>
            <w:r w:rsidRPr="00C10003">
              <w:rPr>
                <w:rFonts w:ascii="Arial" w:eastAsia="Arial" w:hAnsi="Arial"/>
                <w:sz w:val="18"/>
                <w:szCs w:val="18"/>
              </w:rPr>
              <w:t>Proponowane zmiany spowodują skutki finansowe dla organów administracji geodezyjnej i kartograficznej, które nie zostały oszacowane i przedstawione przez wnioskodawców. Zgodnie natomiast z art. 41b ust. 2-3 ustawy – Prawo geodezyjne i kartograficzne wpływy z udostępniania map, danych z ewidencji gruntów i budynków oraz innych materiałów i informacji z zasobów powiatowych, a także z opłat za czynności związane z prowadzeniem tych zasobów i uzgadnianiem usytuowania projektowanych sieci uzbrojenia terenu są dochodami własnymi budżetu powiatu i są z nich finansowane zadania związane z gromadzeniem, aktualizacją, uzupełnianiem, udostępnianiem i zabezpieczaniem zasobu geodezyjnego i kartograficznego oraz wyłączaniem materiałów z zasobu.</w:t>
            </w:r>
          </w:p>
        </w:tc>
      </w:tr>
      <w:tr w:rsidR="00A1261B" w:rsidRPr="0037774A" w14:paraId="3EFD9A8A" w14:textId="68E147EB" w:rsidTr="00A1261B">
        <w:trPr>
          <w:trHeight w:val="20"/>
        </w:trPr>
        <w:tc>
          <w:tcPr>
            <w:tcW w:w="709" w:type="dxa"/>
            <w:tcBorders>
              <w:top w:val="single" w:sz="4" w:space="0" w:color="auto"/>
              <w:left w:val="single" w:sz="4" w:space="0" w:color="auto"/>
              <w:bottom w:val="single" w:sz="4" w:space="0" w:color="auto"/>
            </w:tcBorders>
            <w:shd w:val="clear" w:color="auto" w:fill="FFFFFF"/>
          </w:tcPr>
          <w:p w14:paraId="6DDD5CFF"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0458EC2" w14:textId="2EB74C23"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48F0B202" w14:textId="77777777" w:rsidR="00A1261B" w:rsidRPr="0037774A" w:rsidRDefault="00A1261B" w:rsidP="005F7047">
            <w:pPr>
              <w:pStyle w:val="Inne0"/>
              <w:spacing w:before="120" w:after="120"/>
              <w:ind w:left="127"/>
              <w:rPr>
                <w:rFonts w:ascii="Arial" w:eastAsia="Arial" w:hAnsi="Arial" w:cs="Arial"/>
                <w:b/>
                <w:bCs/>
                <w:sz w:val="18"/>
                <w:szCs w:val="18"/>
              </w:rPr>
            </w:pPr>
            <w:r w:rsidRPr="0037774A">
              <w:rPr>
                <w:rFonts w:ascii="Arial" w:eastAsia="Arial" w:hAnsi="Arial" w:cs="Arial"/>
                <w:b/>
                <w:bCs/>
                <w:sz w:val="18"/>
                <w:szCs w:val="18"/>
              </w:rPr>
              <w:t xml:space="preserve">Uwaga do art. 1 pkt 52 </w:t>
            </w:r>
          </w:p>
          <w:p w14:paraId="54E9C1A7" w14:textId="77777777" w:rsidR="00A1261B" w:rsidRPr="0037774A" w:rsidRDefault="00A1261B" w:rsidP="005F7047">
            <w:pPr>
              <w:pStyle w:val="Inne0"/>
              <w:spacing w:before="120" w:after="120"/>
              <w:ind w:left="127"/>
              <w:rPr>
                <w:rFonts w:ascii="Arial" w:eastAsia="Arial" w:hAnsi="Arial" w:cs="Arial"/>
                <w:sz w:val="18"/>
                <w:szCs w:val="18"/>
              </w:rPr>
            </w:pPr>
            <w:r w:rsidRPr="0037774A">
              <w:rPr>
                <w:rFonts w:ascii="Arial" w:eastAsia="Arial" w:hAnsi="Arial" w:cs="Arial"/>
                <w:sz w:val="18"/>
                <w:szCs w:val="18"/>
              </w:rPr>
              <w:t>(w zakresie dodawanego art. 45g ust. 7</w:t>
            </w:r>
            <w:r w:rsidRPr="0037774A">
              <w:rPr>
                <w:rFonts w:ascii="Arial" w:hAnsi="Arial" w:cs="Arial"/>
                <w:color w:val="333333"/>
                <w:sz w:val="18"/>
                <w:szCs w:val="18"/>
                <w:shd w:val="clear" w:color="auto" w:fill="FFFFFF"/>
              </w:rPr>
              <w:t xml:space="preserve"> </w:t>
            </w:r>
            <w:r w:rsidRPr="0037774A">
              <w:rPr>
                <w:rFonts w:ascii="Arial" w:eastAsia="Arial" w:hAnsi="Arial" w:cs="Arial"/>
                <w:sz w:val="18"/>
                <w:szCs w:val="18"/>
              </w:rPr>
              <w:t>ustawy z dnia 17 maja 1989 r. – Prawo geodezyjne i kartograficzne)</w:t>
            </w:r>
            <w:r w:rsidRPr="0037774A">
              <w:rPr>
                <w:rFonts w:ascii="Arial" w:hAnsi="Arial" w:cs="Arial"/>
                <w:color w:val="333333"/>
                <w:sz w:val="18"/>
                <w:szCs w:val="18"/>
                <w:shd w:val="clear" w:color="auto" w:fill="FFFFFF"/>
              </w:rPr>
              <w:t xml:space="preserve"> </w:t>
            </w:r>
          </w:p>
          <w:p w14:paraId="26B71616"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 xml:space="preserve">Projektowany art. 45g ust. 7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przyznaje Głównemu Geodecie Kraju uprawnienie do dokonywania z urzędu aktualizacji danych osób wpisanych do centralnego rejestru osób posiadających uprawnienia zawodowe na podstawie danych z rejestru PESEL. Uzasadnienie projektu wskazuje, że ma to na celu ograniczenie biurokracji. </w:t>
            </w:r>
          </w:p>
          <w:p w14:paraId="67828682" w14:textId="58D70B7A" w:rsidR="00A1261B" w:rsidRPr="0037774A" w:rsidRDefault="00A1261B" w:rsidP="0037774A">
            <w:pPr>
              <w:pStyle w:val="Inne0"/>
              <w:shd w:val="clear" w:color="auto" w:fill="auto"/>
              <w:spacing w:before="120" w:after="120"/>
              <w:ind w:left="138" w:right="274"/>
              <w:rPr>
                <w:rFonts w:ascii="Lato" w:eastAsia="Arial" w:hAnsi="Lato" w:cs="Arial"/>
                <w:sz w:val="18"/>
                <w:szCs w:val="18"/>
              </w:rPr>
            </w:pPr>
            <w:r w:rsidRPr="0037774A">
              <w:rPr>
                <w:rFonts w:ascii="Arial" w:eastAsia="Arial" w:hAnsi="Arial" w:cs="Arial"/>
                <w:sz w:val="18"/>
                <w:szCs w:val="18"/>
              </w:rPr>
              <w:t xml:space="preserve">Należy wskazać, że katalog danych osobowych dla centralnego rejestru został ustanowiony przed wejściem w życie RODO i dotychczas nie został do zasad RODO dostosowany. Skoro projektodawca w projekcie proponuje regulację realizującą zasadę adekwatności z art. 5 ust. 1 lit. d RODO dla tego rejestru, to celowym wydaje się być również uwzględnienie ograniczenia katalogu przetwarzanych w rejestrze danych osobowych do niezbędnego minimum, zgodnie z zasadą minimalizacji danych z art. 5 ust. 1 lit. c RODO, </w:t>
            </w:r>
            <w:r w:rsidRPr="0037774A">
              <w:rPr>
                <w:rFonts w:ascii="Arial" w:eastAsia="Arial" w:hAnsi="Arial" w:cs="Arial"/>
                <w:sz w:val="18"/>
                <w:szCs w:val="18"/>
              </w:rPr>
              <w:lastRenderedPageBreak/>
              <w:t xml:space="preserve">przez usunięcie w art. 45g ust. 3 pkt 3 i 4 albo 3 i 5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jako danych nadmiarowych.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CE03E15" w14:textId="77777777" w:rsidR="00A1261B" w:rsidRPr="0037774A" w:rsidRDefault="00A1261B" w:rsidP="005F7047">
            <w:pPr>
              <w:pStyle w:val="Inne0"/>
              <w:shd w:val="clear" w:color="auto" w:fill="auto"/>
              <w:spacing w:before="120" w:after="120"/>
              <w:ind w:left="127"/>
              <w:rPr>
                <w:rFonts w:ascii="Arial" w:eastAsia="Arial" w:hAnsi="Arial" w:cs="Arial"/>
                <w:sz w:val="18"/>
                <w:szCs w:val="18"/>
              </w:rPr>
            </w:pPr>
            <w:r w:rsidRPr="0037774A">
              <w:rPr>
                <w:rFonts w:ascii="Arial" w:eastAsia="Arial" w:hAnsi="Arial" w:cs="Arial"/>
                <w:sz w:val="18"/>
                <w:szCs w:val="18"/>
              </w:rPr>
              <w:lastRenderedPageBreak/>
              <w:t xml:space="preserve">Proponuje usunięcie w projektowanym art. 45g ust. 3 </w:t>
            </w:r>
            <w:proofErr w:type="spellStart"/>
            <w:r w:rsidRPr="0037774A">
              <w:rPr>
                <w:rFonts w:ascii="Arial" w:eastAsia="Arial" w:hAnsi="Arial" w:cs="Arial"/>
                <w:sz w:val="18"/>
                <w:szCs w:val="18"/>
              </w:rPr>
              <w:t>PGiK</w:t>
            </w:r>
            <w:proofErr w:type="spellEnd"/>
            <w:r w:rsidRPr="0037774A">
              <w:rPr>
                <w:rFonts w:ascii="Arial" w:eastAsia="Arial" w:hAnsi="Arial" w:cs="Arial"/>
                <w:sz w:val="18"/>
                <w:szCs w:val="18"/>
              </w:rPr>
              <w:t xml:space="preserve"> pkt 3 („3) imię ojca;”) i pkt 5 („5) numer PESEL albo rodzaj i numer dokumentu tożsamości w przypadku osoby nieposiadającej numeru PESEL;”).</w:t>
            </w:r>
          </w:p>
          <w:p w14:paraId="156F27DC" w14:textId="51BA81A5"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t>Alternatywnie, z uwagi na niepowtarzalność nr PESEL, który w sposób niepodważalny konkretyzuje daną osobę i zawiera w sobie datę urodzenia, można usunąć imię ojca, dla wszystkich wnioskodawców oraz datę i miejsce urodzenia wnioskodawcy dla osób posiadających nr PESEL. W tym wariancie należałoby usunąć pkt 3 i 4 oraz zmodyfikować brzmienie pkt 5: „5) numer PESEL albo rodzaj i numer dokumentu tożsamości, datę i miejsce urodzenia w przypadku osoby nieposiadającej numeru PESEL;”.</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ECB26D4" w14:textId="77777777" w:rsidR="00A1261B" w:rsidRPr="008333E7" w:rsidRDefault="00A1261B" w:rsidP="0037774A">
            <w:pPr>
              <w:pStyle w:val="Inne0"/>
              <w:shd w:val="clear" w:color="auto" w:fill="auto"/>
              <w:spacing w:before="120" w:after="120"/>
              <w:ind w:left="131" w:right="138"/>
              <w:rPr>
                <w:rFonts w:ascii="Arial" w:eastAsia="Arial" w:hAnsi="Arial"/>
                <w:sz w:val="18"/>
                <w:szCs w:val="18"/>
              </w:rPr>
            </w:pPr>
            <w:r w:rsidRPr="008333E7">
              <w:rPr>
                <w:rFonts w:ascii="Arial" w:eastAsia="Arial" w:hAnsi="Arial"/>
                <w:sz w:val="18"/>
                <w:szCs w:val="18"/>
              </w:rPr>
              <w:t>Uwaga nie została uwzględniona.</w:t>
            </w:r>
          </w:p>
          <w:p w14:paraId="2590EF8B" w14:textId="0CD9C1F2" w:rsidR="00A1261B" w:rsidRPr="008333E7" w:rsidRDefault="00A1261B" w:rsidP="0037774A">
            <w:pPr>
              <w:pStyle w:val="Inne0"/>
              <w:shd w:val="clear" w:color="auto" w:fill="auto"/>
              <w:spacing w:before="120" w:after="120"/>
              <w:ind w:left="131" w:right="138"/>
              <w:rPr>
                <w:rFonts w:ascii="Arial" w:eastAsia="Arial" w:hAnsi="Arial"/>
                <w:sz w:val="18"/>
                <w:szCs w:val="18"/>
              </w:rPr>
            </w:pPr>
            <w:r w:rsidRPr="008333E7">
              <w:rPr>
                <w:rFonts w:ascii="Arial" w:eastAsia="Arial" w:hAnsi="Arial"/>
                <w:sz w:val="18"/>
                <w:szCs w:val="18"/>
              </w:rPr>
              <w:t xml:space="preserve">Proponowana zmiana wykracza poza zakres zmian projektu ustawy. </w:t>
            </w:r>
            <w:r w:rsidR="00C10003">
              <w:rPr>
                <w:rFonts w:ascii="Arial" w:eastAsia="Arial" w:hAnsi="Arial"/>
                <w:sz w:val="18"/>
                <w:szCs w:val="18"/>
              </w:rPr>
              <w:t>Projektodawca nie przewiduje zmian w zakresie zgłoszonym przez wnioskodawcę.</w:t>
            </w:r>
          </w:p>
        </w:tc>
      </w:tr>
      <w:tr w:rsidR="00A1261B" w:rsidRPr="0037774A" w14:paraId="70FD2104" w14:textId="444273EC" w:rsidTr="00A1261B">
        <w:trPr>
          <w:trHeight w:val="20"/>
        </w:trPr>
        <w:tc>
          <w:tcPr>
            <w:tcW w:w="709" w:type="dxa"/>
            <w:tcBorders>
              <w:top w:val="single" w:sz="4" w:space="0" w:color="auto"/>
              <w:left w:val="single" w:sz="4" w:space="0" w:color="auto"/>
              <w:bottom w:val="single" w:sz="4" w:space="0" w:color="auto"/>
            </w:tcBorders>
            <w:shd w:val="clear" w:color="auto" w:fill="FFFFFF"/>
          </w:tcPr>
          <w:p w14:paraId="221E667E"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34EB8C2" w14:textId="7B0C84DC" w:rsidR="00A1261B" w:rsidRPr="0037774A" w:rsidRDefault="00A1261B" w:rsidP="00EE6CCF">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2A51D7AC" w14:textId="77777777" w:rsidR="00A1261B" w:rsidRPr="0037774A" w:rsidRDefault="00A1261B" w:rsidP="00EE6CCF">
            <w:pPr>
              <w:pStyle w:val="Inne0"/>
              <w:spacing w:before="120" w:after="120"/>
              <w:ind w:left="127"/>
              <w:rPr>
                <w:rFonts w:ascii="Arial" w:eastAsia="Arial" w:hAnsi="Arial" w:cs="Arial"/>
                <w:b/>
                <w:bCs/>
                <w:sz w:val="18"/>
                <w:szCs w:val="18"/>
              </w:rPr>
            </w:pPr>
            <w:r w:rsidRPr="0037774A">
              <w:rPr>
                <w:rFonts w:ascii="Arial" w:eastAsia="Arial" w:hAnsi="Arial" w:cs="Arial"/>
                <w:b/>
                <w:bCs/>
                <w:sz w:val="18"/>
                <w:szCs w:val="18"/>
              </w:rPr>
              <w:t xml:space="preserve">Uwaga </w:t>
            </w:r>
            <w:r w:rsidRPr="00C10003">
              <w:rPr>
                <w:rFonts w:ascii="Arial" w:eastAsia="Arial" w:hAnsi="Arial" w:cs="Arial"/>
                <w:b/>
                <w:bCs/>
                <w:sz w:val="18"/>
                <w:szCs w:val="18"/>
              </w:rPr>
              <w:t>do uzasadnienia</w:t>
            </w:r>
            <w:r w:rsidRPr="0037774A">
              <w:rPr>
                <w:rFonts w:ascii="Arial" w:eastAsia="Arial" w:hAnsi="Arial" w:cs="Arial"/>
                <w:b/>
                <w:bCs/>
                <w:sz w:val="18"/>
                <w:szCs w:val="18"/>
              </w:rPr>
              <w:t xml:space="preserve"> w zakresie a</w:t>
            </w:r>
            <w:r w:rsidRPr="0037774A">
              <w:rPr>
                <w:rFonts w:ascii="Arial" w:hAnsi="Arial" w:cs="Arial"/>
                <w:b/>
                <w:bCs/>
                <w:sz w:val="18"/>
                <w:szCs w:val="18"/>
              </w:rPr>
              <w:t xml:space="preserve">rt. 4a ust. 1–2 </w:t>
            </w:r>
            <w:r w:rsidRPr="0037774A">
              <w:rPr>
                <w:rFonts w:ascii="Arial" w:eastAsia="Arial" w:hAnsi="Arial" w:cs="Arial"/>
                <w:b/>
                <w:bCs/>
                <w:sz w:val="18"/>
                <w:szCs w:val="18"/>
              </w:rPr>
              <w:t>ustawy z dnia 17 maja 1989 r. – Prawo geodezyjne i kartograficzne</w:t>
            </w:r>
          </w:p>
          <w:p w14:paraId="7E129ACD" w14:textId="77777777" w:rsidR="00A1261B" w:rsidRPr="0037774A" w:rsidRDefault="00A1261B" w:rsidP="00EE6CCF">
            <w:pPr>
              <w:pStyle w:val="Inne0"/>
              <w:shd w:val="clear" w:color="auto" w:fill="auto"/>
              <w:spacing w:before="120" w:after="120"/>
              <w:ind w:left="127" w:right="274"/>
              <w:rPr>
                <w:rFonts w:ascii="Lato" w:eastAsia="Arial" w:hAnsi="Lato" w:cs="Arial"/>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C9B0C0" w14:textId="20CB9CC1" w:rsidR="00A1261B" w:rsidRPr="0037774A" w:rsidRDefault="00A1261B" w:rsidP="00EE6CCF">
            <w:pPr>
              <w:pStyle w:val="Inne0"/>
              <w:shd w:val="clear" w:color="auto" w:fill="auto"/>
              <w:spacing w:before="120" w:after="120"/>
              <w:ind w:left="125" w:right="136"/>
              <w:rPr>
                <w:rFonts w:ascii="Lato" w:eastAsia="Arial" w:hAnsi="Lato" w:cs="Arial"/>
                <w:sz w:val="18"/>
                <w:szCs w:val="18"/>
              </w:rPr>
            </w:pPr>
            <w:r w:rsidRPr="0037774A">
              <w:rPr>
                <w:rFonts w:ascii="Arial" w:hAnsi="Arial" w:cs="Arial"/>
                <w:sz w:val="18"/>
                <w:szCs w:val="18"/>
              </w:rPr>
              <w:t>Proponuje się dodać: „</w:t>
            </w:r>
            <w:r w:rsidRPr="0037774A">
              <w:rPr>
                <w:rFonts w:ascii="Arial" w:eastAsia="Arial" w:hAnsi="Arial" w:cs="Arial"/>
                <w:sz w:val="18"/>
                <w:szCs w:val="18"/>
              </w:rPr>
              <w:t>Wobec brzmienia definicji: linii kolejowej o znaczeniu państwowym, linii kolejowej o znaczeniu obronnym, linii kolejowej o znaczeniu wyłącznie obronnym ustalonego przepisami art. 4 pkt 2a–2c ustawy z dnia 28 marca 2003 r. o transporcie kolejowym oraz brzmieniem art. 6 ust. 1 tejże ustawy wyłącza się możliwości ustanawiania terenów zamkniętych II kategorii dla dróg kolejowych zawierających linie kolejowe nie wydzielone jako linie o znaczeniu państwowym przepisami art. 6 ust. 1–2a ustawy o transporcie kolejowym.”</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4660910" w14:textId="22DCEAC2"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4E20E3">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4E20E3">
              <w:rPr>
                <w:rFonts w:ascii="Lato" w:eastAsia="Arial" w:hAnsi="Lato" w:cs="Arial"/>
                <w:sz w:val="18"/>
                <w:szCs w:val="18"/>
              </w:rPr>
              <w:t>zagadnienia ustanawiania i znoszenia terenów zamkniętych.</w:t>
            </w:r>
          </w:p>
        </w:tc>
      </w:tr>
      <w:tr w:rsidR="00A1261B" w:rsidRPr="0037774A" w14:paraId="52E7AC88" w14:textId="19768CF9" w:rsidTr="00A1261B">
        <w:trPr>
          <w:trHeight w:val="20"/>
        </w:trPr>
        <w:tc>
          <w:tcPr>
            <w:tcW w:w="709" w:type="dxa"/>
            <w:tcBorders>
              <w:top w:val="single" w:sz="4" w:space="0" w:color="auto"/>
              <w:left w:val="single" w:sz="4" w:space="0" w:color="auto"/>
              <w:bottom w:val="single" w:sz="4" w:space="0" w:color="auto"/>
            </w:tcBorders>
            <w:shd w:val="clear" w:color="auto" w:fill="FFFFFF"/>
          </w:tcPr>
          <w:p w14:paraId="39E87FBA"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778E45B" w14:textId="3E496597" w:rsidR="00A1261B" w:rsidRPr="0037774A" w:rsidRDefault="00A1261B" w:rsidP="00EE6CCF">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20CB24A7" w14:textId="77777777" w:rsidR="00A1261B" w:rsidRPr="0037774A" w:rsidRDefault="00A1261B" w:rsidP="00EE6CCF">
            <w:pPr>
              <w:pStyle w:val="Inne0"/>
              <w:spacing w:before="120" w:after="120"/>
              <w:ind w:left="127"/>
              <w:rPr>
                <w:rFonts w:ascii="Arial" w:hAnsi="Arial" w:cs="Arial"/>
                <w:b/>
                <w:bCs/>
                <w:sz w:val="18"/>
                <w:szCs w:val="18"/>
              </w:rPr>
            </w:pPr>
            <w:r w:rsidRPr="00C10003">
              <w:rPr>
                <w:rFonts w:ascii="Arial" w:eastAsia="Arial" w:hAnsi="Arial" w:cs="Arial"/>
                <w:b/>
                <w:bCs/>
                <w:sz w:val="18"/>
                <w:szCs w:val="18"/>
              </w:rPr>
              <w:t>Uwaga do uzasadnienia</w:t>
            </w:r>
            <w:r w:rsidRPr="0037774A">
              <w:rPr>
                <w:rFonts w:ascii="Arial" w:eastAsia="Arial" w:hAnsi="Arial" w:cs="Arial"/>
                <w:b/>
                <w:bCs/>
                <w:sz w:val="18"/>
                <w:szCs w:val="18"/>
              </w:rPr>
              <w:t xml:space="preserve"> w zakresie a</w:t>
            </w:r>
            <w:r w:rsidRPr="0037774A">
              <w:rPr>
                <w:rFonts w:ascii="Arial" w:hAnsi="Arial" w:cs="Arial"/>
                <w:b/>
                <w:bCs/>
                <w:sz w:val="18"/>
                <w:szCs w:val="18"/>
              </w:rPr>
              <w:t xml:space="preserve">rt. 13 ust. 3–4 </w:t>
            </w:r>
            <w:r w:rsidRPr="0037774A">
              <w:rPr>
                <w:rFonts w:ascii="Arial" w:eastAsia="Arial" w:hAnsi="Arial" w:cs="Arial"/>
                <w:b/>
                <w:bCs/>
                <w:sz w:val="18"/>
                <w:szCs w:val="18"/>
              </w:rPr>
              <w:t>ustawy z dnia 17 maja 1989 r. – Prawo geodezyjne i kartograficzne</w:t>
            </w:r>
          </w:p>
          <w:p w14:paraId="63DD2C1B" w14:textId="77777777" w:rsidR="00A1261B" w:rsidRPr="0037774A" w:rsidRDefault="00A1261B" w:rsidP="00EE6CCF">
            <w:pPr>
              <w:pStyle w:val="Inne0"/>
              <w:shd w:val="clear" w:color="auto" w:fill="auto"/>
              <w:spacing w:before="120" w:after="120"/>
              <w:ind w:left="127" w:right="274"/>
              <w:rPr>
                <w:rFonts w:ascii="Lato" w:eastAsia="Arial" w:hAnsi="Lato" w:cs="Arial"/>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6F1F8BA" w14:textId="2C49E97E" w:rsidR="00A1261B" w:rsidRPr="0037774A" w:rsidRDefault="00A1261B" w:rsidP="00EE6CCF">
            <w:pPr>
              <w:pStyle w:val="Inne0"/>
              <w:shd w:val="clear" w:color="auto" w:fill="auto"/>
              <w:spacing w:before="120" w:after="120"/>
              <w:ind w:left="125" w:right="136"/>
              <w:rPr>
                <w:rFonts w:ascii="Lato" w:eastAsia="Arial" w:hAnsi="Lato" w:cs="Arial"/>
                <w:sz w:val="18"/>
                <w:szCs w:val="18"/>
              </w:rPr>
            </w:pPr>
            <w:r w:rsidRPr="0037774A">
              <w:rPr>
                <w:rFonts w:ascii="Arial" w:hAnsi="Arial" w:cs="Arial"/>
                <w:sz w:val="18"/>
                <w:szCs w:val="18"/>
              </w:rPr>
              <w:t>Proponuje się dodać: „Ponadto przepis określa podmioty udzielające zgody na wykonywanie prac geodezyjnych w zakresie wykonywania czynności geodezyjnych na potrzeby budownictwa na terenach zamkniętych.”</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40ADDFB" w14:textId="3DCB6B0B"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4E20E3">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4E20E3">
              <w:rPr>
                <w:rFonts w:ascii="Lato" w:eastAsia="Arial" w:hAnsi="Lato" w:cs="Arial"/>
                <w:sz w:val="18"/>
                <w:szCs w:val="18"/>
              </w:rPr>
              <w:t>zagadnienia ustanawiania i znoszenia terenów zamkniętych.</w:t>
            </w:r>
          </w:p>
        </w:tc>
      </w:tr>
      <w:tr w:rsidR="00A1261B" w:rsidRPr="0037774A" w14:paraId="37743A34" w14:textId="5FF2E8DB" w:rsidTr="00A1261B">
        <w:trPr>
          <w:trHeight w:val="20"/>
        </w:trPr>
        <w:tc>
          <w:tcPr>
            <w:tcW w:w="709" w:type="dxa"/>
            <w:tcBorders>
              <w:top w:val="single" w:sz="4" w:space="0" w:color="auto"/>
              <w:left w:val="single" w:sz="4" w:space="0" w:color="auto"/>
              <w:bottom w:val="single" w:sz="4" w:space="0" w:color="auto"/>
            </w:tcBorders>
            <w:shd w:val="clear" w:color="auto" w:fill="FFFFFF"/>
          </w:tcPr>
          <w:p w14:paraId="1CD2D25F"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EDD4EBE" w14:textId="2A8F63E9"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59F8B304" w14:textId="77777777" w:rsidR="00A1261B" w:rsidRPr="0037774A" w:rsidRDefault="00A1261B" w:rsidP="005F7047">
            <w:pPr>
              <w:pStyle w:val="Inne0"/>
              <w:spacing w:before="120" w:after="120"/>
              <w:ind w:left="127"/>
              <w:rPr>
                <w:rFonts w:ascii="Arial" w:hAnsi="Arial" w:cs="Arial"/>
                <w:b/>
                <w:bCs/>
                <w:sz w:val="18"/>
                <w:szCs w:val="18"/>
              </w:rPr>
            </w:pPr>
            <w:r w:rsidRPr="00C10003">
              <w:rPr>
                <w:rFonts w:ascii="Arial" w:eastAsia="Arial" w:hAnsi="Arial" w:cs="Arial"/>
                <w:b/>
                <w:bCs/>
                <w:sz w:val="18"/>
                <w:szCs w:val="18"/>
              </w:rPr>
              <w:t>Uwaga do uzasadnienia</w:t>
            </w:r>
            <w:r w:rsidRPr="0037774A">
              <w:rPr>
                <w:rFonts w:ascii="Arial" w:eastAsia="Arial" w:hAnsi="Arial" w:cs="Arial"/>
                <w:b/>
                <w:bCs/>
                <w:sz w:val="18"/>
                <w:szCs w:val="18"/>
              </w:rPr>
              <w:t xml:space="preserve"> w zakresie a</w:t>
            </w:r>
            <w:r w:rsidRPr="0037774A">
              <w:rPr>
                <w:rFonts w:ascii="Arial" w:hAnsi="Arial" w:cs="Arial"/>
                <w:b/>
                <w:bCs/>
                <w:sz w:val="18"/>
                <w:szCs w:val="18"/>
              </w:rPr>
              <w:t xml:space="preserve">rt. 40a ust. 2 pkt 2 lit. e </w:t>
            </w:r>
            <w:r w:rsidRPr="0037774A">
              <w:rPr>
                <w:rFonts w:ascii="Arial" w:eastAsia="Arial" w:hAnsi="Arial" w:cs="Arial"/>
                <w:b/>
                <w:bCs/>
                <w:sz w:val="18"/>
                <w:szCs w:val="18"/>
              </w:rPr>
              <w:t>ustawy z dnia 17 maja 1989 r. – Prawo geodezyjne i kartograficzne</w:t>
            </w:r>
          </w:p>
          <w:p w14:paraId="6B22ACC2" w14:textId="77777777" w:rsidR="00A1261B" w:rsidRPr="0037774A" w:rsidRDefault="00A1261B" w:rsidP="005F7047">
            <w:pPr>
              <w:pStyle w:val="Inne0"/>
              <w:shd w:val="clear" w:color="auto" w:fill="auto"/>
              <w:spacing w:before="120" w:after="120"/>
              <w:ind w:left="127" w:right="274"/>
              <w:rPr>
                <w:rFonts w:ascii="Lato" w:eastAsia="Arial" w:hAnsi="Lato" w:cs="Arial"/>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C4A713C" w14:textId="34F88455"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hAnsi="Arial" w:cs="Arial"/>
                <w:sz w:val="18"/>
                <w:szCs w:val="18"/>
              </w:rPr>
              <w:t xml:space="preserve">Proponuje się dodać: „Przepis realizuje wsparcie i ułatwienia dla realizacji polityki państwa w zakresie rozwoju sieci komunikacji elektronicznej o bardzo dużej przepustowości, postulaty rynku telekomunikacyjnego zgłaszane w ramach prac zespołu ds. deregulacji. Ponadto jest zbieżny z obowiązującymi wprost przepisami UE zawartymi w rozporządzeniu Parlamentu Europejskiego i Rady (UE) 2024/1309 z dnia 29 kwietnia 2024 r. w sprawie środków mających na celu obniżenie kosztów wdrażania gigabitowych sieci łączności elektronicznej (tzw. Gigabit </w:t>
            </w:r>
            <w:proofErr w:type="spellStart"/>
            <w:r w:rsidRPr="0037774A">
              <w:rPr>
                <w:rFonts w:ascii="Arial" w:hAnsi="Arial" w:cs="Arial"/>
                <w:sz w:val="18"/>
                <w:szCs w:val="18"/>
              </w:rPr>
              <w:t>Infrastructure</w:t>
            </w:r>
            <w:proofErr w:type="spellEnd"/>
            <w:r w:rsidRPr="0037774A">
              <w:rPr>
                <w:rFonts w:ascii="Arial" w:hAnsi="Arial" w:cs="Arial"/>
                <w:sz w:val="18"/>
                <w:szCs w:val="18"/>
              </w:rPr>
              <w:t xml:space="preserve"> </w:t>
            </w:r>
            <w:proofErr w:type="spellStart"/>
            <w:r w:rsidRPr="0037774A">
              <w:rPr>
                <w:rFonts w:ascii="Arial" w:hAnsi="Arial" w:cs="Arial"/>
                <w:sz w:val="18"/>
                <w:szCs w:val="18"/>
              </w:rPr>
              <w:t>Act</w:t>
            </w:r>
            <w:proofErr w:type="spellEnd"/>
            <w:r w:rsidRPr="0037774A">
              <w:rPr>
                <w:rFonts w:ascii="Arial" w:hAnsi="Arial" w:cs="Arial"/>
                <w:sz w:val="18"/>
                <w:szCs w:val="18"/>
              </w:rPr>
              <w:t>, GIA).</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49DE05" w14:textId="77777777" w:rsidR="00A1261B" w:rsidRDefault="00A1261B" w:rsidP="005F704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04DC115F" w14:textId="7E6B1981" w:rsidR="00A1261B" w:rsidRPr="0037774A" w:rsidRDefault="00A1261B" w:rsidP="005F704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Odniesienie do uwagi w lp. 50</w:t>
            </w:r>
          </w:p>
        </w:tc>
      </w:tr>
      <w:tr w:rsidR="00A1261B" w:rsidRPr="0037774A" w14:paraId="2C8A617C" w14:textId="09932E00" w:rsidTr="00A1261B">
        <w:trPr>
          <w:trHeight w:val="20"/>
        </w:trPr>
        <w:tc>
          <w:tcPr>
            <w:tcW w:w="709" w:type="dxa"/>
            <w:tcBorders>
              <w:top w:val="single" w:sz="4" w:space="0" w:color="auto"/>
              <w:left w:val="single" w:sz="4" w:space="0" w:color="auto"/>
              <w:bottom w:val="single" w:sz="4" w:space="0" w:color="auto"/>
            </w:tcBorders>
            <w:shd w:val="clear" w:color="auto" w:fill="FFFFFF"/>
          </w:tcPr>
          <w:p w14:paraId="00E9A91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F08CD25" w14:textId="3CF98F97" w:rsidR="00A1261B" w:rsidRPr="0037774A" w:rsidRDefault="00A1261B" w:rsidP="0037774A">
            <w:pPr>
              <w:pStyle w:val="Inne0"/>
              <w:shd w:val="clear" w:color="auto" w:fill="auto"/>
              <w:spacing w:before="120" w:after="120"/>
              <w:ind w:left="140"/>
              <w:rPr>
                <w:rFonts w:ascii="Lato" w:eastAsia="Arial" w:hAnsi="Lato" w:cs="Arial"/>
                <w:sz w:val="18"/>
                <w:szCs w:val="18"/>
              </w:rPr>
            </w:pPr>
            <w:r w:rsidRPr="0037774A">
              <w:rPr>
                <w:rFonts w:ascii="Arial" w:eastAsia="Arial" w:hAnsi="Arial" w:cs="Arial"/>
                <w:color w:val="auto"/>
                <w:sz w:val="18"/>
                <w:szCs w:val="18"/>
              </w:rPr>
              <w:t>Ministerstwo Cyfryzacji</w:t>
            </w:r>
          </w:p>
        </w:tc>
        <w:tc>
          <w:tcPr>
            <w:tcW w:w="4536" w:type="dxa"/>
            <w:tcBorders>
              <w:top w:val="single" w:sz="4" w:space="0" w:color="auto"/>
              <w:left w:val="single" w:sz="4" w:space="0" w:color="auto"/>
              <w:bottom w:val="single" w:sz="4" w:space="0" w:color="auto"/>
            </w:tcBorders>
            <w:shd w:val="clear" w:color="auto" w:fill="FFFFFF"/>
          </w:tcPr>
          <w:p w14:paraId="4D065E1C" w14:textId="77777777" w:rsidR="00A1261B" w:rsidRPr="0037774A" w:rsidRDefault="00A1261B" w:rsidP="005F7047">
            <w:pPr>
              <w:pStyle w:val="Inne0"/>
              <w:spacing w:before="120" w:after="120"/>
              <w:ind w:left="127"/>
              <w:rPr>
                <w:rFonts w:ascii="Arial" w:eastAsia="Arial" w:hAnsi="Arial" w:cs="Arial"/>
                <w:b/>
                <w:bCs/>
                <w:sz w:val="18"/>
                <w:szCs w:val="18"/>
              </w:rPr>
            </w:pPr>
            <w:r w:rsidRPr="00C10003">
              <w:rPr>
                <w:rFonts w:ascii="Arial" w:eastAsia="Arial" w:hAnsi="Arial" w:cs="Arial"/>
                <w:b/>
                <w:bCs/>
                <w:sz w:val="18"/>
                <w:szCs w:val="18"/>
              </w:rPr>
              <w:t>Uwaga do uzasadnienia</w:t>
            </w:r>
          </w:p>
          <w:p w14:paraId="0855323D" w14:textId="77777777" w:rsidR="00A1261B" w:rsidRPr="0037774A" w:rsidRDefault="00A1261B" w:rsidP="005F7047">
            <w:pPr>
              <w:pStyle w:val="Inne0"/>
              <w:ind w:left="127"/>
              <w:rPr>
                <w:rFonts w:ascii="Arial" w:eastAsia="Arial" w:hAnsi="Arial" w:cs="Arial"/>
                <w:sz w:val="18"/>
                <w:szCs w:val="18"/>
              </w:rPr>
            </w:pPr>
            <w:r w:rsidRPr="0037774A">
              <w:rPr>
                <w:rFonts w:ascii="Arial" w:eastAsia="Arial" w:hAnsi="Arial" w:cs="Arial"/>
                <w:sz w:val="18"/>
                <w:szCs w:val="18"/>
              </w:rPr>
              <w:t>W uzasadnieniu do projektu ustawy brakuje wzmianki o przeprowadzeniu oceny skutków dla ochrony danych (DPIA), o której mowa w art. 35 RODO.</w:t>
            </w:r>
          </w:p>
          <w:p w14:paraId="2FB2CC9A" w14:textId="47750E60" w:rsidR="00A1261B" w:rsidRPr="0037774A" w:rsidRDefault="00A1261B" w:rsidP="005F7047">
            <w:pPr>
              <w:pStyle w:val="Inne0"/>
              <w:shd w:val="clear" w:color="auto" w:fill="auto"/>
              <w:spacing w:before="120" w:after="120"/>
              <w:ind w:left="127" w:right="274"/>
              <w:rPr>
                <w:rFonts w:ascii="Lato" w:eastAsia="Arial" w:hAnsi="Lato" w:cs="Arial"/>
                <w:sz w:val="18"/>
                <w:szCs w:val="18"/>
              </w:rPr>
            </w:pPr>
            <w:r w:rsidRPr="0037774A">
              <w:rPr>
                <w:rFonts w:ascii="Arial" w:eastAsia="Arial" w:hAnsi="Arial" w:cs="Arial"/>
                <w:sz w:val="18"/>
                <w:szCs w:val="18"/>
              </w:rPr>
              <w:t xml:space="preserve">Art. 35 ust. 1 RODO stanowi, że jeżeli dany rodzaj przetwarzania – w szczególności z użyciem nowych technologii – ze względu na swój charakter, zakres, kontekst i cele z dużym prawdopodobieństwem może powodować wysokie ryzyko naruszenia praw lub wolności osób </w:t>
            </w:r>
            <w:r w:rsidRPr="0037774A">
              <w:rPr>
                <w:rFonts w:ascii="Arial" w:eastAsia="Arial" w:hAnsi="Arial" w:cs="Arial"/>
                <w:sz w:val="18"/>
                <w:szCs w:val="18"/>
              </w:rPr>
              <w:lastRenderedPageBreak/>
              <w:t xml:space="preserve">fizycznych, administrator przed rozpoczęciem przetwarzania dokonuje oceny skutków planowanych operacji przetwarzania dla ochrony danych osobowych. Projektowane zmiany, w szczególności stworzenie bezpośredniego, automatycznego dostępu GGK do powiatowych baz ewidencji gruntów i budynków, co jest operacją na dużą skalę i z wykorzystaniem nowych technologii (w rozumieniu sposobu połączenia systemów), a także przetwarzanie danych osobowych w ramach nowego systemu klasyfikacji gruntów, bez wątpienia kwalifikują się jako operacje przetwarzania mogące powodować wysokie ryzyko.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95FEBD9" w14:textId="70B545E6" w:rsidR="00A1261B" w:rsidRPr="0037774A" w:rsidRDefault="00A1261B" w:rsidP="0037774A">
            <w:pPr>
              <w:pStyle w:val="Inne0"/>
              <w:shd w:val="clear" w:color="auto" w:fill="auto"/>
              <w:spacing w:before="120" w:after="120"/>
              <w:ind w:left="125" w:right="136"/>
              <w:rPr>
                <w:rFonts w:ascii="Lato" w:eastAsia="Arial" w:hAnsi="Lato" w:cs="Arial"/>
                <w:sz w:val="18"/>
                <w:szCs w:val="18"/>
              </w:rPr>
            </w:pPr>
            <w:r w:rsidRPr="0037774A">
              <w:rPr>
                <w:rFonts w:ascii="Arial" w:eastAsia="Arial" w:hAnsi="Arial" w:cs="Arial"/>
                <w:sz w:val="18"/>
                <w:szCs w:val="18"/>
              </w:rPr>
              <w:lastRenderedPageBreak/>
              <w:t>Dla projektowanej regulacji przeprowadzić ocenę skutków dla ochrony danych (DPIA) i poinformować o jej wyniku w OSR lub uzasadnieniu.</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E586A39" w14:textId="0D3D8EFF"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 xml:space="preserve">Wykonano ocenę skutków dla ochrony danych (DPIA). Dokument DPIA stanowi załącznik </w:t>
            </w:r>
            <w:r w:rsidR="00C10003">
              <w:rPr>
                <w:rFonts w:ascii="Lato" w:eastAsia="Arial" w:hAnsi="Lato" w:cs="Arial"/>
                <w:sz w:val="18"/>
                <w:szCs w:val="18"/>
              </w:rPr>
              <w:t>do OSR</w:t>
            </w:r>
            <w:r w:rsidRPr="00BC7438">
              <w:rPr>
                <w:rFonts w:ascii="Lato" w:eastAsia="Arial" w:hAnsi="Lato" w:cs="Arial"/>
                <w:sz w:val="18"/>
                <w:szCs w:val="18"/>
              </w:rPr>
              <w:t>.</w:t>
            </w:r>
          </w:p>
        </w:tc>
      </w:tr>
      <w:tr w:rsidR="00A1261B" w:rsidRPr="0037774A" w14:paraId="233C322E" w14:textId="50EFFDB3" w:rsidTr="00A1261B">
        <w:trPr>
          <w:trHeight w:val="20"/>
        </w:trPr>
        <w:tc>
          <w:tcPr>
            <w:tcW w:w="709" w:type="dxa"/>
            <w:tcBorders>
              <w:top w:val="single" w:sz="4" w:space="0" w:color="auto"/>
              <w:left w:val="single" w:sz="4" w:space="0" w:color="auto"/>
              <w:bottom w:val="single" w:sz="4" w:space="0" w:color="auto"/>
            </w:tcBorders>
            <w:shd w:val="clear" w:color="auto" w:fill="FFFFFF"/>
          </w:tcPr>
          <w:p w14:paraId="71601F6E"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FA2B8F3" w14:textId="21680F10"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68D5CCED" w14:textId="77777777" w:rsidR="00A1261B" w:rsidRPr="0037774A" w:rsidRDefault="00A1261B" w:rsidP="0037774A">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Celem projektowanych przepisów jest m.in. ustanowienie nowego podziału terenów zamkniętych na dwie kategorie oraz uporządkowanie zasad ustanawiania terenów zamkniętych. Zgodnie z projektem - projektowanym brzmieniem art. 4b ust. 1 ustawy z dnia 17 maja 1989 r. - </w:t>
            </w:r>
            <w:r w:rsidRPr="0037774A">
              <w:rPr>
                <w:rFonts w:ascii="Lato" w:hAnsi="Lato"/>
                <w:i/>
                <w:iCs/>
                <w:sz w:val="18"/>
                <w:szCs w:val="18"/>
              </w:rPr>
              <w:t>Prawo geodezyjne i kartograficzne</w:t>
            </w:r>
            <w:r w:rsidRPr="0037774A">
              <w:rPr>
                <w:rFonts w:ascii="Lato" w:hAnsi="Lato"/>
                <w:sz w:val="18"/>
                <w:szCs w:val="18"/>
              </w:rPr>
              <w:t xml:space="preserve"> (Dz. U. z 2024 r. poz. 1151 i 1824), zwanej dalej „ustawą </w:t>
            </w:r>
            <w:proofErr w:type="spellStart"/>
            <w:r w:rsidRPr="0037774A">
              <w:rPr>
                <w:rFonts w:ascii="Lato" w:hAnsi="Lato"/>
                <w:sz w:val="18"/>
                <w:szCs w:val="18"/>
              </w:rPr>
              <w:t>pgik</w:t>
            </w:r>
            <w:proofErr w:type="spellEnd"/>
            <w:r w:rsidRPr="0037774A">
              <w:rPr>
                <w:rFonts w:ascii="Lato" w:hAnsi="Lato"/>
                <w:sz w:val="18"/>
                <w:szCs w:val="18"/>
              </w:rPr>
              <w:t>” - uprawnienie do ustalania lub znoszenia terenów zamkniętych ma mieć między innymi Szef Agencji Bezpieczeństwa Wewnętrznego, Szef Agencji Wywiadu, Szef Służby Kontrwywiadu Wojskowego, Szef Służby Wywiadu Wojskowego oraz Szef Centralnego Biura Antykorupcyjnego. Jednocześnie, zgodnie z projektowanym art. 4a ust. 3 i 5 ustawy, tereny zamknięte I kategorii będą mogły być ustalone na gruntach, na których zlokalizowane są obiekty lub infrastruktura, o których mowa w:</w:t>
            </w:r>
          </w:p>
          <w:p w14:paraId="6D23907D" w14:textId="77777777" w:rsidR="00A1261B" w:rsidRPr="0037774A" w:rsidRDefault="00A1261B" w:rsidP="000A7F07">
            <w:pPr>
              <w:pStyle w:val="Teksttreci0"/>
              <w:numPr>
                <w:ilvl w:val="0"/>
                <w:numId w:val="23"/>
              </w:numPr>
              <w:shd w:val="clear" w:color="auto" w:fill="auto"/>
              <w:tabs>
                <w:tab w:val="left" w:pos="731"/>
              </w:tabs>
              <w:spacing w:before="120" w:after="120"/>
              <w:ind w:left="411" w:right="139" w:hanging="279"/>
              <w:rPr>
                <w:rFonts w:ascii="Lato" w:hAnsi="Lato"/>
                <w:sz w:val="18"/>
                <w:szCs w:val="18"/>
              </w:rPr>
            </w:pPr>
            <w:r w:rsidRPr="0037774A">
              <w:rPr>
                <w:rFonts w:ascii="Lato" w:hAnsi="Lato"/>
                <w:sz w:val="18"/>
                <w:szCs w:val="18"/>
              </w:rPr>
              <w:t xml:space="preserve">art. 5 ust. 2 pkt 1, 3 i 5 ustawy z dnia 22 sierpnia 1997 r. </w:t>
            </w:r>
            <w:r w:rsidRPr="0037774A">
              <w:rPr>
                <w:rFonts w:ascii="Lato" w:hAnsi="Lato"/>
                <w:i/>
                <w:iCs/>
                <w:sz w:val="18"/>
                <w:szCs w:val="18"/>
              </w:rPr>
              <w:t>o ochronie osób i mienia</w:t>
            </w:r>
            <w:r w:rsidRPr="0037774A">
              <w:rPr>
                <w:rFonts w:ascii="Lato" w:hAnsi="Lato"/>
                <w:sz w:val="18"/>
                <w:szCs w:val="18"/>
              </w:rPr>
              <w:t xml:space="preserve"> (Dz. U. z 2025 r. poz. 532);</w:t>
            </w:r>
          </w:p>
          <w:p w14:paraId="086AF6F0" w14:textId="77777777" w:rsidR="00A1261B" w:rsidRPr="0037774A" w:rsidRDefault="00A1261B" w:rsidP="000A7F07">
            <w:pPr>
              <w:pStyle w:val="Teksttreci0"/>
              <w:numPr>
                <w:ilvl w:val="0"/>
                <w:numId w:val="23"/>
              </w:numPr>
              <w:shd w:val="clear" w:color="auto" w:fill="auto"/>
              <w:tabs>
                <w:tab w:val="left" w:pos="731"/>
              </w:tabs>
              <w:spacing w:before="120" w:after="120"/>
              <w:ind w:left="411" w:right="139" w:hanging="279"/>
              <w:rPr>
                <w:rFonts w:ascii="Lato" w:hAnsi="Lato"/>
                <w:sz w:val="18"/>
                <w:szCs w:val="18"/>
              </w:rPr>
            </w:pPr>
            <w:r w:rsidRPr="0037774A">
              <w:rPr>
                <w:rFonts w:ascii="Lato" w:hAnsi="Lato"/>
                <w:sz w:val="18"/>
                <w:szCs w:val="18"/>
              </w:rPr>
              <w:t xml:space="preserve">art. 3 pkt 2 ustawy z dnia 26 kwietnia 2007 r. </w:t>
            </w:r>
            <w:r w:rsidRPr="0037774A">
              <w:rPr>
                <w:rFonts w:ascii="Lato" w:hAnsi="Lato"/>
                <w:i/>
                <w:iCs/>
                <w:sz w:val="18"/>
                <w:szCs w:val="18"/>
              </w:rPr>
              <w:t>o zarządzaniu kryzysowym</w:t>
            </w:r>
            <w:r w:rsidRPr="0037774A">
              <w:rPr>
                <w:rFonts w:ascii="Lato" w:hAnsi="Lato"/>
                <w:sz w:val="18"/>
                <w:szCs w:val="18"/>
              </w:rPr>
              <w:t xml:space="preserve"> (Dz. U. z 2023 r. poz. 122, z </w:t>
            </w:r>
            <w:proofErr w:type="spellStart"/>
            <w:r w:rsidRPr="0037774A">
              <w:rPr>
                <w:rFonts w:ascii="Lato" w:hAnsi="Lato"/>
                <w:sz w:val="18"/>
                <w:szCs w:val="18"/>
              </w:rPr>
              <w:t>późn</w:t>
            </w:r>
            <w:proofErr w:type="spellEnd"/>
            <w:r w:rsidRPr="0037774A">
              <w:rPr>
                <w:rFonts w:ascii="Lato" w:hAnsi="Lato"/>
                <w:sz w:val="18"/>
                <w:szCs w:val="18"/>
              </w:rPr>
              <w:t>. zm.);</w:t>
            </w:r>
          </w:p>
          <w:p w14:paraId="0A8FFB7B" w14:textId="77777777" w:rsidR="00A1261B" w:rsidRPr="0037774A" w:rsidRDefault="00A1261B" w:rsidP="000A7F07">
            <w:pPr>
              <w:pStyle w:val="Teksttreci0"/>
              <w:numPr>
                <w:ilvl w:val="0"/>
                <w:numId w:val="23"/>
              </w:numPr>
              <w:shd w:val="clear" w:color="auto" w:fill="auto"/>
              <w:tabs>
                <w:tab w:val="left" w:pos="731"/>
              </w:tabs>
              <w:spacing w:before="120" w:after="120"/>
              <w:ind w:left="411" w:right="139" w:hanging="279"/>
              <w:rPr>
                <w:rFonts w:ascii="Lato" w:hAnsi="Lato"/>
                <w:sz w:val="18"/>
                <w:szCs w:val="18"/>
              </w:rPr>
            </w:pPr>
            <w:r w:rsidRPr="0037774A">
              <w:rPr>
                <w:rFonts w:ascii="Lato" w:hAnsi="Lato"/>
                <w:sz w:val="18"/>
                <w:szCs w:val="18"/>
              </w:rPr>
              <w:t xml:space="preserve">przepisach wydanych na podstawie art. 617 ustawy z dnia 11 marca 2022 r. </w:t>
            </w:r>
            <w:r w:rsidRPr="0037774A">
              <w:rPr>
                <w:rFonts w:ascii="Lato" w:hAnsi="Lato"/>
                <w:i/>
                <w:iCs/>
                <w:sz w:val="18"/>
                <w:szCs w:val="18"/>
              </w:rPr>
              <w:t>o obronie Ojczyzny</w:t>
            </w:r>
            <w:r w:rsidRPr="0037774A">
              <w:rPr>
                <w:rFonts w:ascii="Lato" w:hAnsi="Lato"/>
                <w:sz w:val="18"/>
                <w:szCs w:val="18"/>
              </w:rPr>
              <w:t xml:space="preserve"> (Dz. U. z 2024 r. poz. 248, z </w:t>
            </w:r>
            <w:proofErr w:type="spellStart"/>
            <w:r w:rsidRPr="0037774A">
              <w:rPr>
                <w:rFonts w:ascii="Lato" w:hAnsi="Lato"/>
                <w:sz w:val="18"/>
                <w:szCs w:val="18"/>
              </w:rPr>
              <w:t>późn</w:t>
            </w:r>
            <w:proofErr w:type="spellEnd"/>
            <w:r w:rsidRPr="0037774A">
              <w:rPr>
                <w:rFonts w:ascii="Lato" w:hAnsi="Lato"/>
                <w:sz w:val="18"/>
                <w:szCs w:val="18"/>
              </w:rPr>
              <w:t>. zm.),</w:t>
            </w:r>
          </w:p>
          <w:p w14:paraId="50AF4A31" w14:textId="77777777" w:rsidR="00A1261B" w:rsidRPr="0037774A" w:rsidRDefault="00A1261B" w:rsidP="0037774A">
            <w:pPr>
              <w:pStyle w:val="Teksttreci0"/>
              <w:shd w:val="clear" w:color="auto" w:fill="auto"/>
              <w:spacing w:before="120" w:after="120"/>
              <w:ind w:left="132" w:right="139"/>
              <w:rPr>
                <w:rFonts w:ascii="Lato" w:hAnsi="Lato"/>
                <w:sz w:val="18"/>
                <w:szCs w:val="18"/>
              </w:rPr>
            </w:pPr>
            <w:r w:rsidRPr="0037774A">
              <w:rPr>
                <w:rFonts w:ascii="Lato" w:hAnsi="Lato"/>
                <w:sz w:val="18"/>
                <w:szCs w:val="18"/>
              </w:rPr>
              <w:t>Natomiast tereny zamknięte II kategorii będą mogły być ustalane na gruntach, na których zlokalizowane są obiekty lub infrastruktura:</w:t>
            </w:r>
          </w:p>
          <w:p w14:paraId="6FBE0F97" w14:textId="77777777" w:rsidR="00A1261B" w:rsidRPr="0037774A" w:rsidRDefault="00A1261B" w:rsidP="000A7F07">
            <w:pPr>
              <w:pStyle w:val="Teksttreci0"/>
              <w:numPr>
                <w:ilvl w:val="0"/>
                <w:numId w:val="24"/>
              </w:numPr>
              <w:shd w:val="clear" w:color="auto" w:fill="auto"/>
              <w:tabs>
                <w:tab w:val="left" w:pos="731"/>
              </w:tabs>
              <w:spacing w:before="120" w:after="120"/>
              <w:ind w:left="411" w:right="139" w:hanging="279"/>
              <w:rPr>
                <w:rFonts w:ascii="Lato" w:hAnsi="Lato"/>
                <w:sz w:val="18"/>
                <w:szCs w:val="18"/>
              </w:rPr>
            </w:pPr>
            <w:r w:rsidRPr="0037774A">
              <w:rPr>
                <w:rFonts w:ascii="Lato" w:hAnsi="Lato"/>
                <w:sz w:val="18"/>
                <w:szCs w:val="18"/>
              </w:rPr>
              <w:t>wymienionych w ust. 3, lub</w:t>
            </w:r>
          </w:p>
          <w:p w14:paraId="6969133B" w14:textId="77777777" w:rsidR="00A1261B" w:rsidRPr="0037774A" w:rsidRDefault="00A1261B" w:rsidP="000A7F07">
            <w:pPr>
              <w:pStyle w:val="Teksttreci0"/>
              <w:numPr>
                <w:ilvl w:val="0"/>
                <w:numId w:val="24"/>
              </w:numPr>
              <w:shd w:val="clear" w:color="auto" w:fill="auto"/>
              <w:tabs>
                <w:tab w:val="left" w:pos="731"/>
              </w:tabs>
              <w:spacing w:before="120" w:after="120"/>
              <w:ind w:left="411" w:right="139" w:hanging="279"/>
              <w:rPr>
                <w:rFonts w:ascii="Lato" w:hAnsi="Lato"/>
                <w:sz w:val="18"/>
                <w:szCs w:val="18"/>
              </w:rPr>
            </w:pPr>
            <w:r w:rsidRPr="0037774A">
              <w:rPr>
                <w:rFonts w:ascii="Lato" w:hAnsi="Lato"/>
                <w:sz w:val="18"/>
                <w:szCs w:val="18"/>
              </w:rPr>
              <w:lastRenderedPageBreak/>
              <w:t xml:space="preserve">o których mowa w art. 5 ust. 2 pkt 2 i 4 ustawy z dnia 22 sierpnia 1997 r. </w:t>
            </w:r>
            <w:r w:rsidRPr="0037774A">
              <w:rPr>
                <w:rFonts w:ascii="Lato" w:hAnsi="Lato"/>
                <w:i/>
                <w:iCs/>
                <w:sz w:val="18"/>
                <w:szCs w:val="18"/>
              </w:rPr>
              <w:t>o ochronie osób i mienia</w:t>
            </w:r>
            <w:r w:rsidRPr="0037774A">
              <w:rPr>
                <w:rFonts w:ascii="Lato" w:hAnsi="Lato"/>
                <w:sz w:val="18"/>
                <w:szCs w:val="18"/>
              </w:rPr>
              <w:t>.</w:t>
            </w:r>
          </w:p>
          <w:p w14:paraId="7F13B68A" w14:textId="2AF219B8" w:rsidR="00A1261B" w:rsidRPr="0037774A" w:rsidRDefault="00A1261B" w:rsidP="0037774A">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Należy zauważyć, że katalog ten nie obejmuje obiektów lub infrastruktury służb specjalnych, wskazanych w przywoływanym art. 4b ust. 1. Nie powinno ulegać wątpliwości, że szefowie służb specjalnych powinni mieć możliwość wyznaczenia terenów zamkniętych na gruntach, na których zlokalizowane są ich obiekty i infrastruktura, tym bardziej, że nie wszystkie takie grunty, jak się wydaje, będą objęte zakresem art. 4a ust. 3 i 5. Dlatego też należy wprowadzić rozwiązanie prawne, które </w:t>
            </w:r>
            <w:r w:rsidRPr="0037774A">
              <w:rPr>
                <w:rFonts w:ascii="Lato" w:hAnsi="Lato"/>
                <w:i/>
                <w:iCs/>
                <w:sz w:val="18"/>
                <w:szCs w:val="18"/>
              </w:rPr>
              <w:t>expressis verbis</w:t>
            </w:r>
            <w:r w:rsidRPr="0037774A">
              <w:rPr>
                <w:rFonts w:ascii="Lato" w:hAnsi="Lato"/>
                <w:sz w:val="18"/>
                <w:szCs w:val="18"/>
              </w:rPr>
              <w:t xml:space="preserve"> obejmie obiekty i infrastrukturę służb specjalnych; temu celowi służyć będzie propozycja nadania art. 1 pkt 3 projektu - w zakresie projektowanego art. 4a ust. 3 ustawy </w:t>
            </w:r>
            <w:proofErr w:type="spellStart"/>
            <w:r w:rsidRPr="0037774A">
              <w:rPr>
                <w:rFonts w:ascii="Lato" w:hAnsi="Lato"/>
                <w:sz w:val="18"/>
                <w:szCs w:val="18"/>
              </w:rPr>
              <w:t>pgik</w:t>
            </w:r>
            <w:proofErr w:type="spellEnd"/>
            <w:r w:rsidRPr="0037774A">
              <w:rPr>
                <w:rFonts w:ascii="Lato" w:hAnsi="Lato"/>
                <w:sz w:val="18"/>
                <w:szCs w:val="18"/>
              </w:rPr>
              <w:t xml:space="preserve"> - następującego brzmienia:</w:t>
            </w:r>
          </w:p>
          <w:p w14:paraId="2BCD4B67" w14:textId="77777777" w:rsidR="00A1261B" w:rsidRPr="0037774A" w:rsidRDefault="00A1261B" w:rsidP="0037774A">
            <w:pPr>
              <w:pStyle w:val="Teksttreci0"/>
              <w:shd w:val="clear" w:color="auto" w:fill="auto"/>
              <w:spacing w:before="120" w:after="120"/>
              <w:ind w:left="132" w:right="139"/>
              <w:rPr>
                <w:rFonts w:ascii="Lato" w:hAnsi="Lato"/>
                <w:sz w:val="18"/>
                <w:szCs w:val="18"/>
              </w:rPr>
            </w:pPr>
            <w:r w:rsidRPr="0037774A">
              <w:rPr>
                <w:rFonts w:ascii="Lato" w:hAnsi="Lato"/>
                <w:sz w:val="18"/>
                <w:szCs w:val="18"/>
              </w:rPr>
              <w:t>„</w:t>
            </w:r>
            <w:r w:rsidRPr="0037774A">
              <w:rPr>
                <w:rFonts w:ascii="Lato" w:hAnsi="Lato"/>
                <w:i/>
                <w:iCs/>
                <w:sz w:val="18"/>
                <w:szCs w:val="18"/>
              </w:rPr>
              <w:t>3. Tereny zamknięte I kategorii mogą zostać ustalone na gruntach, na których zlokalizowane są obiekty lub infrastruktura:</w:t>
            </w:r>
          </w:p>
          <w:p w14:paraId="6E7A37A9" w14:textId="77777777" w:rsidR="00A1261B" w:rsidRPr="0037774A" w:rsidRDefault="00A1261B" w:rsidP="0037774A">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1) </w:t>
            </w:r>
            <w:r w:rsidRPr="0037774A">
              <w:rPr>
                <w:rFonts w:ascii="Lato" w:hAnsi="Lato"/>
                <w:i/>
                <w:iCs/>
                <w:sz w:val="18"/>
                <w:szCs w:val="18"/>
              </w:rPr>
              <w:t xml:space="preserve">pozostające w dyspozycji służb specjalnych, o których mowa w art. 11 ustawy z dnia 24 </w:t>
            </w:r>
            <w:r w:rsidRPr="0037774A">
              <w:rPr>
                <w:rFonts w:ascii="Lato" w:hAnsi="Lato"/>
                <w:sz w:val="18"/>
                <w:szCs w:val="18"/>
              </w:rPr>
              <w:t xml:space="preserve">2) </w:t>
            </w:r>
            <w:r w:rsidRPr="0037774A">
              <w:rPr>
                <w:rFonts w:ascii="Lato" w:hAnsi="Lato"/>
                <w:i/>
                <w:iCs/>
                <w:sz w:val="18"/>
                <w:szCs w:val="18"/>
              </w:rPr>
              <w:t>o których mowa w art. 5 ust. 2 pkt 1, 3 i 5 ustawy z dnia 22 sierpnia 1997 r. o ochronie osób i mienia (Dz. U. z 2025 r. poz. 532);</w:t>
            </w:r>
          </w:p>
          <w:p w14:paraId="61B6314C" w14:textId="4FD8F2B5" w:rsidR="00A1261B" w:rsidRPr="0037774A" w:rsidRDefault="00A1261B" w:rsidP="0037774A">
            <w:pPr>
              <w:pStyle w:val="Teksttreci0"/>
              <w:shd w:val="clear" w:color="auto" w:fill="auto"/>
              <w:tabs>
                <w:tab w:val="left" w:pos="1147"/>
              </w:tabs>
              <w:spacing w:before="120" w:after="120"/>
              <w:ind w:left="132" w:right="139"/>
              <w:rPr>
                <w:rFonts w:ascii="Lato" w:hAnsi="Lato"/>
                <w:sz w:val="18"/>
                <w:szCs w:val="18"/>
              </w:rPr>
            </w:pPr>
            <w:r w:rsidRPr="0037774A">
              <w:rPr>
                <w:rFonts w:ascii="Lato" w:hAnsi="Lato"/>
                <w:i/>
                <w:iCs/>
                <w:sz w:val="18"/>
                <w:szCs w:val="18"/>
              </w:rPr>
              <w:t>2) o których mowa w art. 3 pkt 2 ustawy z dnia 26 kwietnia 2007 r. o zarządzaniu kryzysowym (Dz. U. z 2023 r. poz. 122 oraz z 2024 r. poz. 834, 1222, 1473 i 1572);</w:t>
            </w:r>
          </w:p>
          <w:p w14:paraId="709DEAA9" w14:textId="38BF1589" w:rsidR="00A1261B" w:rsidRPr="0037774A" w:rsidRDefault="00A1261B" w:rsidP="0037774A">
            <w:pPr>
              <w:pStyle w:val="Teksttreci0"/>
              <w:shd w:val="clear" w:color="auto" w:fill="auto"/>
              <w:tabs>
                <w:tab w:val="left" w:pos="1147"/>
              </w:tabs>
              <w:spacing w:before="120" w:after="120"/>
              <w:ind w:left="132" w:right="139"/>
              <w:rPr>
                <w:rFonts w:ascii="Lato" w:hAnsi="Lato"/>
                <w:sz w:val="18"/>
                <w:szCs w:val="18"/>
              </w:rPr>
            </w:pPr>
            <w:r w:rsidRPr="0037774A">
              <w:rPr>
                <w:rFonts w:ascii="Lato" w:hAnsi="Lato"/>
                <w:i/>
                <w:iCs/>
                <w:sz w:val="18"/>
                <w:szCs w:val="18"/>
              </w:rPr>
              <w:t xml:space="preserve">3) o których mowa w przepisach wydanych na podstawie art. 617 ustawy z dnia 11 marca 2022 r. o obronie Ojczyzny (Dz. U. z 2024 r. poz. 248, z </w:t>
            </w:r>
            <w:proofErr w:type="spellStart"/>
            <w:r w:rsidRPr="0037774A">
              <w:rPr>
                <w:rFonts w:ascii="Lato" w:hAnsi="Lato"/>
                <w:i/>
                <w:iCs/>
                <w:sz w:val="18"/>
                <w:szCs w:val="18"/>
              </w:rPr>
              <w:t>późn</w:t>
            </w:r>
            <w:proofErr w:type="spellEnd"/>
            <w:r w:rsidRPr="0037774A">
              <w:rPr>
                <w:rFonts w:ascii="Lato" w:hAnsi="Lato"/>
                <w:i/>
                <w:iCs/>
                <w:sz w:val="18"/>
                <w:szCs w:val="18"/>
              </w:rPr>
              <w:t>. zm.).”.</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4051EC"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1E49292" w14:textId="1B40C91A"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2456CF8E" w14:textId="58D7BD02" w:rsidTr="00A1261B">
        <w:trPr>
          <w:trHeight w:val="20"/>
        </w:trPr>
        <w:tc>
          <w:tcPr>
            <w:tcW w:w="709" w:type="dxa"/>
            <w:tcBorders>
              <w:top w:val="single" w:sz="4" w:space="0" w:color="auto"/>
              <w:left w:val="single" w:sz="4" w:space="0" w:color="auto"/>
              <w:bottom w:val="single" w:sz="4" w:space="0" w:color="auto"/>
            </w:tcBorders>
            <w:shd w:val="clear" w:color="auto" w:fill="FFFFFF"/>
          </w:tcPr>
          <w:p w14:paraId="575DC94E"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40090D3" w14:textId="67D2A0DB" w:rsidR="00A1261B" w:rsidRPr="0037774A" w:rsidRDefault="00A1261B" w:rsidP="00EE6CCF">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64C0C02C" w14:textId="0EBC8FCD" w:rsidR="00A1261B" w:rsidRPr="0037774A" w:rsidRDefault="00A1261B" w:rsidP="00EE6CCF">
            <w:pPr>
              <w:pStyle w:val="Inne0"/>
              <w:shd w:val="clear" w:color="auto" w:fill="auto"/>
              <w:spacing w:before="120" w:after="120"/>
              <w:ind w:left="132" w:right="139"/>
              <w:rPr>
                <w:rFonts w:ascii="Lato" w:eastAsia="Arial" w:hAnsi="Lato" w:cs="Arial"/>
                <w:sz w:val="18"/>
                <w:szCs w:val="18"/>
              </w:rPr>
            </w:pPr>
            <w:r w:rsidRPr="0037774A">
              <w:rPr>
                <w:rFonts w:ascii="Lato" w:hAnsi="Lato"/>
                <w:sz w:val="18"/>
                <w:szCs w:val="18"/>
              </w:rPr>
              <w:t xml:space="preserve">Dodatkowo należy zwrócić uwagę na art. 1 pkt 1 lit. d projektu ustawy, który wprowadza w art. 2 ustawy </w:t>
            </w:r>
            <w:proofErr w:type="spellStart"/>
            <w:r w:rsidRPr="0037774A">
              <w:rPr>
                <w:rFonts w:ascii="Lato" w:hAnsi="Lato"/>
                <w:sz w:val="18"/>
                <w:szCs w:val="18"/>
              </w:rPr>
              <w:t>pgik</w:t>
            </w:r>
            <w:proofErr w:type="spellEnd"/>
            <w:r w:rsidRPr="0037774A">
              <w:rPr>
                <w:rFonts w:ascii="Lato" w:hAnsi="Lato"/>
                <w:sz w:val="18"/>
                <w:szCs w:val="18"/>
              </w:rPr>
              <w:t xml:space="preserve">, nowy pkt 9a. Projektodawca dodaje definicję pojęcia „rejestr terenów zamkniętych”, wskazując m.in. że jest to rejestr publiczny prowadzony w systemie teleinformatycznym przez Ministra Obrony Narodowej. Powyższa regulacja ustanawia Ministra Obrony Narodowej organem odpowiedzialnym za prowadzenie rejestru terenów zamkniętych obejmującego m.in. tereny zamknięte I kategorii ustanowione przez inne podmioty, w tym Szefa ABW w odniesieniu do terenów zamkniętych ABW. </w:t>
            </w:r>
            <w:r w:rsidRPr="0037774A">
              <w:rPr>
                <w:rFonts w:ascii="Lato" w:hAnsi="Lato"/>
                <w:sz w:val="18"/>
                <w:szCs w:val="18"/>
              </w:rPr>
              <w:lastRenderedPageBreak/>
              <w:t xml:space="preserve">Wydaje się, że Minister Obrony Narodowej powinien być organem właściwym do prowadzenia takiego rejestru w odniesieniu do terenów zamkniętych Ministerstwa Obrony Narodowej, natomiast prowadzenie rejestru wszystkich terenów zamkniętych, w tym terenów zamkniętych ABW, powinno należeć do zadań Głównego Geodety Kraju. Wobec powyższego proponuje się stosowne przeredagowanie przepisów art. 2 pkt 9a ustawy </w:t>
            </w:r>
            <w:proofErr w:type="spellStart"/>
            <w:r w:rsidRPr="0037774A">
              <w:rPr>
                <w:rFonts w:ascii="Lato" w:hAnsi="Lato"/>
                <w:sz w:val="18"/>
                <w:szCs w:val="18"/>
              </w:rPr>
              <w:t>pgik</w:t>
            </w:r>
            <w:proofErr w:type="spellEnd"/>
            <w:r w:rsidRPr="0037774A">
              <w:rPr>
                <w:rFonts w:ascii="Lato" w:hAnsi="Lato"/>
                <w:sz w:val="18"/>
                <w:szCs w:val="18"/>
              </w:rPr>
              <w:t xml:space="preserve"> zgodnie z powyższą propozycją. W dalszej kolejności, należałoby również odpowiednio przeredagować art. 4d ust. 3, 6 i 8 ustawy </w:t>
            </w:r>
            <w:proofErr w:type="spellStart"/>
            <w:r w:rsidRPr="0037774A">
              <w:rPr>
                <w:rFonts w:ascii="Lato" w:hAnsi="Lato"/>
                <w:sz w:val="18"/>
                <w:szCs w:val="18"/>
              </w:rPr>
              <w:t>pgik</w:t>
            </w:r>
            <w:proofErr w:type="spellEnd"/>
            <w:r w:rsidRPr="0037774A">
              <w:rPr>
                <w:rFonts w:ascii="Lato" w:hAnsi="Lato"/>
                <w:sz w:val="18"/>
                <w:szCs w:val="18"/>
              </w:rPr>
              <w:t xml:space="preserve"> oraz art. 4 projektu ustawy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19949CD" w14:textId="77777777" w:rsidR="00A1261B" w:rsidRPr="0037774A"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77AEAFD" w14:textId="19CD841B"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783D4D">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783D4D">
              <w:rPr>
                <w:rFonts w:ascii="Lato" w:eastAsia="Arial" w:hAnsi="Lato" w:cs="Arial"/>
                <w:sz w:val="18"/>
                <w:szCs w:val="18"/>
              </w:rPr>
              <w:t>zagadnienia ustanawiania i znoszenia terenów zamkniętych.</w:t>
            </w:r>
          </w:p>
        </w:tc>
      </w:tr>
      <w:tr w:rsidR="00A1261B" w:rsidRPr="0037774A" w14:paraId="4E59F481" w14:textId="7195D003" w:rsidTr="00A1261B">
        <w:trPr>
          <w:trHeight w:val="20"/>
        </w:trPr>
        <w:tc>
          <w:tcPr>
            <w:tcW w:w="709" w:type="dxa"/>
            <w:tcBorders>
              <w:top w:val="single" w:sz="4" w:space="0" w:color="auto"/>
              <w:left w:val="single" w:sz="4" w:space="0" w:color="auto"/>
              <w:bottom w:val="single" w:sz="4" w:space="0" w:color="auto"/>
            </w:tcBorders>
            <w:shd w:val="clear" w:color="auto" w:fill="FFFFFF"/>
          </w:tcPr>
          <w:p w14:paraId="31654D9C"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65F228B" w14:textId="1671E806" w:rsidR="00A1261B" w:rsidRPr="0037774A" w:rsidRDefault="00A1261B" w:rsidP="00EE6CCF">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5ABCE78D" w14:textId="354C2042" w:rsidR="00A1261B" w:rsidRPr="0037774A" w:rsidRDefault="00A1261B" w:rsidP="00EE6CCF">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Proszę również o przyjęcie uwagi odnoszącej się do zmian zaproponowanych w art. 1 pkt 2 projektu ustawy dotyczących uchylenia art. 4 ust. 2d ustawy </w:t>
            </w:r>
            <w:proofErr w:type="spellStart"/>
            <w:r w:rsidRPr="0037774A">
              <w:rPr>
                <w:rFonts w:ascii="Lato" w:hAnsi="Lato"/>
                <w:sz w:val="18"/>
                <w:szCs w:val="18"/>
              </w:rPr>
              <w:t>pgik</w:t>
            </w:r>
            <w:proofErr w:type="spellEnd"/>
            <w:r w:rsidRPr="0037774A">
              <w:rPr>
                <w:rFonts w:ascii="Lato" w:hAnsi="Lato"/>
                <w:sz w:val="18"/>
                <w:szCs w:val="18"/>
              </w:rPr>
              <w:t>, stanowiącego, że nadzór nad pracami geodezyjnymi i kartograficznymi na terenach zamkniętych sprawuje właściwy minister lub kierownik urzędu centralnego. W uzasadnieniu do projektu wskazuje się, że zawarte w przedmiotowych przepisach zmiany mają charakter dostosowawczy do wprowadzanych w art. 4a-4c przepisów w zakresie nowego podziału terenów zamkniętych i zasad ich ustalania. Niemniej projektodawca nie wyjaśnia, kto będzie sprawował nadzór nad pracami geodezyjnymi i kartograficznymi na terenie zamkniętym po wejściu w życie procedowanych zmień. Wydaje się, że kwestia ta powinna zostać doprecyzowana w projekcie.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C0C057F" w14:textId="77777777" w:rsidR="00A1261B" w:rsidRPr="0037774A"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B59F6B5" w14:textId="660CE10B"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783D4D">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783D4D">
              <w:rPr>
                <w:rFonts w:ascii="Lato" w:eastAsia="Arial" w:hAnsi="Lato" w:cs="Arial"/>
                <w:sz w:val="18"/>
                <w:szCs w:val="18"/>
              </w:rPr>
              <w:t>zagadnienia ustanawiania i znoszenia terenów zamkniętych.</w:t>
            </w:r>
          </w:p>
        </w:tc>
      </w:tr>
      <w:tr w:rsidR="00A1261B" w:rsidRPr="0037774A" w14:paraId="5C42AB57" w14:textId="655A3BB8" w:rsidTr="00A1261B">
        <w:trPr>
          <w:trHeight w:val="20"/>
        </w:trPr>
        <w:tc>
          <w:tcPr>
            <w:tcW w:w="709" w:type="dxa"/>
            <w:tcBorders>
              <w:top w:val="single" w:sz="4" w:space="0" w:color="auto"/>
              <w:left w:val="single" w:sz="4" w:space="0" w:color="auto"/>
              <w:bottom w:val="single" w:sz="4" w:space="0" w:color="auto"/>
            </w:tcBorders>
            <w:shd w:val="clear" w:color="auto" w:fill="FFFFFF"/>
          </w:tcPr>
          <w:p w14:paraId="6C05DBEB"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7D2A528" w14:textId="2ADEE853" w:rsidR="00A1261B" w:rsidRPr="0037774A" w:rsidRDefault="00A1261B" w:rsidP="00EE6CCF">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1FBFA4A5" w14:textId="77777777" w:rsidR="00A1261B" w:rsidRPr="0037774A" w:rsidRDefault="00A1261B" w:rsidP="00EE6CCF">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Wątpliwości budzi również zmiana zaproponowana w art. 1 pkt 3 projektu ustawy, polegająca na dodaniu art. 4c ust. 5 do ustawy </w:t>
            </w:r>
            <w:proofErr w:type="spellStart"/>
            <w:r w:rsidRPr="0037774A">
              <w:rPr>
                <w:rFonts w:ascii="Lato" w:hAnsi="Lato"/>
                <w:sz w:val="18"/>
                <w:szCs w:val="18"/>
              </w:rPr>
              <w:t>pgik</w:t>
            </w:r>
            <w:proofErr w:type="spellEnd"/>
            <w:r w:rsidRPr="0037774A">
              <w:rPr>
                <w:rFonts w:ascii="Lato" w:hAnsi="Lato"/>
                <w:sz w:val="18"/>
                <w:szCs w:val="18"/>
              </w:rPr>
              <w:t>. Wątpliwości budzi wprowadzenie wyrażenia „według stanu prawnego sprzed otrzymania informacji, o której mowa w ust. 4”. Właściwe byłoby dodanie przepisu określającego, iż na terenach zamkniętych I kategorii wykonawca prac geodezyjnych, o których mowa w ust. 3, kontynuuje ich wykonanie, pozbawione informacji dotyczących terenu zamkniętego I kategorii w zakresie:</w:t>
            </w:r>
          </w:p>
          <w:p w14:paraId="161C14AD" w14:textId="77777777" w:rsidR="00A1261B" w:rsidRPr="0037774A" w:rsidRDefault="00A1261B" w:rsidP="00EE6CCF">
            <w:pPr>
              <w:pStyle w:val="Teksttreci0"/>
              <w:shd w:val="clear" w:color="auto" w:fill="auto"/>
              <w:spacing w:before="120" w:after="120"/>
              <w:ind w:left="132" w:right="139"/>
              <w:rPr>
                <w:rFonts w:ascii="Lato" w:hAnsi="Lato"/>
                <w:sz w:val="18"/>
                <w:szCs w:val="18"/>
              </w:rPr>
            </w:pPr>
            <w:r w:rsidRPr="0037774A">
              <w:rPr>
                <w:rFonts w:ascii="Lato" w:hAnsi="Lato"/>
                <w:sz w:val="18"/>
                <w:szCs w:val="18"/>
              </w:rPr>
              <w:t>1) budynków i lokali gromadzonych w bazie danych, o której mowa w art. 4 ust. 1a pkt 2,</w:t>
            </w:r>
          </w:p>
          <w:p w14:paraId="4E51F64E" w14:textId="77777777" w:rsidR="00A1261B" w:rsidRPr="0037774A" w:rsidRDefault="00A1261B" w:rsidP="00EE6CCF">
            <w:pPr>
              <w:pStyle w:val="Teksttreci0"/>
              <w:shd w:val="clear" w:color="auto" w:fill="auto"/>
              <w:spacing w:before="120" w:after="120"/>
              <w:ind w:left="132" w:right="139"/>
              <w:rPr>
                <w:rFonts w:ascii="Lato" w:hAnsi="Lato"/>
                <w:sz w:val="18"/>
                <w:szCs w:val="18"/>
              </w:rPr>
            </w:pPr>
            <w:r w:rsidRPr="0037774A">
              <w:rPr>
                <w:rFonts w:ascii="Lato" w:hAnsi="Lato"/>
                <w:sz w:val="18"/>
                <w:szCs w:val="18"/>
              </w:rPr>
              <w:t>2) danych gromadzonych w bazach danych, o których mowa w art. 4 ust. 1a pkt 3, 8, 11 i 12,</w:t>
            </w:r>
          </w:p>
          <w:p w14:paraId="2716C0D5" w14:textId="3962F6C9" w:rsidR="00A1261B" w:rsidRPr="0037774A" w:rsidRDefault="00A1261B" w:rsidP="00EE6CCF">
            <w:pPr>
              <w:pStyle w:val="Inne0"/>
              <w:shd w:val="clear" w:color="auto" w:fill="auto"/>
              <w:spacing w:before="120" w:after="120"/>
              <w:ind w:left="132" w:right="139"/>
              <w:rPr>
                <w:rFonts w:ascii="Lato" w:eastAsia="Arial" w:hAnsi="Lato" w:cs="Arial"/>
                <w:sz w:val="18"/>
                <w:szCs w:val="18"/>
              </w:rPr>
            </w:pPr>
            <w:bookmarkStart w:id="11" w:name="_Hlk204766936"/>
            <w:r w:rsidRPr="0037774A">
              <w:rPr>
                <w:rFonts w:ascii="Lato" w:hAnsi="Lato"/>
                <w:sz w:val="18"/>
                <w:szCs w:val="18"/>
                <w:u w:val="single"/>
              </w:rPr>
              <w:lastRenderedPageBreak/>
              <w:t>- za zgodą i w porozumieniu z organem, który ustalił teren zamknięty.</w:t>
            </w:r>
            <w:r w:rsidRPr="0037774A">
              <w:rPr>
                <w:rFonts w:ascii="Lato" w:hAnsi="Lato"/>
                <w:sz w:val="18"/>
                <w:szCs w:val="18"/>
              </w:rPr>
              <w:t xml:space="preserve"> </w:t>
            </w:r>
            <w:bookmarkEnd w:id="11"/>
            <w:r w:rsidRPr="0037774A">
              <w:rPr>
                <w:rFonts w:ascii="Lato" w:hAnsi="Lato"/>
                <w:sz w:val="18"/>
                <w:szCs w:val="18"/>
              </w:rPr>
              <w:t xml:space="preserve">Powyższe rozwiązanie jest zgodne z projektowanym art. 13 ust. 3 ustawy </w:t>
            </w:r>
            <w:proofErr w:type="spellStart"/>
            <w:r w:rsidRPr="0037774A">
              <w:rPr>
                <w:rFonts w:ascii="Lato" w:hAnsi="Lato"/>
                <w:sz w:val="18"/>
                <w:szCs w:val="18"/>
              </w:rPr>
              <w:t>pgik</w:t>
            </w:r>
            <w:proofErr w:type="spellEnd"/>
            <w:r w:rsidRPr="0037774A">
              <w:rPr>
                <w:rFonts w:ascii="Lato" w:hAnsi="Lato"/>
                <w:sz w:val="18"/>
                <w:szCs w:val="18"/>
              </w:rPr>
              <w:t>, zgodnie z którym wyniki prac geodezyjnych przekazywane będą podmiotowi, który ustalił ten teren.</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F061EE" w14:textId="77777777" w:rsidR="00A1261B" w:rsidRPr="0037774A"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1B1E400" w14:textId="18CC60AC"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525D5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525D5F">
              <w:rPr>
                <w:rFonts w:ascii="Lato" w:eastAsia="Arial" w:hAnsi="Lato" w:cs="Arial"/>
                <w:sz w:val="18"/>
                <w:szCs w:val="18"/>
              </w:rPr>
              <w:t>zagadnienia ustanawiania i znoszenia terenów zamkniętych.</w:t>
            </w:r>
          </w:p>
        </w:tc>
      </w:tr>
      <w:tr w:rsidR="00A1261B" w:rsidRPr="0037774A" w14:paraId="294301DE" w14:textId="3084ABE4" w:rsidTr="00A1261B">
        <w:trPr>
          <w:trHeight w:val="20"/>
        </w:trPr>
        <w:tc>
          <w:tcPr>
            <w:tcW w:w="709" w:type="dxa"/>
            <w:tcBorders>
              <w:top w:val="single" w:sz="4" w:space="0" w:color="auto"/>
              <w:left w:val="single" w:sz="4" w:space="0" w:color="auto"/>
              <w:bottom w:val="single" w:sz="4" w:space="0" w:color="auto"/>
            </w:tcBorders>
            <w:shd w:val="clear" w:color="auto" w:fill="FFFFFF"/>
          </w:tcPr>
          <w:p w14:paraId="04B40632"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95E5AA0" w14:textId="306BE857" w:rsidR="00A1261B" w:rsidRPr="0037774A" w:rsidRDefault="00A1261B" w:rsidP="00EE6CCF">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03C750EB" w14:textId="02505D31" w:rsidR="00A1261B" w:rsidRPr="0037774A" w:rsidRDefault="00A1261B" w:rsidP="00EE6CCF">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Pod rozwagę poddaję również wprowadzenie zmiany w art. 1 pkt 3 projektu ustawy, który dodaje nowy art. 4d do ustawy </w:t>
            </w:r>
            <w:proofErr w:type="spellStart"/>
            <w:r w:rsidRPr="0037774A">
              <w:rPr>
                <w:rFonts w:ascii="Lato" w:hAnsi="Lato"/>
                <w:sz w:val="18"/>
                <w:szCs w:val="18"/>
              </w:rPr>
              <w:t>pgik</w:t>
            </w:r>
            <w:proofErr w:type="spellEnd"/>
            <w:r w:rsidRPr="0037774A">
              <w:rPr>
                <w:rFonts w:ascii="Lato" w:hAnsi="Lato"/>
                <w:sz w:val="18"/>
                <w:szCs w:val="18"/>
              </w:rPr>
              <w:t>. Wydaje się, że organ prowadzący rejestr terenów zamkniętych powinien zapewnić ochronę systemu teleinformatycznego przed nieuprawnionym dostępem do danych systemu, w szczególności kompleksowej i dokładnej informacji o położeniu wszystkich obszarów ważnych ze względu na obronność i bezpieczeństwo państwa. Wydaje się, że dostęp do systemu powinny mieć ściśle określone podmioty, a nie wszystkie podmioty, które wykażą interes prawny, wykazując jedynie, że jest to w zakresie, który jest im niezbędny do realizacji zadań.</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07801F8" w14:textId="77777777" w:rsidR="00A1261B" w:rsidRPr="0037774A"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CC32623" w14:textId="2DBD52E6"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525D5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525D5F">
              <w:rPr>
                <w:rFonts w:ascii="Lato" w:eastAsia="Arial" w:hAnsi="Lato" w:cs="Arial"/>
                <w:sz w:val="18"/>
                <w:szCs w:val="18"/>
              </w:rPr>
              <w:t>zagadnienia ustanawiania i znoszenia terenów zamkniętych.</w:t>
            </w:r>
          </w:p>
        </w:tc>
      </w:tr>
      <w:tr w:rsidR="00A1261B" w:rsidRPr="0037774A" w14:paraId="7A574F94" w14:textId="159B048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AAB6D1B"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D8554E9" w14:textId="36BD236E"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2F176003" w14:textId="45B90F48" w:rsidR="00A1261B" w:rsidRPr="0037774A" w:rsidRDefault="00A1261B" w:rsidP="0037774A">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W art. 1 pkt 13 projektu ustawy, który dodaje nowy ust. 1c do art. 10 ustawy </w:t>
            </w:r>
            <w:proofErr w:type="spellStart"/>
            <w:r w:rsidRPr="0037774A">
              <w:rPr>
                <w:rFonts w:ascii="Lato" w:hAnsi="Lato"/>
                <w:sz w:val="18"/>
                <w:szCs w:val="18"/>
              </w:rPr>
              <w:t>pgik</w:t>
            </w:r>
            <w:proofErr w:type="spellEnd"/>
            <w:r w:rsidRPr="0037774A">
              <w:rPr>
                <w:rFonts w:ascii="Lato" w:hAnsi="Lato"/>
                <w:sz w:val="18"/>
                <w:szCs w:val="18"/>
              </w:rPr>
              <w:t xml:space="preserve">, wątpliwości budzi treść tego przepisu, zgodnie z którą wydanie decyzji o zniesieniu terenu zamkniętego I kategorii będzie znosiło klauzule tajności nadane danym i materiałom, o których mowa w ust. 1b. Zasadne wydaje się przeredagowanie przytoczonego przepisu, w taki sposób, aby doprecyzować, że zmiana kategorii terenu zamkniętego z kategorii I na II lub zniesienie terenu zamkniętego I kategorii </w:t>
            </w:r>
            <w:bookmarkStart w:id="12" w:name="_Hlk204767071"/>
            <w:r w:rsidRPr="0037774A">
              <w:rPr>
                <w:rFonts w:ascii="Lato" w:hAnsi="Lato"/>
                <w:sz w:val="18"/>
                <w:szCs w:val="18"/>
              </w:rPr>
              <w:t xml:space="preserve">możliwe jest po uprzednim zniesieniu klauzuli tajności, zgodnie z przepisami ustawy z dnia 5 sierpnia 2010 r. </w:t>
            </w:r>
            <w:r w:rsidRPr="0037774A">
              <w:rPr>
                <w:rFonts w:ascii="Lato" w:hAnsi="Lato"/>
                <w:i/>
                <w:iCs/>
                <w:sz w:val="18"/>
                <w:szCs w:val="18"/>
              </w:rPr>
              <w:t xml:space="preserve">o ochronie informacji niejawnych </w:t>
            </w:r>
            <w:r w:rsidRPr="0037774A">
              <w:rPr>
                <w:rFonts w:ascii="Lato" w:hAnsi="Lato"/>
                <w:sz w:val="18"/>
                <w:szCs w:val="18"/>
              </w:rPr>
              <w:t>(Dz. U. z 2024 r. poz. 632 i 1222).</w:t>
            </w:r>
            <w:bookmarkEnd w:id="12"/>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CB2630"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7097399" w14:textId="59BEFA32"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7582B778" w14:textId="40A4BC81" w:rsidTr="00A1261B">
        <w:trPr>
          <w:trHeight w:val="20"/>
        </w:trPr>
        <w:tc>
          <w:tcPr>
            <w:tcW w:w="709" w:type="dxa"/>
            <w:tcBorders>
              <w:top w:val="single" w:sz="4" w:space="0" w:color="auto"/>
              <w:left w:val="single" w:sz="4" w:space="0" w:color="auto"/>
              <w:bottom w:val="single" w:sz="4" w:space="0" w:color="auto"/>
            </w:tcBorders>
            <w:shd w:val="clear" w:color="auto" w:fill="FFFFFF"/>
          </w:tcPr>
          <w:p w14:paraId="0294DA01"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37C07F2" w14:textId="1104F3ED"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68498F81" w14:textId="37C4B5AD" w:rsidR="00A1261B" w:rsidRPr="0037774A" w:rsidRDefault="00A1261B" w:rsidP="0037774A">
            <w:pPr>
              <w:pStyle w:val="Teksttreci0"/>
              <w:shd w:val="clear" w:color="auto" w:fill="auto"/>
              <w:spacing w:before="120" w:after="120"/>
              <w:ind w:left="132" w:right="139"/>
              <w:rPr>
                <w:rFonts w:ascii="Lato" w:eastAsia="Arial" w:hAnsi="Lato" w:cs="Arial"/>
                <w:sz w:val="18"/>
                <w:szCs w:val="18"/>
              </w:rPr>
            </w:pPr>
            <w:r w:rsidRPr="0037774A">
              <w:rPr>
                <w:rFonts w:ascii="Lato" w:hAnsi="Lato"/>
                <w:sz w:val="18"/>
                <w:szCs w:val="18"/>
              </w:rPr>
              <w:t xml:space="preserve">Ponadto w art. 1 pkt 17 projektu ustawy, wprowadzającym zmiany w art. 12c ust. 1 pkt 1 ustawy </w:t>
            </w:r>
            <w:proofErr w:type="spellStart"/>
            <w:r w:rsidRPr="0037774A">
              <w:rPr>
                <w:rFonts w:ascii="Lato" w:hAnsi="Lato"/>
                <w:sz w:val="18"/>
                <w:szCs w:val="18"/>
              </w:rPr>
              <w:t>pgik</w:t>
            </w:r>
            <w:proofErr w:type="spellEnd"/>
            <w:r w:rsidRPr="0037774A">
              <w:rPr>
                <w:rFonts w:ascii="Lato" w:hAnsi="Lato"/>
                <w:sz w:val="18"/>
                <w:szCs w:val="18"/>
              </w:rPr>
              <w:t xml:space="preserve">, należy zwrócić uwagę na przepis odnoszący się do wyjątków od obowiązku dokonania zgłoszenia prac geodezyjnych i przekazania wyników zgłoszonych prac geodezyjnych. Projektodawca proponuje wyłączenie dla terenów zamkniętych I kategorii, jeżeli przedmiotem tych prac nie są granice działek ewidencyjnych. Proponuje się, aby to rozwiązanie odnosiło się również do terenów zamkniętych I kategorii, jeżeli przedmiotem tych prac </w:t>
            </w:r>
            <w:r w:rsidRPr="0037774A">
              <w:rPr>
                <w:rFonts w:ascii="Lato" w:hAnsi="Lato"/>
                <w:sz w:val="18"/>
                <w:szCs w:val="18"/>
              </w:rPr>
              <w:lastRenderedPageBreak/>
              <w:t xml:space="preserve">nie są obiekty bazy danych, o której mowa w art. 4 ust. 1a pkt 2 ustawy </w:t>
            </w:r>
            <w:proofErr w:type="spellStart"/>
            <w:r w:rsidRPr="0037774A">
              <w:rPr>
                <w:rFonts w:ascii="Lato" w:hAnsi="Lato"/>
                <w:sz w:val="18"/>
                <w:szCs w:val="18"/>
              </w:rPr>
              <w:t>pgik</w:t>
            </w:r>
            <w:proofErr w:type="spellEnd"/>
            <w:r w:rsidRPr="0037774A">
              <w:rPr>
                <w:rFonts w:ascii="Lato" w:hAnsi="Lato"/>
                <w:sz w:val="18"/>
                <w:szCs w:val="18"/>
              </w:rPr>
              <w:t>, w zakresie ewidencji gruntów. Sformułowanie przepisu w rozszerzonej formie pozwoli uwzględnić w katalogu prac zgłaszanych również prace dotyczące zmiany użytków gruntowych na terenie zamkniętym I kategorii.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913285E"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AE06786" w14:textId="7518D699" w:rsidR="00A1261B" w:rsidRPr="0037774A" w:rsidRDefault="00A1261B" w:rsidP="0046594B">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2A0671E0" w14:textId="5DF03E2B" w:rsidTr="00A1261B">
        <w:trPr>
          <w:trHeight w:val="20"/>
        </w:trPr>
        <w:tc>
          <w:tcPr>
            <w:tcW w:w="709" w:type="dxa"/>
            <w:tcBorders>
              <w:top w:val="single" w:sz="4" w:space="0" w:color="auto"/>
              <w:left w:val="single" w:sz="4" w:space="0" w:color="auto"/>
              <w:bottom w:val="single" w:sz="4" w:space="0" w:color="auto"/>
            </w:tcBorders>
            <w:shd w:val="clear" w:color="auto" w:fill="FFFFFF"/>
          </w:tcPr>
          <w:p w14:paraId="32C5662A"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9ED1E91" w14:textId="61C3009E"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 - Członek Rady Ministrów Koordynator Służb Specjalnych</w:t>
            </w:r>
          </w:p>
        </w:tc>
        <w:tc>
          <w:tcPr>
            <w:tcW w:w="4536" w:type="dxa"/>
            <w:tcBorders>
              <w:top w:val="single" w:sz="4" w:space="0" w:color="auto"/>
              <w:left w:val="single" w:sz="4" w:space="0" w:color="auto"/>
              <w:bottom w:val="single" w:sz="4" w:space="0" w:color="auto"/>
            </w:tcBorders>
            <w:shd w:val="clear" w:color="auto" w:fill="FFFFFF"/>
          </w:tcPr>
          <w:p w14:paraId="06A1DD6A" w14:textId="77777777" w:rsidR="00A1261B" w:rsidRPr="0037774A" w:rsidRDefault="00A1261B" w:rsidP="0037774A">
            <w:pPr>
              <w:pStyle w:val="Teksttreci0"/>
              <w:shd w:val="clear" w:color="auto" w:fill="auto"/>
              <w:tabs>
                <w:tab w:val="left" w:leader="dot" w:pos="2563"/>
              </w:tabs>
              <w:spacing w:before="120" w:after="120"/>
              <w:ind w:left="132" w:right="139"/>
              <w:rPr>
                <w:rFonts w:ascii="Lato" w:hAnsi="Lato"/>
                <w:sz w:val="18"/>
                <w:szCs w:val="18"/>
              </w:rPr>
            </w:pPr>
            <w:r w:rsidRPr="0037774A">
              <w:rPr>
                <w:rFonts w:ascii="Lato" w:hAnsi="Lato"/>
                <w:sz w:val="18"/>
                <w:szCs w:val="18"/>
              </w:rPr>
              <w:t>W art. 3 w ust. 2 projektu ustawy proponuje się zmianę wyrażenia: „W przypadku zniesienia terenu zamkniętego lub..." na następujące: „W przypadku zniesienia terenu zamkniętego I kategorii lub</w:t>
            </w:r>
            <w:r w:rsidRPr="0037774A">
              <w:rPr>
                <w:rFonts w:ascii="Lato" w:hAnsi="Lato"/>
                <w:sz w:val="18"/>
                <w:szCs w:val="18"/>
              </w:rPr>
              <w:tab/>
              <w:t>”. Wskazać bowiem należy, że w przypadku zniesienia terenu</w:t>
            </w:r>
          </w:p>
          <w:p w14:paraId="78BA7B30" w14:textId="544F2FED" w:rsidR="00A1261B" w:rsidRPr="0037774A" w:rsidRDefault="00A1261B" w:rsidP="0037774A">
            <w:pPr>
              <w:pStyle w:val="Teksttreci0"/>
              <w:shd w:val="clear" w:color="auto" w:fill="auto"/>
              <w:spacing w:before="120" w:after="120"/>
              <w:ind w:left="132" w:right="139"/>
              <w:rPr>
                <w:rFonts w:ascii="Lato" w:hAnsi="Lato"/>
                <w:sz w:val="18"/>
                <w:szCs w:val="18"/>
              </w:rPr>
            </w:pPr>
            <w:r w:rsidRPr="0037774A">
              <w:rPr>
                <w:rFonts w:ascii="Lato" w:hAnsi="Lato"/>
                <w:sz w:val="18"/>
                <w:szCs w:val="18"/>
              </w:rPr>
              <w:t xml:space="preserve">zamkniętego II kategorii nie będzie zachodziła potrzeba przekazywania map, o których mowa w art. 4. ust. 2 ustawy </w:t>
            </w:r>
            <w:proofErr w:type="spellStart"/>
            <w:r w:rsidRPr="0037774A">
              <w:rPr>
                <w:rFonts w:ascii="Lato" w:hAnsi="Lato"/>
                <w:sz w:val="18"/>
                <w:szCs w:val="18"/>
              </w:rPr>
              <w:t>pgik</w:t>
            </w:r>
            <w:proofErr w:type="spellEnd"/>
            <w:r w:rsidRPr="0037774A">
              <w:rPr>
                <w:rFonts w:ascii="Lato" w:hAnsi="Lato"/>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514CA77"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48DE431" w14:textId="3A54AD41"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60A6CE38" w14:textId="32780D35" w:rsidTr="00A1261B">
        <w:trPr>
          <w:trHeight w:val="20"/>
        </w:trPr>
        <w:tc>
          <w:tcPr>
            <w:tcW w:w="709" w:type="dxa"/>
            <w:tcBorders>
              <w:top w:val="single" w:sz="4" w:space="0" w:color="auto"/>
              <w:left w:val="single" w:sz="4" w:space="0" w:color="auto"/>
              <w:bottom w:val="single" w:sz="4" w:space="0" w:color="auto"/>
            </w:tcBorders>
            <w:shd w:val="clear" w:color="auto" w:fill="FFFFFF"/>
          </w:tcPr>
          <w:p w14:paraId="544B6CAD"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C94FB91" w14:textId="0A5ADDF1"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34132205"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Ministerstwo Finansów zauważa, że projekt ustawy wprowadza przepisy, które w konsekwencji będą generować wzrost wydatków z budżetu państwa w 2025 roku i latach kolejnych. Wskazano również, że program będzie podstawą do wystąpienia o wzrost limitu m.in. cz. 18.</w:t>
            </w:r>
          </w:p>
          <w:p w14:paraId="5D0CF707"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Koniecznym jest, aby projektowany akt prawny nie generował dodatkowych skutków finansowych dla budżetu państwa w kolejnych latach.</w:t>
            </w:r>
          </w:p>
          <w:p w14:paraId="556D9FE2"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Przy analizie wpływu projektowanych rozwiązań na budżet państwa należy przede wszystkim wziąć pod uwagę, że UB2025 jest realizowana i zawiera konkretne wielkości wydatków. Zatem projekcja wydatków w 2025 roku winna opierać się o środki, które są dostępne.</w:t>
            </w:r>
          </w:p>
          <w:p w14:paraId="2A83D7E6" w14:textId="6277B391"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 xml:space="preserve">Planując wydatki w kolejnych latach należy pamiętać o wszystkich zasadach, które determinują podejmowanie decyzji ze skutkami dla sektora finansów publicznych (deficyt, pozyskanie źródeł finansowania, SRW, etc., w związku z objęciem Polski procedurą nadmiernego deficytu (EDP)). Zgodnie z rekomendacją Rady UE z dnia 21 stycznia br. powinna do 2028 r. zapewnić, by deficyt nominalny sektora instytucji rządowych i samorządowych wyniósł mniej niż 3% PKB. Rekomendacja Rady UE wymaga w tym celu przestrzegania w okresie 2025-2028 tempa wzrostu wydatków zgodnie ze ścieżką </w:t>
            </w:r>
            <w:r w:rsidRPr="0037774A">
              <w:rPr>
                <w:rFonts w:ascii="Lato" w:eastAsia="Arial" w:hAnsi="Lato" w:cs="Arial"/>
                <w:sz w:val="18"/>
                <w:szCs w:val="18"/>
              </w:rPr>
              <w:lastRenderedPageBreak/>
              <w:t>przedstawioną przez Polskę w przyjętym przez rząd w październiku ub.r. „Średniookresowym planie budżetowo-strukturalnym na lata 2025-2028”. Podlegające ograniczeniom pierwotne wydatki netto finansowane ze środków krajowych to wydatki sektora instytucji rządowych i samorządowych po odjęciu m.in. kosztów obsługi długu i wydatków na programy unijne w pełni finansowane dochodami z funduszy unijnych. Konsekwencją nieprzestrzegania rekomendacji Rady jest zawieszenie dostępu do środków funduszy UE.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EFE4D87"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D58D711" w14:textId="309BB4AE" w:rsidR="00A1261B" w:rsidRDefault="00A1261B" w:rsidP="00A82C45">
            <w:pPr>
              <w:pStyle w:val="Inne0"/>
              <w:spacing w:before="120" w:after="120"/>
              <w:ind w:left="131" w:right="138"/>
              <w:rPr>
                <w:rFonts w:ascii="Lato" w:eastAsia="Arial" w:hAnsi="Lato" w:cs="Arial"/>
                <w:sz w:val="18"/>
                <w:szCs w:val="18"/>
              </w:rPr>
            </w:pPr>
            <w:proofErr w:type="spellStart"/>
            <w:r w:rsidRPr="00BC7438">
              <w:rPr>
                <w:rFonts w:ascii="Lato" w:eastAsia="Arial" w:hAnsi="Lato" w:cs="Arial"/>
                <w:sz w:val="18"/>
                <w:szCs w:val="18"/>
              </w:rPr>
              <w:t>MRiT</w:t>
            </w:r>
            <w:proofErr w:type="spellEnd"/>
            <w:r w:rsidRPr="00BC7438">
              <w:rPr>
                <w:rFonts w:ascii="Lato" w:eastAsia="Arial" w:hAnsi="Lato" w:cs="Arial"/>
                <w:sz w:val="18"/>
                <w:szCs w:val="18"/>
              </w:rPr>
              <w:t xml:space="preserve"> podtrzymuje stanowisko zawarte w </w:t>
            </w:r>
            <w:r w:rsidRPr="00A82C45">
              <w:rPr>
                <w:rFonts w:ascii="Lato" w:eastAsia="Arial" w:hAnsi="Lato" w:cs="Arial"/>
                <w:sz w:val="18"/>
                <w:szCs w:val="18"/>
              </w:rPr>
              <w:t>OSR.</w:t>
            </w:r>
            <w:r w:rsidR="00C10003">
              <w:t xml:space="preserve"> </w:t>
            </w:r>
            <w:r w:rsidR="00A82C45">
              <w:t>P</w:t>
            </w:r>
            <w:r w:rsidR="00C10003" w:rsidRPr="00C10003">
              <w:rPr>
                <w:rFonts w:ascii="Lato" w:eastAsia="Arial" w:hAnsi="Lato" w:cs="Arial"/>
                <w:sz w:val="18"/>
                <w:szCs w:val="18"/>
              </w:rPr>
              <w:t>roponowane zmiany będą generowały koszty.</w:t>
            </w:r>
            <w:r w:rsidR="00A82C45">
              <w:rPr>
                <w:rFonts w:ascii="Lato" w:eastAsia="Arial" w:hAnsi="Lato" w:cs="Arial"/>
                <w:sz w:val="18"/>
                <w:szCs w:val="18"/>
              </w:rPr>
              <w:t xml:space="preserve"> </w:t>
            </w:r>
            <w:r w:rsidR="00C10003" w:rsidRPr="00C10003">
              <w:rPr>
                <w:rFonts w:ascii="Lato" w:eastAsia="Arial" w:hAnsi="Lato" w:cs="Arial"/>
                <w:sz w:val="18"/>
                <w:szCs w:val="18"/>
              </w:rPr>
              <w:t>Niemniej jednak w perspektywie wieloletniej proponowane zmiany przyniosą oszczędności (patrz uwaga</w:t>
            </w:r>
            <w:r w:rsidR="00A82C45">
              <w:rPr>
                <w:rFonts w:ascii="Lato" w:eastAsia="Arial" w:hAnsi="Lato" w:cs="Arial"/>
                <w:sz w:val="18"/>
                <w:szCs w:val="18"/>
              </w:rPr>
              <w:t xml:space="preserve"> lp.</w:t>
            </w:r>
            <w:r w:rsidR="00C10003" w:rsidRPr="00C10003">
              <w:rPr>
                <w:rFonts w:ascii="Lato" w:eastAsia="Arial" w:hAnsi="Lato" w:cs="Arial"/>
                <w:sz w:val="18"/>
                <w:szCs w:val="18"/>
              </w:rPr>
              <w:t xml:space="preserve"> 71).</w:t>
            </w:r>
          </w:p>
          <w:p w14:paraId="429F8930" w14:textId="42F57DE5" w:rsidR="00A1261B" w:rsidRPr="0037774A" w:rsidRDefault="00A1261B" w:rsidP="0037774A">
            <w:pPr>
              <w:pStyle w:val="Inne0"/>
              <w:shd w:val="clear" w:color="auto" w:fill="auto"/>
              <w:spacing w:before="120" w:after="120"/>
              <w:ind w:left="131" w:right="138"/>
              <w:rPr>
                <w:rFonts w:ascii="Lato" w:eastAsia="Arial" w:hAnsi="Lato" w:cs="Arial"/>
                <w:sz w:val="18"/>
                <w:szCs w:val="18"/>
              </w:rPr>
            </w:pPr>
          </w:p>
        </w:tc>
      </w:tr>
      <w:tr w:rsidR="00A1261B" w:rsidRPr="0037774A" w14:paraId="4F69A371" w14:textId="7D5ED598" w:rsidTr="00A1261B">
        <w:trPr>
          <w:trHeight w:val="20"/>
        </w:trPr>
        <w:tc>
          <w:tcPr>
            <w:tcW w:w="709" w:type="dxa"/>
            <w:tcBorders>
              <w:top w:val="single" w:sz="4" w:space="0" w:color="auto"/>
              <w:left w:val="single" w:sz="4" w:space="0" w:color="auto"/>
              <w:bottom w:val="single" w:sz="4" w:space="0" w:color="auto"/>
            </w:tcBorders>
            <w:shd w:val="clear" w:color="auto" w:fill="FFFFFF"/>
          </w:tcPr>
          <w:p w14:paraId="7A422E08"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7ECD421" w14:textId="5C0EE4BE"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5FE0CAE3"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Z uwagi na fakt, iż projektowane rozwiązania będą powodować dodatkowe skutki finansowe, w tym z tytułu dodatkowych etatów, w opinii Ministerstwa Finansów wszelkie nowe zadania powinny być realizowane w ramach dostępnych zasobów kadrowych i finansowych, przy zwiększonej efektywności realizowania zadań.</w:t>
            </w:r>
          </w:p>
          <w:p w14:paraId="3392CD22" w14:textId="3C374853"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Nakładane na jednostki nowe zadania nie powinny generować od razu kosztów w postaci automatycznego zwiększenia zatrudnienia czy innych kosztów w danych jednostkach organizacyjnych. Należy dążyć do tego, aby realizowanie zadań odbywało się w ramach posiadanych zasobów finansowych i kadrowych poszczególnych instytucji, jednocześnie nie rezygnując przy tym z wprowadzania nowych zadań istotnych społecznie i gospodarczo.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1D44E58"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E96E13E" w14:textId="566F6C83" w:rsidR="00F3251C" w:rsidRPr="00BE2C35" w:rsidRDefault="00F3251C" w:rsidP="00BE2C35">
            <w:pPr>
              <w:pStyle w:val="Inne0"/>
              <w:shd w:val="clear" w:color="auto" w:fill="auto"/>
              <w:spacing w:before="120" w:after="120"/>
              <w:ind w:left="131" w:right="138"/>
              <w:rPr>
                <w:rFonts w:ascii="Lato" w:eastAsia="Arial" w:hAnsi="Lato" w:cs="Arial"/>
                <w:sz w:val="18"/>
                <w:szCs w:val="18"/>
              </w:rPr>
            </w:pPr>
            <w:r w:rsidRPr="00BE2C35">
              <w:rPr>
                <w:rFonts w:ascii="Lato" w:eastAsia="Arial" w:hAnsi="Lato" w:cs="Arial"/>
                <w:sz w:val="18"/>
                <w:szCs w:val="18"/>
              </w:rPr>
              <w:t>Wyjaśnienie</w:t>
            </w:r>
          </w:p>
          <w:p w14:paraId="2EEF020F" w14:textId="4CC1F14D" w:rsidR="00F3251C" w:rsidRPr="00BE2C35" w:rsidRDefault="00A82C45" w:rsidP="00BE2C35">
            <w:pPr>
              <w:pStyle w:val="Inne0"/>
              <w:shd w:val="clear" w:color="auto" w:fill="auto"/>
              <w:spacing w:before="120" w:after="120"/>
              <w:ind w:left="131" w:right="138"/>
              <w:rPr>
                <w:rFonts w:ascii="Lato" w:eastAsia="Arial" w:hAnsi="Lato" w:cs="Arial"/>
                <w:sz w:val="18"/>
                <w:szCs w:val="18"/>
              </w:rPr>
            </w:pPr>
            <w:r w:rsidRPr="00BE2C35">
              <w:rPr>
                <w:rFonts w:ascii="Lato" w:eastAsia="Arial" w:hAnsi="Lato" w:cs="Arial"/>
                <w:sz w:val="18"/>
                <w:szCs w:val="18"/>
              </w:rPr>
              <w:t xml:space="preserve">Zgodnie z informacją przekazaną przez </w:t>
            </w:r>
            <w:r w:rsidR="00F3251C" w:rsidRPr="00BE2C35">
              <w:rPr>
                <w:rFonts w:ascii="Lato" w:eastAsia="Arial" w:hAnsi="Lato" w:cs="Arial"/>
                <w:sz w:val="18"/>
                <w:szCs w:val="18"/>
              </w:rPr>
              <w:t xml:space="preserve">GGK </w:t>
            </w:r>
            <w:r w:rsidRPr="00BE2C35">
              <w:rPr>
                <w:rFonts w:ascii="Lato" w:eastAsia="Arial" w:hAnsi="Lato" w:cs="Arial"/>
                <w:sz w:val="18"/>
                <w:szCs w:val="18"/>
              </w:rPr>
              <w:t xml:space="preserve">dostęp </w:t>
            </w:r>
            <w:r w:rsidR="00F3251C" w:rsidRPr="00BE2C35">
              <w:rPr>
                <w:rFonts w:ascii="Lato" w:eastAsia="Arial" w:hAnsi="Lato" w:cs="Arial"/>
                <w:sz w:val="18"/>
                <w:szCs w:val="18"/>
              </w:rPr>
              <w:t xml:space="preserve">do baz danych wymaga zatrudnienia w </w:t>
            </w:r>
            <w:proofErr w:type="spellStart"/>
            <w:r w:rsidR="00F3251C" w:rsidRPr="00BE2C35">
              <w:rPr>
                <w:rFonts w:ascii="Lato" w:eastAsia="Arial" w:hAnsi="Lato" w:cs="Arial"/>
                <w:sz w:val="18"/>
                <w:szCs w:val="18"/>
              </w:rPr>
              <w:t>GUGiK</w:t>
            </w:r>
            <w:proofErr w:type="spellEnd"/>
            <w:r w:rsidR="00F3251C" w:rsidRPr="00BE2C35">
              <w:rPr>
                <w:rFonts w:ascii="Lato" w:eastAsia="Arial" w:hAnsi="Lato" w:cs="Arial"/>
                <w:sz w:val="18"/>
                <w:szCs w:val="18"/>
              </w:rPr>
              <w:t xml:space="preserve"> specjalistów IT, którzy będą wykonywać zadania w tym zakresie. Wdrożenie usługi bezpośredniego dostępu przez GGK do baz danych prowadzonych przez starostę wygeneruje koszty dostosowania systemu, jednakże średnio i długoterminowo proponowane zmiany wygenerują oszczędności po stronie powiatów dotyczące publikacji usług sieciowych. </w:t>
            </w:r>
          </w:p>
          <w:p w14:paraId="3A351C49" w14:textId="5E80725B" w:rsidR="00A1261B" w:rsidRPr="00A82C45" w:rsidRDefault="00F3251C" w:rsidP="00BE2C35">
            <w:pPr>
              <w:pStyle w:val="Inne0"/>
              <w:shd w:val="clear" w:color="auto" w:fill="auto"/>
              <w:spacing w:before="120" w:after="120"/>
              <w:ind w:left="131" w:right="138"/>
            </w:pPr>
            <w:r w:rsidRPr="00BE2C35">
              <w:rPr>
                <w:rFonts w:ascii="Lato" w:eastAsia="Arial" w:hAnsi="Lato" w:cs="Arial"/>
                <w:sz w:val="18"/>
                <w:szCs w:val="18"/>
              </w:rPr>
              <w:t>Z uwagi na problemy związane z funkcjonowaniem procedury odpowiedzialności dyscyplinarnej w obecnym kształcie tj. brak wynagrodzeń dla rzeczników i członków komisji dyscyplinarnych, niezbędne jest określenie trybu wynagradzania rzeczników dyscyplinarnych i członków komisji, co będzie generowało koszty.</w:t>
            </w:r>
          </w:p>
        </w:tc>
      </w:tr>
      <w:tr w:rsidR="00A1261B" w:rsidRPr="0037774A" w14:paraId="7E66EE13" w14:textId="228ADDEF" w:rsidTr="00A1261B">
        <w:trPr>
          <w:trHeight w:val="20"/>
        </w:trPr>
        <w:tc>
          <w:tcPr>
            <w:tcW w:w="709" w:type="dxa"/>
            <w:tcBorders>
              <w:top w:val="single" w:sz="4" w:space="0" w:color="auto"/>
              <w:left w:val="single" w:sz="4" w:space="0" w:color="auto"/>
              <w:bottom w:val="single" w:sz="4" w:space="0" w:color="auto"/>
            </w:tcBorders>
            <w:shd w:val="clear" w:color="auto" w:fill="FFFFFF"/>
          </w:tcPr>
          <w:p w14:paraId="22AFFD7F"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49CA3A3" w14:textId="426A31F4"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183E8E64" w14:textId="00DA90F2"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W odniesieniu do pkt 6 OSR „</w:t>
            </w:r>
            <w:r w:rsidRPr="0037774A">
              <w:rPr>
                <w:rFonts w:ascii="Lato" w:eastAsia="Arial" w:hAnsi="Lato" w:cs="Arial"/>
                <w:i/>
                <w:iCs/>
                <w:sz w:val="18"/>
                <w:szCs w:val="18"/>
              </w:rPr>
              <w:t>Wpływ na sektor finansów publicznych</w:t>
            </w:r>
            <w:r w:rsidRPr="0037774A">
              <w:rPr>
                <w:rFonts w:ascii="Lato" w:eastAsia="Arial" w:hAnsi="Lato" w:cs="Arial"/>
                <w:sz w:val="18"/>
                <w:szCs w:val="18"/>
              </w:rPr>
              <w:t>” przyjęto, że projektowane działania będą finansowane z budżetu państwa cz. 18 i 85. Nie wskazano natomiast, które konkretnie rozwiązania będą finansowane w ramach poszczególnych części budżetu oraz nie doprecyzowano podziału na wydatki majątkowe i bieżące. OSR w części dot. źródła finansowania wymaga odpowiedniego uzupełnienia.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2E95491"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470E341" w14:textId="74A3404B"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sidRPr="00A82C45">
              <w:rPr>
                <w:rFonts w:ascii="Lato" w:eastAsia="Arial" w:hAnsi="Lato" w:cs="Arial"/>
                <w:sz w:val="18"/>
                <w:szCs w:val="18"/>
              </w:rPr>
              <w:t>Uzupełniono OSR</w:t>
            </w:r>
            <w:r w:rsidR="00BE2C35">
              <w:rPr>
                <w:rFonts w:ascii="Lato" w:eastAsia="Arial" w:hAnsi="Lato" w:cs="Arial"/>
                <w:sz w:val="18"/>
                <w:szCs w:val="18"/>
              </w:rPr>
              <w:t xml:space="preserve"> w zakresie </w:t>
            </w:r>
            <w:r w:rsidR="00BE2C35" w:rsidRPr="00BE2C35">
              <w:rPr>
                <w:rFonts w:ascii="Lato" w:eastAsia="Arial" w:hAnsi="Lato" w:cs="Arial"/>
                <w:sz w:val="18"/>
                <w:szCs w:val="18"/>
              </w:rPr>
              <w:t>wskazan</w:t>
            </w:r>
            <w:r w:rsidR="00BE2C35">
              <w:rPr>
                <w:rFonts w:ascii="Lato" w:eastAsia="Arial" w:hAnsi="Lato" w:cs="Arial"/>
                <w:sz w:val="18"/>
                <w:szCs w:val="18"/>
              </w:rPr>
              <w:t>ia</w:t>
            </w:r>
            <w:r w:rsidR="00BE2C35" w:rsidRPr="00BE2C35">
              <w:rPr>
                <w:rFonts w:ascii="Lato" w:eastAsia="Arial" w:hAnsi="Lato" w:cs="Arial"/>
                <w:sz w:val="18"/>
                <w:szCs w:val="18"/>
              </w:rPr>
              <w:t>, które konkretnie rozwiązania będą finansowane w ramach poszczególnych części budżetu</w:t>
            </w:r>
            <w:r w:rsidR="00BE2C35">
              <w:rPr>
                <w:rFonts w:ascii="Lato" w:eastAsia="Arial" w:hAnsi="Lato" w:cs="Arial"/>
                <w:sz w:val="18"/>
                <w:szCs w:val="18"/>
              </w:rPr>
              <w:t xml:space="preserve">. Nie dokonano natomiast podziału </w:t>
            </w:r>
            <w:r w:rsidR="00BE2C35" w:rsidRPr="00BE2C35">
              <w:rPr>
                <w:rFonts w:ascii="Lato" w:eastAsia="Arial" w:hAnsi="Lato" w:cs="Arial"/>
                <w:sz w:val="18"/>
                <w:szCs w:val="18"/>
              </w:rPr>
              <w:t>na wydatki majątkowe i bieżące</w:t>
            </w:r>
            <w:r w:rsidR="00BE2C35">
              <w:rPr>
                <w:rFonts w:ascii="Lato" w:eastAsia="Arial" w:hAnsi="Lato" w:cs="Arial"/>
                <w:sz w:val="18"/>
                <w:szCs w:val="18"/>
              </w:rPr>
              <w:t xml:space="preserve"> ponieważ nie jest to częścią OSR.</w:t>
            </w:r>
          </w:p>
        </w:tc>
      </w:tr>
      <w:tr w:rsidR="00A1261B" w:rsidRPr="0037774A" w14:paraId="42612885" w14:textId="39CB0EC1" w:rsidTr="00A1261B">
        <w:trPr>
          <w:trHeight w:val="20"/>
        </w:trPr>
        <w:tc>
          <w:tcPr>
            <w:tcW w:w="709" w:type="dxa"/>
            <w:tcBorders>
              <w:top w:val="single" w:sz="4" w:space="0" w:color="auto"/>
              <w:left w:val="single" w:sz="4" w:space="0" w:color="auto"/>
              <w:bottom w:val="single" w:sz="4" w:space="0" w:color="auto"/>
            </w:tcBorders>
            <w:shd w:val="clear" w:color="auto" w:fill="FFFFFF"/>
          </w:tcPr>
          <w:p w14:paraId="4DC84091"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661E9A6" w14:textId="7F0B2AD0"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454D3928" w14:textId="67EF95DC" w:rsidR="00A1261B" w:rsidRPr="0037774A" w:rsidRDefault="00A1261B" w:rsidP="0037774A">
            <w:pPr>
              <w:pStyle w:val="Inne0"/>
              <w:shd w:val="clear" w:color="auto" w:fill="auto"/>
              <w:spacing w:before="120" w:after="120"/>
              <w:ind w:left="132" w:right="139"/>
              <w:rPr>
                <w:rFonts w:ascii="Lato" w:eastAsia="Arial" w:hAnsi="Lato" w:cs="Arial"/>
                <w:sz w:val="18"/>
                <w:szCs w:val="18"/>
              </w:rPr>
            </w:pPr>
            <w:r w:rsidRPr="0037774A">
              <w:rPr>
                <w:rFonts w:ascii="Lato" w:eastAsia="Arial" w:hAnsi="Lato" w:cs="Arial"/>
                <w:sz w:val="18"/>
                <w:szCs w:val="18"/>
              </w:rPr>
              <w:t xml:space="preserve">W pkt 6 </w:t>
            </w:r>
            <w:r w:rsidRPr="00A82C45">
              <w:rPr>
                <w:rFonts w:ascii="Lato" w:eastAsia="Arial" w:hAnsi="Lato" w:cs="Arial"/>
                <w:sz w:val="18"/>
                <w:szCs w:val="18"/>
              </w:rPr>
              <w:t>OSR</w:t>
            </w:r>
            <w:r w:rsidRPr="0037774A">
              <w:rPr>
                <w:rFonts w:ascii="Lato" w:eastAsia="Arial" w:hAnsi="Lato" w:cs="Arial"/>
                <w:sz w:val="18"/>
                <w:szCs w:val="18"/>
              </w:rPr>
              <w:t xml:space="preserve"> Projektodawca posługuje się sformułowaniem, „</w:t>
            </w:r>
            <w:r w:rsidRPr="0037774A">
              <w:rPr>
                <w:rFonts w:ascii="Lato" w:eastAsia="Arial" w:hAnsi="Lato" w:cs="Arial"/>
                <w:i/>
                <w:iCs/>
                <w:sz w:val="18"/>
                <w:szCs w:val="18"/>
              </w:rPr>
              <w:t>Program będzie podstawą do występowania o wzrost limitu części budżetowej nr 18 i 85”</w:t>
            </w:r>
            <w:r w:rsidRPr="0037774A">
              <w:rPr>
                <w:rFonts w:ascii="Lato" w:eastAsia="Arial" w:hAnsi="Lato" w:cs="Arial"/>
                <w:sz w:val="18"/>
                <w:szCs w:val="18"/>
              </w:rPr>
              <w:t>. Kwestia ta wymaga wyjaśnienia. W projektowanych przepisach nie ma mowy o realizacji „programu”.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E9681AF"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E01C94C" w14:textId="6C9C5887"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206FAC95" w14:textId="65943183" w:rsidTr="00A1261B">
        <w:trPr>
          <w:trHeight w:val="20"/>
        </w:trPr>
        <w:tc>
          <w:tcPr>
            <w:tcW w:w="709" w:type="dxa"/>
            <w:tcBorders>
              <w:top w:val="single" w:sz="4" w:space="0" w:color="auto"/>
              <w:left w:val="single" w:sz="4" w:space="0" w:color="auto"/>
              <w:bottom w:val="single" w:sz="4" w:space="0" w:color="auto"/>
            </w:tcBorders>
            <w:shd w:val="clear" w:color="auto" w:fill="FFFFFF"/>
          </w:tcPr>
          <w:p w14:paraId="245C56D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57BB4B2" w14:textId="277DD5C5"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75CFD48C" w14:textId="1A48D39B"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 xml:space="preserve">W pkt 6 </w:t>
            </w:r>
            <w:r w:rsidRPr="00A82C45">
              <w:rPr>
                <w:rFonts w:ascii="Lato" w:eastAsia="Arial" w:hAnsi="Lato" w:cs="Arial"/>
                <w:sz w:val="18"/>
                <w:szCs w:val="18"/>
              </w:rPr>
              <w:t>OSR</w:t>
            </w:r>
            <w:r w:rsidRPr="0037774A">
              <w:rPr>
                <w:rFonts w:ascii="Lato" w:eastAsia="Arial" w:hAnsi="Lato" w:cs="Arial"/>
                <w:sz w:val="18"/>
                <w:szCs w:val="18"/>
              </w:rPr>
              <w:t xml:space="preserve"> w „</w:t>
            </w:r>
            <w:r w:rsidRPr="0037774A">
              <w:rPr>
                <w:rFonts w:ascii="Lato" w:eastAsia="Arial" w:hAnsi="Lato" w:cs="Arial"/>
                <w:i/>
                <w:iCs/>
                <w:sz w:val="18"/>
                <w:szCs w:val="18"/>
              </w:rPr>
              <w:t>Źródle finansowania</w:t>
            </w:r>
            <w:r w:rsidRPr="0037774A">
              <w:rPr>
                <w:rFonts w:ascii="Lato" w:eastAsia="Arial" w:hAnsi="Lato" w:cs="Arial"/>
                <w:sz w:val="18"/>
                <w:szCs w:val="18"/>
              </w:rPr>
              <w:t xml:space="preserve">” należy zaznaczyć, że ewentualne wynagrodzenia dla członków Odwoławczej Komisji Dyscyplinarnej oraz na pięć dodatkowych etatów w Głównym Urzędzie Geodezji i Kartografii będą zaplanowane w ramach dostępnego limitu części 18, </w:t>
            </w:r>
            <w:r w:rsidRPr="0037774A">
              <w:rPr>
                <w:rFonts w:ascii="Lato" w:eastAsia="Arial" w:hAnsi="Lato" w:cs="Arial"/>
                <w:sz w:val="18"/>
                <w:szCs w:val="18"/>
                <w:u w:val="single"/>
              </w:rPr>
              <w:t>bez konieczności ubiegania się o dodatkowe środki z budżetu państwa</w:t>
            </w:r>
            <w:r w:rsidRPr="0037774A">
              <w:rPr>
                <w:rFonts w:ascii="Lato" w:eastAsia="Arial" w:hAnsi="Lato" w:cs="Arial"/>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119EE6E"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DBA6A1B" w14:textId="77777777" w:rsidR="00A82C45" w:rsidRDefault="00A82C45" w:rsidP="00A82C4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013C64AE" w14:textId="66D1DB33" w:rsidR="006D00B5" w:rsidRPr="0037774A" w:rsidRDefault="006D00B5" w:rsidP="00A82C45">
            <w:pPr>
              <w:pStyle w:val="Inne0"/>
              <w:shd w:val="clear" w:color="auto" w:fill="auto"/>
              <w:spacing w:before="120" w:after="120"/>
              <w:ind w:left="131" w:right="138"/>
              <w:rPr>
                <w:rFonts w:ascii="Lato" w:eastAsia="Arial" w:hAnsi="Lato" w:cs="Arial"/>
                <w:sz w:val="18"/>
                <w:szCs w:val="18"/>
              </w:rPr>
            </w:pPr>
            <w:r w:rsidRPr="00A82C45">
              <w:rPr>
                <w:rFonts w:ascii="Lato" w:eastAsia="Arial" w:hAnsi="Lato" w:cs="Arial"/>
                <w:sz w:val="18"/>
                <w:szCs w:val="18"/>
              </w:rPr>
              <w:t xml:space="preserve">Proponowane zmiany będą generowały koszty. W </w:t>
            </w:r>
            <w:proofErr w:type="spellStart"/>
            <w:r w:rsidRPr="00A82C45">
              <w:rPr>
                <w:rFonts w:ascii="Lato" w:eastAsia="Arial" w:hAnsi="Lato" w:cs="Arial"/>
                <w:sz w:val="18"/>
                <w:szCs w:val="18"/>
              </w:rPr>
              <w:t>GUGiK</w:t>
            </w:r>
            <w:proofErr w:type="spellEnd"/>
            <w:r w:rsidRPr="00A82C45">
              <w:rPr>
                <w:rFonts w:ascii="Lato" w:eastAsia="Arial" w:hAnsi="Lato" w:cs="Arial"/>
                <w:sz w:val="18"/>
                <w:szCs w:val="18"/>
              </w:rPr>
              <w:t xml:space="preserve"> nie są zatrudnieni specjaliści, którzy mogliby wykonywać zadania w zakresie zapewnienia dostępu GGK do baz danych</w:t>
            </w:r>
            <w:r w:rsidR="00A82C45">
              <w:rPr>
                <w:rFonts w:ascii="Lato" w:eastAsia="Arial" w:hAnsi="Lato" w:cs="Arial"/>
                <w:sz w:val="18"/>
                <w:szCs w:val="18"/>
              </w:rPr>
              <w:t xml:space="preserve">. </w:t>
            </w:r>
            <w:r w:rsidRPr="00A82C45">
              <w:rPr>
                <w:rFonts w:ascii="Lato" w:eastAsia="Arial" w:hAnsi="Lato" w:cs="Arial"/>
                <w:sz w:val="18"/>
                <w:szCs w:val="18"/>
              </w:rPr>
              <w:t>Niemniej jednak w perspektywie wieloletniej proponowane zmiany przyniosą oszczędności.</w:t>
            </w:r>
            <w:r>
              <w:t xml:space="preserve"> </w:t>
            </w:r>
          </w:p>
        </w:tc>
      </w:tr>
      <w:tr w:rsidR="00A1261B" w:rsidRPr="0037774A" w14:paraId="1C42B3C6" w14:textId="04EF24E1" w:rsidTr="00A1261B">
        <w:trPr>
          <w:trHeight w:val="20"/>
        </w:trPr>
        <w:tc>
          <w:tcPr>
            <w:tcW w:w="709" w:type="dxa"/>
            <w:tcBorders>
              <w:top w:val="single" w:sz="4" w:space="0" w:color="auto"/>
              <w:left w:val="single" w:sz="4" w:space="0" w:color="auto"/>
              <w:bottom w:val="single" w:sz="4" w:space="0" w:color="auto"/>
            </w:tcBorders>
            <w:shd w:val="clear" w:color="auto" w:fill="FFFFFF"/>
          </w:tcPr>
          <w:p w14:paraId="773C93C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9FE870B" w14:textId="217E9EEA"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648FA91B" w14:textId="621C3B69"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 xml:space="preserve">Pod tabelą w części </w:t>
            </w:r>
            <w:r w:rsidRPr="0037774A">
              <w:rPr>
                <w:rFonts w:ascii="Lato" w:eastAsia="Arial" w:hAnsi="Lato" w:cs="Arial"/>
                <w:i/>
                <w:iCs/>
                <w:sz w:val="18"/>
                <w:szCs w:val="18"/>
              </w:rPr>
              <w:t>„Dodatkowe informacje..." w</w:t>
            </w:r>
            <w:r w:rsidRPr="0037774A">
              <w:rPr>
                <w:rFonts w:ascii="Lato" w:eastAsia="Arial" w:hAnsi="Lato" w:cs="Arial"/>
                <w:sz w:val="18"/>
                <w:szCs w:val="18"/>
              </w:rPr>
              <w:t xml:space="preserve"> pkt 6 nie wskazano rozbicia planowanych wydatków na kolejne lata. Należy również doprecyzować, że zadania będą realizowane w ramach dostępnego limitu części 18, </w:t>
            </w:r>
            <w:r w:rsidRPr="0037774A">
              <w:rPr>
                <w:rFonts w:ascii="Lato" w:eastAsia="Arial" w:hAnsi="Lato" w:cs="Arial"/>
                <w:sz w:val="18"/>
                <w:szCs w:val="18"/>
                <w:u w:val="single"/>
              </w:rPr>
              <w:t>bez konieczności ubiegania się o dodatkowe środki z budżetu państwa.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57512A"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8993C9C" w14:textId="77777777" w:rsidR="00611566" w:rsidRDefault="00611566" w:rsidP="0061156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65669205" w14:textId="301DF443" w:rsidR="00A1261B" w:rsidRPr="0037774A" w:rsidRDefault="00611566" w:rsidP="0061156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 pkt 6 OSR w d</w:t>
            </w:r>
            <w:r w:rsidRPr="00611566">
              <w:rPr>
                <w:rFonts w:ascii="Lato" w:eastAsia="Arial" w:hAnsi="Lato" w:cs="Arial"/>
                <w:sz w:val="18"/>
                <w:szCs w:val="18"/>
              </w:rPr>
              <w:t>odatkow</w:t>
            </w:r>
            <w:r>
              <w:rPr>
                <w:rFonts w:ascii="Lato" w:eastAsia="Arial" w:hAnsi="Lato" w:cs="Arial"/>
                <w:sz w:val="18"/>
                <w:szCs w:val="18"/>
              </w:rPr>
              <w:t>ych</w:t>
            </w:r>
            <w:r w:rsidRPr="00611566">
              <w:rPr>
                <w:rFonts w:ascii="Lato" w:eastAsia="Arial" w:hAnsi="Lato" w:cs="Arial"/>
                <w:sz w:val="18"/>
                <w:szCs w:val="18"/>
              </w:rPr>
              <w:t xml:space="preserve"> informacj</w:t>
            </w:r>
            <w:r>
              <w:rPr>
                <w:rFonts w:ascii="Lato" w:eastAsia="Arial" w:hAnsi="Lato" w:cs="Arial"/>
                <w:sz w:val="18"/>
                <w:szCs w:val="18"/>
              </w:rPr>
              <w:t>ach</w:t>
            </w:r>
            <w:r w:rsidRPr="00611566">
              <w:rPr>
                <w:rFonts w:ascii="Lato" w:eastAsia="Arial" w:hAnsi="Lato" w:cs="Arial"/>
                <w:sz w:val="18"/>
                <w:szCs w:val="18"/>
              </w:rPr>
              <w:t>, w tym wskazanie źródeł danych i przyjętych do obliczeń założeń</w:t>
            </w:r>
            <w:r>
              <w:rPr>
                <w:rFonts w:ascii="Lato" w:eastAsia="Arial" w:hAnsi="Lato" w:cs="Arial"/>
                <w:sz w:val="18"/>
                <w:szCs w:val="18"/>
              </w:rPr>
              <w:t xml:space="preserve"> – koszty zostały podane w rozbiciu na lata.</w:t>
            </w:r>
            <w:r w:rsidR="00A1261B">
              <w:rPr>
                <w:rFonts w:ascii="Lato" w:eastAsia="Arial" w:hAnsi="Lato" w:cs="Arial"/>
                <w:sz w:val="18"/>
                <w:szCs w:val="18"/>
              </w:rPr>
              <w:t xml:space="preserve"> </w:t>
            </w:r>
          </w:p>
        </w:tc>
      </w:tr>
      <w:tr w:rsidR="00A1261B" w:rsidRPr="0037774A" w14:paraId="52499F63" w14:textId="2AFCBDB1" w:rsidTr="00A1261B">
        <w:trPr>
          <w:trHeight w:val="20"/>
        </w:trPr>
        <w:tc>
          <w:tcPr>
            <w:tcW w:w="709" w:type="dxa"/>
            <w:tcBorders>
              <w:top w:val="single" w:sz="4" w:space="0" w:color="auto"/>
              <w:left w:val="single" w:sz="4" w:space="0" w:color="auto"/>
              <w:bottom w:val="single" w:sz="4" w:space="0" w:color="auto"/>
            </w:tcBorders>
            <w:shd w:val="clear" w:color="auto" w:fill="FFFFFF"/>
          </w:tcPr>
          <w:p w14:paraId="45F7825B"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350A537" w14:textId="11A34144"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07DF05C0" w14:textId="5BF77E82" w:rsidR="00A1261B" w:rsidRPr="0037774A" w:rsidRDefault="00A1261B" w:rsidP="0037774A">
            <w:pPr>
              <w:pStyle w:val="Inne0"/>
              <w:spacing w:before="120" w:after="120"/>
              <w:ind w:left="132" w:right="139"/>
              <w:rPr>
                <w:rFonts w:ascii="Lato" w:eastAsia="Arial" w:hAnsi="Lato" w:cs="Arial"/>
                <w:sz w:val="18"/>
                <w:szCs w:val="18"/>
              </w:rPr>
            </w:pPr>
            <w:bookmarkStart w:id="13" w:name="_Hlk204768471"/>
            <w:r w:rsidRPr="0037774A">
              <w:rPr>
                <w:rFonts w:ascii="Lato" w:eastAsia="Arial" w:hAnsi="Lato" w:cs="Arial"/>
                <w:sz w:val="18"/>
                <w:szCs w:val="18"/>
              </w:rPr>
              <w:t>Nie znajduje uzasadnienia prezentowanie w części „</w:t>
            </w:r>
            <w:r w:rsidRPr="0037774A">
              <w:rPr>
                <w:rFonts w:ascii="Lato" w:eastAsia="Arial" w:hAnsi="Lato" w:cs="Arial"/>
                <w:i/>
                <w:iCs/>
                <w:sz w:val="18"/>
                <w:szCs w:val="18"/>
              </w:rPr>
              <w:t>Dodatkowe informacje.</w:t>
            </w:r>
            <w:r w:rsidRPr="0037774A">
              <w:rPr>
                <w:rFonts w:ascii="Lato" w:eastAsia="Arial" w:hAnsi="Lato" w:cs="Arial"/>
                <w:sz w:val="18"/>
                <w:szCs w:val="18"/>
              </w:rPr>
              <w:t>” w pkt 7 i 10 dynamiki wzrostu kwot wynagrodzeń od 2027 roku. Podczas prac nad projektem ustawy budżetowej na kolejny rok, wynagrodzenia przeliczane są wskaźnikiem wynikającym z decyzji Rady Ministrów, dotyczącym jedynie roku, na który jest opracowywana ustawa budżetowa.</w:t>
            </w:r>
            <w:bookmarkEnd w:id="13"/>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1EC5744"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713A5D6" w14:textId="608E82EF" w:rsidR="00A1261B" w:rsidRPr="00611566" w:rsidRDefault="00611566" w:rsidP="000D38AE">
            <w:pPr>
              <w:pStyle w:val="Inne0"/>
              <w:spacing w:before="120" w:after="120"/>
              <w:ind w:left="131" w:right="138"/>
              <w:rPr>
                <w:rFonts w:ascii="Lato" w:eastAsia="Arial" w:hAnsi="Lato" w:cs="Arial"/>
                <w:sz w:val="18"/>
                <w:szCs w:val="18"/>
              </w:rPr>
            </w:pPr>
            <w:r w:rsidRPr="00611566">
              <w:rPr>
                <w:rFonts w:ascii="Lato" w:eastAsia="Arial" w:hAnsi="Lato" w:cs="Arial"/>
                <w:sz w:val="18"/>
                <w:szCs w:val="18"/>
              </w:rPr>
              <w:t>Uwaga nie została uwzględniona.</w:t>
            </w:r>
          </w:p>
          <w:p w14:paraId="3D05EACB" w14:textId="410A6071" w:rsidR="00A1261B" w:rsidRPr="00611566" w:rsidRDefault="00611566" w:rsidP="00611566">
            <w:pPr>
              <w:pStyle w:val="Inne0"/>
              <w:spacing w:before="120" w:after="120"/>
              <w:ind w:left="131" w:right="138"/>
              <w:rPr>
                <w:rFonts w:ascii="Lato" w:eastAsia="Arial" w:hAnsi="Lato" w:cs="Arial"/>
                <w:sz w:val="18"/>
                <w:szCs w:val="18"/>
              </w:rPr>
            </w:pPr>
            <w:r w:rsidRPr="00611566">
              <w:rPr>
                <w:rFonts w:ascii="Lato" w:eastAsia="Arial" w:hAnsi="Lato" w:cs="Arial"/>
                <w:sz w:val="18"/>
                <w:szCs w:val="18"/>
              </w:rPr>
              <w:t>Sposób prowadzenia prac nad projektem ustawy budżetowej na kolejny rok pozostaje bez związku z projektem niniejszej ustawy.</w:t>
            </w:r>
          </w:p>
        </w:tc>
      </w:tr>
      <w:tr w:rsidR="00A1261B" w:rsidRPr="0037774A" w14:paraId="76864CC3" w14:textId="270D5021" w:rsidTr="00A1261B">
        <w:trPr>
          <w:trHeight w:val="20"/>
        </w:trPr>
        <w:tc>
          <w:tcPr>
            <w:tcW w:w="709" w:type="dxa"/>
            <w:tcBorders>
              <w:top w:val="single" w:sz="4" w:space="0" w:color="auto"/>
              <w:left w:val="single" w:sz="4" w:space="0" w:color="auto"/>
              <w:bottom w:val="single" w:sz="4" w:space="0" w:color="auto"/>
            </w:tcBorders>
            <w:shd w:val="clear" w:color="auto" w:fill="FFFFFF"/>
          </w:tcPr>
          <w:p w14:paraId="62B9B198"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8DEEEA9" w14:textId="3F0B8167"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624A7727"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Odnosząc się do konieczności zatrudnienia nowych osób do realizacji zadań w związku z zapewnieniem dostępu dla Głównego Geodety Kraju do baz danych prowadzonych przez starostę, tj. 5 etatów w Głównym Urzędzie Geodezji i Kartografii przeanalizowania wymaga poziom planowanego zatrudnienia, w porównaniu do faktycznego jego wykonania. W przypadku stwierdzenia, iż w jednostce występują nieobsadzone etaty, należy rozważyć, czy mogą one być wykorzystane z przeznaczeniem do realizacji nowych zadań wynikających z projektu, w ramach posiadanych środków na wynagrodzenia.</w:t>
            </w:r>
          </w:p>
          <w:p w14:paraId="5DC9F16D"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 xml:space="preserve">Ministerstwo Finansów zauważa, iż Koordynator Oceny Skutków Regulacji w piśmie z dnia 10 kwietnia br. znak KOSR.0652.3.2025 skierowanym do wszystkich Ministrów przekazał wytyczne dotyczące sposobu szacowania skutków wprowadzania </w:t>
            </w:r>
            <w:r w:rsidRPr="0037774A">
              <w:rPr>
                <w:rFonts w:ascii="Lato" w:eastAsia="Arial" w:hAnsi="Lato" w:cs="Arial"/>
                <w:sz w:val="18"/>
                <w:szCs w:val="18"/>
                <w:u w:val="single"/>
              </w:rPr>
              <w:t>nowych zadań dla administracji publicznej</w:t>
            </w:r>
            <w:r w:rsidRPr="0037774A">
              <w:rPr>
                <w:rFonts w:ascii="Lato" w:eastAsia="Arial" w:hAnsi="Lato" w:cs="Arial"/>
                <w:sz w:val="18"/>
                <w:szCs w:val="18"/>
              </w:rPr>
              <w:t>.</w:t>
            </w:r>
          </w:p>
          <w:p w14:paraId="273FCFC5" w14:textId="77777777" w:rsidR="00A1261B" w:rsidRPr="00BC7438"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 xml:space="preserve">Przekazane wytyczne prezentują etapy przeprowadzenia analizy pracochłonności przy </w:t>
            </w:r>
            <w:r w:rsidRPr="0037774A">
              <w:rPr>
                <w:rFonts w:ascii="Lato" w:eastAsia="Arial" w:hAnsi="Lato" w:cs="Arial"/>
                <w:sz w:val="18"/>
                <w:szCs w:val="18"/>
              </w:rPr>
              <w:lastRenderedPageBreak/>
              <w:t xml:space="preserve">nakładaniu na administrację nowych zadań oraz sposoby i metody wykorzystywane w tym procesie. Opracowanie zawiera praktyczne wskazówki do wykorzystania przy obliczaniu skutków finansowych w związku z określaniem kosztów wdrożeniowych i dostosowawczych. Materiał wskazuje także zasady, którymi </w:t>
            </w:r>
            <w:r w:rsidRPr="00BC7438">
              <w:rPr>
                <w:rFonts w:ascii="Lato" w:eastAsia="Arial" w:hAnsi="Lato" w:cs="Arial"/>
                <w:sz w:val="18"/>
                <w:szCs w:val="18"/>
              </w:rPr>
              <w:t>powinni kierować się autorzy OSR sporządzający analizę pracochłonności. Punktem wyjścia analizy pracochłonności jest zadanie składające się z czynności i procedur do wykonania. Zadanie jest opisywane przez takie parametry jak częstotliwość, czas trwania procedury, liczba spraw, liczba adresatów/interesariuszy. Wynik analizy powinien zostać przedstawiony w OSR projektu dokumentu rządowego.</w:t>
            </w:r>
          </w:p>
          <w:p w14:paraId="6B768616" w14:textId="561284FE" w:rsidR="00A1261B" w:rsidRPr="0037774A" w:rsidRDefault="00A1261B" w:rsidP="0037774A">
            <w:pPr>
              <w:pStyle w:val="Inne0"/>
              <w:shd w:val="clear" w:color="auto" w:fill="auto"/>
              <w:spacing w:before="120" w:after="120"/>
              <w:ind w:left="132" w:right="139"/>
              <w:rPr>
                <w:rFonts w:ascii="Lato" w:eastAsia="Arial" w:hAnsi="Lato" w:cs="Arial"/>
                <w:sz w:val="18"/>
                <w:szCs w:val="18"/>
              </w:rPr>
            </w:pPr>
            <w:r w:rsidRPr="00BC7438">
              <w:rPr>
                <w:rFonts w:ascii="Lato" w:eastAsia="Arial" w:hAnsi="Lato" w:cs="Arial"/>
                <w:sz w:val="18"/>
                <w:szCs w:val="18"/>
              </w:rPr>
              <w:t>Przedłożony do zaopiniowania OSR nie został sporządzony w oparciu o wytyczne Koordynatora Oceny Skutków Regulacji i wymaga uzupełnienia w oparciu o wskazane powyżej procedury.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D02D8C7"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EBAD692" w14:textId="39583F98" w:rsidR="00A1261B" w:rsidRPr="00BC7438" w:rsidRDefault="00A1261B" w:rsidP="00BC7438">
            <w:pPr>
              <w:pStyle w:val="Inne0"/>
              <w:spacing w:before="120" w:after="120"/>
              <w:ind w:left="131" w:right="138"/>
              <w:rPr>
                <w:rFonts w:ascii="Lato" w:eastAsia="Arial" w:hAnsi="Lato" w:cs="Arial"/>
                <w:sz w:val="18"/>
                <w:szCs w:val="18"/>
              </w:rPr>
            </w:pPr>
            <w:r w:rsidRPr="00BC7438">
              <w:rPr>
                <w:rFonts w:ascii="Lato" w:eastAsia="Arial" w:hAnsi="Lato" w:cs="Arial"/>
                <w:sz w:val="18"/>
                <w:szCs w:val="18"/>
              </w:rPr>
              <w:t>Uwaga nie</w:t>
            </w:r>
            <w:r>
              <w:rPr>
                <w:rFonts w:ascii="Lato" w:eastAsia="Arial" w:hAnsi="Lato" w:cs="Arial"/>
                <w:sz w:val="18"/>
                <w:szCs w:val="18"/>
              </w:rPr>
              <w:t xml:space="preserve"> została </w:t>
            </w:r>
            <w:r w:rsidRPr="00BC7438">
              <w:rPr>
                <w:rFonts w:ascii="Lato" w:eastAsia="Arial" w:hAnsi="Lato" w:cs="Arial"/>
                <w:sz w:val="18"/>
                <w:szCs w:val="18"/>
              </w:rPr>
              <w:t>uwzględniona</w:t>
            </w:r>
          </w:p>
          <w:p w14:paraId="44C7C86C" w14:textId="50C66AB7" w:rsidR="00A1261B" w:rsidRPr="0037774A" w:rsidRDefault="00A1261B" w:rsidP="00BC7438">
            <w:pPr>
              <w:pStyle w:val="Inne0"/>
              <w:shd w:val="clear" w:color="auto" w:fill="auto"/>
              <w:spacing w:before="120" w:after="120"/>
              <w:ind w:left="131" w:right="138"/>
              <w:rPr>
                <w:rFonts w:ascii="Lato" w:eastAsia="Arial" w:hAnsi="Lato" w:cs="Arial"/>
                <w:sz w:val="18"/>
                <w:szCs w:val="18"/>
              </w:rPr>
            </w:pPr>
            <w:r w:rsidRPr="00BC7438">
              <w:rPr>
                <w:rFonts w:ascii="Lato" w:eastAsia="Arial" w:hAnsi="Lato" w:cs="Arial"/>
                <w:sz w:val="18"/>
                <w:szCs w:val="18"/>
              </w:rPr>
              <w:t xml:space="preserve">W </w:t>
            </w:r>
            <w:proofErr w:type="spellStart"/>
            <w:r w:rsidRPr="00BC7438">
              <w:rPr>
                <w:rFonts w:ascii="Lato" w:eastAsia="Arial" w:hAnsi="Lato" w:cs="Arial"/>
                <w:sz w:val="18"/>
                <w:szCs w:val="18"/>
              </w:rPr>
              <w:t>GUGiK</w:t>
            </w:r>
            <w:proofErr w:type="spellEnd"/>
            <w:r w:rsidRPr="00BC7438">
              <w:rPr>
                <w:rFonts w:ascii="Lato" w:eastAsia="Arial" w:hAnsi="Lato" w:cs="Arial"/>
                <w:sz w:val="18"/>
                <w:szCs w:val="18"/>
              </w:rPr>
              <w:t xml:space="preserve"> nie są zatrudnieni specjaliści, którzy mogliby wykonywać zadania w zakresie zapewnienia dostępu GGK do baz danych. Średnio i długoterminowo proponowane zmiany wygenerują oszczędności po stronie powiatów dotyczące publikacji usług sieciowych (załącznik nr 3 do pisma przedstawia analizę ew. oszczędności po stronie powiatów).</w:t>
            </w:r>
          </w:p>
        </w:tc>
      </w:tr>
      <w:tr w:rsidR="00A1261B" w:rsidRPr="0037774A" w14:paraId="393E7855" w14:textId="3F60A72F" w:rsidTr="00A1261B">
        <w:trPr>
          <w:trHeight w:val="20"/>
        </w:trPr>
        <w:tc>
          <w:tcPr>
            <w:tcW w:w="709" w:type="dxa"/>
            <w:tcBorders>
              <w:top w:val="single" w:sz="4" w:space="0" w:color="auto"/>
              <w:left w:val="single" w:sz="4" w:space="0" w:color="auto"/>
              <w:bottom w:val="single" w:sz="4" w:space="0" w:color="auto"/>
            </w:tcBorders>
            <w:shd w:val="clear" w:color="auto" w:fill="FFFFFF"/>
          </w:tcPr>
          <w:p w14:paraId="193BDE0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8C1C93A" w14:textId="377032FF"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2D517443" w14:textId="44663A96"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Ministerstwo Finansów zauważa, iż projektowane regulacje oraz oszacowane w związku z nimi koszty powinny być spójne z planowanymi do wdrożenia założeniami standaryzacji zadań z zakresu geodezji i kartografii, a w przypadku ich wpływu na wprowadzenie jednolitych zasad finansowania zadań z zakresu geodezji i kartografii właściwe zapisy powinny zostać już odpowiednio uwzględnione.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8E5FF0A"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FA88A4" w14:textId="0C4E3F9E" w:rsidR="00A1261B" w:rsidRPr="0037774A" w:rsidRDefault="00A1261B" w:rsidP="00BC7438">
            <w:pPr>
              <w:pStyle w:val="Inne0"/>
              <w:spacing w:before="120" w:after="120"/>
              <w:ind w:left="131" w:right="138"/>
              <w:rPr>
                <w:rFonts w:ascii="Lato" w:eastAsia="Arial" w:hAnsi="Lato" w:cs="Arial"/>
                <w:sz w:val="18"/>
                <w:szCs w:val="18"/>
              </w:rPr>
            </w:pPr>
            <w:r w:rsidRPr="00BC7438">
              <w:rPr>
                <w:rFonts w:ascii="Lato" w:eastAsia="Arial" w:hAnsi="Lato" w:cs="Arial"/>
                <w:sz w:val="18"/>
                <w:szCs w:val="18"/>
              </w:rPr>
              <w:t xml:space="preserve">Po określeniu ostatecznej formy zmian w ustawie </w:t>
            </w:r>
            <w:proofErr w:type="spellStart"/>
            <w:r>
              <w:rPr>
                <w:rFonts w:ascii="Lato" w:eastAsia="Arial" w:hAnsi="Lato" w:cs="Arial"/>
                <w:sz w:val="18"/>
                <w:szCs w:val="18"/>
              </w:rPr>
              <w:t>PGiK</w:t>
            </w:r>
            <w:proofErr w:type="spellEnd"/>
            <w:r w:rsidRPr="00BC7438">
              <w:rPr>
                <w:rFonts w:ascii="Lato" w:eastAsia="Arial" w:hAnsi="Lato" w:cs="Arial"/>
                <w:sz w:val="18"/>
                <w:szCs w:val="18"/>
              </w:rPr>
              <w:t xml:space="preserve"> (po dniu ogłoszenia ustawy), będzie konieczny przegląd opracowanych katalogów, w szczególności czasochłonności realizacji zadań, czy też składników stawki roboczogodziny, w kontekście wprowadzanych zmian w przepisach prawa obowiązujących w dziedzinie geodezji i kartografii. Na obecnym etapie, gdy nie jest znany ostateczny kształt regulacji, nieuzasadnione jest modyfikowanie dokumentów związanych ze standaryzacją finansowania zadań organów </w:t>
            </w:r>
            <w:proofErr w:type="spellStart"/>
            <w:r w:rsidRPr="00BC7438">
              <w:rPr>
                <w:rFonts w:ascii="Lato" w:eastAsia="Arial" w:hAnsi="Lato" w:cs="Arial"/>
                <w:sz w:val="18"/>
                <w:szCs w:val="18"/>
              </w:rPr>
              <w:t>SGiK</w:t>
            </w:r>
            <w:proofErr w:type="spellEnd"/>
            <w:r w:rsidRPr="00BC7438">
              <w:rPr>
                <w:rFonts w:ascii="Lato" w:eastAsia="Arial" w:hAnsi="Lato" w:cs="Arial"/>
                <w:sz w:val="18"/>
                <w:szCs w:val="18"/>
              </w:rPr>
              <w:t>.</w:t>
            </w:r>
          </w:p>
        </w:tc>
      </w:tr>
      <w:tr w:rsidR="00A1261B" w:rsidRPr="0037774A" w14:paraId="0B553606" w14:textId="1B59023A" w:rsidTr="00A1261B">
        <w:trPr>
          <w:trHeight w:val="20"/>
        </w:trPr>
        <w:tc>
          <w:tcPr>
            <w:tcW w:w="709" w:type="dxa"/>
            <w:tcBorders>
              <w:top w:val="single" w:sz="4" w:space="0" w:color="auto"/>
              <w:left w:val="single" w:sz="4" w:space="0" w:color="auto"/>
              <w:bottom w:val="single" w:sz="4" w:space="0" w:color="auto"/>
            </w:tcBorders>
            <w:shd w:val="clear" w:color="auto" w:fill="FFFFFF"/>
          </w:tcPr>
          <w:p w14:paraId="2C9B1BC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584DB3C" w14:textId="66612DA9"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38117F66"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Wynagrodzenia rzeczników dyscyplinarnych (</w:t>
            </w:r>
            <w:r w:rsidRPr="0037774A">
              <w:rPr>
                <w:rFonts w:ascii="Lato" w:eastAsia="Arial" w:hAnsi="Lato" w:cs="Arial"/>
                <w:i/>
                <w:iCs/>
                <w:sz w:val="18"/>
                <w:szCs w:val="18"/>
              </w:rPr>
              <w:t>vide</w:t>
            </w:r>
            <w:r w:rsidRPr="0037774A">
              <w:rPr>
                <w:rFonts w:ascii="Lato" w:eastAsia="Arial" w:hAnsi="Lato" w:cs="Arial"/>
                <w:sz w:val="18"/>
                <w:szCs w:val="18"/>
              </w:rPr>
              <w:t xml:space="preserve"> art. 1 pkt 75 projektu ustawy)</w:t>
            </w:r>
          </w:p>
          <w:p w14:paraId="125141B3"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 xml:space="preserve">W projekcie ustawy, w art. 1 pkt 75, wprowadza się przepisy dotyczące sposobu ustalania </w:t>
            </w:r>
            <w:r w:rsidRPr="0037774A">
              <w:rPr>
                <w:rFonts w:ascii="Lato" w:eastAsia="Arial" w:hAnsi="Lato" w:cs="Arial"/>
                <w:sz w:val="18"/>
                <w:szCs w:val="18"/>
                <w:u w:val="single"/>
              </w:rPr>
              <w:t>wysokości wynagrodzenia rzecznika dyscyplinarnego</w:t>
            </w:r>
            <w:r w:rsidRPr="0037774A">
              <w:rPr>
                <w:rFonts w:ascii="Lato" w:eastAsia="Arial" w:hAnsi="Lato" w:cs="Arial"/>
                <w:sz w:val="18"/>
                <w:szCs w:val="18"/>
              </w:rPr>
              <w:t xml:space="preserve"> za przeprowadzenie postępowania wyjaśniającego lub udział w postępowaniu dyscyplinarnym oraz członków komisji dyscyplinarnych za przeprowadzenie postępowania dyscyplinarnego (dodawany </w:t>
            </w:r>
            <w:r w:rsidRPr="0037774A">
              <w:rPr>
                <w:rFonts w:ascii="Lato" w:eastAsia="Arial" w:hAnsi="Lato" w:cs="Arial"/>
                <w:i/>
                <w:iCs/>
                <w:sz w:val="18"/>
                <w:szCs w:val="18"/>
              </w:rPr>
              <w:t>art. 46ua ustawy - Prawo geodezyjne i kartograficzne</w:t>
            </w:r>
            <w:r w:rsidRPr="0037774A">
              <w:rPr>
                <w:rFonts w:ascii="Lato" w:eastAsia="Arial" w:hAnsi="Lato" w:cs="Arial"/>
                <w:sz w:val="18"/>
                <w:szCs w:val="18"/>
              </w:rPr>
              <w:t xml:space="preserve"> - w oparciu o „przeciętne miesięczne minimalne wynagrodzenie za pracę określane w przepisach wydawanych na podstawie art. 2 ust. 5 ustawy z 10 października 2002 r. o minimalnym wynagrodzeniu za pracę.”.</w:t>
            </w:r>
          </w:p>
          <w:p w14:paraId="52523B1B"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lastRenderedPageBreak/>
              <w:t>Ministerstwo Finansów zwraca uwagę, że ww. ustawa nie posługuje się pojęciem przeciętnego miesięcznego minimalnego wynagrodzenia za pracę. Ustawa określa natomiast zasady kształtowania minimalnego wynagrodzenia za pracę pracowników oraz minimalnej stawki godzinowej dla określonych umów cywilnoprawnych.</w:t>
            </w:r>
          </w:p>
          <w:p w14:paraId="64DB6D01" w14:textId="37638BE9"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Dodatkowo, zauważenia wymaga, że kategoria minimalnego wynagrodzenia - z uwagi na swój szczególny charakter - nie powinna pełnić roli miernika do ustalania wysokości innych świadczeń niż wynagrodzenie. Posiłkowanie się pojęciem minimalnego wynagrodzenia za pracę w przepisach projektu ustawy dot. ustalanie opłaty za egzamin nie jest rozwiązaniem właściwym. Minimalne wynagrodzenie za pracę stanowi dolną granicę wynagrodzenia, poniżej której nie może być wynagradzany pracownik zatrudniony w pełnym wymiarze czasu pracy. Relacjonowanie wdrażanych rozwiązań do wysokości minimalnego wynagrodzenia za pracę będzie utrudniać prowadzenie polityki związanej z corocznym podwyższaniem tego wynagrodzenia. Ministerstwo Finansów proponuje odejście od proponowanego powiązania i przyjęcie opłaty w ujęciu kwotowym.</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0F1A1E5"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4222B88" w14:textId="4966C576" w:rsidR="00A1261B"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częściowo uwzględniona w zakresie zmiany określenia „</w:t>
            </w:r>
            <w:r w:rsidRPr="004137D2">
              <w:rPr>
                <w:rFonts w:ascii="Lato" w:eastAsia="Arial" w:hAnsi="Lato" w:cs="Arial"/>
                <w:sz w:val="18"/>
                <w:szCs w:val="18"/>
              </w:rPr>
              <w:t>przeciętne miesięczne minimalne wynagrodzeni</w:t>
            </w:r>
            <w:r>
              <w:rPr>
                <w:rFonts w:ascii="Lato" w:eastAsia="Arial" w:hAnsi="Lato" w:cs="Arial"/>
                <w:sz w:val="18"/>
                <w:szCs w:val="18"/>
              </w:rPr>
              <w:t>e</w:t>
            </w:r>
            <w:r w:rsidRPr="004137D2">
              <w:rPr>
                <w:rFonts w:ascii="Lato" w:eastAsia="Arial" w:hAnsi="Lato" w:cs="Arial"/>
                <w:sz w:val="18"/>
                <w:szCs w:val="18"/>
              </w:rPr>
              <w:t xml:space="preserve"> za pracę”</w:t>
            </w:r>
            <w:r>
              <w:rPr>
                <w:rFonts w:ascii="Lato" w:eastAsia="Arial" w:hAnsi="Lato" w:cs="Arial"/>
                <w:sz w:val="18"/>
                <w:szCs w:val="18"/>
              </w:rPr>
              <w:t>.</w:t>
            </w:r>
          </w:p>
          <w:p w14:paraId="40B72E48" w14:textId="4C8B73F5" w:rsidR="00A1261B" w:rsidRPr="0037774A" w:rsidRDefault="00A1261B" w:rsidP="00783F8D">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Odnośnie </w:t>
            </w:r>
            <w:r w:rsidRPr="004137D2">
              <w:rPr>
                <w:rFonts w:ascii="Lato" w:eastAsia="Arial" w:hAnsi="Lato" w:cs="Arial"/>
                <w:sz w:val="18"/>
                <w:szCs w:val="18"/>
              </w:rPr>
              <w:t xml:space="preserve">proponowanego odejścia od powiązania wysokości </w:t>
            </w:r>
            <w:r>
              <w:rPr>
                <w:rFonts w:ascii="Lato" w:eastAsia="Arial" w:hAnsi="Lato" w:cs="Arial"/>
                <w:sz w:val="18"/>
                <w:szCs w:val="18"/>
              </w:rPr>
              <w:t xml:space="preserve">maksymalnego </w:t>
            </w:r>
            <w:r w:rsidRPr="004137D2">
              <w:rPr>
                <w:rFonts w:ascii="Lato" w:eastAsia="Arial" w:hAnsi="Lato" w:cs="Arial"/>
                <w:sz w:val="18"/>
                <w:szCs w:val="18"/>
              </w:rPr>
              <w:t xml:space="preserve">wynagrodzenia </w:t>
            </w:r>
            <w:r>
              <w:rPr>
                <w:rFonts w:ascii="Lato" w:eastAsia="Arial" w:hAnsi="Lato" w:cs="Arial"/>
                <w:sz w:val="18"/>
                <w:szCs w:val="18"/>
              </w:rPr>
              <w:t xml:space="preserve">z minimalnym wynagrodzeniem za pracę i </w:t>
            </w:r>
            <w:r w:rsidRPr="004137D2">
              <w:rPr>
                <w:rFonts w:ascii="Lato" w:eastAsia="Arial" w:hAnsi="Lato" w:cs="Arial"/>
                <w:sz w:val="18"/>
                <w:szCs w:val="18"/>
              </w:rPr>
              <w:t>przyjęcie</w:t>
            </w:r>
            <w:r>
              <w:rPr>
                <w:rFonts w:ascii="Lato" w:eastAsia="Arial" w:hAnsi="Lato" w:cs="Arial"/>
                <w:sz w:val="18"/>
                <w:szCs w:val="18"/>
              </w:rPr>
              <w:t>m</w:t>
            </w:r>
            <w:r w:rsidRPr="004137D2">
              <w:rPr>
                <w:rFonts w:ascii="Lato" w:eastAsia="Arial" w:hAnsi="Lato" w:cs="Arial"/>
                <w:sz w:val="18"/>
                <w:szCs w:val="18"/>
              </w:rPr>
              <w:t xml:space="preserve"> opłaty w ujęciu kwotowym</w:t>
            </w:r>
            <w:r>
              <w:rPr>
                <w:rFonts w:ascii="Lato" w:eastAsia="Arial" w:hAnsi="Lato" w:cs="Arial"/>
                <w:sz w:val="18"/>
                <w:szCs w:val="18"/>
              </w:rPr>
              <w:t xml:space="preserve">, uwaga nie została uwzględniona. Należy zauważyć, że podobne rozwiązanie (ale opierające się o </w:t>
            </w:r>
            <w:r w:rsidRPr="004137D2">
              <w:rPr>
                <w:rFonts w:ascii="Lato" w:eastAsia="Arial" w:hAnsi="Lato" w:cs="Arial"/>
                <w:sz w:val="18"/>
                <w:szCs w:val="18"/>
              </w:rPr>
              <w:t>kwot</w:t>
            </w:r>
            <w:r>
              <w:rPr>
                <w:rFonts w:ascii="Lato" w:eastAsia="Arial" w:hAnsi="Lato" w:cs="Arial"/>
                <w:sz w:val="18"/>
                <w:szCs w:val="18"/>
              </w:rPr>
              <w:t>ę</w:t>
            </w:r>
            <w:r w:rsidRPr="004137D2">
              <w:rPr>
                <w:rFonts w:ascii="Lato" w:eastAsia="Arial" w:hAnsi="Lato" w:cs="Arial"/>
                <w:sz w:val="18"/>
                <w:szCs w:val="18"/>
              </w:rPr>
              <w:t xml:space="preserve"> przeciętnego miesięcznego wynagrodzenia w gospodarce narodowej</w:t>
            </w:r>
            <w:r>
              <w:rPr>
                <w:rFonts w:ascii="Lato" w:eastAsia="Arial" w:hAnsi="Lato" w:cs="Arial"/>
                <w:sz w:val="18"/>
                <w:szCs w:val="18"/>
              </w:rPr>
              <w:t xml:space="preserve">) funkcjonuje w art. 45d ust 2 ustawy – Prawo geodezyjne i kartograficzne do określenia maksymalnej wysokości opłaty za </w:t>
            </w:r>
            <w:r w:rsidRPr="00783F8D">
              <w:rPr>
                <w:rFonts w:ascii="Lato" w:eastAsia="Arial" w:hAnsi="Lato" w:cs="Arial"/>
                <w:sz w:val="18"/>
                <w:szCs w:val="18"/>
              </w:rPr>
              <w:t>przeprowadzenie postępowania kwalifikacyjnego</w:t>
            </w:r>
            <w:r>
              <w:rPr>
                <w:rFonts w:ascii="Lato" w:eastAsia="Arial" w:hAnsi="Lato" w:cs="Arial"/>
                <w:sz w:val="18"/>
                <w:szCs w:val="18"/>
              </w:rPr>
              <w:t xml:space="preserve">. Mając na względzie dynamikę wzrostu wynagrodzeń w ostatnich latach w opinii Ministerstwa Rozwoju i </w:t>
            </w:r>
            <w:r>
              <w:rPr>
                <w:rFonts w:ascii="Lato" w:eastAsia="Arial" w:hAnsi="Lato" w:cs="Arial"/>
                <w:sz w:val="18"/>
                <w:szCs w:val="18"/>
              </w:rPr>
              <w:lastRenderedPageBreak/>
              <w:t>Technologii, przyjęte regulacje powinny mieć mechanizm automatycznej waloryzacji opartej na określanych przez Radę Ministrów wskaźnikach.</w:t>
            </w:r>
          </w:p>
        </w:tc>
      </w:tr>
      <w:tr w:rsidR="00A1261B" w:rsidRPr="0037774A" w14:paraId="486C1EAD" w14:textId="4E77575F" w:rsidTr="00A1261B">
        <w:trPr>
          <w:trHeight w:val="20"/>
        </w:trPr>
        <w:tc>
          <w:tcPr>
            <w:tcW w:w="709" w:type="dxa"/>
            <w:tcBorders>
              <w:top w:val="single" w:sz="4" w:space="0" w:color="auto"/>
              <w:left w:val="single" w:sz="4" w:space="0" w:color="auto"/>
              <w:bottom w:val="single" w:sz="4" w:space="0" w:color="auto"/>
            </w:tcBorders>
            <w:shd w:val="clear" w:color="auto" w:fill="FFFFFF"/>
          </w:tcPr>
          <w:p w14:paraId="5F06312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B97E4F5" w14:textId="3921A21C"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082D5D94"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Fundusz Gospodarki Zasobem Geodezyjnym i Kartograficznym (</w:t>
            </w:r>
            <w:r w:rsidRPr="0037774A">
              <w:rPr>
                <w:rFonts w:ascii="Lato" w:eastAsia="Arial" w:hAnsi="Lato" w:cs="Arial"/>
                <w:i/>
                <w:iCs/>
                <w:sz w:val="18"/>
                <w:szCs w:val="18"/>
              </w:rPr>
              <w:t>vide</w:t>
            </w:r>
            <w:r w:rsidRPr="0037774A">
              <w:rPr>
                <w:rFonts w:ascii="Lato" w:eastAsia="Arial" w:hAnsi="Lato" w:cs="Arial"/>
                <w:sz w:val="18"/>
                <w:szCs w:val="18"/>
              </w:rPr>
              <w:t xml:space="preserve"> art. 1 pkt 75 projektu ustawy)</w:t>
            </w:r>
          </w:p>
          <w:p w14:paraId="5D374B4A" w14:textId="46211F58"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Projektowane rozwiązania przewidują cyfryzację dziennika praktyk zawodowych, co spowoduje zmniejszenie wpływów uzyskiwanych przez Głównego Geodetę Kraju do Funduszu Gospodarki Zasobem Geodezyjnym i Kartograficznym (dalej: Fundusz) z tytułu niewydawania takiego dziennika. Z uwagi na fakt, iż Fundusz przy przyjęciu powyższego rozwiązania straci kolejne źródło wpływów poddajemy pod rozwagę likwidację Funduszu. Należy mieć na uwadze, iż w sytuacji, gdy Fundusz traci kolejne źródła finansowania/wpływów sytuacja taka w konsekwencji doprowadza do braku zasadności i celowości dalszego funkcjonowania Funduszu.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D50503E"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53270FC" w14:textId="1DF09356" w:rsidR="00A1261B" w:rsidRDefault="00611566" w:rsidP="00611566">
            <w:pPr>
              <w:pStyle w:val="Inne0"/>
              <w:spacing w:before="120" w:after="120"/>
              <w:ind w:left="132" w:right="139"/>
              <w:rPr>
                <w:rFonts w:ascii="Lato" w:eastAsia="Arial" w:hAnsi="Lato" w:cs="Arial"/>
                <w:sz w:val="18"/>
                <w:szCs w:val="18"/>
              </w:rPr>
            </w:pPr>
            <w:r>
              <w:rPr>
                <w:rFonts w:ascii="Lato" w:eastAsia="Arial" w:hAnsi="Lato" w:cs="Arial"/>
                <w:sz w:val="18"/>
                <w:szCs w:val="18"/>
              </w:rPr>
              <w:t>Uwaga nie została uwzględniona</w:t>
            </w:r>
          </w:p>
          <w:p w14:paraId="535FC1D6" w14:textId="1C99525F" w:rsidR="007D7605" w:rsidRPr="0037774A" w:rsidRDefault="007D7605" w:rsidP="00611566">
            <w:pPr>
              <w:pStyle w:val="Inne0"/>
              <w:spacing w:before="120" w:after="120"/>
              <w:ind w:left="132" w:right="139"/>
              <w:rPr>
                <w:rFonts w:ascii="Lato" w:eastAsia="Arial" w:hAnsi="Lato" w:cs="Arial"/>
                <w:sz w:val="18"/>
                <w:szCs w:val="18"/>
              </w:rPr>
            </w:pPr>
            <w:r w:rsidRPr="00611566">
              <w:rPr>
                <w:rFonts w:ascii="Lato" w:eastAsia="Arial" w:hAnsi="Lato" w:cs="Arial"/>
                <w:sz w:val="18"/>
                <w:szCs w:val="18"/>
              </w:rPr>
              <w:t xml:space="preserve">Analizując strukturę wpływów </w:t>
            </w:r>
            <w:r w:rsidR="00611566" w:rsidRPr="0037774A">
              <w:rPr>
                <w:rFonts w:ascii="Lato" w:eastAsia="Arial" w:hAnsi="Lato" w:cs="Arial"/>
                <w:sz w:val="18"/>
                <w:szCs w:val="18"/>
              </w:rPr>
              <w:t>Fundusz</w:t>
            </w:r>
            <w:r w:rsidR="00611566">
              <w:rPr>
                <w:rFonts w:ascii="Lato" w:eastAsia="Arial" w:hAnsi="Lato" w:cs="Arial"/>
                <w:sz w:val="18"/>
                <w:szCs w:val="18"/>
              </w:rPr>
              <w:t>u</w:t>
            </w:r>
            <w:r w:rsidR="00611566" w:rsidRPr="0037774A">
              <w:rPr>
                <w:rFonts w:ascii="Lato" w:eastAsia="Arial" w:hAnsi="Lato" w:cs="Arial"/>
                <w:sz w:val="18"/>
                <w:szCs w:val="18"/>
              </w:rPr>
              <w:t xml:space="preserve"> Gospodarki Zasobem Geodezyjnym i Kartograficznym </w:t>
            </w:r>
            <w:r w:rsidRPr="00611566">
              <w:rPr>
                <w:rFonts w:ascii="Lato" w:eastAsia="Arial" w:hAnsi="Lato" w:cs="Arial"/>
                <w:sz w:val="18"/>
                <w:szCs w:val="18"/>
              </w:rPr>
              <w:t>zauważyć należy, że przychody wynikające z tytułu wydawania dziennika praktyki zawodowej, stanowią niespełna 2%, ogółu przychodów tego Funduszu. Projektowana zmiana dotyczy kwoty średnio nieprzekraczającej 50 tys. zł rocznie, zatem będzie miała znikome znaczenie dla wpływów uzyskiwanych przez GGK.</w:t>
            </w:r>
          </w:p>
        </w:tc>
      </w:tr>
      <w:tr w:rsidR="00A1261B" w:rsidRPr="0037774A" w14:paraId="308A5758" w14:textId="1B9BFEEB" w:rsidTr="00A1261B">
        <w:trPr>
          <w:trHeight w:val="20"/>
        </w:trPr>
        <w:tc>
          <w:tcPr>
            <w:tcW w:w="709" w:type="dxa"/>
            <w:tcBorders>
              <w:top w:val="single" w:sz="4" w:space="0" w:color="auto"/>
              <w:left w:val="single" w:sz="4" w:space="0" w:color="auto"/>
              <w:bottom w:val="single" w:sz="4" w:space="0" w:color="auto"/>
            </w:tcBorders>
            <w:shd w:val="clear" w:color="auto" w:fill="FFFFFF"/>
          </w:tcPr>
          <w:p w14:paraId="76E1AA4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A4EB1BF" w14:textId="5A54CD5C" w:rsidR="00A1261B" w:rsidRPr="0037774A" w:rsidRDefault="00A1261B" w:rsidP="0037774A">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Finansów</w:t>
            </w:r>
          </w:p>
        </w:tc>
        <w:tc>
          <w:tcPr>
            <w:tcW w:w="4536" w:type="dxa"/>
            <w:tcBorders>
              <w:top w:val="single" w:sz="4" w:space="0" w:color="auto"/>
              <w:left w:val="single" w:sz="4" w:space="0" w:color="auto"/>
              <w:bottom w:val="single" w:sz="4" w:space="0" w:color="auto"/>
            </w:tcBorders>
            <w:shd w:val="clear" w:color="auto" w:fill="FFFFFF"/>
          </w:tcPr>
          <w:p w14:paraId="1D907538" w14:textId="77777777"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Błędy redakcyjne</w:t>
            </w:r>
          </w:p>
          <w:p w14:paraId="4805D6B6" w14:textId="4AB1836F" w:rsidR="00A1261B" w:rsidRPr="0037774A" w:rsidRDefault="00A1261B" w:rsidP="0037774A">
            <w:pPr>
              <w:pStyle w:val="Inne0"/>
              <w:spacing w:before="120" w:after="120"/>
              <w:ind w:left="132" w:right="139"/>
              <w:rPr>
                <w:rFonts w:ascii="Lato" w:eastAsia="Arial" w:hAnsi="Lato" w:cs="Arial"/>
                <w:sz w:val="18"/>
                <w:szCs w:val="18"/>
              </w:rPr>
            </w:pPr>
            <w:r w:rsidRPr="0037774A">
              <w:rPr>
                <w:rFonts w:ascii="Lato" w:eastAsia="Arial" w:hAnsi="Lato" w:cs="Arial"/>
                <w:sz w:val="18"/>
                <w:szCs w:val="18"/>
              </w:rPr>
              <w:t>W projekcie ustawy w art. 46j w ust.1 oraz w art. 46d ust. 2 pkt 3 występują błędy redakcyjne. W art. 46j ust. 1 jest: „</w:t>
            </w:r>
            <w:r w:rsidRPr="0037774A">
              <w:rPr>
                <w:rFonts w:ascii="Lato" w:eastAsia="Arial" w:hAnsi="Lato" w:cs="Arial"/>
                <w:i/>
                <w:iCs/>
                <w:sz w:val="18"/>
                <w:szCs w:val="18"/>
              </w:rPr>
              <w:t xml:space="preserve">W skład komisji dyscyplinarnych powinna </w:t>
            </w:r>
            <w:r w:rsidRPr="0037774A">
              <w:rPr>
                <w:rFonts w:ascii="Lato" w:eastAsia="Arial" w:hAnsi="Lato" w:cs="Arial"/>
                <w:i/>
                <w:iCs/>
                <w:sz w:val="18"/>
                <w:szCs w:val="18"/>
              </w:rPr>
              <w:lastRenderedPageBreak/>
              <w:t xml:space="preserve">wchodzić co najmniej </w:t>
            </w:r>
            <w:r w:rsidRPr="0037774A">
              <w:rPr>
                <w:rFonts w:ascii="Lato" w:eastAsia="Arial" w:hAnsi="Lato" w:cs="Arial"/>
                <w:i/>
                <w:iCs/>
                <w:sz w:val="18"/>
                <w:szCs w:val="18"/>
                <w:u w:val="single"/>
              </w:rPr>
              <w:t>jednak</w:t>
            </w:r>
            <w:r w:rsidRPr="0037774A">
              <w:rPr>
                <w:rFonts w:ascii="Lato" w:eastAsia="Arial" w:hAnsi="Lato" w:cs="Arial"/>
                <w:i/>
                <w:iCs/>
                <w:sz w:val="18"/>
                <w:szCs w:val="18"/>
              </w:rPr>
              <w:t xml:space="preserve"> osoba z wykształceniem winno być „jedna osoba", w</w:t>
            </w:r>
            <w:r w:rsidRPr="0037774A">
              <w:rPr>
                <w:rFonts w:ascii="Lato" w:eastAsia="Arial" w:hAnsi="Lato" w:cs="Arial"/>
                <w:sz w:val="18"/>
                <w:szCs w:val="18"/>
              </w:rPr>
              <w:t xml:space="preserve"> art. 46d ust. 2 pkt 3 jest: </w:t>
            </w:r>
            <w:r w:rsidRPr="0037774A">
              <w:rPr>
                <w:rFonts w:ascii="Lato" w:eastAsia="Arial" w:hAnsi="Lato" w:cs="Arial"/>
                <w:i/>
                <w:iCs/>
                <w:sz w:val="18"/>
                <w:szCs w:val="18"/>
              </w:rPr>
              <w:t xml:space="preserve">„posiada </w:t>
            </w:r>
            <w:r w:rsidRPr="0037774A">
              <w:rPr>
                <w:rFonts w:ascii="Lato" w:eastAsia="Arial" w:hAnsi="Lato" w:cs="Arial"/>
                <w:i/>
                <w:iCs/>
                <w:sz w:val="18"/>
                <w:szCs w:val="18"/>
                <w:u w:val="single"/>
              </w:rPr>
              <w:t>uprawnia</w:t>
            </w:r>
            <w:r w:rsidRPr="0037774A">
              <w:rPr>
                <w:rFonts w:ascii="Lato" w:eastAsia="Arial" w:hAnsi="Lato" w:cs="Arial"/>
                <w:i/>
                <w:iCs/>
                <w:sz w:val="18"/>
                <w:szCs w:val="18"/>
              </w:rPr>
              <w:t xml:space="preserve"> zawodowe", winno być „posiada uprawnienia zawodowe”.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0AD44B"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A8F3E7C" w14:textId="23B48800" w:rsidR="00A1261B" w:rsidRPr="0037774A" w:rsidRDefault="00A1261B"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03CB7C65" w14:textId="745CEEF7" w:rsidTr="00A1261B">
        <w:trPr>
          <w:trHeight w:val="20"/>
        </w:trPr>
        <w:tc>
          <w:tcPr>
            <w:tcW w:w="709" w:type="dxa"/>
            <w:tcBorders>
              <w:top w:val="single" w:sz="4" w:space="0" w:color="auto"/>
              <w:left w:val="single" w:sz="4" w:space="0" w:color="auto"/>
              <w:bottom w:val="single" w:sz="4" w:space="0" w:color="auto"/>
            </w:tcBorders>
            <w:shd w:val="clear" w:color="auto" w:fill="FFFFFF"/>
          </w:tcPr>
          <w:p w14:paraId="358B8941"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51D46B9" w14:textId="2648D645" w:rsidR="00A1261B" w:rsidRPr="0037774A" w:rsidRDefault="00A1261B" w:rsidP="00EE6CCF">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Przemysłu</w:t>
            </w:r>
          </w:p>
        </w:tc>
        <w:tc>
          <w:tcPr>
            <w:tcW w:w="4536" w:type="dxa"/>
            <w:tcBorders>
              <w:top w:val="single" w:sz="4" w:space="0" w:color="auto"/>
              <w:left w:val="single" w:sz="4" w:space="0" w:color="auto"/>
              <w:bottom w:val="single" w:sz="4" w:space="0" w:color="auto"/>
            </w:tcBorders>
            <w:shd w:val="clear" w:color="auto" w:fill="FFFFFF"/>
          </w:tcPr>
          <w:p w14:paraId="0F2F0552" w14:textId="1F6D5675" w:rsidR="00A1261B" w:rsidRPr="0037774A" w:rsidRDefault="00A1261B" w:rsidP="00EE6CCF">
            <w:pPr>
              <w:pStyle w:val="Teksttreci0"/>
              <w:shd w:val="clear" w:color="auto" w:fill="auto"/>
              <w:tabs>
                <w:tab w:val="left" w:pos="314"/>
              </w:tabs>
              <w:spacing w:before="120" w:after="120"/>
              <w:ind w:left="132" w:right="139"/>
              <w:rPr>
                <w:rFonts w:ascii="Lato" w:eastAsia="Arial" w:hAnsi="Lato" w:cs="Arial"/>
                <w:sz w:val="18"/>
                <w:szCs w:val="18"/>
              </w:rPr>
            </w:pPr>
            <w:r w:rsidRPr="0037774A">
              <w:rPr>
                <w:rFonts w:ascii="Lato" w:hAnsi="Lato"/>
                <w:sz w:val="18"/>
                <w:szCs w:val="18"/>
              </w:rPr>
              <w:t>Uchylenie art. 4 ust. 2d ustawy z dnia 17 maja 1989 r. - Prawo geodezyjne i kartograficzne (Dz. U. z 2024 r. poz. 1151 i 1824), dalej „ustawa zmieniana”, spowoduje brak uregulowania w zakresie nadzoru nad pracami geodezyjnymi na terenach zamkniętych. Tak więc, proponuję pozostawienie wskazanego artykułu lub jego modyfikację, która pozwoli podmiotowi upoważnionemu (np. zarządcy terenu zamkniętego) na wykonywanie nadzoru nad pracami geodezyjnymi w imieniu organu.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9EBD3AA" w14:textId="77777777" w:rsidR="00A1261B" w:rsidRPr="0037774A"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C48645B" w14:textId="2E009A30"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3E1A5A">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3E1A5A">
              <w:rPr>
                <w:rFonts w:ascii="Lato" w:eastAsia="Arial" w:hAnsi="Lato" w:cs="Arial"/>
                <w:sz w:val="18"/>
                <w:szCs w:val="18"/>
              </w:rPr>
              <w:t>zagadnienia ustanawiania i znoszenia terenów zamkniętych.</w:t>
            </w:r>
          </w:p>
        </w:tc>
      </w:tr>
      <w:tr w:rsidR="00A1261B" w:rsidRPr="0037774A" w14:paraId="37F4803C" w14:textId="703EBCD0" w:rsidTr="00A1261B">
        <w:trPr>
          <w:trHeight w:val="20"/>
        </w:trPr>
        <w:tc>
          <w:tcPr>
            <w:tcW w:w="709" w:type="dxa"/>
            <w:tcBorders>
              <w:top w:val="single" w:sz="4" w:space="0" w:color="auto"/>
              <w:left w:val="single" w:sz="4" w:space="0" w:color="auto"/>
              <w:bottom w:val="single" w:sz="4" w:space="0" w:color="auto"/>
            </w:tcBorders>
            <w:shd w:val="clear" w:color="auto" w:fill="FFFFFF"/>
          </w:tcPr>
          <w:p w14:paraId="5BBE6049"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180AB42" w14:textId="14152086" w:rsidR="00A1261B" w:rsidRPr="0037774A" w:rsidRDefault="00A1261B" w:rsidP="00EE6CCF">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Przemysłu</w:t>
            </w:r>
          </w:p>
        </w:tc>
        <w:tc>
          <w:tcPr>
            <w:tcW w:w="4536" w:type="dxa"/>
            <w:tcBorders>
              <w:top w:val="single" w:sz="4" w:space="0" w:color="auto"/>
              <w:left w:val="single" w:sz="4" w:space="0" w:color="auto"/>
              <w:bottom w:val="single" w:sz="4" w:space="0" w:color="auto"/>
            </w:tcBorders>
            <w:shd w:val="clear" w:color="auto" w:fill="FFFFFF"/>
          </w:tcPr>
          <w:p w14:paraId="3036DB8B" w14:textId="48B21F71" w:rsidR="00A1261B" w:rsidRPr="0037774A" w:rsidRDefault="00A1261B" w:rsidP="00EE6CCF">
            <w:pPr>
              <w:pStyle w:val="Teksttreci0"/>
              <w:shd w:val="clear" w:color="auto" w:fill="auto"/>
              <w:tabs>
                <w:tab w:val="left" w:pos="314"/>
              </w:tabs>
              <w:spacing w:before="120" w:after="120"/>
              <w:ind w:left="132" w:right="139"/>
              <w:rPr>
                <w:rFonts w:ascii="Lato" w:hAnsi="Lato"/>
                <w:sz w:val="18"/>
                <w:szCs w:val="18"/>
              </w:rPr>
            </w:pPr>
            <w:r w:rsidRPr="0037774A">
              <w:rPr>
                <w:rFonts w:ascii="Lato" w:hAnsi="Lato"/>
                <w:sz w:val="18"/>
                <w:szCs w:val="18"/>
              </w:rPr>
              <w:t>W projektowanym art. 13 ust. 3 ustawy zmienianej proponujemy rozszerzyć regulację o dodanie innych podmiotów (upoważnionych przez organ) do wydawania zgód na prowadzenie prac geodezyjnych na terenach zamkniętych. Nadzór organu w tym zakresie realizowany może być przez cykliczną formę sprawozdań.</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39131CC" w14:textId="77777777" w:rsidR="00A1261B" w:rsidRPr="0037774A"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1DE7BE3" w14:textId="5EB6DAC9"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3E1A5A">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3E1A5A">
              <w:rPr>
                <w:rFonts w:ascii="Lato" w:eastAsia="Arial" w:hAnsi="Lato" w:cs="Arial"/>
                <w:sz w:val="18"/>
                <w:szCs w:val="18"/>
              </w:rPr>
              <w:t>zagadnienia ustanawiania i znoszenia terenów zamkniętych.</w:t>
            </w:r>
          </w:p>
        </w:tc>
      </w:tr>
      <w:tr w:rsidR="00A1261B" w:rsidRPr="0037774A" w14:paraId="0D26AAA6" w14:textId="3F4384EA" w:rsidTr="00A1261B">
        <w:trPr>
          <w:trHeight w:val="20"/>
        </w:trPr>
        <w:tc>
          <w:tcPr>
            <w:tcW w:w="709" w:type="dxa"/>
            <w:tcBorders>
              <w:top w:val="single" w:sz="4" w:space="0" w:color="auto"/>
              <w:left w:val="single" w:sz="4" w:space="0" w:color="auto"/>
              <w:bottom w:val="single" w:sz="4" w:space="0" w:color="auto"/>
            </w:tcBorders>
            <w:shd w:val="clear" w:color="auto" w:fill="FFFFFF"/>
          </w:tcPr>
          <w:p w14:paraId="39E85F0E"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2936D16" w14:textId="098D81EF" w:rsidR="00A1261B" w:rsidRPr="0037774A" w:rsidRDefault="00A1261B" w:rsidP="00EE6CCF">
            <w:pPr>
              <w:pStyle w:val="Inne0"/>
              <w:shd w:val="clear" w:color="auto" w:fill="auto"/>
              <w:spacing w:before="120" w:after="120"/>
              <w:ind w:left="140" w:right="132"/>
              <w:rPr>
                <w:rFonts w:ascii="Lato" w:eastAsia="Arial" w:hAnsi="Lato" w:cs="Arial"/>
                <w:sz w:val="18"/>
                <w:szCs w:val="18"/>
              </w:rPr>
            </w:pPr>
            <w:r w:rsidRPr="0037774A">
              <w:rPr>
                <w:rFonts w:ascii="Lato" w:eastAsia="Arial" w:hAnsi="Lato" w:cs="Arial"/>
                <w:sz w:val="18"/>
                <w:szCs w:val="18"/>
              </w:rPr>
              <w:t>Ministerstwo Przemysłu</w:t>
            </w:r>
          </w:p>
        </w:tc>
        <w:tc>
          <w:tcPr>
            <w:tcW w:w="4536" w:type="dxa"/>
            <w:tcBorders>
              <w:top w:val="single" w:sz="4" w:space="0" w:color="auto"/>
              <w:left w:val="single" w:sz="4" w:space="0" w:color="auto"/>
              <w:bottom w:val="single" w:sz="4" w:space="0" w:color="auto"/>
            </w:tcBorders>
            <w:shd w:val="clear" w:color="auto" w:fill="FFFFFF"/>
          </w:tcPr>
          <w:p w14:paraId="38615064" w14:textId="77777777" w:rsidR="00A1261B" w:rsidRPr="0037774A" w:rsidRDefault="00A1261B" w:rsidP="00EE6CCF">
            <w:pPr>
              <w:pStyle w:val="Teksttreci0"/>
              <w:shd w:val="clear" w:color="auto" w:fill="auto"/>
              <w:tabs>
                <w:tab w:val="left" w:pos="319"/>
              </w:tabs>
              <w:spacing w:before="120" w:after="120"/>
              <w:ind w:left="132" w:right="139"/>
              <w:rPr>
                <w:rFonts w:ascii="Lato" w:hAnsi="Lato"/>
                <w:sz w:val="18"/>
                <w:szCs w:val="18"/>
              </w:rPr>
            </w:pPr>
            <w:r w:rsidRPr="0037774A">
              <w:rPr>
                <w:rFonts w:ascii="Lato" w:hAnsi="Lato"/>
                <w:sz w:val="18"/>
                <w:szCs w:val="18"/>
              </w:rPr>
              <w:t>W proponowanym brzmieniu art. 3 ust. 1 projektu ustawy, wskazano jedynie termin, w którym organ musi ponownie wydać decyzję oraz ewentualne konsekwencje jej niewydania. W związku z powyższym, proponujemy następujące zmiany:</w:t>
            </w:r>
          </w:p>
          <w:p w14:paraId="0855E067" w14:textId="77777777" w:rsidR="00A1261B" w:rsidRPr="0037774A" w:rsidRDefault="00A1261B" w:rsidP="00EE6CCF">
            <w:pPr>
              <w:pStyle w:val="Teksttreci0"/>
              <w:numPr>
                <w:ilvl w:val="0"/>
                <w:numId w:val="27"/>
              </w:numPr>
              <w:shd w:val="clear" w:color="auto" w:fill="auto"/>
              <w:tabs>
                <w:tab w:val="left" w:pos="411"/>
              </w:tabs>
              <w:spacing w:before="120" w:after="120"/>
              <w:ind w:left="411" w:right="139" w:hanging="279"/>
              <w:rPr>
                <w:rFonts w:ascii="Lato" w:hAnsi="Lato"/>
                <w:sz w:val="18"/>
                <w:szCs w:val="18"/>
              </w:rPr>
            </w:pPr>
            <w:r w:rsidRPr="0037774A">
              <w:rPr>
                <w:rFonts w:ascii="Lato" w:hAnsi="Lato"/>
                <w:sz w:val="18"/>
                <w:szCs w:val="18"/>
              </w:rPr>
              <w:t>Wydłużenie terminu do 180 dni - należy zaznaczyć, iż przez lata wydawane decyzje ustalające tereny zamknięte, nie zawsze zostały prawidłowo przekazane pomiędzy organami. Również dokonywane nowelizacje ustawy z dnia 4 września 1997 r. o działach administracji rządowej (Dz. U. z 2024 r. poz. 1370, ze zm.), często rozbiły kompetencje organów w zakresie właściwości konkretnych terenów zamkniętych. Wydłużenie wskazanego okresu, skutkować będzie usystematyzowaniem nadzorowanych trenów zamkniętych oraz przygotowaniem kompleksowych decyzji (które często rozbite są na wiele pojedynczych);</w:t>
            </w:r>
          </w:p>
          <w:p w14:paraId="618E7B40" w14:textId="77777777" w:rsidR="00A1261B" w:rsidRPr="0037774A" w:rsidRDefault="00A1261B" w:rsidP="00EE6CCF">
            <w:pPr>
              <w:pStyle w:val="Teksttreci0"/>
              <w:numPr>
                <w:ilvl w:val="0"/>
                <w:numId w:val="27"/>
              </w:numPr>
              <w:shd w:val="clear" w:color="auto" w:fill="auto"/>
              <w:tabs>
                <w:tab w:val="left" w:pos="411"/>
              </w:tabs>
              <w:spacing w:before="120" w:after="120"/>
              <w:ind w:left="411" w:right="139" w:hanging="279"/>
              <w:rPr>
                <w:rFonts w:ascii="Lato" w:hAnsi="Lato"/>
                <w:sz w:val="18"/>
                <w:szCs w:val="18"/>
              </w:rPr>
            </w:pPr>
            <w:r w:rsidRPr="0037774A">
              <w:rPr>
                <w:rFonts w:ascii="Lato" w:hAnsi="Lato"/>
                <w:sz w:val="18"/>
                <w:szCs w:val="18"/>
              </w:rPr>
              <w:t xml:space="preserve">Alternatywnie zawarcie w przedmiotowym art. regulacji uprawniającej organ do przedłużeniu pierwotnego terminu (np. o kolejne 90 dni) na </w:t>
            </w:r>
            <w:r w:rsidRPr="0037774A">
              <w:rPr>
                <w:rFonts w:ascii="Lato" w:hAnsi="Lato"/>
                <w:sz w:val="18"/>
                <w:szCs w:val="18"/>
              </w:rPr>
              <w:lastRenderedPageBreak/>
              <w:t>wydanie decyzji, jednocześnie pozostawiając w mocy decyzje wcześniej wydaną;</w:t>
            </w:r>
          </w:p>
          <w:p w14:paraId="0CCCA609" w14:textId="57C5E90B" w:rsidR="00A1261B" w:rsidRPr="0037774A" w:rsidRDefault="00A1261B" w:rsidP="00EE6CCF">
            <w:pPr>
              <w:pStyle w:val="Teksttreci0"/>
              <w:numPr>
                <w:ilvl w:val="0"/>
                <w:numId w:val="27"/>
              </w:numPr>
              <w:shd w:val="clear" w:color="auto" w:fill="auto"/>
              <w:tabs>
                <w:tab w:val="left" w:pos="411"/>
              </w:tabs>
              <w:spacing w:before="120" w:after="120"/>
              <w:ind w:left="411" w:right="139" w:hanging="279"/>
              <w:rPr>
                <w:rFonts w:ascii="Lato" w:hAnsi="Lato"/>
                <w:sz w:val="18"/>
                <w:szCs w:val="18"/>
              </w:rPr>
            </w:pPr>
            <w:r w:rsidRPr="0037774A">
              <w:rPr>
                <w:rFonts w:ascii="Lato" w:hAnsi="Lato"/>
                <w:sz w:val="18"/>
                <w:szCs w:val="18"/>
              </w:rPr>
              <w:t>Dodatkowo obecne tereny zamknięte zostały ustalone w drodze decyzji wydanej przez organ. Proponujemy, aby ewentualne ich „zniesienie” po wskazanym okresie, nastąpiło analogicznie w drodze decyzji organu.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20A4DDC" w14:textId="77777777" w:rsidR="00A1261B" w:rsidRPr="0037774A"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C4EC97F" w14:textId="60110994"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397E5C">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397E5C">
              <w:rPr>
                <w:rFonts w:ascii="Lato" w:eastAsia="Arial" w:hAnsi="Lato" w:cs="Arial"/>
                <w:sz w:val="18"/>
                <w:szCs w:val="18"/>
              </w:rPr>
              <w:t>zagadnienia ustanawiania i znoszenia terenów zamkniętych.</w:t>
            </w:r>
          </w:p>
        </w:tc>
      </w:tr>
      <w:tr w:rsidR="00A1261B" w:rsidRPr="0037774A" w14:paraId="35967F85"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B51DA5D"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E32E7EB" w14:textId="090D7047" w:rsidR="00A1261B" w:rsidRPr="005A61A3" w:rsidRDefault="00A1261B" w:rsidP="00EE6CCF">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Ministerstwo Spraw Wewnętrznych i Administracji</w:t>
            </w:r>
          </w:p>
        </w:tc>
        <w:tc>
          <w:tcPr>
            <w:tcW w:w="4536" w:type="dxa"/>
            <w:tcBorders>
              <w:top w:val="single" w:sz="4" w:space="0" w:color="auto"/>
              <w:left w:val="single" w:sz="4" w:space="0" w:color="auto"/>
              <w:bottom w:val="single" w:sz="4" w:space="0" w:color="auto"/>
            </w:tcBorders>
            <w:shd w:val="clear" w:color="auto" w:fill="FFFFFF"/>
          </w:tcPr>
          <w:p w14:paraId="71F7FCCF" w14:textId="6398F702" w:rsidR="00A1261B" w:rsidRPr="005A61A3" w:rsidRDefault="00A1261B" w:rsidP="00EE6CCF">
            <w:pPr>
              <w:pStyle w:val="Teksttreci0"/>
              <w:shd w:val="clear" w:color="auto" w:fill="auto"/>
              <w:tabs>
                <w:tab w:val="left" w:pos="319"/>
              </w:tabs>
              <w:spacing w:before="120" w:after="120"/>
              <w:ind w:left="132" w:right="139"/>
              <w:rPr>
                <w:rFonts w:ascii="Lato" w:hAnsi="Lato"/>
                <w:sz w:val="18"/>
                <w:szCs w:val="18"/>
              </w:rPr>
            </w:pPr>
            <w:r w:rsidRPr="005A61A3">
              <w:rPr>
                <w:rFonts w:ascii="Lato" w:hAnsi="Lato" w:cstheme="minorHAnsi"/>
                <w:sz w:val="18"/>
                <w:szCs w:val="18"/>
              </w:rPr>
              <w:t xml:space="preserve">wątpliwości budzi redakcja projektowanego art. 3 ust. 1, gdzie pominięty został  m.in. Komendant Główny Straży Granicznej, co – jak się wydaje – pozostaje w sprzeczności z brzmieniem nowododawanego art. 4b ust. 1 ustawy – </w:t>
            </w:r>
            <w:r w:rsidRPr="005A61A3">
              <w:rPr>
                <w:rFonts w:ascii="Lato" w:hAnsi="Lato" w:cstheme="minorHAnsi"/>
                <w:i/>
                <w:sz w:val="18"/>
                <w:szCs w:val="18"/>
              </w:rPr>
              <w:t>Prawo geodezyjne i kartograficzne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1AA7441" w14:textId="77777777" w:rsidR="00A1261B" w:rsidRPr="005A61A3"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FF99A05" w14:textId="66285739"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397E5C">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397E5C">
              <w:rPr>
                <w:rFonts w:ascii="Lato" w:eastAsia="Arial" w:hAnsi="Lato" w:cs="Arial"/>
                <w:sz w:val="18"/>
                <w:szCs w:val="18"/>
              </w:rPr>
              <w:t>zagadnienia ustanawiania i znoszenia terenów zamkniętych.</w:t>
            </w:r>
          </w:p>
        </w:tc>
      </w:tr>
      <w:tr w:rsidR="00A1261B" w:rsidRPr="0037774A" w14:paraId="70770CA4"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9A6D2A7"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FEC397E" w14:textId="7E48EFCC" w:rsidR="00A1261B" w:rsidRPr="005A61A3" w:rsidRDefault="00A1261B" w:rsidP="00EE6CCF">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Ministerstwo Spraw Wewnętrznych i Administracji</w:t>
            </w:r>
          </w:p>
        </w:tc>
        <w:tc>
          <w:tcPr>
            <w:tcW w:w="4536" w:type="dxa"/>
            <w:tcBorders>
              <w:top w:val="single" w:sz="4" w:space="0" w:color="auto"/>
              <w:left w:val="single" w:sz="4" w:space="0" w:color="auto"/>
              <w:bottom w:val="single" w:sz="4" w:space="0" w:color="auto"/>
            </w:tcBorders>
            <w:shd w:val="clear" w:color="auto" w:fill="FFFFFF"/>
          </w:tcPr>
          <w:p w14:paraId="64667508" w14:textId="4F2470C6" w:rsidR="00A1261B" w:rsidRPr="005A61A3" w:rsidRDefault="00A1261B" w:rsidP="00EE6CCF">
            <w:pPr>
              <w:pStyle w:val="Teksttreci0"/>
              <w:shd w:val="clear" w:color="auto" w:fill="auto"/>
              <w:tabs>
                <w:tab w:val="left" w:pos="319"/>
              </w:tabs>
              <w:spacing w:before="120" w:after="120"/>
              <w:ind w:left="132" w:right="139"/>
              <w:rPr>
                <w:rFonts w:ascii="Lato" w:hAnsi="Lato"/>
                <w:sz w:val="18"/>
                <w:szCs w:val="18"/>
              </w:rPr>
            </w:pPr>
            <w:r w:rsidRPr="005A61A3">
              <w:rPr>
                <w:rFonts w:ascii="Lato" w:hAnsi="Lato" w:cs="Lato-Regular"/>
                <w:sz w:val="18"/>
                <w:szCs w:val="18"/>
              </w:rPr>
              <w:t>zasadnym jest rozważenie wydłużenia terminu wejścia w życie przepisów, o których mowa w art. 1 pkt 3, do co najmniej sześciu miesięcy – analogicznie jak ma to miejsce w zakresie art. 19 pkt 1 projektu – uzasadnione jest to tym, że projektowana regulacja będzie rodziła skutki finansowe dla jej adresatów;</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9A4A114" w14:textId="77777777" w:rsidR="00A1261B" w:rsidRPr="005A61A3"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42592A1" w14:textId="0877EF13"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7D0F12">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7D0F12">
              <w:rPr>
                <w:rFonts w:ascii="Lato" w:eastAsia="Arial" w:hAnsi="Lato" w:cs="Arial"/>
                <w:sz w:val="18"/>
                <w:szCs w:val="18"/>
              </w:rPr>
              <w:t>zagadnienia ustanawiania i znoszenia terenów zamkniętych.</w:t>
            </w:r>
          </w:p>
        </w:tc>
      </w:tr>
      <w:tr w:rsidR="00A1261B" w:rsidRPr="0037774A" w14:paraId="2E821B8F"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222CEDD6"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0ACE0C4" w14:textId="44074BF3" w:rsidR="00A1261B" w:rsidRPr="005A61A3" w:rsidRDefault="00A1261B" w:rsidP="00EE6CCF">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Ministerstwo Spraw Wewnętrznych i Administracji</w:t>
            </w:r>
          </w:p>
        </w:tc>
        <w:tc>
          <w:tcPr>
            <w:tcW w:w="4536" w:type="dxa"/>
            <w:tcBorders>
              <w:top w:val="single" w:sz="4" w:space="0" w:color="auto"/>
              <w:left w:val="single" w:sz="4" w:space="0" w:color="auto"/>
              <w:bottom w:val="single" w:sz="4" w:space="0" w:color="auto"/>
            </w:tcBorders>
            <w:shd w:val="clear" w:color="auto" w:fill="FFFFFF"/>
          </w:tcPr>
          <w:p w14:paraId="7337979E" w14:textId="66F971F5" w:rsidR="00A1261B" w:rsidRPr="005A61A3" w:rsidRDefault="00A1261B" w:rsidP="00EE6CCF">
            <w:pPr>
              <w:pStyle w:val="Teksttreci0"/>
              <w:shd w:val="clear" w:color="auto" w:fill="auto"/>
              <w:tabs>
                <w:tab w:val="left" w:pos="319"/>
              </w:tabs>
              <w:spacing w:before="120" w:after="120"/>
              <w:ind w:left="132" w:right="139"/>
              <w:rPr>
                <w:rFonts w:ascii="Lato" w:hAnsi="Lato"/>
                <w:sz w:val="18"/>
                <w:szCs w:val="18"/>
              </w:rPr>
            </w:pPr>
            <w:r w:rsidRPr="005A61A3">
              <w:rPr>
                <w:rFonts w:ascii="Lato" w:hAnsi="Lato" w:cs="Lato-Regular"/>
                <w:sz w:val="18"/>
                <w:szCs w:val="18"/>
              </w:rPr>
              <w:t xml:space="preserve">projektowane regulacje mogą również rodzić skutki finansowane m.in. dla budżetu Straży Granicznej, z uwagi na niemożliwą do określenia na ten moment liczbę terenów zamkniętych I </w:t>
            </w:r>
            <w:proofErr w:type="spellStart"/>
            <w:r w:rsidRPr="005A61A3">
              <w:rPr>
                <w:rFonts w:ascii="Lato" w:hAnsi="Lato" w:cs="Lato-Regular"/>
                <w:sz w:val="18"/>
                <w:szCs w:val="18"/>
              </w:rPr>
              <w:t>i</w:t>
            </w:r>
            <w:proofErr w:type="spellEnd"/>
            <w:r w:rsidRPr="005A61A3">
              <w:rPr>
                <w:rFonts w:ascii="Lato" w:hAnsi="Lato" w:cs="Lato-Regular"/>
                <w:sz w:val="18"/>
                <w:szCs w:val="18"/>
              </w:rPr>
              <w:t xml:space="preserve"> II kategorii, które mogą zostać ustanowione na podstawie projektowanych przepisów. Decyzja odnośnie wyboru kategorii (a więc i zakresu ochrony danych) dla terenu zamkniętego będzie należała do podmiotu, który ten teren ustanowi. W terminie 90 dni od dnia wejścia przepisów, Komendant Główny Straży Granicznej będzie zobligowany do wydania nowych decyzji o uznaniu terenu za zamknięty (dotychczasowe utracą moc). Może to spowodować skutki finansowe np. w zakresie uzyskania map, wypisów i wyrysów oraz danych kartograficznych. Wprowadzana projektem ustawy waloryzacja opłat za sporządzenie i wydanie wypisów oraz wyrysów z operatu ewidencyjnego, udostępnianie zbiorów aktów notarialnych oraz orzeczeń sądowych spowoduje wzrost opłat, co będzie dodatkowym obciążeniem budżetu Straży Granicznej, niemożliwym w tej chwili do oszacowania – jest to zależne od potrzeb poszczególnych jednostek organizacyjnych Straży Granicznej. Dodatkowo obowiązek prowadzenia odrębnych baz danych, zawierających dane wskazane w art. 4 ust. 1a </w:t>
            </w:r>
            <w:r w:rsidRPr="005A61A3">
              <w:rPr>
                <w:rFonts w:ascii="Lato" w:hAnsi="Lato" w:cs="Lato-Regular"/>
                <w:i/>
                <w:sz w:val="18"/>
                <w:szCs w:val="18"/>
              </w:rPr>
              <w:t xml:space="preserve">ustawy – Prawo </w:t>
            </w:r>
            <w:r w:rsidRPr="005A61A3">
              <w:rPr>
                <w:rFonts w:ascii="Lato" w:hAnsi="Lato" w:cs="Lato-Regular"/>
                <w:i/>
                <w:sz w:val="18"/>
                <w:szCs w:val="18"/>
              </w:rPr>
              <w:lastRenderedPageBreak/>
              <w:t>geodezyjne i kartograficzne</w:t>
            </w:r>
            <w:r w:rsidRPr="005A61A3">
              <w:rPr>
                <w:rFonts w:ascii="Lato" w:hAnsi="Lato" w:cs="Lato-Regular"/>
                <w:sz w:val="18"/>
                <w:szCs w:val="18"/>
              </w:rPr>
              <w:t xml:space="preserve"> (m.in. ewidencja gruntów i budynków, geodezyjna ewidencja sieci uzbrojenia terenu, obiekty topograficzne w szczegółowości zapewniającej tworzenie standardowych opracowań kartograficznych w skalach 1:10000-1:100000, w tym kartograficznych opracowań numerycznego modelu rzeźby terenu) wiązać się będzie z koniecznością podniesienia nakładów finansowych związanych m.in. z zakupem lub przystosowaniem odpowiedniej infrastruktury informatycznej do prowadzenia baz oraz zatrudnieniem wykwalifikowanego personelu do ich obsługi – szczegółowość zadań nałożonych na podmiot prowadzący ww. bazy wyklucza, aby realizować je mogły osoby bez gruntownego wykształcenia w tym zakresie (w resorcie spraw wewnętrznych i administracji trwa szacowanie kosztów tego przedsięwzięcia).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6C06F20" w14:textId="77777777" w:rsidR="00A1261B" w:rsidRPr="005A61A3"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F3DBCD5" w14:textId="414C3C3B"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7D0F12">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7D0F12">
              <w:rPr>
                <w:rFonts w:ascii="Lato" w:eastAsia="Arial" w:hAnsi="Lato" w:cs="Arial"/>
                <w:sz w:val="18"/>
                <w:szCs w:val="18"/>
              </w:rPr>
              <w:t>zagadnienia ustanawiania i znoszenia terenów zamkniętych.</w:t>
            </w:r>
          </w:p>
        </w:tc>
      </w:tr>
      <w:tr w:rsidR="00A1261B" w:rsidRPr="0037774A" w14:paraId="5373D68B"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068113E"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36A5EA0" w14:textId="0A95A531" w:rsidR="00A1261B" w:rsidRPr="005A61A3" w:rsidRDefault="00A1261B" w:rsidP="00EE6CCF">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29EEEC78" w14:textId="77777777" w:rsidR="00A1261B" w:rsidRPr="005A61A3" w:rsidRDefault="00A1261B" w:rsidP="00EE6CCF">
            <w:pPr>
              <w:pStyle w:val="Inne0"/>
              <w:spacing w:before="120" w:after="120"/>
              <w:ind w:left="138" w:right="274"/>
              <w:rPr>
                <w:rFonts w:ascii="Lato" w:eastAsia="Arial" w:hAnsi="Lato" w:cs="Arial"/>
                <w:b/>
                <w:sz w:val="18"/>
                <w:szCs w:val="18"/>
              </w:rPr>
            </w:pPr>
            <w:r w:rsidRPr="005A61A3">
              <w:rPr>
                <w:rFonts w:ascii="Lato" w:eastAsia="Arial" w:hAnsi="Lato" w:cs="Arial"/>
                <w:sz w:val="18"/>
                <w:szCs w:val="18"/>
              </w:rPr>
              <w:t xml:space="preserve">W art. 1 pkt 1 lit. c projektu ustawy w art. 2 pkt 9 ustawy z dnia 17 maja 1989 r. - Prawo geodezyjne i kartograficzne, zwanej dalej „zmienianą ustawą”, zaproponowano nową definicję terenów zamkniętych, zgodnie z którą przez tereny te należy rozumieć grunty, które zostały przeznaczone na cele bezpieczeństwa lub obronności państwa i ustalone przez uprawnione organy. Natomiast zgodnie z dodawanym art. 4a ust. 5 pkt 2 zmienianej ustawy (art. 1 pkt 3 projektu ustawy) tereny zamknięte II kategorii mogą zostać ustalone m.in. na gruntach, na których zlokalizowane są obiekty lub infrastruktura, o których mowa w art. 5 ust. 2 pkt 2 i 4 ustawy z dnia 22 sierpnia 1997 r. o ochronie osób i mienia. Przepis art. 5 ust. 2 pkt 2 ustawy z dnia 22 sierpnia 1997 r. o </w:t>
            </w:r>
            <w:r w:rsidRPr="00BC7438">
              <w:rPr>
                <w:rFonts w:ascii="Lato" w:eastAsia="Arial" w:hAnsi="Lato" w:cs="Arial"/>
                <w:sz w:val="18"/>
                <w:szCs w:val="18"/>
              </w:rPr>
              <w:t>ochronie osób i mienia określa obszary, obiekty i urządzenia ważne w zakresie ochrony interesu gospodarczego państwa, natomiast pkt 4 tego ustępu - obszary, obiekty i urządzenia ważne w zakresie ochrony innych ważnych interesów państwa, np. obiekty i urządzenia telekomunikacyjne, pocztowe oraz telewizyjne i radiowe, muzea i inne obiekty, w których zgromadzone są dobra</w:t>
            </w:r>
            <w:r w:rsidRPr="005A61A3">
              <w:rPr>
                <w:rFonts w:ascii="Lato" w:eastAsia="Arial" w:hAnsi="Lato" w:cs="Arial"/>
                <w:sz w:val="18"/>
                <w:szCs w:val="18"/>
              </w:rPr>
              <w:t xml:space="preserve"> kultury narodowej. Z powyższego wynika, że cel ustalania terenów zamkniętych wynikający z przepisów materialnych </w:t>
            </w:r>
            <w:r w:rsidRPr="005A61A3">
              <w:rPr>
                <w:rFonts w:ascii="Lato" w:eastAsia="Arial" w:hAnsi="Lato" w:cs="Arial"/>
                <w:i/>
                <w:iCs/>
                <w:sz w:val="18"/>
                <w:szCs w:val="18"/>
              </w:rPr>
              <w:t>de facto</w:t>
            </w:r>
            <w:r w:rsidRPr="005A61A3">
              <w:rPr>
                <w:rFonts w:ascii="Lato" w:eastAsia="Arial" w:hAnsi="Lato" w:cs="Arial"/>
                <w:sz w:val="18"/>
                <w:szCs w:val="18"/>
              </w:rPr>
              <w:t xml:space="preserve"> jest szerszy niż cel ich przeznaczenia określony literalnie w zaproponowanej definicji terenów zamkniętych, tj. wykracza poza wskazane </w:t>
            </w:r>
            <w:r w:rsidRPr="005A61A3">
              <w:rPr>
                <w:rFonts w:ascii="Lato" w:eastAsia="Arial" w:hAnsi="Lato" w:cs="Arial"/>
                <w:sz w:val="18"/>
                <w:szCs w:val="18"/>
              </w:rPr>
              <w:lastRenderedPageBreak/>
              <w:t xml:space="preserve">w definicji cele bezpieczeństwa lub obronności państwa. W związku z powyższym należy ponownie przeanalizować projektowane przepisy materialne w kontekście ww. definicji oraz </w:t>
            </w:r>
            <w:proofErr w:type="spellStart"/>
            <w:r w:rsidRPr="005A61A3">
              <w:rPr>
                <w:rFonts w:ascii="Lato" w:eastAsia="Arial" w:hAnsi="Lato" w:cs="Arial"/>
                <w:sz w:val="18"/>
                <w:szCs w:val="18"/>
              </w:rPr>
              <w:t>uspójnić</w:t>
            </w:r>
            <w:proofErr w:type="spellEnd"/>
            <w:r w:rsidRPr="005A61A3">
              <w:rPr>
                <w:rFonts w:ascii="Lato" w:eastAsia="Arial" w:hAnsi="Lato" w:cs="Arial"/>
                <w:sz w:val="18"/>
                <w:szCs w:val="18"/>
              </w:rPr>
              <w:t xml:space="preserve"> proponowane regulacje.</w:t>
            </w:r>
          </w:p>
          <w:p w14:paraId="62BCF791" w14:textId="4DF27CC1" w:rsidR="00A1261B" w:rsidRPr="005A61A3" w:rsidRDefault="00A1261B" w:rsidP="00EE6CCF">
            <w:pPr>
              <w:pStyle w:val="Teksttreci0"/>
              <w:shd w:val="clear" w:color="auto" w:fill="auto"/>
              <w:tabs>
                <w:tab w:val="left" w:pos="319"/>
              </w:tabs>
              <w:spacing w:before="120" w:after="120"/>
              <w:ind w:left="132" w:right="139"/>
              <w:rPr>
                <w:rFonts w:ascii="Lato" w:hAnsi="Lato"/>
                <w:sz w:val="18"/>
                <w:szCs w:val="18"/>
              </w:rPr>
            </w:pPr>
            <w:r w:rsidRPr="005A61A3">
              <w:rPr>
                <w:rFonts w:ascii="Lato" w:eastAsia="Arial" w:hAnsi="Lato" w:cs="Arial"/>
                <w:sz w:val="18"/>
                <w:szCs w:val="18"/>
              </w:rPr>
              <w:t>Ponadto zauważa się, że w projektowanym art. 4a ust. 3 i 5 jest mowa o obiektach i infrastrukturze, natomiast w przepisach, do których następuje odesłanie w ww. ustępach jest mowa o obszarach, obiektach, urządzeniach, systemach. Terminologia stosowana w przepisach, w których jest zawarte odesłanie, oraz w przepisach, do których się odsyła, powinna być spójna.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6724E8B" w14:textId="77777777" w:rsidR="00A1261B" w:rsidRPr="005A61A3"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8320EF0" w14:textId="790FD300"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B27D69">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B27D69">
              <w:rPr>
                <w:rFonts w:ascii="Lato" w:eastAsia="Arial" w:hAnsi="Lato" w:cs="Arial"/>
                <w:sz w:val="18"/>
                <w:szCs w:val="18"/>
              </w:rPr>
              <w:t>zagadnienia ustanawiania i znoszenia terenów zamkniętych.</w:t>
            </w:r>
          </w:p>
        </w:tc>
      </w:tr>
      <w:tr w:rsidR="00A1261B" w:rsidRPr="0037774A" w14:paraId="060B18CB"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DFA65AB" w14:textId="77777777" w:rsidR="00A1261B" w:rsidRPr="0037774A" w:rsidRDefault="00A1261B" w:rsidP="00EE6CCF">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A1B1C6D" w14:textId="6AA8C4B0" w:rsidR="00A1261B" w:rsidRPr="005A61A3" w:rsidRDefault="00A1261B" w:rsidP="00EE6CCF">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6D1E4A20" w14:textId="678E8633" w:rsidR="00A1261B" w:rsidRPr="005A61A3" w:rsidRDefault="00A1261B" w:rsidP="00EE6CCF">
            <w:pPr>
              <w:pStyle w:val="Teksttreci0"/>
              <w:shd w:val="clear" w:color="auto" w:fill="auto"/>
              <w:tabs>
                <w:tab w:val="left" w:pos="319"/>
              </w:tabs>
              <w:spacing w:before="120" w:after="120"/>
              <w:ind w:left="132" w:right="139"/>
              <w:rPr>
                <w:rFonts w:ascii="Lato" w:hAnsi="Lato"/>
                <w:sz w:val="18"/>
                <w:szCs w:val="18"/>
              </w:rPr>
            </w:pPr>
            <w:r w:rsidRPr="005A61A3">
              <w:rPr>
                <w:rFonts w:ascii="Lato" w:eastAsia="Arial" w:hAnsi="Lato" w:cs="Arial"/>
                <w:sz w:val="18"/>
                <w:szCs w:val="18"/>
              </w:rPr>
              <w:t xml:space="preserve">W art. 1 pkt 1 lit. d projektu ustawy w art. 2 zmienianej ustawy została dodana w pkt 9a definicja rejestru terenów zamkniętych rozumiana jako rejestr publiczny prowadzony w systemie teleinformatycznym przez Ministra Obrony Narodowej, zawierający </w:t>
            </w:r>
            <w:r w:rsidRPr="005A61A3">
              <w:rPr>
                <w:rFonts w:ascii="Lato" w:eastAsia="Arial" w:hAnsi="Lato" w:cs="Arial"/>
                <w:sz w:val="18"/>
                <w:szCs w:val="18"/>
                <w:u w:val="single"/>
              </w:rPr>
              <w:t>w szczególności</w:t>
            </w:r>
            <w:r w:rsidRPr="005A61A3">
              <w:rPr>
                <w:rFonts w:ascii="Lato" w:eastAsia="Arial" w:hAnsi="Lato" w:cs="Arial"/>
                <w:sz w:val="18"/>
                <w:szCs w:val="18"/>
              </w:rPr>
              <w:t xml:space="preserve"> informacje o granicach terenów zamkniętych w postaci wektorowej w obowiązującym państwowym systemie odniesień przestrzennych. Należy jednak zauważyć, że definicja ta, zawierając wyraz „w szczególności”, jest nieprecyzyjna i niekompletna. Ponadto ze względu na to, że w projektowanych przepisach ustawy zmienianej (art. 4d ust. 1 i ust. 8 pkt 1) zawarto regulacje dotyczące zawartości rejestru terenów zamkniętych wydaje się ona być zbędna. Tym samym projektowana definicja wymaga ponownej analizy i skorygowania w ww. zakresie.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E0EA73C" w14:textId="77777777" w:rsidR="00A1261B" w:rsidRPr="005A61A3" w:rsidRDefault="00A1261B" w:rsidP="00EE6CCF">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2AB05D2" w14:textId="022A33DF" w:rsidR="00A1261B" w:rsidRPr="0037774A" w:rsidRDefault="00A1261B" w:rsidP="00EE6CCF">
            <w:pPr>
              <w:pStyle w:val="Inne0"/>
              <w:shd w:val="clear" w:color="auto" w:fill="auto"/>
              <w:spacing w:before="120" w:after="120"/>
              <w:ind w:left="131" w:right="138"/>
              <w:rPr>
                <w:rFonts w:ascii="Lato" w:eastAsia="Arial" w:hAnsi="Lato" w:cs="Arial"/>
                <w:sz w:val="18"/>
                <w:szCs w:val="18"/>
              </w:rPr>
            </w:pPr>
            <w:r w:rsidRPr="00B27D69">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B27D69">
              <w:rPr>
                <w:rFonts w:ascii="Lato" w:eastAsia="Arial" w:hAnsi="Lato" w:cs="Arial"/>
                <w:sz w:val="18"/>
                <w:szCs w:val="18"/>
              </w:rPr>
              <w:t>zagadnienia ustanawiania i znoszenia terenów zamkniętych.</w:t>
            </w:r>
          </w:p>
        </w:tc>
      </w:tr>
      <w:tr w:rsidR="00A1261B" w:rsidRPr="0037774A" w14:paraId="325EDE18"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2C2CC81"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62C69E0" w14:textId="61BF52CE"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60E67756" w14:textId="03D8817B"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eastAsia="Arial" w:hAnsi="Lato" w:cs="Arial"/>
                <w:sz w:val="18"/>
                <w:szCs w:val="18"/>
              </w:rPr>
              <w:t xml:space="preserve">W art. 1 pkt 1 lit. f projektu ustawy w art. 2 pkt 12 zmienianej ustawy w zaproponowanym brzmieniu definicji gleboznawczej klasyfikacji gruntów rozumianej jako podział gruntów rolnych na klasy bonitacyjne ze względu na wartość produkcyjną gleb, ustaloną na podstawie ich cech morfologicznych, właściwości fizycznych i chemicznych oraz </w:t>
            </w:r>
            <w:r w:rsidRPr="005A61A3">
              <w:rPr>
                <w:rFonts w:ascii="Lato" w:eastAsia="Arial" w:hAnsi="Lato" w:cs="Arial"/>
                <w:sz w:val="18"/>
                <w:szCs w:val="18"/>
                <w:u w:val="single"/>
              </w:rPr>
              <w:t>innych uwarunkowań środowiskowych</w:t>
            </w:r>
            <w:r w:rsidRPr="005A61A3">
              <w:rPr>
                <w:rFonts w:ascii="Lato" w:eastAsia="Arial" w:hAnsi="Lato" w:cs="Arial"/>
                <w:sz w:val="18"/>
                <w:szCs w:val="18"/>
              </w:rPr>
              <w:t xml:space="preserve"> takich jak klimat i rzeźba terenu, stosownie do zasady określoności przepisów prawa, należałoby doprecyzować, o jakie inne uwarunkowania środowiskowe poza klimatem i rzeźbą terenu chodzi.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47D0A98"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EBAFC9B"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05B6015C" w14:textId="4CAA19D8"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Kwestie te zostaną określone w akcie wykonawczym wydanym na podstawie projektowanego art. 26</w:t>
            </w:r>
            <w:r w:rsidR="00611566">
              <w:rPr>
                <w:rFonts w:ascii="Lato" w:eastAsia="Arial" w:hAnsi="Lato" w:cs="Arial"/>
                <w:sz w:val="18"/>
                <w:szCs w:val="18"/>
              </w:rPr>
              <w:t>g</w:t>
            </w:r>
            <w:r>
              <w:rPr>
                <w:rFonts w:ascii="Lato" w:eastAsia="Arial" w:hAnsi="Lato" w:cs="Arial"/>
                <w:sz w:val="18"/>
                <w:szCs w:val="18"/>
              </w:rPr>
              <w:t xml:space="preserve"> ustawy </w:t>
            </w:r>
            <w:proofErr w:type="spellStart"/>
            <w:r w:rsidR="00611566">
              <w:rPr>
                <w:rFonts w:ascii="Lato" w:eastAsia="Arial" w:hAnsi="Lato" w:cs="Arial"/>
                <w:sz w:val="18"/>
                <w:szCs w:val="18"/>
              </w:rPr>
              <w:t>PGiK</w:t>
            </w:r>
            <w:proofErr w:type="spellEnd"/>
            <w:r>
              <w:rPr>
                <w:rFonts w:ascii="Lato" w:eastAsia="Arial" w:hAnsi="Lato" w:cs="Arial"/>
                <w:sz w:val="18"/>
                <w:szCs w:val="18"/>
              </w:rPr>
              <w:t xml:space="preserve">, który będzie określał </w:t>
            </w:r>
            <w:r w:rsidRPr="00136704">
              <w:rPr>
                <w:rFonts w:ascii="Lato" w:eastAsia="Arial" w:hAnsi="Lato" w:cs="Arial"/>
                <w:sz w:val="18"/>
                <w:szCs w:val="18"/>
              </w:rPr>
              <w:t>szczegółowy sposób przeprowadzania gleboznawczej klasyfikacji gruntów</w:t>
            </w:r>
            <w:r>
              <w:rPr>
                <w:rFonts w:ascii="Lato" w:eastAsia="Arial" w:hAnsi="Lato" w:cs="Arial"/>
                <w:sz w:val="18"/>
                <w:szCs w:val="18"/>
              </w:rPr>
              <w:t xml:space="preserve"> </w:t>
            </w:r>
            <w:r w:rsidRPr="00136704">
              <w:rPr>
                <w:rFonts w:ascii="Lato" w:eastAsia="Arial" w:hAnsi="Lato" w:cs="Arial"/>
                <w:sz w:val="18"/>
                <w:szCs w:val="18"/>
              </w:rPr>
              <w:t xml:space="preserve">mając na celu wykonanie prawidłowego podziału gruntów rolnych na klasy bonitacyjne ze względu na wartość produkcyjną gleb, ustaloną na podstawie cech morfologicznych gleb, ich właściwości fizycznych i chemicznych oraz innych uwarunkowań środowiskowych takich jak klimat i rzeźba terenu, oraz zapewnienie prawidłowego poziomu merytorycznego wykonywania gleboznawczej klasyfikacji gruntów, uwzględniając proces cyfryzacji danych państwowego zasobu </w:t>
            </w:r>
            <w:r w:rsidRPr="00136704">
              <w:rPr>
                <w:rFonts w:ascii="Lato" w:eastAsia="Arial" w:hAnsi="Lato" w:cs="Arial"/>
                <w:sz w:val="18"/>
                <w:szCs w:val="18"/>
              </w:rPr>
              <w:lastRenderedPageBreak/>
              <w:t>geodezyjnego i kartograficznego</w:t>
            </w:r>
            <w:r>
              <w:rPr>
                <w:rFonts w:ascii="Lato" w:eastAsia="Arial" w:hAnsi="Lato" w:cs="Arial"/>
                <w:sz w:val="18"/>
                <w:szCs w:val="18"/>
              </w:rPr>
              <w:t>.</w:t>
            </w:r>
          </w:p>
        </w:tc>
      </w:tr>
      <w:tr w:rsidR="00A1261B" w:rsidRPr="0037774A" w14:paraId="7C04B27B"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C7B16FB"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92D9A57" w14:textId="23EBFA97"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2EF94175" w14:textId="77777777" w:rsidR="00A1261B" w:rsidRPr="005A61A3" w:rsidRDefault="00A1261B" w:rsidP="009B06B7">
            <w:pPr>
              <w:pStyle w:val="Inne0"/>
              <w:shd w:val="clear" w:color="auto" w:fill="auto"/>
              <w:spacing w:before="120" w:after="120"/>
              <w:ind w:left="138" w:right="274"/>
              <w:rPr>
                <w:rFonts w:ascii="Lato" w:eastAsia="Arial" w:hAnsi="Lato" w:cs="Arial"/>
                <w:sz w:val="18"/>
                <w:szCs w:val="18"/>
              </w:rPr>
            </w:pPr>
            <w:r w:rsidRPr="005A61A3">
              <w:rPr>
                <w:rFonts w:ascii="Lato" w:eastAsia="Arial" w:hAnsi="Lato" w:cs="Arial"/>
                <w:sz w:val="18"/>
                <w:szCs w:val="18"/>
              </w:rPr>
              <w:t xml:space="preserve">Upoważnienia do wydania aktów wykonawczych sformułowane w dodawanych art. 4a ust. 2 (art. 1 </w:t>
            </w:r>
            <w:proofErr w:type="spellStart"/>
            <w:r w:rsidRPr="005A61A3">
              <w:rPr>
                <w:rFonts w:ascii="Lato" w:eastAsia="Arial" w:hAnsi="Lato" w:cs="Arial"/>
                <w:sz w:val="18"/>
                <w:szCs w:val="18"/>
              </w:rPr>
              <w:t>pk</w:t>
            </w:r>
            <w:proofErr w:type="spellEnd"/>
            <w:r w:rsidRPr="005A61A3">
              <w:rPr>
                <w:rFonts w:ascii="Lato" w:eastAsia="Arial" w:hAnsi="Lato" w:cs="Arial"/>
                <w:sz w:val="18"/>
                <w:szCs w:val="18"/>
              </w:rPr>
              <w:t xml:space="preserve"> 3 projektu ustawy), art. 26f (art. 1 pkt 27 projektu ustawy) i art. 46oa (art. 1 pkt 72 projektu ustawy) budzą następują zastrzeżenia:</w:t>
            </w:r>
          </w:p>
          <w:p w14:paraId="2B50EDBD" w14:textId="77777777" w:rsidR="00A1261B" w:rsidRPr="005A61A3" w:rsidRDefault="00A1261B" w:rsidP="009B06B7">
            <w:pPr>
              <w:pStyle w:val="Teksttreci0"/>
              <w:numPr>
                <w:ilvl w:val="0"/>
                <w:numId w:val="33"/>
              </w:numPr>
              <w:shd w:val="clear" w:color="auto" w:fill="auto"/>
              <w:tabs>
                <w:tab w:val="left" w:pos="1032"/>
              </w:tabs>
              <w:spacing w:before="120" w:after="120"/>
              <w:ind w:left="553" w:right="274" w:hanging="415"/>
              <w:rPr>
                <w:rFonts w:ascii="Lato" w:hAnsi="Lato"/>
                <w:sz w:val="18"/>
                <w:szCs w:val="18"/>
              </w:rPr>
            </w:pPr>
            <w:r w:rsidRPr="005A61A3">
              <w:rPr>
                <w:rFonts w:ascii="Lato" w:hAnsi="Lato"/>
                <w:sz w:val="18"/>
                <w:szCs w:val="18"/>
              </w:rPr>
              <w:t xml:space="preserve">art. 1 pkt 3 projektu ustawy - w dodawanym art. 4a ust. 2 do zmienianej ustawy został określony przepis upoważniający, zgodnie z którym minister właściwy do spraw budownictwa, planowania i zagospodarowania przestrzennego oraz mieszkalnictwa w porozumieniu z Ministrem Obrony Narodowej oraz ministrem właściwym do spraw wewnętrznych określi, w drodze rozporządzenia m.in. </w:t>
            </w:r>
            <w:r w:rsidRPr="005A61A3">
              <w:rPr>
                <w:rFonts w:ascii="Lato" w:hAnsi="Lato"/>
                <w:sz w:val="18"/>
                <w:szCs w:val="18"/>
                <w:u w:val="single"/>
              </w:rPr>
              <w:t xml:space="preserve">sposób zastępowania informacji </w:t>
            </w:r>
            <w:r w:rsidRPr="005A61A3">
              <w:rPr>
                <w:rFonts w:ascii="Lato" w:hAnsi="Lato"/>
                <w:sz w:val="18"/>
                <w:szCs w:val="18"/>
              </w:rPr>
              <w:t xml:space="preserve">dotyczących terenów zamkniętych I kategorii w bazach danych, o których mowa w art. 4 ust. 1a pkt 11 jednak w projektowanej ustawie brak jest przepisów materialnych dotyczących </w:t>
            </w:r>
            <w:r w:rsidRPr="005A61A3">
              <w:rPr>
                <w:rFonts w:ascii="Lato" w:hAnsi="Lato"/>
                <w:sz w:val="18"/>
                <w:szCs w:val="18"/>
                <w:u w:val="single"/>
              </w:rPr>
              <w:t>zastępowania informacji</w:t>
            </w:r>
            <w:r w:rsidRPr="005A61A3">
              <w:rPr>
                <w:rFonts w:ascii="Lato" w:hAnsi="Lato"/>
                <w:sz w:val="18"/>
                <w:szCs w:val="18"/>
              </w:rPr>
              <w:t xml:space="preserve"> dotyczących terenów zamkniętych I kategorii w bazach danych, o których mowa w art. 4 ust. 1a pkt 11 co wymaga uzupełnienia;</w:t>
            </w:r>
          </w:p>
          <w:p w14:paraId="25F9ECA2" w14:textId="77777777" w:rsidR="00A1261B" w:rsidRDefault="00A1261B" w:rsidP="00070C87">
            <w:pPr>
              <w:pStyle w:val="Teksttreci0"/>
              <w:numPr>
                <w:ilvl w:val="0"/>
                <w:numId w:val="33"/>
              </w:numPr>
              <w:shd w:val="clear" w:color="auto" w:fill="auto"/>
              <w:tabs>
                <w:tab w:val="left" w:pos="1032"/>
              </w:tabs>
              <w:spacing w:before="120" w:after="120"/>
              <w:ind w:left="553" w:right="274" w:hanging="415"/>
              <w:rPr>
                <w:rFonts w:ascii="Lato" w:hAnsi="Lato"/>
                <w:sz w:val="18"/>
                <w:szCs w:val="18"/>
              </w:rPr>
            </w:pPr>
            <w:r w:rsidRPr="005A61A3">
              <w:rPr>
                <w:rFonts w:ascii="Lato" w:hAnsi="Lato"/>
                <w:sz w:val="18"/>
                <w:szCs w:val="18"/>
              </w:rPr>
              <w:t>w art. 1 pkt 27 projektu ustawy w dodawanym art. 26f został określony przepis upoważniający, zgodnie z którym minister właściwy do spraw rozwoju wsi, w porozumieniu z ministrem właściwym do spraw budownictwa, planowania i zagospodarowania przestrzennego oraz mieszkalnictwa, określi, w drodze rozporządzenia m.in. sposób dokumentowania wyników prac klasyfikacyjnych, w tym wzory dokumentów i skład operatu klasyfikacyjnego; należy też zauważyć, że określenie wzorów dokumentów wymaga również przepisów materialnych w ustawie określających co zawierają te dokumenty; dlatego też ww. przepis wymaga ponownej analizy i poprawy;</w:t>
            </w:r>
          </w:p>
          <w:p w14:paraId="0586B887" w14:textId="508C0072" w:rsidR="00A1261B" w:rsidRPr="005A61A3" w:rsidRDefault="00A1261B" w:rsidP="00070C87">
            <w:pPr>
              <w:pStyle w:val="Teksttreci0"/>
              <w:numPr>
                <w:ilvl w:val="0"/>
                <w:numId w:val="33"/>
              </w:numPr>
              <w:shd w:val="clear" w:color="auto" w:fill="auto"/>
              <w:tabs>
                <w:tab w:val="left" w:pos="1032"/>
              </w:tabs>
              <w:spacing w:before="120" w:after="120"/>
              <w:ind w:left="553" w:right="274" w:hanging="415"/>
              <w:rPr>
                <w:rFonts w:ascii="Lato" w:hAnsi="Lato"/>
                <w:sz w:val="18"/>
                <w:szCs w:val="18"/>
              </w:rPr>
            </w:pPr>
            <w:r w:rsidRPr="005A61A3">
              <w:rPr>
                <w:rFonts w:ascii="Lato" w:hAnsi="Lato"/>
                <w:sz w:val="18"/>
                <w:szCs w:val="18"/>
              </w:rPr>
              <w:t xml:space="preserve">w art. 1 pkt 72 projektu ustawy w dodawanym art. 46oa został określony przepis upoważniający, zgodnie z którym minister właściwy do spraw budownictwa, planowania </w:t>
            </w:r>
            <w:r w:rsidRPr="005A61A3">
              <w:rPr>
                <w:rFonts w:ascii="Lato" w:hAnsi="Lato"/>
                <w:sz w:val="18"/>
                <w:szCs w:val="18"/>
              </w:rPr>
              <w:lastRenderedPageBreak/>
              <w:t>i zagospodarowania przestrzennego oraz mieszkalnictwa określi, w drodze rozporządzenia, szczegółowe warunki i tryb postępowania przed rzecznikami dyscyplinarnymi, wojewódzkimi komisjami dyscyplinarnymi oraz Odwoławczą Komisją Dyscyplinarną, wysokość wynagrodzenia rzecznika dyscyplinarnego, członków wojewódzkich komisji dyscyplinarnych i Odwoławczej Komisji Dyscyplinarnej, mając na względzie zapewnienie przejrzystego i sprawnego przeprowadzania postępowań wyjaśniających i dyscyplinarnych; w przepisie tym brak jest wytycznych w odniesieniu do wysokości wysokość wynagrodzenia rzecznika dyscyplinarnego, członków wojewódzkich komisji dyscyplinarnych i Odwoławczej Komisji Dyscyplinarnej.</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C61BA02"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9295F45" w14:textId="77777777" w:rsidR="00A1261B" w:rsidRDefault="00A1261B" w:rsidP="00EE6CCF">
            <w:pPr>
              <w:ind w:left="128"/>
              <w:rPr>
                <w:rFonts w:ascii="Lato" w:eastAsia="Arial" w:hAnsi="Lato" w:cs="Arial"/>
                <w:sz w:val="18"/>
                <w:szCs w:val="18"/>
              </w:rPr>
            </w:pPr>
          </w:p>
          <w:p w14:paraId="4EC511B6" w14:textId="3A994409" w:rsidR="00A1261B" w:rsidRDefault="00A1261B" w:rsidP="00EE6CCF">
            <w:pPr>
              <w:ind w:left="128"/>
              <w:rPr>
                <w:rFonts w:ascii="Lato" w:eastAsia="Arial" w:hAnsi="Lato" w:cs="Arial"/>
                <w:sz w:val="18"/>
                <w:szCs w:val="18"/>
              </w:rPr>
            </w:pPr>
            <w:r>
              <w:rPr>
                <w:rFonts w:ascii="Lato" w:eastAsia="Arial" w:hAnsi="Lato" w:cs="Arial"/>
                <w:sz w:val="18"/>
                <w:szCs w:val="18"/>
              </w:rPr>
              <w:t xml:space="preserve">Ad pkt 1) </w:t>
            </w:r>
            <w:r w:rsidRPr="00130355">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130355">
              <w:rPr>
                <w:rFonts w:ascii="Lato" w:eastAsia="Arial" w:hAnsi="Lato" w:cs="Arial"/>
                <w:sz w:val="18"/>
                <w:szCs w:val="18"/>
              </w:rPr>
              <w:t>zagadnienia ustanawiania i znoszenia terenów zamkniętych.</w:t>
            </w:r>
          </w:p>
          <w:p w14:paraId="7A6EE6E3" w14:textId="0D97C621"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Ad pkt 2 i 3) uwaga została uwzględniona</w:t>
            </w:r>
          </w:p>
          <w:p w14:paraId="14758890" w14:textId="3B65E208"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6A1A9C84"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437BF469"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55C2C33" w14:textId="04B958AC"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3C186204" w14:textId="558B79D4"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3 projektu ustawy w dodawanym art. 4d ust. 4, zgodnie z którym informacje do rejestru terenów zamkniętych wprowadzają podmioty, o których mowa w art. 4b ust. 1, oraz inne podmioty upoważnione przez nie w dniu ich ustalenia lub zniesienia, zastrzeżenia budzi sformułowanie „oraz inne podmioty upoważnione przez nie w dniu ich ustalenia lub zniesienia”, po pierwsze nie jest jasne, o jakie inne podmioty może chodzić; po drugie w opinii RCL w przepisach projektowanej ustawy powinny zostać precyzyjnie i jednoznacznie określone podmioty, które wprowadzają dane do rejestru terenów zamkniętych.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E7503DB"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5D93D8A" w14:textId="6DA12E02"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1C8620D4"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9F35570"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721693B" w14:textId="150EBFF6"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47CEB11C" w14:textId="71E70D9E"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6 projektu ustawy w dodawanym ust. 2a pkt 1 w art. 6b zmienianej ustawy, zgodnie z którym w przypadku odwołania Głównego Geodety Kraju jego obowiązki, do czasu powołania nowego Głównego Geodety Kraju, pełni zastępca, należy doprecyzować, o jakiego zastępcę chodzi.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F6D4D3F"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474B665" w14:textId="675676E9"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2E8B79FF"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0A61A37"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F488878" w14:textId="48024AA7"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vAlign w:val="bottom"/>
          </w:tcPr>
          <w:p w14:paraId="7CA85149" w14:textId="1AF6C402"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związku z dodawanym w art. 1 pkt 8 projektu ustawy ust. 4 do art. 7a nowelizowanej ustawy, zgodnie z którym Główny Geodeta Kraju przygotowuje i przedstawia ministrowi właściwemu do spraw budownictwa, planowania i zagospodarowania przestrzennego oraz mieszkalnictwa, w terminie do dnia 1 marca każdego </w:t>
            </w:r>
            <w:r w:rsidRPr="005A61A3">
              <w:rPr>
                <w:rFonts w:ascii="Lato" w:hAnsi="Lato"/>
                <w:sz w:val="18"/>
                <w:szCs w:val="18"/>
              </w:rPr>
              <w:lastRenderedPageBreak/>
              <w:t xml:space="preserve">roku kalendarzowego: roczny plan działania Głównego Urzędu Geodezji i Kartografii obejmujący realizację zadań, o których mowa w ust. 1 i 2, uwzględniający postanowienia planu, o którym mowa w ust. 3, oraz roczne sprawozdanie z realizacji zadań Głównego Urzędu Geodezji i Kartografii za rok poprzedni, należy </w:t>
            </w:r>
            <w:r w:rsidRPr="000D38AE">
              <w:rPr>
                <w:rFonts w:ascii="Lato" w:hAnsi="Lato"/>
                <w:sz w:val="18"/>
                <w:szCs w:val="18"/>
              </w:rPr>
              <w:t>przeanalizować</w:t>
            </w:r>
            <w:r w:rsidRPr="00282C7C">
              <w:rPr>
                <w:rFonts w:ascii="Lato" w:hAnsi="Lato"/>
                <w:sz w:val="18"/>
                <w:szCs w:val="18"/>
              </w:rPr>
              <w:t>, czy istnieje konieczność uzupełnienia projektu ustawy o przepisy dostosowujące dotyczące ww. sprawozdania (w art. 7 projektu jest odniesienie jedynie do planu, a nie do sprawozdania) oraz uzupełnić uzasadnienie w tym zakresie.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0435AB9"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5F40C5E" w14:textId="7B1CA8A0"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2DFDFB1A"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37D3EB40"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7F4D841" w14:textId="07CA4451"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vAlign w:val="bottom"/>
          </w:tcPr>
          <w:p w14:paraId="75AB84C1" w14:textId="77777777" w:rsidR="00A1261B" w:rsidRPr="005A61A3" w:rsidRDefault="00A1261B" w:rsidP="009B06B7">
            <w:pPr>
              <w:pStyle w:val="Teksttreci0"/>
              <w:shd w:val="clear" w:color="auto" w:fill="auto"/>
              <w:spacing w:before="120" w:after="120"/>
              <w:ind w:left="138" w:right="274"/>
              <w:rPr>
                <w:rFonts w:ascii="Lato" w:hAnsi="Lato"/>
                <w:sz w:val="18"/>
                <w:szCs w:val="18"/>
              </w:rPr>
            </w:pPr>
            <w:r w:rsidRPr="005A61A3">
              <w:rPr>
                <w:rFonts w:ascii="Lato" w:hAnsi="Lato"/>
                <w:sz w:val="18"/>
                <w:szCs w:val="18"/>
              </w:rPr>
              <w:t>W art. 1 pkt 15 projektu ustawy dotyczącym zmiany art. 12:</w:t>
            </w:r>
          </w:p>
          <w:p w14:paraId="5010DC32" w14:textId="77777777" w:rsidR="00A1261B" w:rsidRPr="005A61A3" w:rsidRDefault="00A1261B" w:rsidP="009B06B7">
            <w:pPr>
              <w:pStyle w:val="Teksttreci0"/>
              <w:shd w:val="clear" w:color="auto" w:fill="auto"/>
              <w:spacing w:before="120" w:after="120"/>
              <w:ind w:left="411" w:right="274" w:hanging="273"/>
              <w:rPr>
                <w:rFonts w:ascii="Lato" w:hAnsi="Lato"/>
                <w:sz w:val="18"/>
                <w:szCs w:val="18"/>
              </w:rPr>
            </w:pPr>
            <w:r w:rsidRPr="005A61A3">
              <w:rPr>
                <w:rFonts w:ascii="Lato" w:hAnsi="Lato"/>
                <w:sz w:val="18"/>
                <w:szCs w:val="18"/>
              </w:rPr>
              <w:t>1) w projektowanym brzmieniu ust. 2 pkt 1, zgodnie z którym zgłoszenie prac geodezyjnych zawiera dane identyfikujące wykonawcę prac geodezyjnych, stosownie do zasady określoności przepisów prawa, należy doprecyzować, o jakie dane chodzi;</w:t>
            </w:r>
          </w:p>
          <w:p w14:paraId="671925EE" w14:textId="31DC3C36" w:rsidR="00A1261B" w:rsidRPr="005A61A3" w:rsidRDefault="00A1261B" w:rsidP="009B06B7">
            <w:pPr>
              <w:pStyle w:val="Teksttreci0"/>
              <w:shd w:val="clear" w:color="auto" w:fill="auto"/>
              <w:tabs>
                <w:tab w:val="left" w:pos="411"/>
              </w:tabs>
              <w:spacing w:before="120" w:after="120"/>
              <w:ind w:left="411" w:right="139" w:hanging="279"/>
              <w:rPr>
                <w:rFonts w:ascii="Lato" w:hAnsi="Lato"/>
                <w:sz w:val="18"/>
                <w:szCs w:val="18"/>
              </w:rPr>
            </w:pPr>
            <w:r w:rsidRPr="005A61A3">
              <w:rPr>
                <w:rFonts w:ascii="Lato" w:hAnsi="Lato"/>
                <w:sz w:val="18"/>
                <w:szCs w:val="18"/>
              </w:rPr>
              <w:t>2) w ust. 3, w celu zachowania jednolitości z projektowanym art. 9 ust. 19, po wyrazie „protokoły” należy dodać wyraz „ustaleń”; należy przy tym zauważyć, że w uzasadnieniu na str. 20 zostało wskazane, że „</w:t>
            </w:r>
            <w:r w:rsidRPr="005A61A3">
              <w:rPr>
                <w:rFonts w:ascii="Lato" w:hAnsi="Lato"/>
                <w:i/>
                <w:iCs/>
                <w:sz w:val="18"/>
                <w:szCs w:val="18"/>
              </w:rPr>
              <w:t xml:space="preserve">W obecnym stanie prawnym brak jest przepisu prawa, który pozwalałby na zamieszczenie informacji o stwierdzonych nieprawidłowościach, będących efektem czynności sprawdzających wyników pracy geodezyjnej przez wojewódzkiego inspektora nadzoru geodezyjnego i kartograficznego. Obecnie przedmiotowa informacja nie mieści się w pojęciu „materiału zasobu”, o którym mowa w art. 12 ust. 3 ustawy </w:t>
            </w:r>
            <w:proofErr w:type="spellStart"/>
            <w:r w:rsidRPr="005A61A3">
              <w:rPr>
                <w:rFonts w:ascii="Lato" w:hAnsi="Lato"/>
                <w:i/>
                <w:iCs/>
                <w:sz w:val="18"/>
                <w:szCs w:val="18"/>
              </w:rPr>
              <w:t>PGiK</w:t>
            </w:r>
            <w:proofErr w:type="spellEnd"/>
            <w:r w:rsidRPr="005A61A3">
              <w:rPr>
                <w:rFonts w:ascii="Lato" w:hAnsi="Lato"/>
                <w:i/>
                <w:iCs/>
                <w:sz w:val="18"/>
                <w:szCs w:val="18"/>
              </w:rPr>
              <w:t xml:space="preserve">, a tym samym nie można jej umieszczać w operatach przyjętych do państwowego zasobu geodezyjnego i kartograficznego, ani jako odrębny materiał zasobu w celu jej udostępnienia wykonawcom prac geodezyjnych zgłaszającym prace geodezyjne.”; </w:t>
            </w:r>
            <w:r w:rsidRPr="005A61A3">
              <w:rPr>
                <w:rFonts w:ascii="Lato" w:hAnsi="Lato"/>
                <w:sz w:val="18"/>
                <w:szCs w:val="18"/>
              </w:rPr>
              <w:t xml:space="preserve">jednak nowelizacja art. 12 ust. 3 zawarta w projekcie ustawy nie spowoduje, że protokoły ustaleń z czynności sprawdzających, o których mowa w art. 9 ust. 19 zmienianej ustawy, zostaną objęte skrótem „materiały zasobu”; jeżeli jest to intencją projektodawcy w zmienianym ust. 3 wyrazy „protokoły ustaleń z czynności sprawdzających, o których mowa w art. 9 ust. 19” </w:t>
            </w:r>
            <w:r w:rsidRPr="005A61A3">
              <w:rPr>
                <w:rFonts w:ascii="Lato" w:hAnsi="Lato"/>
                <w:sz w:val="18"/>
                <w:szCs w:val="18"/>
              </w:rPr>
              <w:lastRenderedPageBreak/>
              <w:t>należy odpowiednio dodać przed skrótem „materiałów zasobu”.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AD10004"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87CD5B5"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Uwagi zostały uwzględnione.</w:t>
            </w:r>
            <w:r w:rsidR="007B1A59">
              <w:rPr>
                <w:rFonts w:ascii="Lato" w:eastAsia="Arial" w:hAnsi="Lato" w:cs="Arial"/>
                <w:sz w:val="18"/>
                <w:szCs w:val="18"/>
              </w:rPr>
              <w:t xml:space="preserve"> </w:t>
            </w:r>
          </w:p>
          <w:p w14:paraId="77C725B1" w14:textId="69EA5A57" w:rsidR="00072D00" w:rsidRPr="0037774A" w:rsidRDefault="00282C7C"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Należy jednocześnie wyjaśnić, że i</w:t>
            </w:r>
            <w:r w:rsidR="00072D00">
              <w:rPr>
                <w:rFonts w:ascii="Lato" w:eastAsia="Arial" w:hAnsi="Lato" w:cs="Arial"/>
                <w:sz w:val="18"/>
                <w:szCs w:val="18"/>
              </w:rPr>
              <w:t xml:space="preserve">ntencją projektodawcy nie jest </w:t>
            </w:r>
            <w:r w:rsidR="00072D00">
              <w:rPr>
                <w:rFonts w:ascii="Lato" w:hAnsi="Lato"/>
                <w:sz w:val="18"/>
                <w:szCs w:val="18"/>
              </w:rPr>
              <w:t xml:space="preserve">to, by </w:t>
            </w:r>
            <w:r w:rsidR="00072D00" w:rsidRPr="005A61A3">
              <w:rPr>
                <w:rFonts w:ascii="Lato" w:hAnsi="Lato"/>
                <w:sz w:val="18"/>
                <w:szCs w:val="18"/>
              </w:rPr>
              <w:t>protokoły ustaleń z czynności sprawdzających, o których mowa w art. 9 ust. 19 zmienianej ustawy, zosta</w:t>
            </w:r>
            <w:r w:rsidR="00072D00">
              <w:rPr>
                <w:rFonts w:ascii="Lato" w:hAnsi="Lato"/>
                <w:sz w:val="18"/>
                <w:szCs w:val="18"/>
              </w:rPr>
              <w:t>ły</w:t>
            </w:r>
            <w:r w:rsidR="00072D00" w:rsidRPr="005A61A3">
              <w:rPr>
                <w:rFonts w:ascii="Lato" w:hAnsi="Lato"/>
                <w:sz w:val="18"/>
                <w:szCs w:val="18"/>
              </w:rPr>
              <w:t xml:space="preserve"> objęte skrótem „materiały zasobu”</w:t>
            </w:r>
            <w:r w:rsidR="00072D00">
              <w:rPr>
                <w:rFonts w:ascii="Lato" w:hAnsi="Lato"/>
                <w:sz w:val="18"/>
                <w:szCs w:val="18"/>
              </w:rPr>
              <w:t>.</w:t>
            </w:r>
          </w:p>
        </w:tc>
      </w:tr>
      <w:tr w:rsidR="00A1261B" w:rsidRPr="0037774A" w14:paraId="76AB7673"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396DB68"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D6BD8C8" w14:textId="68FEB97C"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vAlign w:val="bottom"/>
          </w:tcPr>
          <w:p w14:paraId="0F1EAA09" w14:textId="77777777" w:rsidR="00A1261B" w:rsidRPr="005A61A3" w:rsidRDefault="00A1261B" w:rsidP="009B06B7">
            <w:pPr>
              <w:pStyle w:val="Teksttreci0"/>
              <w:shd w:val="clear" w:color="auto" w:fill="auto"/>
              <w:tabs>
                <w:tab w:val="left" w:pos="720"/>
              </w:tabs>
              <w:spacing w:before="120" w:after="120"/>
              <w:ind w:left="138" w:right="274"/>
              <w:rPr>
                <w:rFonts w:ascii="Lato" w:hAnsi="Lato"/>
                <w:sz w:val="18"/>
                <w:szCs w:val="18"/>
              </w:rPr>
            </w:pPr>
            <w:r w:rsidRPr="005A61A3">
              <w:rPr>
                <w:rFonts w:ascii="Lato" w:hAnsi="Lato"/>
                <w:sz w:val="18"/>
                <w:szCs w:val="18"/>
              </w:rPr>
              <w:t>W art. 1 pkt 22 lit. e, f i h projektu ustawy dotyczącym zmiany art. 24:</w:t>
            </w:r>
          </w:p>
          <w:p w14:paraId="266DC289" w14:textId="77777777" w:rsidR="00A1261B" w:rsidRPr="005A61A3" w:rsidRDefault="00A1261B" w:rsidP="009B06B7">
            <w:pPr>
              <w:pStyle w:val="Teksttreci0"/>
              <w:numPr>
                <w:ilvl w:val="0"/>
                <w:numId w:val="34"/>
              </w:numPr>
              <w:shd w:val="clear" w:color="auto" w:fill="auto"/>
              <w:tabs>
                <w:tab w:val="left" w:pos="1142"/>
              </w:tabs>
              <w:spacing w:before="120" w:after="120"/>
              <w:ind w:left="411" w:right="274" w:hanging="284"/>
              <w:rPr>
                <w:rFonts w:ascii="Lato" w:hAnsi="Lato"/>
                <w:sz w:val="18"/>
                <w:szCs w:val="18"/>
              </w:rPr>
            </w:pPr>
            <w:r w:rsidRPr="005A61A3">
              <w:rPr>
                <w:rFonts w:ascii="Lato" w:hAnsi="Lato"/>
                <w:sz w:val="18"/>
                <w:szCs w:val="18"/>
              </w:rPr>
              <w:t>ust. 3 pkt 1 i 3 wyrazy „usuwa się” należy zastąpić wyrazami „skreśla się”;</w:t>
            </w:r>
          </w:p>
          <w:p w14:paraId="5BCCBC23" w14:textId="77777777" w:rsidR="00A1261B" w:rsidRPr="005A61A3" w:rsidRDefault="00A1261B" w:rsidP="009B06B7">
            <w:pPr>
              <w:pStyle w:val="Teksttreci0"/>
              <w:numPr>
                <w:ilvl w:val="0"/>
                <w:numId w:val="34"/>
              </w:numPr>
              <w:shd w:val="clear" w:color="auto" w:fill="auto"/>
              <w:tabs>
                <w:tab w:val="left" w:pos="1142"/>
              </w:tabs>
              <w:spacing w:before="120" w:after="120"/>
              <w:ind w:left="411" w:right="274" w:hanging="284"/>
              <w:rPr>
                <w:rFonts w:ascii="Lato" w:hAnsi="Lato"/>
                <w:sz w:val="18"/>
                <w:szCs w:val="18"/>
              </w:rPr>
            </w:pPr>
            <w:r w:rsidRPr="005A61A3">
              <w:rPr>
                <w:rFonts w:ascii="Lato" w:hAnsi="Lato"/>
                <w:sz w:val="18"/>
                <w:szCs w:val="18"/>
              </w:rPr>
              <w:t>w dodawanym ust. 3a występuje odesłanie do wglądu, o którym mowa w art. 24 ust. 3 pkt 4, co wymaga poprawy, gdyż w tym przepisie nie ma mowy o wglądzie;</w:t>
            </w:r>
          </w:p>
          <w:p w14:paraId="585A77A9" w14:textId="77777777" w:rsidR="00A1261B" w:rsidRPr="005A61A3" w:rsidRDefault="00A1261B" w:rsidP="009B06B7">
            <w:pPr>
              <w:pStyle w:val="Teksttreci0"/>
              <w:numPr>
                <w:ilvl w:val="0"/>
                <w:numId w:val="34"/>
              </w:numPr>
              <w:shd w:val="clear" w:color="auto" w:fill="auto"/>
              <w:tabs>
                <w:tab w:val="left" w:pos="1142"/>
              </w:tabs>
              <w:spacing w:before="120" w:after="120"/>
              <w:ind w:left="411" w:right="274" w:hanging="284"/>
              <w:rPr>
                <w:rFonts w:ascii="Lato" w:hAnsi="Lato"/>
                <w:sz w:val="18"/>
                <w:szCs w:val="18"/>
              </w:rPr>
            </w:pPr>
            <w:r w:rsidRPr="005A61A3">
              <w:rPr>
                <w:rFonts w:ascii="Lato" w:hAnsi="Lato"/>
                <w:sz w:val="18"/>
                <w:szCs w:val="18"/>
              </w:rPr>
              <w:t xml:space="preserve">w ust. 5 w nowym brzmieniu wprowadzenia do wyliczenia, zgodnie z którym starosta udostępnia dane ewidencji gruntów i budynków </w:t>
            </w:r>
            <w:r w:rsidRPr="005A61A3">
              <w:rPr>
                <w:rFonts w:ascii="Lato" w:hAnsi="Lato"/>
                <w:sz w:val="18"/>
                <w:szCs w:val="18"/>
                <w:u w:val="single"/>
              </w:rPr>
              <w:t>zawierające dane osobowe podmiotów,</w:t>
            </w:r>
            <w:r w:rsidRPr="005A61A3">
              <w:rPr>
                <w:rFonts w:ascii="Lato" w:hAnsi="Lato"/>
                <w:sz w:val="18"/>
                <w:szCs w:val="18"/>
              </w:rPr>
              <w:t xml:space="preserve"> o których mowa w art. 20 ust. 2 pkt 1, oraz wydaje na żądanie wypisy z tej ewidencji, zawierające takie dane, zgodnie z zasadą określoności przepisów prawa, należy doprecyzować, o jakie dane osobowe chodzi; należy mieć przy tym na uwadze konieczność uwzględnienia zasad dotyczących przetwarzania danych osobowych wynikających z art. 5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tym zasady minimalizacji danych i zasady zgodności z prawem, rzetelności i przejrzystości (regulacja musi być wyczerpująca, zupełna) oraz prawo ochrony danych osobowych wynikające z art. 51 Konstytucji RP; uwaga ta dotyczy również projektowanych przepisów art. 12 ust. 2 pkt 1 (art. 1 pkt 15 lit. a projektu ustawy).</w:t>
            </w:r>
          </w:p>
          <w:p w14:paraId="3D684CBE" w14:textId="21AD6C48"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Ponadto wszystkie powyższe regulacje należy szczegółowo opisać w uzasadnieniu projektu.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554F7ED"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E20B8A3"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Ad pkt 1) uwaga została uwzględniona</w:t>
            </w:r>
          </w:p>
          <w:p w14:paraId="471289E5"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Ad pkt 2) uwaga została uwzględniona</w:t>
            </w:r>
          </w:p>
          <w:p w14:paraId="1E81802B"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Ad pkt 3) uwaga nie została uwzględniona.</w:t>
            </w:r>
          </w:p>
          <w:p w14:paraId="41084E2A" w14:textId="776B8F00" w:rsidR="00A1261B" w:rsidRPr="0037774A" w:rsidRDefault="00A1261B" w:rsidP="00862C10">
            <w:pPr>
              <w:pStyle w:val="Inne0"/>
              <w:spacing w:before="120" w:after="120"/>
              <w:ind w:left="131" w:right="138"/>
              <w:rPr>
                <w:rFonts w:ascii="Lato" w:eastAsia="Arial" w:hAnsi="Lato" w:cs="Arial"/>
                <w:sz w:val="18"/>
                <w:szCs w:val="18"/>
              </w:rPr>
            </w:pPr>
            <w:r w:rsidRPr="00862C10">
              <w:rPr>
                <w:rFonts w:ascii="Lato" w:eastAsia="Arial" w:hAnsi="Lato" w:cs="Arial"/>
                <w:sz w:val="18"/>
                <w:szCs w:val="18"/>
              </w:rPr>
              <w:t xml:space="preserve">W obecnie obowiązującym przepisie określonym w art. 24 ust. 5 </w:t>
            </w:r>
            <w:r>
              <w:rPr>
                <w:rFonts w:ascii="Lato" w:eastAsia="Arial" w:hAnsi="Lato" w:cs="Arial"/>
                <w:sz w:val="18"/>
                <w:szCs w:val="18"/>
              </w:rPr>
              <w:t>ustawy</w:t>
            </w:r>
            <w:r w:rsidR="00282C7C">
              <w:rPr>
                <w:rFonts w:ascii="Lato" w:eastAsia="Arial" w:hAnsi="Lato" w:cs="Arial"/>
                <w:sz w:val="18"/>
                <w:szCs w:val="18"/>
              </w:rPr>
              <w:t xml:space="preserve"> </w:t>
            </w:r>
            <w:proofErr w:type="spellStart"/>
            <w:r w:rsidR="00282C7C">
              <w:rPr>
                <w:rFonts w:ascii="Lato" w:eastAsia="Arial" w:hAnsi="Lato" w:cs="Arial"/>
                <w:sz w:val="18"/>
                <w:szCs w:val="18"/>
              </w:rPr>
              <w:t>PGiK</w:t>
            </w:r>
            <w:proofErr w:type="spellEnd"/>
            <w:r>
              <w:rPr>
                <w:rFonts w:ascii="Lato" w:eastAsia="Arial" w:hAnsi="Lato" w:cs="Arial"/>
                <w:sz w:val="18"/>
                <w:szCs w:val="18"/>
              </w:rPr>
              <w:t xml:space="preserve"> </w:t>
            </w:r>
            <w:r w:rsidRPr="00862C10">
              <w:rPr>
                <w:rFonts w:ascii="Lato" w:eastAsia="Arial" w:hAnsi="Lato" w:cs="Arial"/>
                <w:sz w:val="18"/>
                <w:szCs w:val="18"/>
              </w:rPr>
              <w:t>ograniczeniom w udostępnianiu podlegają dane wszystkich podmiotów</w:t>
            </w:r>
            <w:r>
              <w:rPr>
                <w:rFonts w:ascii="Lato" w:eastAsia="Arial" w:hAnsi="Lato" w:cs="Arial"/>
                <w:sz w:val="18"/>
                <w:szCs w:val="18"/>
              </w:rPr>
              <w:t xml:space="preserve"> (w tym dane osobowe)</w:t>
            </w:r>
            <w:r w:rsidRPr="00862C10">
              <w:rPr>
                <w:rFonts w:ascii="Lato" w:eastAsia="Arial" w:hAnsi="Lato" w:cs="Arial"/>
                <w:sz w:val="18"/>
                <w:szCs w:val="18"/>
              </w:rPr>
              <w:t xml:space="preserve">, w tym nie tylko osób fizycznych ale także osób prawnych. </w:t>
            </w:r>
            <w:r>
              <w:rPr>
                <w:rFonts w:ascii="Lato" w:eastAsia="Arial" w:hAnsi="Lato" w:cs="Arial"/>
                <w:sz w:val="18"/>
                <w:szCs w:val="18"/>
              </w:rPr>
              <w:t>Z tego względu</w:t>
            </w:r>
            <w:r w:rsidRPr="00862C10">
              <w:rPr>
                <w:rFonts w:ascii="Lato" w:eastAsia="Arial" w:hAnsi="Lato" w:cs="Arial"/>
                <w:sz w:val="18"/>
                <w:szCs w:val="18"/>
              </w:rPr>
              <w:t xml:space="preserve"> zaproponowano aby wypisy zawierające dane osób prawnych były wyłączane z ograniczeń w udostępnianiu a objęte nimi były tylko dane osób fizycznych.</w:t>
            </w:r>
            <w:r>
              <w:rPr>
                <w:rFonts w:ascii="Lato" w:eastAsia="Arial" w:hAnsi="Lato" w:cs="Arial"/>
                <w:sz w:val="18"/>
                <w:szCs w:val="18"/>
              </w:rPr>
              <w:t xml:space="preserve"> Proponowany przepis nie zmienia nic w zasadach udostępniania dokumentów z ewidencji gruntów i budynków zawierających dane osobowe.</w:t>
            </w:r>
          </w:p>
        </w:tc>
      </w:tr>
      <w:tr w:rsidR="00A1261B" w:rsidRPr="0037774A" w14:paraId="4EF8861D"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2AEC07C6"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BF30348" w14:textId="151FD07D"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008E0615" w14:textId="77777777" w:rsidR="00A1261B" w:rsidRPr="005A61A3" w:rsidRDefault="00A1261B" w:rsidP="009B06B7">
            <w:pPr>
              <w:pStyle w:val="Teksttreci0"/>
              <w:shd w:val="clear" w:color="auto" w:fill="auto"/>
              <w:spacing w:before="120" w:after="120"/>
              <w:ind w:left="138" w:right="274"/>
              <w:rPr>
                <w:rFonts w:ascii="Lato" w:hAnsi="Lato"/>
                <w:sz w:val="18"/>
                <w:szCs w:val="18"/>
              </w:rPr>
            </w:pPr>
            <w:r w:rsidRPr="005A61A3">
              <w:rPr>
                <w:rFonts w:ascii="Lato" w:hAnsi="Lato"/>
                <w:sz w:val="18"/>
                <w:szCs w:val="18"/>
              </w:rPr>
              <w:t xml:space="preserve">W art. 1 pkt 23 projektu ustawy dotyczącym nowelizacji art. 24a wątpliwości budzi projektowany ust. 2e, który wskazuje, że w szczególnie uzasadnionych przypadkach dopuszcza się, aby zakresem modernizacji były objęte punkty </w:t>
            </w:r>
            <w:r w:rsidRPr="005A61A3">
              <w:rPr>
                <w:rFonts w:ascii="Lato" w:hAnsi="Lato"/>
                <w:sz w:val="18"/>
                <w:szCs w:val="18"/>
              </w:rPr>
              <w:lastRenderedPageBreak/>
              <w:t>graniczne tworzące granice działek ewidencyjnych inne niż wskazane w ust. 2b pkt 1. Zauważa się, że nie jest jasne, o jakie szczególnie uzasadnione przypadki chodzi oraz kto i na podstawie jakich przesłanek będzie decydował o dopuszczeniu objęcia zakresem modernizacji ww. punktów granicznych. Powyższa kwestia wymaga wyjaśnienia, a projektowane regulacje - ewentualnie doprecyzowania.</w:t>
            </w:r>
          </w:p>
          <w:p w14:paraId="638C0FB8" w14:textId="77777777" w:rsidR="00A1261B" w:rsidRPr="005A61A3" w:rsidRDefault="00A1261B" w:rsidP="009B06B7">
            <w:pPr>
              <w:pStyle w:val="Teksttreci0"/>
              <w:shd w:val="clear" w:color="auto" w:fill="auto"/>
              <w:spacing w:before="120" w:after="120"/>
              <w:ind w:left="138" w:right="274"/>
              <w:rPr>
                <w:rFonts w:ascii="Lato" w:hAnsi="Lato"/>
                <w:sz w:val="18"/>
                <w:szCs w:val="18"/>
              </w:rPr>
            </w:pPr>
            <w:r w:rsidRPr="005A61A3">
              <w:rPr>
                <w:rFonts w:ascii="Lato" w:hAnsi="Lato"/>
                <w:sz w:val="18"/>
                <w:szCs w:val="18"/>
              </w:rPr>
              <w:t>Ponadto zmiany wprowadzane w art. 24a należy przeanalizować pod kątem spójności.</w:t>
            </w:r>
          </w:p>
          <w:p w14:paraId="74D1BE84" w14:textId="0F43F99D"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zmienianym ust. 2 wyrazy „geodezyjnych oraz informuje o trybie postępowania związanego z modernizacją ewidencji gruntów i budynków” zostały zastąpione wyrazem „modernizacyjnych”, co skutkuje tym, że już nie ma w tym przepisie informacji o rozpoczęciu prac geodezyjnych, jednak w dodawanym ust. 2f jest odesłanie do informacji o rozpoczęciu prac geodezyjnych, o której mowa w ust. 2.</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D86B43B"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F3906E3" w14:textId="59F33EE2"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78FB3FC" w14:textId="1DE4FD61" w:rsidR="00A1261B" w:rsidRPr="0037774A" w:rsidRDefault="00A1261B" w:rsidP="001766B2">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Zgodnie z art. 7d pkt 1 lit. a </w:t>
            </w:r>
            <w:proofErr w:type="spellStart"/>
            <w:r>
              <w:rPr>
                <w:rFonts w:ascii="Lato" w:eastAsia="Arial" w:hAnsi="Lato" w:cs="Arial"/>
                <w:sz w:val="18"/>
                <w:szCs w:val="18"/>
              </w:rPr>
              <w:t>tiret</w:t>
            </w:r>
            <w:proofErr w:type="spellEnd"/>
            <w:r>
              <w:rPr>
                <w:rFonts w:ascii="Lato" w:eastAsia="Arial" w:hAnsi="Lato" w:cs="Arial"/>
                <w:sz w:val="18"/>
                <w:szCs w:val="18"/>
              </w:rPr>
              <w:t xml:space="preserve"> pierwsze ustawy </w:t>
            </w:r>
            <w:proofErr w:type="spellStart"/>
            <w:r w:rsidR="00282C7C">
              <w:rPr>
                <w:rFonts w:ascii="Lato" w:eastAsia="Arial" w:hAnsi="Lato" w:cs="Arial"/>
                <w:sz w:val="18"/>
                <w:szCs w:val="18"/>
              </w:rPr>
              <w:t>PGiK</w:t>
            </w:r>
            <w:proofErr w:type="spellEnd"/>
            <w:r>
              <w:rPr>
                <w:rFonts w:ascii="Lato" w:eastAsia="Arial" w:hAnsi="Lato" w:cs="Arial"/>
                <w:sz w:val="18"/>
                <w:szCs w:val="18"/>
              </w:rPr>
              <w:t xml:space="preserve"> – to starosta prowadzi ewidencję gruntów i budynków i </w:t>
            </w:r>
            <w:r w:rsidRPr="001766B2">
              <w:rPr>
                <w:rFonts w:ascii="Lato" w:eastAsia="Arial" w:hAnsi="Lato" w:cs="Arial"/>
                <w:sz w:val="18"/>
                <w:szCs w:val="18"/>
              </w:rPr>
              <w:t>zarządz</w:t>
            </w:r>
            <w:r>
              <w:rPr>
                <w:rFonts w:ascii="Lato" w:eastAsia="Arial" w:hAnsi="Lato" w:cs="Arial"/>
                <w:sz w:val="18"/>
                <w:szCs w:val="18"/>
              </w:rPr>
              <w:t>a</w:t>
            </w:r>
            <w:r w:rsidRPr="001766B2">
              <w:rPr>
                <w:rFonts w:ascii="Lato" w:eastAsia="Arial" w:hAnsi="Lato" w:cs="Arial"/>
                <w:sz w:val="18"/>
                <w:szCs w:val="18"/>
              </w:rPr>
              <w:t xml:space="preserve"> przeprowadzenie modernizacji ewidencji </w:t>
            </w:r>
            <w:r w:rsidRPr="001766B2">
              <w:rPr>
                <w:rFonts w:ascii="Lato" w:eastAsia="Arial" w:hAnsi="Lato" w:cs="Arial"/>
                <w:sz w:val="18"/>
                <w:szCs w:val="18"/>
              </w:rPr>
              <w:lastRenderedPageBreak/>
              <w:t>gruntów i budynków na obszarze poszczególnych obrębów ewidencyjnych.</w:t>
            </w:r>
            <w:r>
              <w:rPr>
                <w:rFonts w:ascii="Lato" w:eastAsia="Arial" w:hAnsi="Lato" w:cs="Arial"/>
                <w:sz w:val="18"/>
                <w:szCs w:val="18"/>
              </w:rPr>
              <w:t xml:space="preserve"> Dodatkowo zgodnie z §28 ust. </w:t>
            </w:r>
            <w:r w:rsidRPr="00603164">
              <w:rPr>
                <w:rFonts w:ascii="Lato" w:eastAsia="Arial" w:hAnsi="Lato" w:cs="Arial"/>
                <w:sz w:val="18"/>
                <w:szCs w:val="18"/>
              </w:rPr>
              <w:t>1</w:t>
            </w:r>
            <w:r>
              <w:rPr>
                <w:rFonts w:ascii="Lato" w:eastAsia="Arial" w:hAnsi="Lato" w:cs="Arial"/>
                <w:sz w:val="18"/>
                <w:szCs w:val="18"/>
              </w:rPr>
              <w:t xml:space="preserve"> rozporządzenia z dnia 27 lipca 2021 r. w sprawie ewidencji gruntów i budynków - </w:t>
            </w:r>
            <w:r w:rsidRPr="00603164">
              <w:rPr>
                <w:rFonts w:ascii="Lato" w:eastAsia="Arial" w:hAnsi="Lato" w:cs="Arial"/>
                <w:sz w:val="18"/>
                <w:szCs w:val="18"/>
              </w:rPr>
              <w:t xml:space="preserve">modernizację ewidencji poprzedza opracowanie przez starostę projektu modernizacji ewidencji i </w:t>
            </w:r>
            <w:r>
              <w:rPr>
                <w:rFonts w:ascii="Lato" w:eastAsia="Arial" w:hAnsi="Lato" w:cs="Arial"/>
                <w:sz w:val="18"/>
                <w:szCs w:val="18"/>
              </w:rPr>
              <w:t>jego</w:t>
            </w:r>
            <w:r w:rsidRPr="00603164">
              <w:rPr>
                <w:rFonts w:ascii="Lato" w:eastAsia="Arial" w:hAnsi="Lato" w:cs="Arial"/>
                <w:sz w:val="18"/>
                <w:szCs w:val="18"/>
              </w:rPr>
              <w:t xml:space="preserve"> uzgodnienie z właściwym miejscowo wojewódzkim inspektorem nadzoru geodezyjnego i kartograficznego, który zasięga opinii </w:t>
            </w:r>
            <w:r w:rsidR="00282C7C">
              <w:rPr>
                <w:rFonts w:ascii="Lato" w:eastAsia="Arial" w:hAnsi="Lato" w:cs="Arial"/>
                <w:sz w:val="18"/>
                <w:szCs w:val="18"/>
              </w:rPr>
              <w:t>GGK</w:t>
            </w:r>
            <w:r w:rsidRPr="00603164">
              <w:rPr>
                <w:rFonts w:ascii="Lato" w:eastAsia="Arial" w:hAnsi="Lato" w:cs="Arial"/>
                <w:sz w:val="18"/>
                <w:szCs w:val="18"/>
              </w:rPr>
              <w:t>.</w:t>
            </w:r>
            <w:r>
              <w:rPr>
                <w:rFonts w:ascii="Lato" w:eastAsia="Arial" w:hAnsi="Lato" w:cs="Arial"/>
                <w:sz w:val="18"/>
                <w:szCs w:val="18"/>
              </w:rPr>
              <w:t xml:space="preserve"> Mając na względzie przedmiotowe przepisy to starosta będzie uzasadniał potrzebę rozszerzenie zakresu prac modernizacyjnych, a decydował o dopuszczeniu takich prac </w:t>
            </w:r>
            <w:r w:rsidRPr="00603164">
              <w:rPr>
                <w:rFonts w:ascii="Lato" w:eastAsia="Arial" w:hAnsi="Lato" w:cs="Arial"/>
                <w:sz w:val="18"/>
                <w:szCs w:val="18"/>
              </w:rPr>
              <w:t xml:space="preserve">wojewódzki inspektor nadzoru geodezyjnego i kartograficznego, </w:t>
            </w:r>
            <w:r>
              <w:rPr>
                <w:rFonts w:ascii="Lato" w:eastAsia="Arial" w:hAnsi="Lato" w:cs="Arial"/>
                <w:sz w:val="18"/>
                <w:szCs w:val="18"/>
              </w:rPr>
              <w:t>po</w:t>
            </w:r>
            <w:r w:rsidRPr="00603164">
              <w:rPr>
                <w:rFonts w:ascii="Lato" w:eastAsia="Arial" w:hAnsi="Lato" w:cs="Arial"/>
                <w:sz w:val="18"/>
                <w:szCs w:val="18"/>
              </w:rPr>
              <w:t xml:space="preserve"> zasięg</w:t>
            </w:r>
            <w:r>
              <w:rPr>
                <w:rFonts w:ascii="Lato" w:eastAsia="Arial" w:hAnsi="Lato" w:cs="Arial"/>
                <w:sz w:val="18"/>
                <w:szCs w:val="18"/>
              </w:rPr>
              <w:t>nięciu</w:t>
            </w:r>
            <w:r w:rsidRPr="00603164">
              <w:rPr>
                <w:rFonts w:ascii="Lato" w:eastAsia="Arial" w:hAnsi="Lato" w:cs="Arial"/>
                <w:sz w:val="18"/>
                <w:szCs w:val="18"/>
              </w:rPr>
              <w:t xml:space="preserve"> opinii </w:t>
            </w:r>
            <w:r w:rsidR="00282C7C">
              <w:rPr>
                <w:rFonts w:ascii="Lato" w:eastAsia="Arial" w:hAnsi="Lato" w:cs="Arial"/>
                <w:sz w:val="18"/>
                <w:szCs w:val="18"/>
              </w:rPr>
              <w:t>GGK</w:t>
            </w:r>
            <w:r>
              <w:rPr>
                <w:rFonts w:ascii="Lato" w:eastAsia="Arial" w:hAnsi="Lato" w:cs="Arial"/>
                <w:sz w:val="18"/>
                <w:szCs w:val="18"/>
              </w:rPr>
              <w:t>.</w:t>
            </w:r>
          </w:p>
        </w:tc>
      </w:tr>
      <w:tr w:rsidR="00A1261B" w:rsidRPr="0037774A" w14:paraId="26D35198"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2F3DEFE3"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62899C6" w14:textId="3DCBACF7"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49B74AA9" w14:textId="77777777" w:rsidR="00A1261B" w:rsidRPr="005A61A3" w:rsidRDefault="00A1261B" w:rsidP="009B06B7">
            <w:pPr>
              <w:pStyle w:val="Teksttreci0"/>
              <w:shd w:val="clear" w:color="auto" w:fill="auto"/>
              <w:tabs>
                <w:tab w:val="left" w:pos="778"/>
              </w:tabs>
              <w:spacing w:before="120" w:after="120"/>
              <w:ind w:left="138" w:right="274"/>
              <w:rPr>
                <w:rFonts w:ascii="Lato" w:hAnsi="Lato"/>
                <w:sz w:val="18"/>
                <w:szCs w:val="18"/>
              </w:rPr>
            </w:pPr>
            <w:r w:rsidRPr="005A61A3">
              <w:rPr>
                <w:rFonts w:ascii="Lato" w:hAnsi="Lato"/>
                <w:sz w:val="18"/>
                <w:szCs w:val="18"/>
              </w:rPr>
              <w:t xml:space="preserve">Zastrzeżenia budzi wskazanie w art. 1 pkt 24 projektu w dodawanym art. 24aa ust. 3, że w przypadku gdy w wyniku przeprowadzonej weryfikacji, o której mowa w ust. 1, stwierdzone zostaną rozbieżności starosta </w:t>
            </w:r>
            <w:r w:rsidRPr="005A61A3">
              <w:rPr>
                <w:rFonts w:ascii="Lato" w:hAnsi="Lato"/>
                <w:sz w:val="18"/>
                <w:szCs w:val="18"/>
                <w:u w:val="single"/>
              </w:rPr>
              <w:t>może</w:t>
            </w:r>
            <w:r w:rsidRPr="005A61A3">
              <w:rPr>
                <w:rFonts w:ascii="Lato" w:hAnsi="Lato"/>
                <w:sz w:val="18"/>
                <w:szCs w:val="18"/>
              </w:rPr>
              <w:t>:</w:t>
            </w:r>
          </w:p>
          <w:p w14:paraId="17B80173" w14:textId="77777777" w:rsidR="00A1261B" w:rsidRPr="005A61A3" w:rsidRDefault="00A1261B" w:rsidP="009B06B7">
            <w:pPr>
              <w:pStyle w:val="Teksttreci0"/>
              <w:numPr>
                <w:ilvl w:val="0"/>
                <w:numId w:val="35"/>
              </w:numPr>
              <w:shd w:val="clear" w:color="auto" w:fill="auto"/>
              <w:tabs>
                <w:tab w:val="left" w:pos="778"/>
              </w:tabs>
              <w:spacing w:before="120" w:after="120"/>
              <w:ind w:right="274"/>
              <w:rPr>
                <w:rFonts w:ascii="Lato" w:hAnsi="Lato"/>
                <w:sz w:val="18"/>
                <w:szCs w:val="18"/>
              </w:rPr>
            </w:pPr>
            <w:r w:rsidRPr="005A61A3">
              <w:rPr>
                <w:rFonts w:ascii="Lato" w:hAnsi="Lato"/>
                <w:sz w:val="18"/>
                <w:szCs w:val="18"/>
              </w:rPr>
              <w:t>dokonać aktualizacji bazy danych ewidencji gruntów i budynków, jeżeli w państwowym zasobie geodezyjnym i kartograficznym są zgromadzone dokumenty mogące stanowić podstawę zmian;</w:t>
            </w:r>
          </w:p>
          <w:p w14:paraId="091C5A45" w14:textId="77777777" w:rsidR="00A1261B" w:rsidRPr="005A61A3" w:rsidRDefault="00A1261B" w:rsidP="009B06B7">
            <w:pPr>
              <w:pStyle w:val="Teksttreci0"/>
              <w:numPr>
                <w:ilvl w:val="0"/>
                <w:numId w:val="35"/>
              </w:numPr>
              <w:shd w:val="clear" w:color="auto" w:fill="auto"/>
              <w:tabs>
                <w:tab w:val="left" w:pos="1146"/>
              </w:tabs>
              <w:spacing w:before="120" w:after="120"/>
              <w:ind w:right="274"/>
              <w:rPr>
                <w:rFonts w:ascii="Lato" w:hAnsi="Lato"/>
                <w:sz w:val="18"/>
                <w:szCs w:val="18"/>
              </w:rPr>
            </w:pPr>
            <w:r w:rsidRPr="005A61A3">
              <w:rPr>
                <w:rFonts w:ascii="Lato" w:hAnsi="Lato"/>
                <w:sz w:val="18"/>
                <w:szCs w:val="18"/>
              </w:rPr>
              <w:t>na podstawie art. 22 ust. 3, w drodze decyzji administracyjnej nałożyć na podmioty, o których mowa w art. 20 ust. 2 pkt 1, obowiązek dostarczenia dokumentacji geodezyjnej niezbędnej do aktualizacji bazy danych ewidencji gruntów i budynków;</w:t>
            </w:r>
          </w:p>
          <w:p w14:paraId="1FBFB31A" w14:textId="77777777" w:rsidR="00A1261B" w:rsidRPr="005A61A3" w:rsidRDefault="00A1261B" w:rsidP="009B06B7">
            <w:pPr>
              <w:pStyle w:val="Teksttreci0"/>
              <w:numPr>
                <w:ilvl w:val="0"/>
                <w:numId w:val="35"/>
              </w:numPr>
              <w:shd w:val="clear" w:color="auto" w:fill="auto"/>
              <w:tabs>
                <w:tab w:val="left" w:pos="1146"/>
              </w:tabs>
              <w:spacing w:before="120" w:after="120"/>
              <w:ind w:right="274"/>
              <w:rPr>
                <w:rFonts w:ascii="Lato" w:hAnsi="Lato"/>
                <w:sz w:val="18"/>
                <w:szCs w:val="18"/>
              </w:rPr>
            </w:pPr>
            <w:r w:rsidRPr="005A61A3">
              <w:rPr>
                <w:rFonts w:ascii="Lato" w:hAnsi="Lato"/>
                <w:sz w:val="18"/>
                <w:szCs w:val="18"/>
              </w:rPr>
              <w:t>zlecić w trybie art. 22 ust. 4 wykonanie dokumentacji geodezyjnej stanowiącej podstawę aktualizacji bazy danych ewidencji gruntów i budynków albo przeprowadzić modernizację ewidencji gruntów i budynków, o której mowa w art. 24a ust. 1.</w:t>
            </w:r>
          </w:p>
          <w:p w14:paraId="0EA0379F" w14:textId="1846C277"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Przy ww. konstrukcji przepisu wydaje się, że to od </w:t>
            </w:r>
            <w:r w:rsidRPr="005A61A3">
              <w:rPr>
                <w:rFonts w:ascii="Lato" w:hAnsi="Lato"/>
                <w:sz w:val="18"/>
                <w:szCs w:val="18"/>
              </w:rPr>
              <w:lastRenderedPageBreak/>
              <w:t>swobodnego uznania starosty będzie zależało, czy skorzysta on z ww. uprawnień i z jakich konkretnie. W tym kontekście RCL zauważa, że niezbędne jest uzupełnienie projektu o określenie przesłanek którymi będzie się kierował starosta wykonując powyższe uprawnienia.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3827773"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65B4783" w14:textId="3CA67C11"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135700">
              <w:rPr>
                <w:rFonts w:ascii="Lato" w:eastAsia="Arial" w:hAnsi="Lato" w:cs="Arial"/>
                <w:sz w:val="18"/>
                <w:szCs w:val="18"/>
              </w:rPr>
              <w:t>Uwaga bezprzedmiotowa w związku z odstąpieniem od wprowadzania przedmiotowej regulacji.</w:t>
            </w:r>
          </w:p>
        </w:tc>
      </w:tr>
      <w:tr w:rsidR="00A1261B" w:rsidRPr="0037774A" w14:paraId="583089E7"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41208BF9"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8A69F7C" w14:textId="6D9F16C9"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4B41223A" w14:textId="0B3A08C5" w:rsidR="00A1261B" w:rsidRPr="005A61A3" w:rsidRDefault="00A1261B" w:rsidP="001766B2">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27 projektu ustawy dotyczącym dodawanego art. 26c ust. 1 pkt 3 oraz ust. 5, zgodnie z zasadą określoności przepisów prawa, należy w ust. 1 pkt 3 doprecyzować, w jakich przypadkach starosta przeprowadza kontrolę terenową i wykonanie odkrywek glebowych, natomiast w ust. 5 należy skreślić wyraz „w szczególności” i enumeratywnie określić, jakie informacje zawiera zawiadomienie o wszczęciu postępowania w sprawie ustalenia gleboznawczej klasyfikacji gruntów.</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CCADE2B"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581E9F0" w14:textId="6AD094BD"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częściowo uwzględniona w zakresie </w:t>
            </w:r>
            <w:r w:rsidRPr="001766B2">
              <w:rPr>
                <w:rFonts w:ascii="Lato" w:eastAsia="Arial" w:hAnsi="Lato" w:cs="Arial"/>
                <w:sz w:val="18"/>
                <w:szCs w:val="18"/>
              </w:rPr>
              <w:t>art. 26c ust. 5</w:t>
            </w:r>
            <w:r>
              <w:rPr>
                <w:rFonts w:ascii="Lato" w:eastAsia="Arial" w:hAnsi="Lato" w:cs="Arial"/>
                <w:sz w:val="18"/>
                <w:szCs w:val="18"/>
              </w:rPr>
              <w:t xml:space="preserve"> ustawy </w:t>
            </w:r>
            <w:proofErr w:type="spellStart"/>
            <w:r w:rsidR="00282C7C">
              <w:rPr>
                <w:rFonts w:ascii="Lato" w:eastAsia="Arial" w:hAnsi="Lato" w:cs="Arial"/>
                <w:sz w:val="18"/>
                <w:szCs w:val="18"/>
              </w:rPr>
              <w:t>PGiK</w:t>
            </w:r>
            <w:proofErr w:type="spellEnd"/>
            <w:r>
              <w:rPr>
                <w:rFonts w:ascii="Lato" w:eastAsia="Arial" w:hAnsi="Lato" w:cs="Arial"/>
                <w:sz w:val="18"/>
                <w:szCs w:val="18"/>
              </w:rPr>
              <w:t>.</w:t>
            </w:r>
          </w:p>
          <w:p w14:paraId="4E3812A8" w14:textId="483D114E"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Odnośnie </w:t>
            </w:r>
            <w:r w:rsidRPr="001766B2">
              <w:rPr>
                <w:rFonts w:ascii="Lato" w:eastAsia="Arial" w:hAnsi="Lato" w:cs="Arial"/>
                <w:sz w:val="18"/>
                <w:szCs w:val="18"/>
              </w:rPr>
              <w:t xml:space="preserve">art. 26c ust. 1 pkt 3 </w:t>
            </w:r>
            <w:r>
              <w:rPr>
                <w:rFonts w:ascii="Lato" w:eastAsia="Arial" w:hAnsi="Lato" w:cs="Arial"/>
                <w:sz w:val="18"/>
                <w:szCs w:val="18"/>
              </w:rPr>
              <w:t xml:space="preserve">ww. ustawy </w:t>
            </w:r>
            <w:r w:rsidRPr="001766B2">
              <w:rPr>
                <w:rFonts w:ascii="Lato" w:eastAsia="Arial" w:hAnsi="Lato" w:cs="Arial"/>
                <w:sz w:val="18"/>
                <w:szCs w:val="18"/>
              </w:rPr>
              <w:t>– uwaga nie</w:t>
            </w:r>
            <w:r>
              <w:rPr>
                <w:rFonts w:ascii="Lato" w:eastAsia="Arial" w:hAnsi="Lato" w:cs="Arial"/>
                <w:sz w:val="18"/>
                <w:szCs w:val="18"/>
              </w:rPr>
              <w:t xml:space="preserve"> została </w:t>
            </w:r>
            <w:r w:rsidRPr="001766B2">
              <w:rPr>
                <w:rFonts w:ascii="Lato" w:eastAsia="Arial" w:hAnsi="Lato" w:cs="Arial"/>
                <w:sz w:val="18"/>
                <w:szCs w:val="18"/>
              </w:rPr>
              <w:t>uwzględniona</w:t>
            </w:r>
            <w:r>
              <w:rPr>
                <w:rFonts w:ascii="Lato" w:eastAsia="Arial" w:hAnsi="Lato" w:cs="Arial"/>
                <w:sz w:val="18"/>
                <w:szCs w:val="18"/>
              </w:rPr>
              <w:t xml:space="preserve">. Starosta </w:t>
            </w:r>
            <w:r w:rsidRPr="001766B2">
              <w:rPr>
                <w:rFonts w:ascii="Lato" w:eastAsia="Arial" w:hAnsi="Lato" w:cs="Arial"/>
                <w:sz w:val="18"/>
                <w:szCs w:val="18"/>
              </w:rPr>
              <w:t xml:space="preserve">będzie </w:t>
            </w:r>
            <w:r>
              <w:rPr>
                <w:rFonts w:ascii="Lato" w:eastAsia="Arial" w:hAnsi="Lato" w:cs="Arial"/>
                <w:sz w:val="18"/>
                <w:szCs w:val="18"/>
              </w:rPr>
              <w:t xml:space="preserve">decydował o </w:t>
            </w:r>
            <w:r w:rsidRPr="001766B2">
              <w:rPr>
                <w:rFonts w:ascii="Lato" w:eastAsia="Arial" w:hAnsi="Lato" w:cs="Arial"/>
                <w:sz w:val="18"/>
                <w:szCs w:val="18"/>
              </w:rPr>
              <w:t>potrzeb</w:t>
            </w:r>
            <w:r>
              <w:rPr>
                <w:rFonts w:ascii="Lato" w:eastAsia="Arial" w:hAnsi="Lato" w:cs="Arial"/>
                <w:sz w:val="18"/>
                <w:szCs w:val="18"/>
              </w:rPr>
              <w:t>ie</w:t>
            </w:r>
            <w:r w:rsidRPr="001766B2">
              <w:rPr>
                <w:rFonts w:ascii="Lato" w:eastAsia="Arial" w:hAnsi="Lato" w:cs="Arial"/>
                <w:sz w:val="18"/>
                <w:szCs w:val="18"/>
              </w:rPr>
              <w:t xml:space="preserve"> przeprowadzenia kontroli terenowej i wykonania odkrywek glebowych po analizie materiału dowodowego. Zakreślenie ustawowo konkretnych przypadków, ograniczy swobodę organu w tym zakresie</w:t>
            </w:r>
            <w:r>
              <w:rPr>
                <w:rFonts w:ascii="Lato" w:eastAsia="Arial" w:hAnsi="Lato" w:cs="Arial"/>
                <w:sz w:val="18"/>
                <w:szCs w:val="18"/>
              </w:rPr>
              <w:t>.</w:t>
            </w:r>
          </w:p>
        </w:tc>
      </w:tr>
      <w:tr w:rsidR="00A1261B" w:rsidRPr="0037774A" w14:paraId="746F0ED9"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92738B6"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0B77722" w14:textId="61163975"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2962251A" w14:textId="2CA72FC5"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art. 1 pkt 27 projektu ustawy zgodnie z dodawanym art. 26c ust. 7 zmienianej ustawy, w sprawach o ustalenie gleboznawczej klasyfikacji gruntów, korespondencję doręcza się na </w:t>
            </w:r>
            <w:r w:rsidRPr="005A61A3">
              <w:rPr>
                <w:rFonts w:ascii="Lato" w:hAnsi="Lato"/>
                <w:sz w:val="18"/>
                <w:szCs w:val="18"/>
                <w:u w:val="single"/>
              </w:rPr>
              <w:t>adres do korespondencji</w:t>
            </w:r>
            <w:r w:rsidRPr="005A61A3">
              <w:rPr>
                <w:rFonts w:ascii="Lato" w:hAnsi="Lato"/>
                <w:sz w:val="18"/>
                <w:szCs w:val="18"/>
              </w:rPr>
              <w:t xml:space="preserve"> wskazany w ewidencji gruntów i budynków. Należy zauważyć, że w art. 1 pkt 20 zaproponowano zmianę art. 20 ust. 2 pkt 2 zmienianej ustawy, zgodnie z którą w ewidencji gruntów i budynków wykazuje się także adresy podmiotów, o których mowa w pkt 1 (właścicieli nieruchomości), bez wskazania, czy ma to być adres do korespondencji czy inny adres ww. podmiotów. W związku z powyższym należy </w:t>
            </w:r>
            <w:proofErr w:type="spellStart"/>
            <w:r w:rsidRPr="005A61A3">
              <w:rPr>
                <w:rFonts w:ascii="Lato" w:hAnsi="Lato"/>
                <w:sz w:val="18"/>
                <w:szCs w:val="18"/>
              </w:rPr>
              <w:t>uspójnić</w:t>
            </w:r>
            <w:proofErr w:type="spellEnd"/>
            <w:r w:rsidRPr="005A61A3">
              <w:rPr>
                <w:rFonts w:ascii="Lato" w:hAnsi="Lato"/>
                <w:sz w:val="18"/>
                <w:szCs w:val="18"/>
              </w:rPr>
              <w:t xml:space="preserve"> projekt ustawy w ww. zakresie. Uwaga powyższa dotyczy również art. 39 ust. 7 zmienianej ustawy (art. 1 pkt 36 projektu ustawy).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5361071"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CA88E36" w14:textId="22A13D3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7F978FA8" w14:textId="463B168A"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2946A33B"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3998D8C"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4D8114C" w14:textId="24E0727B"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401C577E" w14:textId="5194B153"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27 projektu ustawy w dodawanym art. 26e ust. 1 we wprowadzeniu do wyliczenia poprawy wymagają odesłania do kontroli terenowej i wykonania odkrywek glebowych, o których mowa w art. 7b ust. 1 pkt 1 w lit. c oraz w art. 26c ust. 2, gdyż przepisy te nie zawierają ww. regulacji.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A55502C"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6E9A836" w14:textId="4245FDB4" w:rsidR="00A1261B" w:rsidRDefault="00A1261B" w:rsidP="00337942">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została uwzględniona w zakresie usunięcia odwołania do </w:t>
            </w:r>
            <w:r w:rsidRPr="00337942">
              <w:rPr>
                <w:rFonts w:ascii="Lato" w:eastAsia="Arial" w:hAnsi="Lato" w:cs="Arial"/>
                <w:sz w:val="18"/>
                <w:szCs w:val="18"/>
              </w:rPr>
              <w:t xml:space="preserve">art. 7b ust. 1 pkt 1 w lit. </w:t>
            </w:r>
            <w:r>
              <w:rPr>
                <w:rFonts w:ascii="Lato" w:eastAsia="Arial" w:hAnsi="Lato" w:cs="Arial"/>
                <w:sz w:val="18"/>
                <w:szCs w:val="18"/>
              </w:rPr>
              <w:t>c ustawy</w:t>
            </w:r>
            <w:r w:rsidR="00282C7C">
              <w:rPr>
                <w:rFonts w:ascii="Lato" w:eastAsia="Arial" w:hAnsi="Lato" w:cs="Arial"/>
                <w:sz w:val="18"/>
                <w:szCs w:val="18"/>
              </w:rPr>
              <w:t xml:space="preserve"> </w:t>
            </w:r>
            <w:proofErr w:type="spellStart"/>
            <w:r w:rsidR="00282C7C">
              <w:rPr>
                <w:rFonts w:ascii="Lato" w:eastAsia="Arial" w:hAnsi="Lato" w:cs="Arial"/>
                <w:sz w:val="18"/>
                <w:szCs w:val="18"/>
              </w:rPr>
              <w:t>PGiK</w:t>
            </w:r>
            <w:proofErr w:type="spellEnd"/>
            <w:r>
              <w:rPr>
                <w:rFonts w:ascii="Lato" w:eastAsia="Arial" w:hAnsi="Lato" w:cs="Arial"/>
                <w:sz w:val="18"/>
                <w:szCs w:val="18"/>
              </w:rPr>
              <w:t>.</w:t>
            </w:r>
          </w:p>
          <w:p w14:paraId="2842E48C" w14:textId="5E31C5C1"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Wyjaśnienie odnośnie art. 26e ust. 1 </w:t>
            </w:r>
            <w:r w:rsidR="00D74456">
              <w:rPr>
                <w:rFonts w:ascii="Lato" w:eastAsia="Arial" w:hAnsi="Lato" w:cs="Arial"/>
                <w:sz w:val="18"/>
                <w:szCs w:val="18"/>
              </w:rPr>
              <w:t xml:space="preserve">(po zmianie art. 26f) </w:t>
            </w:r>
            <w:r>
              <w:rPr>
                <w:rFonts w:ascii="Lato" w:eastAsia="Arial" w:hAnsi="Lato" w:cs="Arial"/>
                <w:sz w:val="18"/>
                <w:szCs w:val="18"/>
              </w:rPr>
              <w:t xml:space="preserve">ustawy </w:t>
            </w:r>
            <w:proofErr w:type="spellStart"/>
            <w:r w:rsidR="00D74456">
              <w:rPr>
                <w:rFonts w:ascii="Lato" w:eastAsia="Arial" w:hAnsi="Lato" w:cs="Arial"/>
                <w:sz w:val="18"/>
                <w:szCs w:val="18"/>
              </w:rPr>
              <w:t>PGiK</w:t>
            </w:r>
            <w:proofErr w:type="spellEnd"/>
            <w:r w:rsidR="00D74456">
              <w:rPr>
                <w:rFonts w:ascii="Lato" w:eastAsia="Arial" w:hAnsi="Lato" w:cs="Arial"/>
                <w:sz w:val="18"/>
                <w:szCs w:val="18"/>
              </w:rPr>
              <w:t xml:space="preserve"> </w:t>
            </w:r>
            <w:r>
              <w:rPr>
                <w:rFonts w:ascii="Lato" w:eastAsia="Arial" w:hAnsi="Lato" w:cs="Arial"/>
                <w:sz w:val="18"/>
                <w:szCs w:val="18"/>
              </w:rPr>
              <w:t xml:space="preserve">- odesłanie zawarte w przepisie dotyczy osób wykonujących czynności a nie kontroli terenowej </w:t>
            </w:r>
            <w:r w:rsidRPr="005A61A3">
              <w:rPr>
                <w:rFonts w:ascii="Lato" w:hAnsi="Lato"/>
                <w:sz w:val="18"/>
                <w:szCs w:val="18"/>
              </w:rPr>
              <w:t>i wykonania odkrywek glebowych</w:t>
            </w:r>
            <w:r>
              <w:rPr>
                <w:rFonts w:ascii="Lato" w:eastAsia="Arial" w:hAnsi="Lato" w:cs="Arial"/>
                <w:sz w:val="18"/>
                <w:szCs w:val="18"/>
              </w:rPr>
              <w:t>. W celu uczytelnienia przepisu zmieniono redakcję przepisu.</w:t>
            </w:r>
          </w:p>
        </w:tc>
      </w:tr>
      <w:tr w:rsidR="00A1261B" w:rsidRPr="0037774A" w14:paraId="27D2F1B4"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5F0D625"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353F666" w14:textId="5063926C"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5720804B" w14:textId="16F507D6"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art. 1 pkt 28 lit. e projektu ustawy dotyczącym dodawanego art. 28b ust. 3a występuje odesłanie do aktualnej mapy zasadniczej, o której mowa w ust. 3 art. 28b, podczas gdy przepis ten jest uchylany w art. </w:t>
            </w:r>
            <w:r w:rsidRPr="005A61A3">
              <w:rPr>
                <w:rFonts w:ascii="Lato" w:hAnsi="Lato"/>
                <w:sz w:val="18"/>
                <w:szCs w:val="18"/>
              </w:rPr>
              <w:lastRenderedPageBreak/>
              <w:t>1 pkt 28 lit. d projektu ustawy. Wydaje się, że ww. odesłanie powinno być do ust. 3b, przy czym treść ust. 3b powinna być oznaczona jako ust. 3a, a treść ust. 3a powinna być oznaczona jako ust. 3b.</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4E6A3E7"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CDF2673" w14:textId="49E06ECE"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6F0358A6"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28F5DC1"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10CAD60" w14:textId="513A64F9"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4E6403CE" w14:textId="48408231"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31 lit. a projektu ustawy w zmienianym art. 28bb ust. 1 i 2 należy rozszerzyć zmianę tych przepisów, dokonując poprawnego odesłania do zawiadomienia o rozpoczęciu narady koordynującej, mając na względzie uchylenie w projektowanej ustawie art. 28b ust. 3 i nowe brzmieniem art. 28ba.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DF2DE0F"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4AEBFDC" w14:textId="78082995"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4680D727"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E6CD0B6"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F8FD26C" w14:textId="6DCF748E"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2B886043" w14:textId="4AB754DC"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32 projektu ustawy projektowane brzmienie art. 28c ust. 1 należy doprecyzować, wskazując podmiot, który udostępnia protokół z narady koordynacyjnej wraz z planem sytuacyjnym, o którym mowa w art. 28b ust. 10, w formie dokumentu elektronicznego oraz który opatruje plan sytuacyjny adnotacją.</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9E1BAD1"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1DDD6A8" w14:textId="19BCDFC3"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10B1F5F0"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7CAD120"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AC5B04A" w14:textId="763F5DB3"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2D08BD6F" w14:textId="77FA9DCD"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związku z tym, że art. 1 pkt 33 projektu ustawy wprowadza zmianę w art. 28d ust. 1 odnoszącą się do terenu zamkniętego I kategorii, należałoby wprowadzić zmiany również w ust. 2 i 3 art. 28d polegające na zastąpieniu wyrazów „terenem zamkniętym” wyrazami, „terenem zamkniętym I kategorii”.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35807CB"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FD97B5" w14:textId="3433942E"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135700">
              <w:rPr>
                <w:rFonts w:ascii="Lato" w:eastAsia="Arial" w:hAnsi="Lato" w:cs="Arial"/>
                <w:sz w:val="18"/>
                <w:szCs w:val="18"/>
              </w:rPr>
              <w:t>W związku z uwagami Ministra Obrony Narodowej odstąpiono od wprowadzania w projekcie ustawy zmian dotyczących nowego uregulowania zagadnienia ustanawiania i znoszenia terenów zamkniętych.</w:t>
            </w:r>
          </w:p>
        </w:tc>
      </w:tr>
      <w:tr w:rsidR="00A1261B" w:rsidRPr="0037774A" w14:paraId="39CC6DF8"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02A17E2"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9E3242D" w14:textId="6484B263"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51BC75FA" w14:textId="77777777" w:rsidR="00A1261B" w:rsidRPr="005A61A3" w:rsidRDefault="00A1261B" w:rsidP="009B06B7">
            <w:pPr>
              <w:pStyle w:val="Teksttreci0"/>
              <w:shd w:val="clear" w:color="auto" w:fill="auto"/>
              <w:tabs>
                <w:tab w:val="left" w:pos="750"/>
              </w:tabs>
              <w:spacing w:before="120" w:after="120"/>
              <w:ind w:left="138" w:right="274"/>
              <w:rPr>
                <w:rFonts w:ascii="Lato" w:hAnsi="Lato"/>
                <w:sz w:val="18"/>
                <w:szCs w:val="18"/>
              </w:rPr>
            </w:pPr>
            <w:r w:rsidRPr="005A61A3">
              <w:rPr>
                <w:rFonts w:ascii="Lato" w:hAnsi="Lato"/>
                <w:sz w:val="18"/>
                <w:szCs w:val="18"/>
              </w:rPr>
              <w:t>W art. 1 pkt 36 projektu ustawy w projektowanym nowym brzmieniu art. 39:</w:t>
            </w:r>
          </w:p>
          <w:p w14:paraId="4606D4E2" w14:textId="77777777" w:rsidR="00A1261B" w:rsidRPr="005A61A3" w:rsidRDefault="00A1261B" w:rsidP="009B06B7">
            <w:pPr>
              <w:pStyle w:val="Teksttreci0"/>
              <w:numPr>
                <w:ilvl w:val="0"/>
                <w:numId w:val="36"/>
              </w:numPr>
              <w:shd w:val="clear" w:color="auto" w:fill="auto"/>
              <w:tabs>
                <w:tab w:val="left" w:pos="1131"/>
              </w:tabs>
              <w:spacing w:before="120" w:after="120"/>
              <w:ind w:left="553" w:right="274" w:hanging="415"/>
              <w:rPr>
                <w:rFonts w:ascii="Lato" w:hAnsi="Lato"/>
                <w:sz w:val="18"/>
                <w:szCs w:val="18"/>
              </w:rPr>
            </w:pPr>
            <w:r w:rsidRPr="005A61A3">
              <w:rPr>
                <w:rFonts w:ascii="Lato" w:hAnsi="Lato"/>
                <w:sz w:val="18"/>
                <w:szCs w:val="18"/>
              </w:rPr>
              <w:t>w ust. 1 proponuje się skreślić wyrazy „w szczególności” i precyzyjnie określić, w jakich przypadkach mogą być bez przeprowadzenia postępowania rozgraniczeniowego przesunięte, uszkodzone lub zniszczone znaki graniczne;</w:t>
            </w:r>
          </w:p>
          <w:p w14:paraId="6C2BE149" w14:textId="77777777" w:rsidR="00A1261B" w:rsidRDefault="00A1261B" w:rsidP="00C73279">
            <w:pPr>
              <w:pStyle w:val="Teksttreci0"/>
              <w:numPr>
                <w:ilvl w:val="0"/>
                <w:numId w:val="36"/>
              </w:numPr>
              <w:shd w:val="clear" w:color="auto" w:fill="auto"/>
              <w:tabs>
                <w:tab w:val="left" w:pos="1131"/>
              </w:tabs>
              <w:spacing w:before="120" w:after="120"/>
              <w:ind w:left="553" w:right="274" w:hanging="415"/>
              <w:rPr>
                <w:rFonts w:ascii="Lato" w:hAnsi="Lato"/>
                <w:sz w:val="18"/>
                <w:szCs w:val="18"/>
              </w:rPr>
            </w:pPr>
            <w:r w:rsidRPr="005A61A3">
              <w:rPr>
                <w:rFonts w:ascii="Lato" w:hAnsi="Lato"/>
                <w:sz w:val="18"/>
                <w:szCs w:val="18"/>
              </w:rPr>
              <w:t>w ust. 10, określającym jakie informacje zawiera zawiadomienie o czynnościach wznowienia znaków granicznych, zgodnie z zasadą określoności przepisów prawa, należy doprecyzować określenia „dane adresowe” i „dane kontaktowe”;</w:t>
            </w:r>
          </w:p>
          <w:p w14:paraId="39EF9B8E" w14:textId="57FBA669" w:rsidR="00A1261B" w:rsidRPr="00C73279" w:rsidRDefault="00A1261B" w:rsidP="00C73279">
            <w:pPr>
              <w:pStyle w:val="Teksttreci0"/>
              <w:numPr>
                <w:ilvl w:val="0"/>
                <w:numId w:val="36"/>
              </w:numPr>
              <w:shd w:val="clear" w:color="auto" w:fill="auto"/>
              <w:tabs>
                <w:tab w:val="left" w:pos="1131"/>
              </w:tabs>
              <w:spacing w:before="120" w:after="120"/>
              <w:ind w:left="553" w:right="274" w:hanging="415"/>
              <w:rPr>
                <w:rFonts w:ascii="Lato" w:hAnsi="Lato"/>
                <w:sz w:val="18"/>
                <w:szCs w:val="18"/>
              </w:rPr>
            </w:pPr>
            <w:r w:rsidRPr="00C73279">
              <w:rPr>
                <w:rFonts w:ascii="Lato" w:hAnsi="Lato"/>
                <w:sz w:val="18"/>
                <w:szCs w:val="18"/>
              </w:rPr>
              <w:t xml:space="preserve">zastrzeżenia budzi ust. 11, zgodnie z którym z czynności wznowienia znaków granicznych sporządza się protokół, którego wzór określają </w:t>
            </w:r>
            <w:r w:rsidRPr="00C73279">
              <w:rPr>
                <w:rFonts w:ascii="Lato" w:hAnsi="Lato"/>
                <w:sz w:val="18"/>
                <w:szCs w:val="18"/>
              </w:rPr>
              <w:lastRenderedPageBreak/>
              <w:t>przepisy wydane na podstawie art. 19 ust. 1 pkt 11 zmienianej ustawy; należy zauważyć, że obecnie wzór ww. protokołu nie jest określony we wskazanych przepisach wykonawczych; jeżeli intencją projektodawcy jest, aby w przepisach wykonawczych został określony wzór ww. protokołu, powinno to wynikać z przepisu upoważniającego; natomiast w zmienianym art. 19 ust. 1 pkt 11 (art. 1 pkt 19 lit. b projektu ustawy) powyższa materia nie została przekazana do uregulowania w akcie wykonawczym; ponadto, jeżeli wzór takiego protokołu ma zostać określony w akcie wykonawczym, to należy uzupełnić projektowane przepisy ustawowe o regulacje określające co zawiera ww. protokół (dane we wzorach określonych w przepisach wykonawczych powinny wynikać z przepisów ustawy upoważniającej).</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82F5BD2"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5C38B87" w14:textId="7F2407F6"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0600193A"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2A39836"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91336A6" w14:textId="5037D49F"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4124287D" w14:textId="08E4A58A"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43 projektu ustawy w projektowanym brzmieniu art. 42 ust. 2 pkt 1 określającym co rozumie się przez wykonywanie samodzielnych funkcji w dziedzinie geodezji i kartografii, zgodnie z zasadą określoności przepisów prawa, należy skreślić wyrazy „w szczególności” i odpowiednio doprecyzować ten przepis tak, aby stanowił katalog zamknięty prac geodezyjnych i prac kartograficznych oraz doprecyzować pkt 3, który wskazuje na „wykonywanie określonych w ustawie zadań zastrzeżonych dla wykonawcy prac geodezyjnych”, przez precyzyjne wskazanie tych zadań. Precyzyjność przepisu art. 42 ma istotne znaczenie, gdyż jego naruszenie zgodnie z art. 48 pkt 7 zmienianej ustawy jest zagrożone karą grzywny.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32275E"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1A79B5D" w14:textId="13B5E879"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164F63CF"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4CD482C3"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FA951A1" w14:textId="46AF6770"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6DAD3858" w14:textId="52201864"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art. 1 pkt 52 projektu ustawy z dodawanego ust. 7 do art. 45g wynika, że Główny Geodeta Kraju </w:t>
            </w:r>
            <w:r w:rsidRPr="005A61A3">
              <w:rPr>
                <w:rFonts w:ascii="Lato" w:hAnsi="Lato"/>
                <w:sz w:val="18"/>
                <w:szCs w:val="18"/>
                <w:u w:val="single"/>
              </w:rPr>
              <w:t>może</w:t>
            </w:r>
            <w:r w:rsidRPr="005A61A3">
              <w:rPr>
                <w:rFonts w:ascii="Lato" w:hAnsi="Lato"/>
                <w:sz w:val="18"/>
                <w:szCs w:val="18"/>
              </w:rPr>
              <w:t xml:space="preserve"> dokonywać z urzędu aktualizacji danych dotyczących osób wpisanych do centralnego rejestru osób posiadających uprawnienia zawodowe do wykonywania samodzielnych funkcji w dziedzinie geodezji i kartografii, na podstawie danych zawartych w rejestrze PESEL. Przy ww. konstrukcji przepisu od swobodnego uznania Głównego Geodety Kraju będzie zależało, czy dokona z urzędu aktualizacji danych. W opinii RCL w ww. przepisie powinny zostać wskazane przypadki albo przesłanki </w:t>
            </w:r>
            <w:r w:rsidRPr="005A61A3">
              <w:rPr>
                <w:rFonts w:ascii="Lato" w:hAnsi="Lato"/>
                <w:sz w:val="18"/>
                <w:szCs w:val="18"/>
              </w:rPr>
              <w:lastRenderedPageBreak/>
              <w:t>wskazujące kiedy Główny Geodeta Kraju wykonuje powyższe uprawnienia.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9578447"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A050F9" w14:textId="273F366D"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61BAB165"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EB4BFB5"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72B75D7" w14:textId="345492F7"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5954B94E" w14:textId="2B96D105"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56 lit. c w dodawanym ust. 5 do art. 46c, zgodnie z którym komisje dyscyplinarne orzekają na podstawie przepisów obowiązujących na dzień wykonania pracy geodezyjnej, wyjaśnienia oraz ewentualnie doprecyzowania wymaga określenie „wykonania pracy geodezyjnej”.</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255DD73"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3FDFC09" w14:textId="13553D31"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6106E1C6"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2345E82"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E1A93DE" w14:textId="53DD64A3"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1CA7820B" w14:textId="6F6AA76A"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57 lit. d projektu ustawy zgodnie z dodawanym ust. 3 w art. 46d zmienianej ustawy rzecznikiem dyscyplinarnym właściwym do rozpoznania sprawy jest rzecznik dyscyplinarny, na którego obszarze działania popełniono czyn uzasadniający odpowiedzialność dyscyplinarną. Należy zauważyć, że w chwili określania właściwości miejscowej rzecznika dyscyplinarnego jeszcze nie zostało przesądzone, że doszło do czynu skutkującego odpowiedzialnością dyscyplinarną. Rzecznik dyscyplinarny zbierać będzie w tej sprawie materiał dowodowy, a o odpowiedzialności dyscyplinarnej orzeknie dopiero komisja dyscyplinarna. Zatem należy rozważyć, czy nie jest zasadne inne określnie właściwości miejscowej rzecznika dyscyplinarnego.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134A407"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00D15B8" w14:textId="08D81720"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0FF9D8F9"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0105008"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CDB1A58" w14:textId="69A5846B"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2C8EA133" w14:textId="0DD5E0E7"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art. 1 pkt 58 lit. b projektu ustawy zastrzeżenia budzi dodawany art. 46e ust. 1b, zgodnie z którym rzecznik dyscyplinarny może upoważnić pracownika urzędu wojewódzkiego, za zgodą dyrektora generalnego tego urzędu, do wykonywania w jego imieniu czynności bieżących podczas jego nieobecności. Nie dotyczy to przesłuchań oraz czynności procesowych przed komisją dyscyplinarną. W przepisie tym niejasne jest określenie „czynności bieżących”. Ponadto budzi zastrzeżenia możliwość ww. upoważnienia w świetle tego, że to do zadań rzecznika dyscyplinarnego zgodnie z art. 46 ust. 1 i dodawanym ust. 1a należy prowadzenie postępowania wyjaśniającego. </w:t>
            </w:r>
            <w:r w:rsidRPr="005A61A3">
              <w:rPr>
                <w:rFonts w:ascii="Lato" w:hAnsi="Lato"/>
                <w:i/>
                <w:iCs/>
                <w:sz w:val="18"/>
                <w:szCs w:val="18"/>
              </w:rPr>
              <w:t>Ratio legis</w:t>
            </w:r>
            <w:r w:rsidRPr="005A61A3">
              <w:rPr>
                <w:rFonts w:ascii="Lato" w:hAnsi="Lato"/>
                <w:sz w:val="18"/>
                <w:szCs w:val="18"/>
              </w:rPr>
              <w:t xml:space="preserve"> powyższej regulacji nie zostało również wyjaśnione w uzasadnieniu projektu.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CAE57C"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6C33E87" w14:textId="77777777" w:rsidR="00A1261B" w:rsidRPr="00ED0223" w:rsidRDefault="00A1261B" w:rsidP="001C551C">
            <w:pPr>
              <w:pStyle w:val="Inne0"/>
              <w:spacing w:before="120" w:after="120"/>
              <w:ind w:left="131" w:right="138"/>
              <w:rPr>
                <w:rFonts w:ascii="Lato" w:eastAsia="Arial" w:hAnsi="Lato" w:cs="Arial"/>
                <w:sz w:val="18"/>
                <w:szCs w:val="18"/>
              </w:rPr>
            </w:pPr>
            <w:r w:rsidRPr="00ED0223">
              <w:rPr>
                <w:rFonts w:ascii="Lato" w:eastAsia="Arial" w:hAnsi="Lato" w:cs="Arial"/>
                <w:sz w:val="18"/>
                <w:szCs w:val="18"/>
              </w:rPr>
              <w:t>Uwaga nie</w:t>
            </w:r>
            <w:r>
              <w:rPr>
                <w:rFonts w:ascii="Lato" w:eastAsia="Arial" w:hAnsi="Lato" w:cs="Arial"/>
                <w:sz w:val="18"/>
                <w:szCs w:val="18"/>
              </w:rPr>
              <w:t xml:space="preserve"> została </w:t>
            </w:r>
            <w:r w:rsidRPr="00ED0223">
              <w:rPr>
                <w:rFonts w:ascii="Lato" w:eastAsia="Arial" w:hAnsi="Lato" w:cs="Arial"/>
                <w:sz w:val="18"/>
                <w:szCs w:val="18"/>
              </w:rPr>
              <w:t>uwzględniona</w:t>
            </w:r>
            <w:r>
              <w:rPr>
                <w:rFonts w:ascii="Lato" w:eastAsia="Arial" w:hAnsi="Lato" w:cs="Arial"/>
                <w:sz w:val="18"/>
                <w:szCs w:val="18"/>
              </w:rPr>
              <w:t>.</w:t>
            </w:r>
          </w:p>
          <w:p w14:paraId="2815B0B8" w14:textId="77777777" w:rsidR="00A1261B" w:rsidRPr="00ED0223" w:rsidRDefault="00A1261B" w:rsidP="00ED0223">
            <w:pPr>
              <w:pStyle w:val="Inne0"/>
              <w:spacing w:before="120" w:after="120"/>
              <w:ind w:left="131" w:right="138"/>
              <w:rPr>
                <w:rFonts w:ascii="Lato" w:eastAsia="Arial" w:hAnsi="Lato" w:cs="Arial"/>
                <w:sz w:val="18"/>
                <w:szCs w:val="18"/>
              </w:rPr>
            </w:pPr>
            <w:r w:rsidRPr="00ED0223">
              <w:rPr>
                <w:rFonts w:ascii="Lato" w:eastAsia="Arial" w:hAnsi="Lato" w:cs="Arial"/>
                <w:sz w:val="18"/>
                <w:szCs w:val="18"/>
              </w:rPr>
              <w:t>Ratio legis tego przepisu była możliwość zastępowania rzecznika w przypadku urlopu lub choroby i w jego zastępstwie podpisywanie i wysyłanie pism lub zawiadomień. Może to mieć znaczenie np. dla zachowania terminów. Natomiast obecnie nie ma takiej możliwości.</w:t>
            </w:r>
          </w:p>
          <w:p w14:paraId="0F9987C2" w14:textId="63294920" w:rsidR="00A1261B" w:rsidRPr="0037774A" w:rsidRDefault="00A1261B" w:rsidP="00ED0223">
            <w:pPr>
              <w:pStyle w:val="Inne0"/>
              <w:shd w:val="clear" w:color="auto" w:fill="auto"/>
              <w:spacing w:before="120" w:after="120"/>
              <w:ind w:left="131" w:right="138"/>
              <w:rPr>
                <w:rFonts w:ascii="Lato" w:eastAsia="Arial" w:hAnsi="Lato" w:cs="Arial"/>
                <w:sz w:val="18"/>
                <w:szCs w:val="18"/>
              </w:rPr>
            </w:pPr>
            <w:r w:rsidRPr="00ED0223">
              <w:rPr>
                <w:rFonts w:ascii="Lato" w:eastAsia="Arial" w:hAnsi="Lato" w:cs="Arial"/>
                <w:sz w:val="18"/>
                <w:szCs w:val="18"/>
              </w:rPr>
              <w:t>Przepis zastrzega, że z katalogu czynności, co do których rzecznik może być zastępowany, wyłączone są czynności procesowe przed komisjami oraz przesłuchania.</w:t>
            </w:r>
          </w:p>
        </w:tc>
      </w:tr>
      <w:tr w:rsidR="00A1261B" w:rsidRPr="0037774A" w14:paraId="2E79C411"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F058479"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1B802C2" w14:textId="6121C433"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6770C0E6" w14:textId="77777777" w:rsidR="00A1261B" w:rsidRPr="005A61A3" w:rsidRDefault="00A1261B" w:rsidP="009B06B7">
            <w:pPr>
              <w:pStyle w:val="Teksttreci0"/>
              <w:shd w:val="clear" w:color="auto" w:fill="auto"/>
              <w:spacing w:before="120" w:after="120"/>
              <w:ind w:left="138" w:right="274"/>
              <w:rPr>
                <w:rFonts w:ascii="Lato" w:hAnsi="Lato"/>
                <w:sz w:val="18"/>
                <w:szCs w:val="18"/>
              </w:rPr>
            </w:pPr>
            <w:r w:rsidRPr="005A61A3">
              <w:rPr>
                <w:rFonts w:ascii="Lato" w:hAnsi="Lato"/>
                <w:sz w:val="18"/>
                <w:szCs w:val="18"/>
              </w:rPr>
              <w:t xml:space="preserve">W art. 1 pkt 62 lit. d projektu ustawy w dodawanym art. 46h ust. 3 pkt 4, zgodnie z którym kandydatami na członków wojewódzkiej komisji </w:t>
            </w:r>
            <w:r w:rsidRPr="005A61A3">
              <w:rPr>
                <w:rFonts w:ascii="Lato" w:hAnsi="Lato"/>
                <w:sz w:val="18"/>
                <w:szCs w:val="18"/>
              </w:rPr>
              <w:lastRenderedPageBreak/>
              <w:t>dyscyplinarnej mogą być osoby, które pisemnie zgłoszą swoją kandydaturę do właściwego wojewódzkiego inspektora nadzoru geodezyjnego i kartograficznego i załączą dokumenty potwierdzające spełnienie wymagań, o których mowa w ust. 2, stosownie do zasady określoności przepisów prawa, należałoby doprecyzować, o jakie dokumenty chodzi. W szczególności wydaje się to uzasadnione w kontekście art. 46h ust. 2 pkt 1, z którego wynika, że członkiem wojewódzkiej komisji dyscyplinarnej może być osoba, która daje rękojmię wykonywania tej funkcji z racji posiadanej wiedzy - zasadne wydaje się wskazanie, jakie dokumenty mają potwierdzać spełnienie tego wymagania.</w:t>
            </w:r>
          </w:p>
          <w:p w14:paraId="5B4E760F" w14:textId="6BA538BB"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Analogiczna uwaga dotyczy dodawanego art. 46i ust. 3 pkt 4 (art. 1 pkt 63 lit. d projektu ustawy).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C141662"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B42C597" w14:textId="0BA31823" w:rsidR="00A1261B" w:rsidRPr="00ED0223" w:rsidRDefault="00A1261B" w:rsidP="001C551C">
            <w:pPr>
              <w:pStyle w:val="Inne0"/>
              <w:spacing w:before="120" w:after="120"/>
              <w:ind w:left="131" w:right="138"/>
              <w:rPr>
                <w:rFonts w:ascii="Lato" w:eastAsia="Arial" w:hAnsi="Lato" w:cs="Arial"/>
                <w:sz w:val="18"/>
                <w:szCs w:val="18"/>
              </w:rPr>
            </w:pPr>
            <w:r w:rsidRPr="00ED0223">
              <w:rPr>
                <w:rFonts w:ascii="Lato" w:eastAsia="Arial" w:hAnsi="Lato" w:cs="Arial"/>
                <w:sz w:val="18"/>
                <w:szCs w:val="18"/>
              </w:rPr>
              <w:t xml:space="preserve">Uwaga </w:t>
            </w:r>
            <w:r>
              <w:rPr>
                <w:rFonts w:ascii="Lato" w:eastAsia="Arial" w:hAnsi="Lato" w:cs="Arial"/>
                <w:sz w:val="18"/>
                <w:szCs w:val="18"/>
              </w:rPr>
              <w:t xml:space="preserve">została </w:t>
            </w:r>
            <w:r w:rsidRPr="00ED0223">
              <w:rPr>
                <w:rFonts w:ascii="Lato" w:eastAsia="Arial" w:hAnsi="Lato" w:cs="Arial"/>
                <w:sz w:val="18"/>
                <w:szCs w:val="18"/>
              </w:rPr>
              <w:t>uwzględniona</w:t>
            </w:r>
            <w:r>
              <w:rPr>
                <w:rFonts w:ascii="Lato" w:eastAsia="Arial" w:hAnsi="Lato" w:cs="Arial"/>
                <w:sz w:val="18"/>
                <w:szCs w:val="18"/>
              </w:rPr>
              <w:t>.</w:t>
            </w:r>
          </w:p>
          <w:p w14:paraId="256F00AD" w14:textId="77777777"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0319258A"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0638424"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4D102E3" w14:textId="3C7E3D78"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7168A5F0" w14:textId="5208EED9"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art. 1 pkt 64 projektu ustawy w dodawanym art. 46ib, zgodnie z którym rzecznik dyscyplinarny oraz </w:t>
            </w:r>
            <w:r w:rsidRPr="005A61A3">
              <w:rPr>
                <w:rFonts w:ascii="Lato" w:hAnsi="Lato"/>
                <w:sz w:val="18"/>
                <w:szCs w:val="18"/>
                <w:u w:val="single"/>
              </w:rPr>
              <w:t>członek komisji</w:t>
            </w:r>
            <w:r w:rsidRPr="005A61A3">
              <w:rPr>
                <w:rFonts w:ascii="Lato" w:hAnsi="Lato"/>
                <w:sz w:val="18"/>
                <w:szCs w:val="18"/>
              </w:rPr>
              <w:t xml:space="preserve"> podczas pełnienia obowiązków służbowych związanych z wykonywaniem tych funkcji, korzysta z ochrony przewidzianej dla funkcjonariuszy publicznych na zasadach określonych w Kodeksie karnym, należy doprecyzować o członka jakiej komisji chodzi.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6B2E278"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10E6B1E" w14:textId="77777777" w:rsidR="00D74456" w:rsidRPr="00D74456" w:rsidRDefault="00D74456" w:rsidP="00D74456">
            <w:pPr>
              <w:pStyle w:val="Inne0"/>
              <w:spacing w:before="120" w:after="120"/>
              <w:ind w:left="131" w:right="138"/>
              <w:rPr>
                <w:rFonts w:ascii="Lato" w:eastAsia="Arial" w:hAnsi="Lato" w:cs="Arial"/>
                <w:sz w:val="18"/>
                <w:szCs w:val="18"/>
              </w:rPr>
            </w:pPr>
            <w:r w:rsidRPr="00D74456">
              <w:rPr>
                <w:rFonts w:ascii="Lato" w:eastAsia="Arial" w:hAnsi="Lato" w:cs="Arial"/>
                <w:sz w:val="18"/>
                <w:szCs w:val="18"/>
              </w:rPr>
              <w:t>Uwaga bezprzedmiotowa w związku z odstąpieniem od wprowadzania przedmiotowej regulacji.</w:t>
            </w:r>
          </w:p>
          <w:p w14:paraId="4CC02A07" w14:textId="77777777"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100556A7"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6C1CE2F"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0FE3FB" w14:textId="3BBFD4E5"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70A9C4CF" w14:textId="49573BC5"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65 projektu ustawy w zmienianym art. 46j ust. 3 wskazuje się, że obsługę administracyjną i finansową rzeczników dyscyplinarnych oraz wojewódzkich komisji dyscyplinarnych zapewniają odpowiedni wojewodowie, a Odwoławczej Komisji Dyscyplinarnej - Główny Geodeta Kraju. W opinii RCL taką obsługę powinny sprawować urzędy, a nie organy. W tym zakresie przepis wymaga korekty.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BF034FB"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2B0E0AB" w14:textId="77777777" w:rsidR="00A1261B" w:rsidRPr="00ED0223" w:rsidRDefault="00A1261B" w:rsidP="001C551C">
            <w:pPr>
              <w:pStyle w:val="Inne0"/>
              <w:spacing w:before="120" w:after="120"/>
              <w:ind w:left="131" w:right="138"/>
              <w:rPr>
                <w:rFonts w:ascii="Lato" w:eastAsia="Arial" w:hAnsi="Lato" w:cs="Arial"/>
                <w:sz w:val="18"/>
                <w:szCs w:val="18"/>
              </w:rPr>
            </w:pPr>
            <w:r w:rsidRPr="00ED0223">
              <w:rPr>
                <w:rFonts w:ascii="Lato" w:eastAsia="Arial" w:hAnsi="Lato" w:cs="Arial"/>
                <w:sz w:val="18"/>
                <w:szCs w:val="18"/>
              </w:rPr>
              <w:t xml:space="preserve">Uwaga </w:t>
            </w:r>
            <w:r>
              <w:rPr>
                <w:rFonts w:ascii="Lato" w:eastAsia="Arial" w:hAnsi="Lato" w:cs="Arial"/>
                <w:sz w:val="18"/>
                <w:szCs w:val="18"/>
              </w:rPr>
              <w:t xml:space="preserve">została </w:t>
            </w:r>
            <w:r w:rsidRPr="00ED0223">
              <w:rPr>
                <w:rFonts w:ascii="Lato" w:eastAsia="Arial" w:hAnsi="Lato" w:cs="Arial"/>
                <w:sz w:val="18"/>
                <w:szCs w:val="18"/>
              </w:rPr>
              <w:t>uwzględniona</w:t>
            </w:r>
            <w:r>
              <w:rPr>
                <w:rFonts w:ascii="Lato" w:eastAsia="Arial" w:hAnsi="Lato" w:cs="Arial"/>
                <w:sz w:val="18"/>
                <w:szCs w:val="18"/>
              </w:rPr>
              <w:t>.</w:t>
            </w:r>
          </w:p>
          <w:p w14:paraId="2C714233" w14:textId="77777777"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25FA17B9"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37D9FA05"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05951E1" w14:textId="329CC198"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3DA70A31" w14:textId="42BBB391"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art. 1 pkt 66 projektu ustawy proponuje się dodanie do ustawy zmienianej art. 46ka wskazującego, że do ustalania terminów i doręczenia pism w postępowaniu wyjaśniającym i postępowaniu dyscyplinarnym stosuje się przepisy Kodeksu postępowania administracyjnego. Jednocześnie w art. 1 pkt 79 projektu ustawy proponuje się dodanie do zmienianej ustawy art. 49a wskazującego, że ilekroć zmieniana ustawa zastrzega termin, do sposobów jego obliczenia przepisy art. 57 Kodeksu postępowania administracyjnego stosuje się odpowiednio. Wydaje się, że w odniesieniu do </w:t>
            </w:r>
            <w:r w:rsidRPr="005A61A3">
              <w:rPr>
                <w:rFonts w:ascii="Lato" w:hAnsi="Lato"/>
                <w:sz w:val="18"/>
                <w:szCs w:val="18"/>
              </w:rPr>
              <w:lastRenderedPageBreak/>
              <w:t>ustalania terminów określonych w zmienianej ustawie ww. artykuły zawierają dublujące się regulacje. Powyższa kwestia wymaga zatem ponownej analizy oraz skorygowania.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C3ED164"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6360F22" w14:textId="77777777" w:rsidR="00A1261B" w:rsidRPr="00ED0223" w:rsidRDefault="00A1261B" w:rsidP="00172440">
            <w:pPr>
              <w:pStyle w:val="Inne0"/>
              <w:spacing w:before="120" w:after="120"/>
              <w:ind w:left="131" w:right="138"/>
              <w:rPr>
                <w:rFonts w:ascii="Lato" w:eastAsia="Arial" w:hAnsi="Lato" w:cs="Arial"/>
                <w:sz w:val="18"/>
                <w:szCs w:val="18"/>
              </w:rPr>
            </w:pPr>
            <w:r w:rsidRPr="00ED0223">
              <w:rPr>
                <w:rFonts w:ascii="Lato" w:eastAsia="Arial" w:hAnsi="Lato" w:cs="Arial"/>
                <w:sz w:val="18"/>
                <w:szCs w:val="18"/>
              </w:rPr>
              <w:t xml:space="preserve">Uwaga </w:t>
            </w:r>
            <w:r>
              <w:rPr>
                <w:rFonts w:ascii="Lato" w:eastAsia="Arial" w:hAnsi="Lato" w:cs="Arial"/>
                <w:sz w:val="18"/>
                <w:szCs w:val="18"/>
              </w:rPr>
              <w:t xml:space="preserve">została </w:t>
            </w:r>
            <w:r w:rsidRPr="00ED0223">
              <w:rPr>
                <w:rFonts w:ascii="Lato" w:eastAsia="Arial" w:hAnsi="Lato" w:cs="Arial"/>
                <w:sz w:val="18"/>
                <w:szCs w:val="18"/>
              </w:rPr>
              <w:t>uwzględniona</w:t>
            </w:r>
            <w:r>
              <w:rPr>
                <w:rFonts w:ascii="Lato" w:eastAsia="Arial" w:hAnsi="Lato" w:cs="Arial"/>
                <w:sz w:val="18"/>
                <w:szCs w:val="18"/>
              </w:rPr>
              <w:t>.</w:t>
            </w:r>
          </w:p>
          <w:p w14:paraId="448463EB" w14:textId="77777777"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12A856EC"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66CD686"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86E7CA4" w14:textId="35E4A93A"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203CF0F6" w14:textId="77777777" w:rsidR="00A1261B" w:rsidRPr="005A61A3" w:rsidRDefault="00A1261B" w:rsidP="009B06B7">
            <w:pPr>
              <w:pStyle w:val="Teksttreci0"/>
              <w:shd w:val="clear" w:color="auto" w:fill="auto"/>
              <w:tabs>
                <w:tab w:val="left" w:pos="778"/>
              </w:tabs>
              <w:spacing w:before="120" w:after="120"/>
              <w:ind w:left="138" w:right="274"/>
              <w:rPr>
                <w:rFonts w:ascii="Lato" w:hAnsi="Lato"/>
                <w:sz w:val="18"/>
                <w:szCs w:val="18"/>
              </w:rPr>
            </w:pPr>
            <w:r w:rsidRPr="005A61A3">
              <w:rPr>
                <w:rFonts w:ascii="Lato" w:hAnsi="Lato"/>
                <w:sz w:val="18"/>
                <w:szCs w:val="18"/>
              </w:rPr>
              <w:t xml:space="preserve">W proponowanym art. 11 projektu ustawy, który zawiera przepisy dostosowujące, wskazuje się na dostosowanie systemów do przepisów </w:t>
            </w:r>
            <w:r w:rsidRPr="005A61A3">
              <w:rPr>
                <w:rFonts w:ascii="Lato" w:hAnsi="Lato"/>
                <w:sz w:val="18"/>
                <w:szCs w:val="18"/>
                <w:u w:val="single"/>
              </w:rPr>
              <w:t>projektowanej ustawy</w:t>
            </w:r>
            <w:r w:rsidRPr="005A61A3">
              <w:rPr>
                <w:rFonts w:ascii="Lato" w:hAnsi="Lato"/>
                <w:sz w:val="18"/>
                <w:szCs w:val="18"/>
              </w:rPr>
              <w:t>.</w:t>
            </w:r>
          </w:p>
          <w:p w14:paraId="61B06EA0" w14:textId="5CF4CD81"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Zaproponowane wskazanie należy zmienić poprzez odesłanie do odpowiednich przepisów zmienianej ustawy.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890E22A"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5598AD6" w14:textId="77777777" w:rsidR="00A1261B" w:rsidRPr="00ED0223" w:rsidRDefault="00A1261B" w:rsidP="00172440">
            <w:pPr>
              <w:pStyle w:val="Inne0"/>
              <w:spacing w:before="120" w:after="120"/>
              <w:ind w:left="131" w:right="138"/>
              <w:rPr>
                <w:rFonts w:ascii="Lato" w:eastAsia="Arial" w:hAnsi="Lato" w:cs="Arial"/>
                <w:sz w:val="18"/>
                <w:szCs w:val="18"/>
              </w:rPr>
            </w:pPr>
            <w:r w:rsidRPr="00ED0223">
              <w:rPr>
                <w:rFonts w:ascii="Lato" w:eastAsia="Arial" w:hAnsi="Lato" w:cs="Arial"/>
                <w:sz w:val="18"/>
                <w:szCs w:val="18"/>
              </w:rPr>
              <w:t xml:space="preserve">Uwaga </w:t>
            </w:r>
            <w:r>
              <w:rPr>
                <w:rFonts w:ascii="Lato" w:eastAsia="Arial" w:hAnsi="Lato" w:cs="Arial"/>
                <w:sz w:val="18"/>
                <w:szCs w:val="18"/>
              </w:rPr>
              <w:t xml:space="preserve">została </w:t>
            </w:r>
            <w:r w:rsidRPr="00ED0223">
              <w:rPr>
                <w:rFonts w:ascii="Lato" w:eastAsia="Arial" w:hAnsi="Lato" w:cs="Arial"/>
                <w:sz w:val="18"/>
                <w:szCs w:val="18"/>
              </w:rPr>
              <w:t>uwzględniona</w:t>
            </w:r>
            <w:r>
              <w:rPr>
                <w:rFonts w:ascii="Lato" w:eastAsia="Arial" w:hAnsi="Lato" w:cs="Arial"/>
                <w:sz w:val="18"/>
                <w:szCs w:val="18"/>
              </w:rPr>
              <w:t>.</w:t>
            </w:r>
          </w:p>
          <w:p w14:paraId="59BF157E" w14:textId="77777777"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6F734D04"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F1B4E89"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5A0BD74" w14:textId="367CBA49"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7290E341" w14:textId="6A0355FD"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15 ust. 2 i 3 projektu ustawy są zamieszczone przepisy określające, że w terminie 6 miesięcy od dnia wejścia w życie projektowanej ustawy zostaną powołane wojewódzkie komisje dyscyplinarne oraz Odwoławcza Komisja Dyscyplinarna. Zauważa się, że zgodnie z obowiązującymi przepisami, które nie są w tym zakresie zmieniane, ww. komisje są powoływane na czteroletnią kadencję. W opinii RCL przepisy intertemporalne dotyczące przedmiotowych komisji powinny uwzględniać to, że komisje te są kadencyjne. Z uwagi na powyższe proponowane przepisy art. 15 ust. 2 i 3 projektu ustawy wymagają ponownej analizy i skorygowania.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B6B25D5"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8EE77B5" w14:textId="05C91F5E"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ED0223">
              <w:rPr>
                <w:rFonts w:ascii="Lato" w:eastAsia="Arial" w:hAnsi="Lato" w:cs="Arial"/>
                <w:sz w:val="18"/>
                <w:szCs w:val="18"/>
              </w:rPr>
              <w:t xml:space="preserve">Uwaga </w:t>
            </w:r>
            <w:r>
              <w:rPr>
                <w:rFonts w:ascii="Lato" w:eastAsia="Arial" w:hAnsi="Lato" w:cs="Arial"/>
                <w:sz w:val="18"/>
                <w:szCs w:val="18"/>
              </w:rPr>
              <w:t xml:space="preserve">została </w:t>
            </w:r>
            <w:r w:rsidRPr="00ED0223">
              <w:rPr>
                <w:rFonts w:ascii="Lato" w:eastAsia="Arial" w:hAnsi="Lato" w:cs="Arial"/>
                <w:sz w:val="18"/>
                <w:szCs w:val="18"/>
              </w:rPr>
              <w:t>uwzględniona</w:t>
            </w:r>
            <w:r>
              <w:rPr>
                <w:rFonts w:ascii="Lato" w:eastAsia="Arial" w:hAnsi="Lato" w:cs="Arial"/>
                <w:sz w:val="18"/>
                <w:szCs w:val="18"/>
              </w:rPr>
              <w:t>.</w:t>
            </w:r>
          </w:p>
        </w:tc>
      </w:tr>
      <w:tr w:rsidR="00A1261B" w:rsidRPr="0037774A" w14:paraId="09155D9D"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355E92CE"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832C886" w14:textId="1D06B217"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1F436E6F" w14:textId="24EAD467"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Uzasadnienie projektowanej ustawy należy dostosować do projektu ustawy (przykładowo dotyczy to: </w:t>
            </w:r>
            <w:proofErr w:type="spellStart"/>
            <w:r w:rsidRPr="005A61A3">
              <w:rPr>
                <w:rFonts w:ascii="Lato" w:hAnsi="Lato"/>
                <w:sz w:val="18"/>
                <w:szCs w:val="18"/>
              </w:rPr>
              <w:t>uspójnienia</w:t>
            </w:r>
            <w:proofErr w:type="spellEnd"/>
            <w:r w:rsidRPr="005A61A3">
              <w:rPr>
                <w:rFonts w:ascii="Lato" w:hAnsi="Lato"/>
                <w:sz w:val="18"/>
                <w:szCs w:val="18"/>
              </w:rPr>
              <w:t xml:space="preserve"> uzasadnienia odnoszącego się do regulacji art. 4b z projektowaną regulacją; na str. 8 uzasadnienia opisane kwalifikacje osoby, która może ubiegać się o stwierdzenie posiadania kwalifikacji w zawodzie klasyfikatora gruntów - kurs w zakresie gleboznawczej klasyfikacji gruntów - jest niezgodne z projektowanym art. 26d ust. 2 pkt 1, na str. 10 uzasadnienia jest mowa o nowelizacji art. 12 ust. 1 pkt 4 lit. l zmienianej ustawy, podczas gdy projektowana ustawa nie przewiduje nowelizacji tego przepisu).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8F0632D"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C93E180" w14:textId="2563853B"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273A77DF" w14:textId="6ED5ABA8" w:rsidR="00A1261B" w:rsidRPr="0037774A" w:rsidRDefault="00A1261B" w:rsidP="00D74456">
            <w:pPr>
              <w:pStyle w:val="Inne0"/>
              <w:shd w:val="clear" w:color="auto" w:fill="auto"/>
              <w:spacing w:before="120" w:after="120"/>
              <w:ind w:left="131" w:right="138"/>
              <w:rPr>
                <w:rFonts w:ascii="Lato" w:eastAsia="Arial" w:hAnsi="Lato" w:cs="Arial"/>
                <w:sz w:val="18"/>
                <w:szCs w:val="18"/>
              </w:rPr>
            </w:pPr>
          </w:p>
        </w:tc>
      </w:tr>
      <w:tr w:rsidR="00A1261B" w:rsidRPr="0037774A" w14:paraId="0EE814D0"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32C3E6F"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363E2FF" w14:textId="5FE34829"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4A080CBB" w14:textId="2D543772"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Należy uzupełnić uzasadnienie o opis wszystkich regulacji określonych w projekcie ustawy (dotyczy to m.in. art. 1 pkt 12 projektowanej ustawy w zakresie zamienianego art. 9 ust. 2, 3 i 5; art. 1 pkt 19 lit. b projektu w zakresie zmienianego art. 19 ust. 1 pkt 11 oraz związanego z nim przepisu przejściowego art. 18 </w:t>
            </w:r>
            <w:r w:rsidRPr="005A61A3">
              <w:rPr>
                <w:rFonts w:ascii="Lato" w:hAnsi="Lato"/>
                <w:sz w:val="18"/>
                <w:szCs w:val="18"/>
              </w:rPr>
              <w:lastRenderedPageBreak/>
              <w:t xml:space="preserve">projektu, art. 1 pkt 28 lit. j - uchylenie ust. 11 art. 28b, szczegółowe uzasadnienie art. 1 pkt 34 dotyczącego uchylenia w art. 28g w ust. 2 pkt 2, art. 1 pkt 53 dotyczącego uchylenia w art. 45h pkt 1 lit. f, dokładne wyjaśnienie zróżnicowania wejścia w życie przepisów ustawy (art. 19 projektu ustawy), w tym wskazania, czy będzie wystarczająca 14-dniowa </w:t>
            </w:r>
            <w:r w:rsidRPr="005A61A3">
              <w:rPr>
                <w:rFonts w:ascii="Lato" w:hAnsi="Lato"/>
                <w:i/>
                <w:iCs/>
                <w:sz w:val="18"/>
                <w:szCs w:val="18"/>
              </w:rPr>
              <w:t>vacatio legis</w:t>
            </w:r>
            <w:r w:rsidRPr="005A61A3">
              <w:rPr>
                <w:rFonts w:ascii="Lato" w:hAnsi="Lato"/>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1DD2F56"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D36CA23" w14:textId="5245B657" w:rsidR="00A1261B" w:rsidRDefault="00A1261B" w:rsidP="00BC743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46BAFF7C" w14:textId="77777777" w:rsidR="00A1261B" w:rsidRPr="0037774A" w:rsidRDefault="00A1261B" w:rsidP="00D74456">
            <w:pPr>
              <w:pStyle w:val="Inne0"/>
              <w:shd w:val="clear" w:color="auto" w:fill="auto"/>
              <w:spacing w:before="120" w:after="120"/>
              <w:ind w:left="131" w:right="138"/>
              <w:rPr>
                <w:rFonts w:ascii="Lato" w:eastAsia="Arial" w:hAnsi="Lato" w:cs="Arial"/>
                <w:sz w:val="18"/>
                <w:szCs w:val="18"/>
              </w:rPr>
            </w:pPr>
          </w:p>
        </w:tc>
      </w:tr>
      <w:tr w:rsidR="00A1261B" w:rsidRPr="0037774A" w14:paraId="6FAE5A3A"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78731E17"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35650D6" w14:textId="12DFCF22"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516824F1" w14:textId="2F1A001A"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związku z uchyleniem pkt 6 w art. 7c ust. 1 zmienianej ustawy dotyczącego zadania marszałka województwa polegającego na współdziałaniu z Głównym Geodetą Kraju w prowadzeniu państwowego rejestru granic i powierzchni jednostek podziałów terytorialnych kraju, w tym prowadzeniu bazy danych, o której mowa w art. 4 ust. 1a pkt 4, w części dotyczącej obszaru województwa (art. 1 pkt 10 lit. a projektu ustawy) należałoby uzupełnić uzasadnienie o informacje dotyczące konieczności lub braku konieczności uzupełnienia przepisów projektowanej ustawy o przepisy przejściowe lub dostosowujące w tym zakresie.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5E0D7D"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9DF5ED4" w14:textId="77777777" w:rsidR="00A1261B" w:rsidRDefault="00A1261B" w:rsidP="00A060D6">
            <w:pPr>
              <w:pStyle w:val="Inne0"/>
              <w:spacing w:before="120" w:after="120"/>
              <w:ind w:left="131" w:right="138"/>
              <w:rPr>
                <w:rFonts w:ascii="Lato" w:eastAsia="Arial" w:hAnsi="Lato" w:cs="Arial"/>
                <w:sz w:val="18"/>
                <w:szCs w:val="18"/>
              </w:rPr>
            </w:pPr>
            <w:r>
              <w:rPr>
                <w:rFonts w:ascii="Lato" w:eastAsia="Arial" w:hAnsi="Lato" w:cs="Arial"/>
                <w:sz w:val="18"/>
                <w:szCs w:val="18"/>
              </w:rPr>
              <w:t>Wyjaśnienie.</w:t>
            </w:r>
          </w:p>
          <w:p w14:paraId="0C63E755" w14:textId="1B6BF899" w:rsidR="00A1261B" w:rsidRPr="0037774A" w:rsidRDefault="00D74456" w:rsidP="00A060D6">
            <w:pPr>
              <w:pStyle w:val="Inne0"/>
              <w:spacing w:before="120" w:after="120"/>
              <w:ind w:left="131" w:right="138"/>
              <w:rPr>
                <w:rFonts w:ascii="Lato" w:eastAsia="Arial" w:hAnsi="Lato" w:cs="Arial"/>
                <w:sz w:val="18"/>
                <w:szCs w:val="18"/>
              </w:rPr>
            </w:pPr>
            <w:r>
              <w:rPr>
                <w:rFonts w:ascii="Lato" w:eastAsia="Arial" w:hAnsi="Lato" w:cs="Arial"/>
                <w:sz w:val="18"/>
                <w:szCs w:val="18"/>
              </w:rPr>
              <w:t>Zgodnie z informacja przekazaną przez GGK, o</w:t>
            </w:r>
            <w:r w:rsidR="00A1261B" w:rsidRPr="00A060D6">
              <w:rPr>
                <w:rFonts w:ascii="Lato" w:eastAsia="Arial" w:hAnsi="Lato" w:cs="Arial"/>
                <w:sz w:val="18"/>
                <w:szCs w:val="18"/>
              </w:rPr>
              <w:t xml:space="preserve">becnie nie funkcjonuje współdziałanie </w:t>
            </w:r>
            <w:r>
              <w:rPr>
                <w:rFonts w:ascii="Lato" w:eastAsia="Arial" w:hAnsi="Lato" w:cs="Arial"/>
                <w:sz w:val="18"/>
                <w:szCs w:val="18"/>
              </w:rPr>
              <w:t xml:space="preserve">GGK </w:t>
            </w:r>
            <w:r w:rsidR="00A1261B" w:rsidRPr="00A060D6">
              <w:rPr>
                <w:rFonts w:ascii="Lato" w:eastAsia="Arial" w:hAnsi="Lato" w:cs="Arial"/>
                <w:sz w:val="18"/>
                <w:szCs w:val="18"/>
              </w:rPr>
              <w:t xml:space="preserve">i </w:t>
            </w:r>
            <w:r w:rsidR="00A1261B">
              <w:rPr>
                <w:rFonts w:ascii="Lato" w:eastAsia="Arial" w:hAnsi="Lato" w:cs="Arial"/>
                <w:sz w:val="18"/>
                <w:szCs w:val="18"/>
              </w:rPr>
              <w:t>m</w:t>
            </w:r>
            <w:r w:rsidR="00A1261B" w:rsidRPr="00A060D6">
              <w:rPr>
                <w:rFonts w:ascii="Lato" w:eastAsia="Arial" w:hAnsi="Lato" w:cs="Arial"/>
                <w:sz w:val="18"/>
                <w:szCs w:val="18"/>
              </w:rPr>
              <w:t xml:space="preserve">arszałków </w:t>
            </w:r>
            <w:r w:rsidR="00A1261B">
              <w:rPr>
                <w:rFonts w:ascii="Lato" w:eastAsia="Arial" w:hAnsi="Lato" w:cs="Arial"/>
                <w:sz w:val="18"/>
                <w:szCs w:val="18"/>
              </w:rPr>
              <w:t xml:space="preserve">województw </w:t>
            </w:r>
            <w:r w:rsidR="00A1261B" w:rsidRPr="00A060D6">
              <w:rPr>
                <w:rFonts w:ascii="Lato" w:eastAsia="Arial" w:hAnsi="Lato" w:cs="Arial"/>
                <w:sz w:val="18"/>
                <w:szCs w:val="18"/>
              </w:rPr>
              <w:t xml:space="preserve">w zakresie prowadzenia </w:t>
            </w:r>
            <w:r w:rsidR="00A1261B" w:rsidRPr="005A61A3">
              <w:rPr>
                <w:rFonts w:ascii="Lato" w:hAnsi="Lato"/>
                <w:sz w:val="18"/>
                <w:szCs w:val="18"/>
              </w:rPr>
              <w:t>państwowego rejestru granic i powierzchni jednostek podziałów terytorialnych kraju</w:t>
            </w:r>
            <w:r w:rsidR="00A1261B">
              <w:rPr>
                <w:rFonts w:ascii="Lato" w:eastAsia="Arial" w:hAnsi="Lato" w:cs="Arial"/>
                <w:sz w:val="18"/>
                <w:szCs w:val="18"/>
              </w:rPr>
              <w:t xml:space="preserve">, w związku z czym </w:t>
            </w:r>
            <w:r w:rsidR="00A1261B" w:rsidRPr="00A060D6">
              <w:rPr>
                <w:rFonts w:ascii="Lato" w:eastAsia="Arial" w:hAnsi="Lato" w:cs="Arial"/>
                <w:sz w:val="18"/>
                <w:szCs w:val="18"/>
              </w:rPr>
              <w:t xml:space="preserve">nie ma konieczności tworzenia przepisów przejściowych. </w:t>
            </w:r>
          </w:p>
        </w:tc>
      </w:tr>
      <w:tr w:rsidR="00A1261B" w:rsidRPr="0037774A" w14:paraId="7469E1ED"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EC865AC"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8F1420A" w14:textId="1382BA7E"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1A7F4936" w14:textId="19392D79"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związku z ilością i zakresem zmian wprowadzanych w przedmiotowym projekcie ustawy do zmienianej ustawy proponuje się dokonać ponownej analizy projektu pod kątem kompletności przepisów przejściowych i dostosowujących związanych z tymi zmianami (np. dotyczącymi uchylenia przepisów dotyczących rejestru wydanych dzienników praktyki zawodowej, zmian przepisów dotyczących powołania i odwołania rzecznika dyscyplinarnego).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0284C59"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8DD9B38" w14:textId="77777777" w:rsidR="00A1261B" w:rsidRDefault="00A1261B" w:rsidP="00BC743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z modyfikacją.</w:t>
            </w:r>
          </w:p>
          <w:p w14:paraId="08C47930" w14:textId="5771191F"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27D1CD48"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D0D49D8"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1D6A9FA" w14:textId="41922930"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eastAsia="Arial" w:hAnsi="Lato" w:cs="Arial"/>
                <w:sz w:val="18"/>
                <w:szCs w:val="18"/>
              </w:rPr>
              <w:t>Rządowe Centrum Legislacji (RCL)</w:t>
            </w:r>
          </w:p>
        </w:tc>
        <w:tc>
          <w:tcPr>
            <w:tcW w:w="4536" w:type="dxa"/>
            <w:tcBorders>
              <w:top w:val="single" w:sz="4" w:space="0" w:color="auto"/>
              <w:left w:val="single" w:sz="4" w:space="0" w:color="auto"/>
              <w:bottom w:val="single" w:sz="4" w:space="0" w:color="auto"/>
            </w:tcBorders>
            <w:shd w:val="clear" w:color="auto" w:fill="FFFFFF"/>
          </w:tcPr>
          <w:p w14:paraId="1F42F30D" w14:textId="77777777" w:rsidR="00A1261B" w:rsidRPr="005A61A3" w:rsidRDefault="00A1261B" w:rsidP="009B06B7">
            <w:pPr>
              <w:pStyle w:val="Teksttreci0"/>
              <w:shd w:val="clear" w:color="auto" w:fill="auto"/>
              <w:spacing w:before="120" w:after="120"/>
              <w:ind w:left="138" w:right="274"/>
              <w:rPr>
                <w:rFonts w:ascii="Lato" w:hAnsi="Lato"/>
                <w:sz w:val="18"/>
                <w:szCs w:val="18"/>
              </w:rPr>
            </w:pPr>
            <w:r w:rsidRPr="005A61A3">
              <w:rPr>
                <w:rFonts w:ascii="Lato" w:hAnsi="Lato"/>
                <w:sz w:val="18"/>
                <w:szCs w:val="18"/>
              </w:rPr>
              <w:t>Projekt wymaga dopracowania pod względem legislacyjnym i redakcyjnym. W szczególności zauważa się, że:</w:t>
            </w:r>
          </w:p>
          <w:p w14:paraId="667300AD" w14:textId="77777777" w:rsidR="00A1261B" w:rsidRPr="005A61A3" w:rsidRDefault="00A1261B" w:rsidP="009B06B7">
            <w:pPr>
              <w:pStyle w:val="Teksttreci0"/>
              <w:numPr>
                <w:ilvl w:val="0"/>
                <w:numId w:val="37"/>
              </w:numPr>
              <w:shd w:val="clear" w:color="auto" w:fill="auto"/>
              <w:tabs>
                <w:tab w:val="left" w:pos="756"/>
              </w:tabs>
              <w:spacing w:before="120" w:after="120"/>
              <w:ind w:left="553" w:right="274" w:hanging="415"/>
              <w:rPr>
                <w:rFonts w:ascii="Lato" w:hAnsi="Lato"/>
                <w:sz w:val="18"/>
                <w:szCs w:val="18"/>
              </w:rPr>
            </w:pPr>
            <w:r w:rsidRPr="005A61A3">
              <w:rPr>
                <w:rFonts w:ascii="Lato" w:hAnsi="Lato"/>
                <w:sz w:val="18"/>
                <w:szCs w:val="18"/>
              </w:rPr>
              <w:t>w przypadku, gdy dodaje się kolejny ustęp w artykule, który ma być ostatnim ustępem, nie wskazuje się po jakim ustępie jest dodawany nowy ustęp;</w:t>
            </w:r>
          </w:p>
          <w:p w14:paraId="64EDED93" w14:textId="77777777" w:rsidR="00A1261B" w:rsidRPr="005A61A3" w:rsidRDefault="00A1261B" w:rsidP="009B06B7">
            <w:pPr>
              <w:pStyle w:val="Teksttreci0"/>
              <w:numPr>
                <w:ilvl w:val="0"/>
                <w:numId w:val="37"/>
              </w:numPr>
              <w:shd w:val="clear" w:color="auto" w:fill="auto"/>
              <w:tabs>
                <w:tab w:val="left" w:pos="756"/>
              </w:tabs>
              <w:spacing w:before="120" w:after="120"/>
              <w:ind w:left="553" w:right="274" w:hanging="415"/>
              <w:rPr>
                <w:rFonts w:ascii="Lato" w:hAnsi="Lato"/>
                <w:sz w:val="18"/>
                <w:szCs w:val="18"/>
              </w:rPr>
            </w:pPr>
            <w:r w:rsidRPr="005A61A3">
              <w:rPr>
                <w:rFonts w:ascii="Lato" w:hAnsi="Lato"/>
                <w:sz w:val="18"/>
                <w:szCs w:val="18"/>
              </w:rPr>
              <w:t>w przypadku, gdy przepis upoważniający jest projektowany jako ustęp w artykule, powinien on być ostatnim ustępem w artykule;</w:t>
            </w:r>
          </w:p>
          <w:p w14:paraId="4343B2BD" w14:textId="16BFFC7E"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projekt wymaga zweryfikowania pod kątem prawidłowości oznaczenia odesłań - art. 1 pkt 2 </w:t>
            </w:r>
            <w:r w:rsidRPr="005A61A3">
              <w:rPr>
                <w:rFonts w:ascii="Lato" w:hAnsi="Lato"/>
                <w:sz w:val="18"/>
                <w:szCs w:val="18"/>
              </w:rPr>
              <w:lastRenderedPageBreak/>
              <w:t>projektu ustawy, w projektowanym art. 4b ust. 2 pkt 3 jest wskazanie na ministra, o którym mowa w art. 614 ust. 1 ustawy z dnia 11 marca 2022 r. o obronie Ojczyzny, a w artykule tym nie ma ustępów.</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72CCB1D"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21697FF" w14:textId="580C450D" w:rsidR="00A1261B" w:rsidRPr="0037774A" w:rsidRDefault="00A1261B" w:rsidP="00D7445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0325EC8F"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36BD0D1D"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DACCFBB" w14:textId="5E462A50"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6EDC1313"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Postuluje się przypisanie na stałe do kompetencji spółki PKP S.A., w ramach której funkcjonują  Kolejowe Ośrodki Dokumentacji Geodezyjnej i Kartograficznej (</w:t>
            </w:r>
            <w:proofErr w:type="spellStart"/>
            <w:r w:rsidRPr="005A61A3">
              <w:rPr>
                <w:rFonts w:ascii="Lato" w:hAnsi="Lato"/>
                <w:sz w:val="18"/>
                <w:szCs w:val="18"/>
              </w:rPr>
              <w:t>KODGiK</w:t>
            </w:r>
            <w:proofErr w:type="spellEnd"/>
            <w:r w:rsidRPr="005A61A3">
              <w:rPr>
                <w:rFonts w:ascii="Lato" w:hAnsi="Lato"/>
                <w:sz w:val="18"/>
                <w:szCs w:val="18"/>
              </w:rPr>
              <w:t>), jako podmiotu upoważnionego, prowadzenia zasobów geodezyjnych dla kolejowych terenów zamkniętych II kategorii, określonych przez ministra właściwego ds. transportu, oraz realizacji niektórych obowiązków wynikających z projektowanej ustawy.</w:t>
            </w:r>
          </w:p>
          <w:p w14:paraId="0BD4B71E"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Zgodnie z projektowanymi przepisami, terenów zamkniętych I kategorii nie ustala się na gruntach stanowiących m.in. drogi kolejowe (projektowany art. 4a ust. 4), co wskazuje, że na gruntach, na których usytuowana jest infrastruktura linii kolejowych możliwe jest ustanowienie terenów zamkniętych II kategorii. Wskazania takich terenów może dokonać, w świetle projektowanego art. 4b ust. 2 pkt. 2 minister odpowiedzialny za system, o którym mowa w art. 3 pkt 2 ustawy o zarządzaniu kryzysowym. Art. 3 pkt 2 lit. h wskazuje na system transportowy.</w:t>
            </w:r>
          </w:p>
          <w:p w14:paraId="7A81AD12"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 xml:space="preserve">Proponowane rozwiązania legislacyjne wprowadzą znaczne zmiany w funkcjonowaniu kolejowych terenów zamkniętych, które zostały określone w decyzji nr 14 Ministra Infrastruktury z dnia 18 września 2020 r. w sprawie ustalenia terenów zamkniętych, przez które przebiegają linie kolejowe </w:t>
            </w:r>
            <w:r w:rsidRPr="005A61A3">
              <w:rPr>
                <w:rFonts w:ascii="Lato" w:hAnsi="Lato"/>
                <w:sz w:val="18"/>
                <w:szCs w:val="18"/>
              </w:rPr>
              <w:br/>
              <w:t xml:space="preserve">(Dz. Urz. Min. Inf. poz. 38, z </w:t>
            </w:r>
            <w:proofErr w:type="spellStart"/>
            <w:r w:rsidRPr="005A61A3">
              <w:rPr>
                <w:rFonts w:ascii="Lato" w:hAnsi="Lato"/>
                <w:sz w:val="18"/>
                <w:szCs w:val="18"/>
              </w:rPr>
              <w:t>późn</w:t>
            </w:r>
            <w:proofErr w:type="spellEnd"/>
            <w:r w:rsidRPr="005A61A3">
              <w:rPr>
                <w:rFonts w:ascii="Lato" w:hAnsi="Lato"/>
                <w:sz w:val="18"/>
                <w:szCs w:val="18"/>
              </w:rPr>
              <w:t>. zm.</w:t>
            </w:r>
            <w:r w:rsidRPr="005A61A3">
              <w:rPr>
                <w:rStyle w:val="Odwoanieprzypisudolnego"/>
                <w:rFonts w:ascii="Lato" w:hAnsi="Lato"/>
                <w:sz w:val="18"/>
                <w:szCs w:val="18"/>
              </w:rPr>
              <w:footnoteReference w:id="1"/>
            </w:r>
            <w:r w:rsidRPr="005A61A3">
              <w:rPr>
                <w:rFonts w:ascii="Lato" w:hAnsi="Lato"/>
                <w:sz w:val="18"/>
                <w:szCs w:val="18"/>
              </w:rPr>
              <w:t xml:space="preserve"> ) i istotnie wpłyną na procesy inwestycyjne prowadzone na nieruchomościach kolejowych, które ze względu na swoją specyfikę są istotnym elementem nie tylko gospodarki  narodowej i transportu publicznego oraz komercyjnego, ale także szeroko pojętej obronności i bezpieczeństwa kraju. Dostęp do specjalistycznych opracowań mapowych jest jedną z podstaw  szybkiego reagowania na ewentualne zagrożenia zewnętrzne. Z uwagi na obecną sytuację geopolityczną, słuszne wydaje się ograniczanie na </w:t>
            </w:r>
            <w:r w:rsidRPr="005A61A3">
              <w:rPr>
                <w:rFonts w:ascii="Lato" w:hAnsi="Lato"/>
                <w:sz w:val="18"/>
                <w:szCs w:val="18"/>
              </w:rPr>
              <w:lastRenderedPageBreak/>
              <w:t>dotychczasowym poziomie dostępu do danych przestrzennych obiektów strategicznych położonych na gruntach kolejowych wchodzących w skład infrastruktury krytycznej. Należy zwrócić uwagę, że obecny status prawny terenów zamkniętych na obszarach kolejowych pozwala na ich ochronę przed niekontrolowanym wykonywaniem robót budowlanych i właściwe utrzymanie bezpieczeństwa prowadzenia ruchu kolejowego.</w:t>
            </w:r>
          </w:p>
          <w:p w14:paraId="5BD98E10"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 xml:space="preserve">Propozycja zmian ujęta w projekcie ustawy, w związku z nieuwzględnieniem (wprost) ministra właściwego ds. transportu jako organu określającego tereny zamknięte na gruntach kolejowych oraz nadzorującego działania w zakresie prowadzenia zasobu i stosowania wytycznych do opracowań geodezyjno-kartograficznych, m.in. obowiązującego standardu wymiany danych kolejowych K-GML  opublikowanego na stronie Ministerstwa Infrastruktury, może wpłynąć negatywnie na dotychczasową utrwaloną relację pomiędzy ministrem właściwym ds. transportu a zarządcą kolejowego terenu zamkniętego. Standard K-GML, jak również wdrożone dotąd przez PKP S.A. narzędzia informatyczne służące do prowadzenia zasobu i obsługi interesariuszy w trybie on-line, są wynikiem planowych i systemowych działań PKP S.A., które mają na celu realną modernizację </w:t>
            </w:r>
            <w:proofErr w:type="spellStart"/>
            <w:r w:rsidRPr="005A61A3">
              <w:rPr>
                <w:rFonts w:ascii="Lato" w:hAnsi="Lato"/>
                <w:sz w:val="18"/>
                <w:szCs w:val="18"/>
              </w:rPr>
              <w:t>KODGiK</w:t>
            </w:r>
            <w:proofErr w:type="spellEnd"/>
            <w:r w:rsidRPr="005A61A3">
              <w:rPr>
                <w:rFonts w:ascii="Lato" w:hAnsi="Lato"/>
                <w:sz w:val="18"/>
                <w:szCs w:val="18"/>
              </w:rPr>
              <w:t xml:space="preserve">. W ramach działań zmierzających do modernizacji </w:t>
            </w:r>
            <w:proofErr w:type="spellStart"/>
            <w:r w:rsidRPr="005A61A3">
              <w:rPr>
                <w:rFonts w:ascii="Lato" w:hAnsi="Lato"/>
                <w:sz w:val="18"/>
                <w:szCs w:val="18"/>
              </w:rPr>
              <w:t>KODGiK</w:t>
            </w:r>
            <w:proofErr w:type="spellEnd"/>
            <w:r w:rsidRPr="005A61A3">
              <w:rPr>
                <w:rFonts w:ascii="Lato" w:hAnsi="Lato"/>
                <w:sz w:val="18"/>
                <w:szCs w:val="18"/>
              </w:rPr>
              <w:t xml:space="preserve">, PKP S.A. złożyła w marcu 2025 r. wniosek o dofinansowanie z programu Fundusze Europejskie na Rozwój Cyfrowy (EFRR) projektu pn. Transformacja Cyfrowa </w:t>
            </w:r>
            <w:proofErr w:type="spellStart"/>
            <w:r w:rsidRPr="005A61A3">
              <w:rPr>
                <w:rFonts w:ascii="Lato" w:hAnsi="Lato"/>
                <w:sz w:val="18"/>
                <w:szCs w:val="18"/>
              </w:rPr>
              <w:t>KODGiK</w:t>
            </w:r>
            <w:proofErr w:type="spellEnd"/>
            <w:r w:rsidRPr="005A61A3">
              <w:rPr>
                <w:rFonts w:ascii="Lato" w:hAnsi="Lato"/>
                <w:sz w:val="18"/>
                <w:szCs w:val="18"/>
              </w:rPr>
              <w:t xml:space="preserve"> na kwotę 64,2 mln zł (całkowita wartość projektu to 78,0 mln zł, a jego zakończenie planowane jest na koniec 2028 r.). Wniosek PKP S.A. przeszedł pozytywnie ocenę formalną i jest obecnie analizowany przez instytucję pośredniczącą pod kątem merytorycznym, a rozstrzygnięcie naboru planowane jest na drugą połowę lipca 2025 r. Projekt cyfryzacji </w:t>
            </w:r>
            <w:proofErr w:type="spellStart"/>
            <w:r w:rsidRPr="005A61A3">
              <w:rPr>
                <w:rFonts w:ascii="Lato" w:hAnsi="Lato"/>
                <w:sz w:val="18"/>
                <w:szCs w:val="18"/>
              </w:rPr>
              <w:t>KODGiK</w:t>
            </w:r>
            <w:proofErr w:type="spellEnd"/>
            <w:r w:rsidRPr="005A61A3">
              <w:rPr>
                <w:rFonts w:ascii="Lato" w:hAnsi="Lato"/>
                <w:sz w:val="18"/>
                <w:szCs w:val="18"/>
              </w:rPr>
              <w:t xml:space="preserve"> przewidziany jest do realizacji w latach 2025 – 2028, a jego ukończenie pozwoli na osiągnięcie pełnej digitalizacji kolejowego zasobu geodezyjno-kartograficznego oraz wytworzenie nowych e-usług dla branży geodezyjnej i projektowej, co znacząco ułatwi proces pozyskiwania danych z zasobu (w tym dla </w:t>
            </w:r>
            <w:r w:rsidRPr="005A61A3">
              <w:rPr>
                <w:rFonts w:ascii="Lato" w:hAnsi="Lato"/>
                <w:sz w:val="18"/>
                <w:szCs w:val="18"/>
              </w:rPr>
              <w:lastRenderedPageBreak/>
              <w:t xml:space="preserve">potrzeb sporządzania map do celów projektowych), przekazywania do zasobu nowych opracowań (w tym geodezyjnej inwentaryzacji powykonawczej dla inwestycji prowadzonych na terenach kolejowych), a także przyspieszy proces inwestycyjny, zarówno na etapie przygotowawczym (projektowym), jak i na etapie realizacji robót (powykonawczym i odbiorowym). Dodatkowo, w celu uproszczenia i usprawnienia procesów inwestycyjnych na terenach kolejowych dla wszystkich chętnych inwestorów (w tym branży kolejowej i telekomunikacyjnej), PKP S.A. opracowuje nowe zasady uzyskiwania zgód właścicielskich na „wejście w kolejowy teren zamknięty” i pozostawienie w nim obcej infrastruktury  przez podmioty trzecie. PKP S.A. planuje wprowadzenie ułatwienia dla inwestorów w postaci tzw. „jednego okienka” oraz narad koordynacyjnych zbliżonych do narad przeprowadzanych przez starostów. Powyższe działania PKP S.A. w zakresie cyfryzacji </w:t>
            </w:r>
            <w:proofErr w:type="spellStart"/>
            <w:r w:rsidRPr="005A61A3">
              <w:rPr>
                <w:rFonts w:ascii="Lato" w:hAnsi="Lato"/>
                <w:sz w:val="18"/>
                <w:szCs w:val="18"/>
              </w:rPr>
              <w:t>KODGiK</w:t>
            </w:r>
            <w:proofErr w:type="spellEnd"/>
            <w:r w:rsidRPr="005A61A3">
              <w:rPr>
                <w:rFonts w:ascii="Lato" w:hAnsi="Lato"/>
                <w:sz w:val="18"/>
                <w:szCs w:val="18"/>
              </w:rPr>
              <w:t>, „jednego okienka” oraz narad koordynacyjnych staną się bezprzedmiotowe w przypadku wprowadzenia w życie zmian do ustawy Prawo geodezyjne i kartograficzne w kształcie proponowanym w projekcie ustawy w jego obecnym brzmieniu.</w:t>
            </w:r>
          </w:p>
          <w:p w14:paraId="442BE5D6"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 xml:space="preserve">Projekt ustawy nie rozstrzyga również kwestii związanych z dostosowaniem geodezyjnych baz danych, m.in. BDOT500 i GESUT, do struktury obiektów dla terenów kolejowych oraz nie gwarantuje zapisów zabezpieczających precyzję pomiarów geodezyjnych dla kolei, szczególnie kolei dużych prędkości, które są bardziej rygorystyczne, gdyż mają bezpośredni i kluczowy wpływ na bezpieczeństwo prowadzenia ruchu pociągów, precyzję budowy i utrzymania infrastruktury technicznej oraz działanie systemów automatyki kolejowej. Infrastruktura kolejowa projektowana dla ruchu pociągów dużej prędkości wymaga aby tor miał idealnie równą geometrię (niweleta, promienie łuków, przechyłki) oraz nie przekraczał odchyłek rzędu milimetrów – większe mogą prowadzić do drgań, co wpływa na komfort jazdy, zwiększone zużycie torów i taboru, a nawet znaczny wzrost ryzyka wykolejenia taboru kolejowego. Porównanie standardów technicznych geodezji dla kolei, wg specyfikacji GK-1 z powiatowymi standardami </w:t>
            </w:r>
            <w:r w:rsidRPr="005A61A3">
              <w:rPr>
                <w:rFonts w:ascii="Lato" w:hAnsi="Lato"/>
                <w:sz w:val="18"/>
                <w:szCs w:val="18"/>
              </w:rPr>
              <w:lastRenderedPageBreak/>
              <w:t xml:space="preserve">geodezyjnymi ujawnia istotne różnice w wymaganiach dokładnościowych, bezpieczeństwa i celu danych. Dokładności pomiarów wynikające z Rozporządzenia Ministra Rozwoju z dnia 18 sierpnia 2020 r. w sprawie standardów technicznych wykonywania geodezyjnych pomiarów sytuacyjnych i wysokościowych oraz opracowywania i przekazywania wyników tych pomiarów do państwowego zasobu geodezyjnego i kartograficznego (Dz. U. z 2022 r. poz. 1670) nie są, w ocenie ekspertów PKP S.A., wystarczające do celów projektowania i utrzymania infrastruktury kolejowej, gdyż dokładność dotyczy głównie „zwykłych” obiektów budowlanych i ewidencyjnych, a nie precyzyjnych konstrukcji inżynieryjnych jak torowiska czy rozjazdy. Zachodzi więc uzasadniona obawa o nieodpowiednie prowadzenie danych w oparciu o standardy, niemające wystarczającej dokładności dla układania rozjazdów, projektowania skrajni czy obsługi systemów antykolizyjnych. </w:t>
            </w:r>
          </w:p>
          <w:p w14:paraId="631D1D67"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 xml:space="preserve">Należy również zauważyć, że PKP S.A. prowadzi </w:t>
            </w:r>
            <w:proofErr w:type="spellStart"/>
            <w:r w:rsidRPr="005A61A3">
              <w:rPr>
                <w:rFonts w:ascii="Lato" w:hAnsi="Lato"/>
                <w:sz w:val="18"/>
                <w:szCs w:val="18"/>
              </w:rPr>
              <w:t>KODGiK</w:t>
            </w:r>
            <w:proofErr w:type="spellEnd"/>
            <w:r w:rsidRPr="005A61A3">
              <w:rPr>
                <w:rFonts w:ascii="Lato" w:hAnsi="Lato"/>
                <w:sz w:val="18"/>
                <w:szCs w:val="18"/>
              </w:rPr>
              <w:t xml:space="preserve"> od kilkudziesięciu lat, a szeroko rozumiany kolejowy zasób geodezyjno-kartograficzny (zgromadzone materiały, sprzęt, wyspecjalizowani  pracownicy, know-how) stanowi wymierny majątek Spółki. Polska kolej, wzorem innych kolei europejskich, prowadzi i utrzymuje odrębny zasób geodezyjny, niezależny od państwowego, z uwagi na inny cel wykorzystania gromadzonych w nim danych, stawiający na bezpieczeństwo przewozów kolejowych, większą dokładność pomiarów, autonomię infrastrukturalną i ochronę danych krytycznych. Przekazanie kolejowych baz danych do </w:t>
            </w:r>
            <w:proofErr w:type="spellStart"/>
            <w:r w:rsidRPr="005A61A3">
              <w:rPr>
                <w:rFonts w:ascii="Lato" w:hAnsi="Lato"/>
                <w:sz w:val="18"/>
                <w:szCs w:val="18"/>
              </w:rPr>
              <w:t>PODGiK</w:t>
            </w:r>
            <w:proofErr w:type="spellEnd"/>
            <w:r w:rsidRPr="005A61A3">
              <w:rPr>
                <w:rFonts w:ascii="Lato" w:hAnsi="Lato"/>
                <w:sz w:val="18"/>
                <w:szCs w:val="18"/>
              </w:rPr>
              <w:t xml:space="preserve"> może być procesem obarczonym znacznym ryzykiem przeciągnięcia się tych czynności w czasie, między innymi z uwagi na charakter i strukturę przechowywania danych liniowych (osie torów), które obecnie, przechodząc przez kilka obrębów/powiatów, są de facto jednym obiektem, natomiast przed przekazaniem ich do ośrodków miejskich będzie należało je podzielić na odcinki, zgodnie z przebiegiem granic administracyjnych pomiędzy właściwymi jednostkami samorządu terytorialnego oraz dokonać generalizacji danych. Dodatkowo prowadzenie baz w </w:t>
            </w:r>
            <w:proofErr w:type="spellStart"/>
            <w:r w:rsidRPr="005A61A3">
              <w:rPr>
                <w:rFonts w:ascii="Lato" w:hAnsi="Lato"/>
                <w:sz w:val="18"/>
                <w:szCs w:val="18"/>
              </w:rPr>
              <w:t>PODGiK</w:t>
            </w:r>
            <w:proofErr w:type="spellEnd"/>
            <w:r w:rsidRPr="005A61A3">
              <w:rPr>
                <w:rFonts w:ascii="Lato" w:hAnsi="Lato"/>
                <w:sz w:val="18"/>
                <w:szCs w:val="18"/>
              </w:rPr>
              <w:t xml:space="preserve"> nie zwolni geodety z </w:t>
            </w:r>
            <w:r w:rsidRPr="005A61A3">
              <w:rPr>
                <w:rFonts w:ascii="Lato" w:hAnsi="Lato"/>
                <w:sz w:val="18"/>
                <w:szCs w:val="18"/>
              </w:rPr>
              <w:lastRenderedPageBreak/>
              <w:t xml:space="preserve">wykonywania pomiarów w standardzie zgodnym z wymaganiami zarządcy infrastruktury kolejowej i zachowania dokładności inżynieryjnej, przez co w dalszym ciągu będzie zobowiązany do stosowania technik pomiaru specjalistycznego, tj. tachimetrii czy kontroli niwelacyjnej, a równocześnie wymagane będzie od niego przetworzenie  danych do standardu </w:t>
            </w:r>
            <w:proofErr w:type="spellStart"/>
            <w:r w:rsidRPr="005A61A3">
              <w:rPr>
                <w:rFonts w:ascii="Lato" w:hAnsi="Lato"/>
                <w:sz w:val="18"/>
                <w:szCs w:val="18"/>
              </w:rPr>
              <w:t>PODGiK</w:t>
            </w:r>
            <w:proofErr w:type="spellEnd"/>
            <w:r w:rsidRPr="005A61A3">
              <w:rPr>
                <w:rFonts w:ascii="Lato" w:hAnsi="Lato"/>
                <w:sz w:val="18"/>
                <w:szCs w:val="18"/>
              </w:rPr>
              <w:t xml:space="preserve">, czyli GML/BDOT/GESUT – o dużo niższej dokładności i innej strukturze semantycznej. Efektem tego będzie zwiększony nakład pracy, a także wytworzenie podwójnej dokumentacji oraz przetwarzanie danych geometrycznych. </w:t>
            </w:r>
          </w:p>
          <w:p w14:paraId="6EFDF060"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 xml:space="preserve">Jednym z następstw wprowadzenia w życie proponowanych w projekcie rozwiązań i objęcie gruntów kolejowych II kategorią terenów zamkniętych, może być przyszła likwidacja zasobu dokumentacji geodezyjnej i kartograficznej prowadzonego w chwili obecnej przez PKP S.A., co w następstwie spowoduje możliwą postępującą degradację zakresu dostępnych informacji lub utratę istotnych informacji ściśle związanych ze specyfiką infrastruktury kolejowej. Odpowiedzialność za przechowywanie dokumentacji dla terenów kolejowych rozbita na kilkaset niewyspecjalizowanych organów jednostek samorządu terytorialnego może utrudnić szybki dostęp do istotnych danych geodezyjnych. Wydaje się też, że brak odgórnej kontroli nad jakością opracowań geodezyjno-kartograficznych dla terenów kolejowych, może doprowadzić w przyszłości do spadku jakości zasobu  dostępnych danych, wzrostu liczby samowoli budowlanych, jak również braku kontroli nad podziałami geodezyjnymi, czy też posadowieniem i ochroną sieci uzbrojenia terenu. Służba Geodezyjna i Kartograficzna w powiatach nie dysponuje obecnie narzędziami technicznymi i administracyjnymi do sprawdzania i kontroli opracowań dokumentacji geodezyjnej i kartograficznej sporządzanej na potrzeby kolejowego procesu inwestycyjnego. Natomiast projektowana ustawa nie wskazuje  potencjalnych kosztów dostosowania technicznego i merytorycznego dla </w:t>
            </w:r>
            <w:proofErr w:type="spellStart"/>
            <w:r w:rsidRPr="005A61A3">
              <w:rPr>
                <w:rFonts w:ascii="Lato" w:hAnsi="Lato"/>
                <w:sz w:val="18"/>
                <w:szCs w:val="18"/>
              </w:rPr>
              <w:t>PODGiK</w:t>
            </w:r>
            <w:proofErr w:type="spellEnd"/>
            <w:r w:rsidRPr="005A61A3">
              <w:rPr>
                <w:rFonts w:ascii="Lato" w:hAnsi="Lato"/>
                <w:sz w:val="18"/>
                <w:szCs w:val="18"/>
              </w:rPr>
              <w:t xml:space="preserve">, które w konsekwencji mogą doprowadzić m.in. do paraliżu trwających i planowanych procesów inwestycyjnych, prowadzonych przez zarządcę </w:t>
            </w:r>
            <w:r w:rsidRPr="005A61A3">
              <w:rPr>
                <w:rFonts w:ascii="Lato" w:hAnsi="Lato"/>
                <w:sz w:val="18"/>
                <w:szCs w:val="18"/>
              </w:rPr>
              <w:lastRenderedPageBreak/>
              <w:t>infrastruktury kolejowej oraz podmioty z sektora  telekomunikacyjnego. Wstępny szacunek kosztów dostosowania zasobu kolejowego dla obszaru całego kraju (w tym ograniczenia treści map sytuacyjno-wysokościowych) do formatu danych przechowywanych w zasobie państwowym według wyliczeń PKP S.A. sięga kilkuset milionów złotych (do ok. 0,5 mld zł). Proponowane w projekcie rozwiązania wpłyną również na wzrost kosztów PKP S.A. związanych z regulacją stanów prawnych gruntów kolejowych i wyposażeniem spółek kolejowych w majątek, które wynikają z przepisów ustawy z dnia 8 września 2000 r. o komercjalizacji i restrukturyzacji przedsiębiorstwa państwowego „Polskie Koleje Państwowe” (Dz. U. z 2024 r. poz. 561).</w:t>
            </w:r>
          </w:p>
          <w:p w14:paraId="1EFB8BA9"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Zapewnienie inwestorowi pełnej, aktualnej i kompleksowej dokumentacji geodezyjnej i kartograficznej jest kluczowe dla sprawnego prowadzenia procesu inwestycyjnego, jak również przyszłego bezpiecznego funkcjonowania infrastruktury kolejowej. Z uwagi na szacunkową wysokość kosztów projektowanych zmian legislacyjnych, wielkość zasobu geodezyjno-kartograficznego dla kolejowych terenów zamkniętych oraz istotność informacji zgromadzonych w zasobie, w przypadku podjęcia decyzji o jego przeniesieniu do zasobu państwowego, wydaje się, że okres przejściowy na dostosowanie powinien obejmować okres co najmniej 5 lat. Jednocześnie – w ocenie PKP S.A., koniecznie byłoby jasne określenie zasad podziału danych z obecnego zasobu pomiędzy przyszłych interesariuszy odpowiedzialnych za jego prowadzenie.</w:t>
            </w:r>
          </w:p>
          <w:p w14:paraId="3329A4BE"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Wobec wątpliwości czy w świetle nowoprojektowanego art. 4b ust. 1 ministrem właściwym, który może ustalać tereny zamknięte będzie minister właściwy ds. transportu, postuluje się doprecyzowanie przepisów poprzez dodanie w projektowanym art. 4b. ust. 2 nowego pkt 4, wskazującego ministra właściwego ds. transportu jako organu odpowiedzialnego za ustalanie lub znoszenie terenów zamkniętych na gruntach kolejowych.</w:t>
            </w:r>
          </w:p>
          <w:p w14:paraId="5FA1D866"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 xml:space="preserve">Nieuwzględnienie ministra właściwego ds. </w:t>
            </w:r>
            <w:r w:rsidRPr="005A61A3">
              <w:rPr>
                <w:rFonts w:ascii="Lato" w:hAnsi="Lato"/>
                <w:sz w:val="18"/>
                <w:szCs w:val="18"/>
              </w:rPr>
              <w:lastRenderedPageBreak/>
              <w:t>transportu właściwego do ustalenia lub zniesienia terenu zamkniętego może negatywnie wpłynąć na procesy inwestycyjne prowadzone na gruntach kolejowych, które ze względu na swoją specyfikę są istotnym elementem nie tylko gospodarki narodowej i transportu publicznego oraz komercyjnego, ale także szeroko pojętej obronności i bezpieczeństwa kraju.</w:t>
            </w:r>
          </w:p>
          <w:p w14:paraId="5EF7B6EA"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W projektowanych przepisach zauważalny jest brak wewnętrznej spójności projektowanych przepisów. Ustawodawca dla terenów zamkniętych MON wprowadza kategorię I, przy jednoczesnym wyłączeniu z tej kategorii dróg kolejowych, służących potrzebom wojska i będących w jego zarządzie. Dla terenów zamkniętych II kategorii nie wskazano kategorii danych, które będą podlegały ograniczeniu w sposób klarowny i nie budzący wątpliwości interpretacyjnych. Takie podejście legislacyjne może w przyszłości prowadzić do niejednolitego stosowania przepisów w różnych województwach i stanu niepewności prawnej.</w:t>
            </w:r>
          </w:p>
          <w:p w14:paraId="6031247E"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Postuluje się rozszerzenie, wskazanego w art. 4b ust. 5, katalogu podmiotów, którym przekazywana będzie decyzja ustalająca lub znosząca teren zamknięty o zarządcę tego terenu.</w:t>
            </w:r>
          </w:p>
          <w:p w14:paraId="39A9E345" w14:textId="5851EEC8"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Ujęcie zarządcy terenu zamkniętego w katalogu podmiotów, którym przekazywana będzie powyższa decyzja umożliwi podmiotowi, który zostanie zarządcą terenu zamkniętego w wyniku wydania decyzji, zapoznanie się z jej treścią. Nieprzekazanie zarządcy terenu zamkniętego przedmiotowej decyzji może doprowadzić do sytuacji, że zarządca terenu zamkniętego nie będzie wiedział, że taka decyzja została wydana, a tym samym nie będzie świadomy, że grunt, którym zarządza, jest terenem zamkniętym.</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DE68AA9"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lastRenderedPageBreak/>
              <w:t>1.</w:t>
            </w:r>
            <w:r w:rsidRPr="005A61A3">
              <w:rPr>
                <w:rFonts w:ascii="Lato" w:hAnsi="Lato"/>
                <w:sz w:val="18"/>
                <w:szCs w:val="18"/>
              </w:rPr>
              <w:tab/>
              <w:t>W ustawie z dnia 17 maja 1989 r. – Prawo geodezyjne i kartograficzne, w art. 1 po pkt 9 dodaje się pkt 9a w brzmieniu:</w:t>
            </w:r>
          </w:p>
          <w:p w14:paraId="50624604"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„9a) zasobu geodezyjnego i kartograficznego dla terenów zamkniętych;”.</w:t>
            </w:r>
          </w:p>
          <w:p w14:paraId="6524F260"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2.</w:t>
            </w:r>
            <w:r w:rsidRPr="005A61A3">
              <w:rPr>
                <w:rFonts w:ascii="Lato" w:hAnsi="Lato"/>
                <w:sz w:val="18"/>
                <w:szCs w:val="18"/>
              </w:rPr>
              <w:tab/>
              <w:t>W art. 1 ustawy zmieniającej, pkt 1 lit c) otrzymuje brzmienie (pkt 9):</w:t>
            </w:r>
          </w:p>
          <w:p w14:paraId="55732E6E"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„9)</w:t>
            </w:r>
            <w:r w:rsidRPr="005A61A3">
              <w:rPr>
                <w:rFonts w:ascii="Lato" w:hAnsi="Lato"/>
                <w:sz w:val="18"/>
                <w:szCs w:val="18"/>
              </w:rPr>
              <w:tab/>
              <w:t xml:space="preserve">terenach zamkniętych – rozumie się przez to grunty </w:t>
            </w:r>
            <w:r w:rsidRPr="005A61A3">
              <w:rPr>
                <w:rFonts w:ascii="Lato" w:hAnsi="Lato"/>
                <w:b/>
                <w:i/>
                <w:sz w:val="18"/>
                <w:szCs w:val="18"/>
              </w:rPr>
              <w:t>w granicach ewidencyjnych działek</w:t>
            </w:r>
            <w:r w:rsidRPr="005A61A3">
              <w:rPr>
                <w:rFonts w:ascii="Lato" w:hAnsi="Lato"/>
                <w:sz w:val="18"/>
                <w:szCs w:val="18"/>
              </w:rPr>
              <w:t>, które zostały przeznaczone na cele bezpieczeństwa lub obronności państwa i ustalone przez uprawnione organy;”.</w:t>
            </w:r>
          </w:p>
          <w:p w14:paraId="3EC91ED5"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3.</w:t>
            </w:r>
            <w:r w:rsidRPr="005A61A3">
              <w:rPr>
                <w:rFonts w:ascii="Lato" w:hAnsi="Lato"/>
                <w:sz w:val="18"/>
                <w:szCs w:val="18"/>
              </w:rPr>
              <w:tab/>
              <w:t>W ustawie z dnia 17 maja 1989 r. – Prawo geodezyjne i kartograficzne, w art. 2 po pkt 10c dodaje się pkt. 10d  w brzmieniu:</w:t>
            </w:r>
          </w:p>
          <w:p w14:paraId="44B0A84C"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„10d) branżowy zasób geodezyjny i kartograficzny -  rozumie się przez to zbiory danych prowadzone przez zarządcę terenu zamkniętego, na podstawie branżowych Standardów technicznych, utworzone na podstawie tych zbiorów danych opracowania kartograficzne, rejestry, wykazy i zestawienia, dokumentację branżową zawierającą wyniki prac</w:t>
            </w:r>
            <w:r w:rsidRPr="005A61A3">
              <w:rPr>
                <w:rFonts w:ascii="Lato" w:hAnsi="Lato"/>
                <w:sz w:val="18"/>
                <w:szCs w:val="18"/>
              </w:rPr>
              <w:t xml:space="preserve"> </w:t>
            </w:r>
            <w:r w:rsidRPr="005A61A3">
              <w:rPr>
                <w:rFonts w:ascii="Lato" w:hAnsi="Lato"/>
                <w:b/>
                <w:i/>
                <w:sz w:val="18"/>
                <w:szCs w:val="18"/>
              </w:rPr>
              <w:t>geodezyjnych lub prac kartograficznych lub dokumenty utworzone w wyniku tych prac oraz bazy danych systemu teleinformatycznego a także zobrazowania lotnicze i satelitarne.”</w:t>
            </w:r>
            <w:r w:rsidRPr="005A61A3">
              <w:rPr>
                <w:rFonts w:ascii="Lato" w:hAnsi="Lato"/>
                <w:sz w:val="18"/>
                <w:szCs w:val="18"/>
              </w:rPr>
              <w:t>.</w:t>
            </w:r>
          </w:p>
          <w:p w14:paraId="48353A0F"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4.</w:t>
            </w:r>
            <w:r w:rsidRPr="005A61A3">
              <w:rPr>
                <w:rFonts w:ascii="Lato" w:hAnsi="Lato"/>
                <w:sz w:val="18"/>
                <w:szCs w:val="18"/>
              </w:rPr>
              <w:tab/>
              <w:t>W art. 1 ustawy zmieniającej, w pkt 3, art. 4a w ust. 1 pkt 2 lit. a) oraz lit b) otrzymuje brzmienie:</w:t>
            </w:r>
          </w:p>
          <w:p w14:paraId="3D01321B"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„a)</w:t>
            </w:r>
            <w:r w:rsidRPr="005A61A3">
              <w:rPr>
                <w:rFonts w:ascii="Lato" w:hAnsi="Lato"/>
                <w:sz w:val="18"/>
                <w:szCs w:val="18"/>
              </w:rPr>
              <w:tab/>
              <w:t xml:space="preserve">nie upublicznia się lub ogranicza się upublicznianie danych gromadzonych w bazach danych, o których mowa w art. 4 ust. 1a pkt 3, 8, 11 i 12 , materiałów państwowego zasobu geodezyjnego i kartograficznego </w:t>
            </w:r>
            <w:r w:rsidRPr="005A61A3">
              <w:rPr>
                <w:rFonts w:ascii="Lato" w:hAnsi="Lato"/>
                <w:sz w:val="18"/>
                <w:szCs w:val="18"/>
              </w:rPr>
              <w:lastRenderedPageBreak/>
              <w:t xml:space="preserve">wykorzystanych do aktualizacji tych baz </w:t>
            </w:r>
            <w:r w:rsidRPr="005A61A3">
              <w:rPr>
                <w:rFonts w:ascii="Lato" w:hAnsi="Lato"/>
                <w:b/>
                <w:i/>
                <w:sz w:val="18"/>
                <w:szCs w:val="18"/>
              </w:rPr>
              <w:t>oraz materiałów branżowego zasobu geodezyjnego i kartograficznego wykorzystanych do aktualizacji tych baz</w:t>
            </w:r>
            <w:r w:rsidRPr="005A61A3">
              <w:rPr>
                <w:rFonts w:ascii="Lato" w:hAnsi="Lato"/>
                <w:sz w:val="18"/>
                <w:szCs w:val="18"/>
              </w:rPr>
              <w:t>, lub</w:t>
            </w:r>
          </w:p>
          <w:p w14:paraId="71EC1BC9"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b)</w:t>
            </w:r>
            <w:r w:rsidRPr="005A61A3">
              <w:rPr>
                <w:rFonts w:ascii="Lato" w:hAnsi="Lato"/>
                <w:sz w:val="18"/>
                <w:szCs w:val="18"/>
              </w:rPr>
              <w:tab/>
              <w:t xml:space="preserve">ogranicza się udostępnianie danych gromadzonych w bazach danych, o których mowa w art. 4 ust. 1a pkt 3, 8, 11 i 12 , materiałów państwowego zasobu geodezyjnego i kartograficznego </w:t>
            </w:r>
            <w:r w:rsidRPr="005A61A3">
              <w:rPr>
                <w:rFonts w:ascii="Lato" w:hAnsi="Lato"/>
                <w:b/>
                <w:i/>
                <w:sz w:val="18"/>
                <w:szCs w:val="18"/>
              </w:rPr>
              <w:t>oraz materiałów branżowego zasobu geodezyjnego i kartograficznego</w:t>
            </w:r>
            <w:r w:rsidRPr="005A61A3">
              <w:rPr>
                <w:rFonts w:ascii="Lato" w:hAnsi="Lato"/>
                <w:sz w:val="18"/>
                <w:szCs w:val="18"/>
              </w:rPr>
              <w:t xml:space="preserve">, wykorzystanych do aktualizacji tych baz podmiotom innym niż podmiot, który ustalił dany teren zamknięty, organom administracji publicznej, służbom specjalnym, o których mowa w art. 11 ustawy z dnia 24 maja 2002 r. o Agencji Bezpieczeństwa Wewnętrznego oraz Agencji Wywiadu (Dz. U. z 2024 r. poz. 812, z </w:t>
            </w:r>
            <w:proofErr w:type="spellStart"/>
            <w:r w:rsidRPr="005A61A3">
              <w:rPr>
                <w:rFonts w:ascii="Lato" w:hAnsi="Lato"/>
                <w:sz w:val="18"/>
                <w:szCs w:val="18"/>
              </w:rPr>
              <w:t>późn</w:t>
            </w:r>
            <w:proofErr w:type="spellEnd"/>
            <w:r w:rsidRPr="005A61A3">
              <w:rPr>
                <w:rFonts w:ascii="Lato" w:hAnsi="Lato"/>
                <w:sz w:val="18"/>
                <w:szCs w:val="18"/>
              </w:rPr>
              <w:t>. zm. ) i wykonawcom zgłoszonych lub realizowanych, na zlecenie organu Służby Geodezyjnej i Kartograficznej lub zarządcy terenu zamkniętego, prac geodezyjnych obejmujących tereny zamknięte.”.</w:t>
            </w:r>
          </w:p>
          <w:p w14:paraId="09F2D008"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5.</w:t>
            </w:r>
            <w:r w:rsidRPr="005A61A3">
              <w:rPr>
                <w:rFonts w:ascii="Lato" w:hAnsi="Lato"/>
                <w:sz w:val="18"/>
                <w:szCs w:val="18"/>
              </w:rPr>
              <w:tab/>
              <w:t>W art. 1 ustawy zmieniającej, w pkt 3, art. 4a ust. 2, (wprowadzenie do wyliczenia) otrzymuje brzmienie:</w:t>
            </w:r>
          </w:p>
          <w:p w14:paraId="4323667F"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 xml:space="preserve">„2. Minister właściwy do spraw budownictwa, planowania i zagospodarowania przestrzennego oraz mieszkalnictwa w porozumieniu z Ministrem Obrony Narodowej oraz ministrem właściwym do spraw wewnętrznych </w:t>
            </w:r>
            <w:r w:rsidRPr="005A61A3">
              <w:rPr>
                <w:rFonts w:ascii="Lato" w:hAnsi="Lato"/>
                <w:b/>
                <w:i/>
                <w:sz w:val="18"/>
                <w:szCs w:val="18"/>
              </w:rPr>
              <w:t>oraz ministrem właściwym do spraw transportu</w:t>
            </w:r>
            <w:r w:rsidRPr="005A61A3">
              <w:rPr>
                <w:rFonts w:ascii="Lato" w:hAnsi="Lato"/>
                <w:sz w:val="18"/>
                <w:szCs w:val="18"/>
              </w:rPr>
              <w:t>, określi w drodze rozporządzenia: (…)”.</w:t>
            </w:r>
          </w:p>
          <w:p w14:paraId="401FFAB1"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6.</w:t>
            </w:r>
            <w:r w:rsidRPr="005A61A3">
              <w:rPr>
                <w:rFonts w:ascii="Lato" w:hAnsi="Lato"/>
                <w:sz w:val="18"/>
                <w:szCs w:val="18"/>
              </w:rPr>
              <w:tab/>
              <w:t>W art. 1 ustawy zmieniającej, w pkt 3, w art. 4a w  ust. 4 otrzymuje brzmienie:</w:t>
            </w:r>
          </w:p>
          <w:p w14:paraId="25E12900"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„4. Terenów zamkniętych I kategorii nie ustala się na gruntach stanowiących drogi publiczne oraz drogi wodne.”</w:t>
            </w:r>
            <w:r w:rsidRPr="005A61A3">
              <w:rPr>
                <w:rFonts w:ascii="Lato" w:hAnsi="Lato"/>
                <w:sz w:val="18"/>
                <w:szCs w:val="18"/>
              </w:rPr>
              <w:t>.</w:t>
            </w:r>
          </w:p>
          <w:p w14:paraId="49EEB087"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7.</w:t>
            </w:r>
            <w:r w:rsidRPr="005A61A3">
              <w:rPr>
                <w:rFonts w:ascii="Lato" w:hAnsi="Lato"/>
                <w:sz w:val="18"/>
                <w:szCs w:val="18"/>
              </w:rPr>
              <w:tab/>
              <w:t>W art. 1 ustawy zmieniającej, w pkt 3, w  art. 4a w ust. 5 po pkt 2 dodaje się pkt 3 w brzmieniu:</w:t>
            </w:r>
          </w:p>
          <w:p w14:paraId="64F7087A"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 xml:space="preserve">„3)   o których mowa w art. 4 pkt 1a ustawy z dnia 28 marca 2003 r. o transporcie </w:t>
            </w:r>
            <w:r w:rsidRPr="005A61A3">
              <w:rPr>
                <w:rFonts w:ascii="Lato" w:hAnsi="Lato"/>
                <w:b/>
                <w:i/>
                <w:sz w:val="18"/>
                <w:szCs w:val="18"/>
              </w:rPr>
              <w:lastRenderedPageBreak/>
              <w:t>kolejowym.”</w:t>
            </w:r>
            <w:r w:rsidRPr="005A61A3">
              <w:rPr>
                <w:rFonts w:ascii="Lato" w:hAnsi="Lato"/>
                <w:sz w:val="18"/>
                <w:szCs w:val="18"/>
              </w:rPr>
              <w:t>.</w:t>
            </w:r>
          </w:p>
          <w:p w14:paraId="740D1D90"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8.</w:t>
            </w:r>
            <w:r w:rsidRPr="005A61A3">
              <w:rPr>
                <w:rFonts w:ascii="Lato" w:hAnsi="Lato"/>
                <w:sz w:val="18"/>
                <w:szCs w:val="18"/>
              </w:rPr>
              <w:tab/>
              <w:t>W art. 1 ustawy zmieniającej, w pkt 3, w art. 4b w ust. 1 pkt 1 otrzymuje brzmienie:</w:t>
            </w:r>
          </w:p>
          <w:p w14:paraId="36341712"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 xml:space="preserve">„1) województwo, powiat, gminę </w:t>
            </w:r>
            <w:r w:rsidRPr="005A61A3">
              <w:rPr>
                <w:rFonts w:ascii="Lato" w:hAnsi="Lato"/>
                <w:b/>
                <w:i/>
                <w:sz w:val="18"/>
                <w:szCs w:val="18"/>
              </w:rPr>
              <w:t>i obręb</w:t>
            </w:r>
            <w:r w:rsidRPr="005A61A3">
              <w:rPr>
                <w:rFonts w:ascii="Lato" w:hAnsi="Lato"/>
                <w:sz w:val="18"/>
                <w:szCs w:val="18"/>
              </w:rPr>
              <w:t>, na obszarze których położony jest teren zamknięty;”.</w:t>
            </w:r>
          </w:p>
          <w:p w14:paraId="0765EDD3"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9.</w:t>
            </w:r>
            <w:r w:rsidRPr="005A61A3">
              <w:rPr>
                <w:rFonts w:ascii="Lato" w:hAnsi="Lato"/>
                <w:sz w:val="18"/>
                <w:szCs w:val="18"/>
              </w:rPr>
              <w:tab/>
              <w:t>W art. 1 ustawy zmieniającej, w pkt 3, w art. 4b w ust. 1 pkt 2 otrzymuje brzmienie:</w:t>
            </w:r>
          </w:p>
          <w:p w14:paraId="6C617AC9"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„2) identyfikator działki, jej numer ewidencyjny oraz powierzchnię;”</w:t>
            </w:r>
            <w:r w:rsidRPr="005A61A3">
              <w:rPr>
                <w:rFonts w:ascii="Lato" w:hAnsi="Lato"/>
                <w:sz w:val="18"/>
                <w:szCs w:val="18"/>
              </w:rPr>
              <w:t>.</w:t>
            </w:r>
          </w:p>
          <w:p w14:paraId="72B067A1"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10.</w:t>
            </w:r>
            <w:r w:rsidRPr="005A61A3">
              <w:rPr>
                <w:rFonts w:ascii="Lato" w:hAnsi="Lato"/>
                <w:sz w:val="18"/>
                <w:szCs w:val="18"/>
              </w:rPr>
              <w:tab/>
              <w:t xml:space="preserve"> W art. 1 ustawy zmieniającej, w pkt 3, w art. 4b. w ust. 2 po pkt. 3 dodaje się pkt 4 w brzmieniu:</w:t>
            </w:r>
          </w:p>
          <w:p w14:paraId="74847A01"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„4) minister właściwy do spraw transportu.”</w:t>
            </w:r>
            <w:r w:rsidRPr="005A61A3">
              <w:rPr>
                <w:rFonts w:ascii="Lato" w:hAnsi="Lato"/>
                <w:sz w:val="18"/>
                <w:szCs w:val="18"/>
              </w:rPr>
              <w:t>.</w:t>
            </w:r>
          </w:p>
          <w:p w14:paraId="19497592"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11.</w:t>
            </w:r>
            <w:r w:rsidRPr="005A61A3">
              <w:rPr>
                <w:rFonts w:ascii="Lato" w:hAnsi="Lato"/>
                <w:sz w:val="18"/>
                <w:szCs w:val="18"/>
              </w:rPr>
              <w:tab/>
              <w:t>W art. 1 ustawy zmieniającej, w pkt 3, w art. 4b. w ust. 5 otrzymuje brzmienie:</w:t>
            </w:r>
          </w:p>
          <w:p w14:paraId="32302999"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 xml:space="preserve">„5. Podmiot, który ustalił teren zamknięty, </w:t>
            </w:r>
            <w:r w:rsidRPr="005A61A3">
              <w:rPr>
                <w:rFonts w:ascii="Lato" w:hAnsi="Lato"/>
                <w:b/>
                <w:i/>
                <w:sz w:val="18"/>
                <w:szCs w:val="18"/>
              </w:rPr>
              <w:t>lub podmiot przez niego upoważniony</w:t>
            </w:r>
            <w:r w:rsidRPr="005A61A3">
              <w:rPr>
                <w:rFonts w:ascii="Lato" w:hAnsi="Lato"/>
                <w:sz w:val="18"/>
                <w:szCs w:val="18"/>
              </w:rPr>
              <w:t xml:space="preserve">, przekazuje niezwłocznie decyzję o jego ustaleniu Głównemu Geodecie Kraju, właściwemu wojewodzie, właściwemu marszałkowi województwa, właściwemu staroście, właściwemu wójtowi (burmistrzowi, prezydentowi miasta) </w:t>
            </w:r>
            <w:r w:rsidRPr="005A61A3">
              <w:rPr>
                <w:rFonts w:ascii="Lato" w:hAnsi="Lato"/>
                <w:b/>
                <w:i/>
                <w:sz w:val="18"/>
                <w:szCs w:val="18"/>
              </w:rPr>
              <w:t>oraz właściwemu zarządcy terenu zamkniętego</w:t>
            </w:r>
            <w:r w:rsidRPr="005A61A3">
              <w:rPr>
                <w:rFonts w:ascii="Lato" w:hAnsi="Lato"/>
                <w:sz w:val="18"/>
                <w:szCs w:val="18"/>
              </w:rPr>
              <w:t>, a także informację o najwyższej klauzuli tajności nadanej informacjom o obiektach znajdujących się na tym terenie, jej zmianie lub zniesieniu Głównemu Geodecie Kraju.”.</w:t>
            </w:r>
          </w:p>
          <w:p w14:paraId="7CB897F6"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12.</w:t>
            </w:r>
            <w:r w:rsidRPr="005A61A3">
              <w:rPr>
                <w:rFonts w:ascii="Lato" w:hAnsi="Lato"/>
                <w:sz w:val="18"/>
                <w:szCs w:val="18"/>
              </w:rPr>
              <w:tab/>
              <w:t>W art. 1 ustawy zmieniającej, w pkt 3, w art. 4b po ust. 9  dodaje się ust. 10 w brzmieniu:</w:t>
            </w:r>
          </w:p>
          <w:p w14:paraId="50AAC036"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„10. Dla terenów zamkniętych II kategorii, o których mowa w art. 4a ust. 5 pkt 3 podmiot, który ustalił ten teren lub podmiot przez niego upoważniony, prowadzi odrębne bazy danych branżowego zasobu geodezyjnego i kartograficznego, stosując zasady i standardy techniczne, określone przez zarządcę terenu zamkniętego.”</w:t>
            </w:r>
            <w:r w:rsidRPr="005A61A3">
              <w:rPr>
                <w:rFonts w:ascii="Lato" w:hAnsi="Lato"/>
                <w:sz w:val="18"/>
                <w:szCs w:val="18"/>
              </w:rPr>
              <w:t>.</w:t>
            </w:r>
          </w:p>
          <w:p w14:paraId="419CBD98"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13.</w:t>
            </w:r>
            <w:r w:rsidRPr="005A61A3">
              <w:rPr>
                <w:rFonts w:ascii="Lato" w:hAnsi="Lato"/>
                <w:sz w:val="18"/>
                <w:szCs w:val="18"/>
              </w:rPr>
              <w:tab/>
              <w:t xml:space="preserve">W art. 1 ustawy zmieniającej, w pkt 17, w art. 12c w ust. 1 po pkt 1 dodać pkt 1a w </w:t>
            </w:r>
            <w:r w:rsidRPr="005A61A3">
              <w:rPr>
                <w:rFonts w:ascii="Lato" w:hAnsi="Lato"/>
                <w:sz w:val="18"/>
                <w:szCs w:val="18"/>
              </w:rPr>
              <w:lastRenderedPageBreak/>
              <w:t>brzmieniu:</w:t>
            </w:r>
          </w:p>
          <w:p w14:paraId="3522523A"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„1a) terenów zamkniętych II kategorii, o których mowa w art. 4a ust. 5 pkt 3, jeżeli przedmiotem tych prac nie są obiekty objęte ewidencją gruntów i budynków;”</w:t>
            </w:r>
            <w:r w:rsidRPr="005A61A3">
              <w:rPr>
                <w:rFonts w:ascii="Lato" w:hAnsi="Lato"/>
                <w:sz w:val="18"/>
                <w:szCs w:val="18"/>
              </w:rPr>
              <w:t>.</w:t>
            </w:r>
          </w:p>
          <w:p w14:paraId="00B94507"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14.</w:t>
            </w:r>
            <w:r w:rsidRPr="005A61A3">
              <w:rPr>
                <w:rFonts w:ascii="Lato" w:hAnsi="Lato"/>
                <w:sz w:val="18"/>
                <w:szCs w:val="18"/>
              </w:rPr>
              <w:tab/>
              <w:t>W art. 1 ustawy zmieniającej, w pkt 18 lit. a otrzymuje brzmienie:</w:t>
            </w:r>
          </w:p>
          <w:p w14:paraId="5E99DBBB"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 xml:space="preserve">„3. Na terenach zamkniętych I kategorii prace geodezyjne mogą być wykowywane tylko na zlecenie lub za zgodą podmiotów, które ustaliły te tereny, </w:t>
            </w:r>
            <w:r w:rsidRPr="005A61A3">
              <w:rPr>
                <w:rFonts w:ascii="Lato" w:hAnsi="Lato"/>
                <w:b/>
                <w:i/>
                <w:sz w:val="18"/>
                <w:szCs w:val="18"/>
              </w:rPr>
              <w:t>a na terenach zamkniętych II kategorii, o których mowa w art. 4a ust 5 pkt 3, prace geodezyjne mogą być wykonywane tylko na zlecenie lub za zgodą zarządzającego terenem zamkniętym.”.</w:t>
            </w:r>
          </w:p>
          <w:p w14:paraId="4F8F8BFF"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15.</w:t>
            </w:r>
            <w:r w:rsidRPr="005A61A3">
              <w:rPr>
                <w:rFonts w:ascii="Lato" w:hAnsi="Lato"/>
                <w:sz w:val="18"/>
                <w:szCs w:val="18"/>
              </w:rPr>
              <w:tab/>
              <w:t>W art. 1 ustawy zmieniającej pkt 33 otrzymuje brzmienie:</w:t>
            </w:r>
          </w:p>
          <w:p w14:paraId="50FA8CA1"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„art. 28d ust. 1 otrzymuje brzmienie:</w:t>
            </w:r>
          </w:p>
          <w:p w14:paraId="36F1D1E8"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 xml:space="preserve">„1. Przepisów art. 28a–28c nie stosuje się do projektowanych sieci uzbrojenia terenu sytuowanych w całości lub w części w granicach terenu zamkniętego I kategorii </w:t>
            </w:r>
            <w:r w:rsidRPr="005A61A3">
              <w:rPr>
                <w:rFonts w:ascii="Lato" w:hAnsi="Lato"/>
                <w:b/>
                <w:i/>
                <w:sz w:val="18"/>
                <w:szCs w:val="18"/>
              </w:rPr>
              <w:t>lub terenu zamkniętego II kategorii, o którym mowa w art. 4a ust 5 pkt 3.”</w:t>
            </w:r>
            <w:r w:rsidRPr="005A61A3">
              <w:rPr>
                <w:rFonts w:ascii="Lato" w:hAnsi="Lato"/>
                <w:sz w:val="18"/>
                <w:szCs w:val="18"/>
              </w:rPr>
              <w:t>.</w:t>
            </w:r>
          </w:p>
          <w:p w14:paraId="760E8DD1"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16.</w:t>
            </w:r>
            <w:r w:rsidRPr="005A61A3">
              <w:rPr>
                <w:rFonts w:ascii="Lato" w:hAnsi="Lato"/>
                <w:sz w:val="18"/>
                <w:szCs w:val="18"/>
              </w:rPr>
              <w:tab/>
              <w:t>W ustawie z dnia 17 maja 1989 r. – Prawo geodezyjne i kartograficzne, w art. 28d po ust. 1 dodaje się ust 1a w brzmieniu:</w:t>
            </w:r>
          </w:p>
          <w:p w14:paraId="27637148"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„1a. O usytuowaniu sieci lub ich części położonych w granicach terenu zamkniętego, o którym mowa w ust. 1, decyduje projektant w uzgodnieniu z podmiotem, który ustalił ten teren zamknięty.”</w:t>
            </w:r>
            <w:r w:rsidRPr="005A61A3">
              <w:rPr>
                <w:rFonts w:ascii="Lato" w:hAnsi="Lato"/>
                <w:sz w:val="18"/>
                <w:szCs w:val="18"/>
              </w:rPr>
              <w:t>.</w:t>
            </w:r>
          </w:p>
          <w:p w14:paraId="2CFD8F6E"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17.</w:t>
            </w:r>
            <w:r w:rsidRPr="005A61A3">
              <w:rPr>
                <w:rFonts w:ascii="Lato" w:hAnsi="Lato"/>
                <w:sz w:val="18"/>
                <w:szCs w:val="18"/>
              </w:rPr>
              <w:tab/>
              <w:t xml:space="preserve"> W ustawie z dnia 17 maja 1989 r. – Prawo geodezyjne i kartograficzne, po art. 28d dodaje się art. 28da w brzmieniu:</w:t>
            </w:r>
          </w:p>
          <w:p w14:paraId="16743240"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„Art. 28da 1. Sytuowanie projektowanych sieci uzbrojenia terenu sytuowanych w całości lub w części w granicach terenu zamkniętego II kategorii, o którym mowa w art. 4a ust 5 pkt 3, koordynuje się na naradach koordynacyjnych organizowanych przez zarządcę terenu zamkniętego.</w:t>
            </w:r>
          </w:p>
          <w:p w14:paraId="02B87913"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lastRenderedPageBreak/>
              <w:t>2. Po otrzymaniu od inwestora lub projektanta wniosku o skoordynowanie usytuowania projektowanej sieci uzbrojenia terenu wraz z propozycją tego usytuowania przedstawioną na planie sytuacyjnym sporządzonym na kopii aktualnej mapy zasadniczej lub kopii aktualnej mapy do celów projektowych poświadczonej za zgodność z oryginałem przez projektanta oraz kopią uzgodnienia tego usytuowania przez właściwego zarządcę infrastruktury kolejowej, o którym mowa w art. 4 ust 7 ustawy z dnia 28 marca 2003 r. o transporcie kolejowym, zarządca terenu zamkniętego, o którym mowa w ust. 1, wyznacza sposób, termin i miejsce przeprowadzenia narady koordynacyjnej, o czym zawiadamia:</w:t>
            </w:r>
          </w:p>
          <w:p w14:paraId="7A098DBD"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1) wnioskodawców;</w:t>
            </w:r>
          </w:p>
          <w:p w14:paraId="5B8F8293"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2) podmioty władające sieciami uzbrojenia terenu;</w:t>
            </w:r>
          </w:p>
          <w:p w14:paraId="2B9115FF"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3) właściwego zarządcę infrastruktury kolejowej, o którym mowa w art. 4 ust. 7 ustawy z dnia 28 marca 2003 r. o transporcie kolejowym.</w:t>
            </w:r>
          </w:p>
          <w:p w14:paraId="7805B43F"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3. W przypadku gdy plan sytuacyjny, o którym mowa w ust. 2, ma postać nieelektroniczną, doręcza się go w co najmniej dwóch egzemplarzach.</w:t>
            </w:r>
          </w:p>
          <w:p w14:paraId="0DE0C236"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4. Narady koordynacyjne organizowane na terenach, o których mowa w art. 4a ust 5 pkt 3, przeprowadza się na zasadach określonych przez zarządcę terenu zamkniętego.”. </w:t>
            </w:r>
          </w:p>
          <w:p w14:paraId="028745B2"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18.</w:t>
            </w:r>
            <w:r w:rsidRPr="005A61A3">
              <w:rPr>
                <w:rFonts w:ascii="Lato" w:hAnsi="Lato"/>
                <w:sz w:val="18"/>
                <w:szCs w:val="18"/>
              </w:rPr>
              <w:tab/>
              <w:t xml:space="preserve"> W ustawie z dnia 17 maja 1989 r. – Prawo geodezyjne i kartograficzne, w art. 28e w ust. 1 wprowadzenie do wyliczenia otrzymuje brzmienie:</w:t>
            </w:r>
          </w:p>
          <w:p w14:paraId="1A897A5C"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 xml:space="preserve">„1. Podmioty, które władają sieciami uzbrojenia terenu, są obowiązane do współdziałania ze starostami </w:t>
            </w:r>
            <w:r w:rsidRPr="005A61A3">
              <w:rPr>
                <w:rFonts w:ascii="Lato" w:hAnsi="Lato"/>
                <w:b/>
                <w:i/>
                <w:sz w:val="18"/>
                <w:szCs w:val="18"/>
              </w:rPr>
              <w:t>oraz zarządcami terenu zamkniętego</w:t>
            </w:r>
            <w:r w:rsidRPr="005A61A3">
              <w:rPr>
                <w:rFonts w:ascii="Lato" w:hAnsi="Lato"/>
                <w:sz w:val="18"/>
                <w:szCs w:val="18"/>
              </w:rPr>
              <w:t xml:space="preserve"> w procesie zakładania i prowadzenia geodezyjnej ewidencji sieci uzbrojenia terenu. W szczególności podmioty te są obowiązane do:”.</w:t>
            </w:r>
          </w:p>
          <w:p w14:paraId="2727D3D9"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19.</w:t>
            </w:r>
            <w:r w:rsidRPr="005A61A3">
              <w:rPr>
                <w:rFonts w:ascii="Lato" w:hAnsi="Lato"/>
                <w:sz w:val="18"/>
                <w:szCs w:val="18"/>
              </w:rPr>
              <w:tab/>
              <w:t>W ustawie zmieniającej art. 3 ust. 2 otrzymuje brzmienie:</w:t>
            </w:r>
          </w:p>
          <w:p w14:paraId="45809998" w14:textId="3DF6EDB2" w:rsidR="00A1261B" w:rsidRPr="005A61A3" w:rsidRDefault="00A1261B" w:rsidP="009B06B7">
            <w:pPr>
              <w:pStyle w:val="Inne0"/>
              <w:shd w:val="clear" w:color="auto" w:fill="auto"/>
              <w:spacing w:before="120" w:after="120"/>
              <w:ind w:left="125" w:right="136"/>
              <w:rPr>
                <w:rFonts w:ascii="Lato" w:eastAsia="Arial" w:hAnsi="Lato" w:cs="Arial"/>
                <w:sz w:val="18"/>
                <w:szCs w:val="18"/>
              </w:rPr>
            </w:pPr>
            <w:r w:rsidRPr="005A61A3">
              <w:rPr>
                <w:rFonts w:ascii="Lato" w:hAnsi="Lato"/>
                <w:sz w:val="18"/>
                <w:szCs w:val="18"/>
              </w:rPr>
              <w:lastRenderedPageBreak/>
              <w:t xml:space="preserve">„2. W przypadku zniesienia terenu zamkniętego lub wydania decyzji o ustaleniu terenu zamkniętego II kategorii,  podmiot, który ustalił dany teren zamknięty </w:t>
            </w:r>
            <w:r w:rsidRPr="005A61A3">
              <w:rPr>
                <w:rFonts w:ascii="Lato" w:hAnsi="Lato"/>
                <w:b/>
                <w:i/>
                <w:sz w:val="18"/>
                <w:szCs w:val="18"/>
              </w:rPr>
              <w:t>lub podmiot przez niego</w:t>
            </w:r>
            <w:r w:rsidRPr="005A61A3">
              <w:rPr>
                <w:rFonts w:ascii="Lato" w:hAnsi="Lato"/>
                <w:sz w:val="18"/>
                <w:szCs w:val="18"/>
              </w:rPr>
              <w:t xml:space="preserve"> </w:t>
            </w:r>
            <w:r w:rsidRPr="005A61A3">
              <w:rPr>
                <w:rFonts w:ascii="Lato" w:hAnsi="Lato"/>
                <w:b/>
                <w:i/>
                <w:sz w:val="18"/>
                <w:szCs w:val="18"/>
              </w:rPr>
              <w:t>upoważniony</w:t>
            </w:r>
            <w:r w:rsidRPr="005A61A3">
              <w:rPr>
                <w:rFonts w:ascii="Lato" w:hAnsi="Lato"/>
                <w:sz w:val="18"/>
                <w:szCs w:val="18"/>
              </w:rPr>
              <w:t xml:space="preserve"> przekazuje, nie później niż w ciągu 30 dni od dnia, w którym teren zamknięty został zniesiony lub wydana została decyzja o ustaleniu terenu zamkniętego, właściwym organom Służby Geodezyjnej i Kartograficznej mapy, o których mowa w art. 4 ust. 2 ustawy zmienianej w art. 1 w brzmieniu dotychczasowym, wraz z materiałami, które stanowiły podstawę ich aktualizacji.”.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B5DA8E9" w14:textId="4C1B1E48"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lastRenderedPageBreak/>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4C5618D8"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0F0CB71"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0B98F50" w14:textId="4509928A"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39BBB1B3" w14:textId="1B479FE9"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1 pkt 28 lit. d uchyla się ust. 3 w art. 28b zmienianej ustawy, a w dodawanym do tej ustawy art. 28b ust. 3a (art. 1 pkt 28 lit. e projektu) sformułowano odesłanie do uchylanego art. 28b ust. 3.</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09CFE5C"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0B073C5" w14:textId="138CFECB"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7CC628DA"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E03ECDD"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7A29E53" w14:textId="25CE7714"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54A086EE" w14:textId="7CBAEE0A"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W związku ze zmianą art. 11 ustawy – Prawo geodezyjne i kartograficzne, zgodnie z którym w projektowanym brzmieniu wykonawcą prac geodezyjnych lub prac kartograficznych będzie osoba </w:t>
            </w:r>
            <w:r w:rsidRPr="005A61A3">
              <w:rPr>
                <w:rFonts w:ascii="Lato" w:hAnsi="Lato"/>
                <w:sz w:val="18"/>
                <w:szCs w:val="18"/>
              </w:rPr>
              <w:lastRenderedPageBreak/>
              <w:t>posiadająca uprawnienia zawodowe w dziedzinie geodezji i kartografii, nie zaś – jak dotychczas – m.in. przedsiębiorca, rozważenia wymaga czy proponowane rozwiązanie nie będzie budziło wątpliwości interpretacyjnych np. kto będzie stroną w postępowaniach prowadzonych przez Służby Geodezyjne i Kartograficzne - przedsiębiorca, który z wykonawcą jest związany stosunkiem prawnym (np. umową o pracę), czy też osoby fizyczne, które posiadając uprawnienia zawodowe zgodnie z projektowaną ustawą stają się wykonawcami prac.</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D653BD1"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50EC110" w14:textId="77777777" w:rsidR="00D74456"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nie została uwzględniona. </w:t>
            </w:r>
          </w:p>
          <w:p w14:paraId="6DCD6C71" w14:textId="437D32B2"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Wykonawcą prac będzie osoba wykonująca i zgłaszająca te prace, a więc osoba posiadająca uprawnienia </w:t>
            </w:r>
            <w:r>
              <w:rPr>
                <w:rFonts w:ascii="Lato" w:eastAsia="Arial" w:hAnsi="Lato" w:cs="Arial"/>
                <w:sz w:val="18"/>
                <w:szCs w:val="18"/>
              </w:rPr>
              <w:lastRenderedPageBreak/>
              <w:t>zawodowe w dziedzinie geodezji i kartografii.</w:t>
            </w:r>
          </w:p>
        </w:tc>
      </w:tr>
      <w:tr w:rsidR="00A1261B" w:rsidRPr="0037774A" w14:paraId="28902E43"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91A327F"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D10235A" w14:textId="2A4AE32E"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4F291F24" w14:textId="15FA24C5"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Brak możliwości wznowienia znaków granicznych oraz stabilizacji ustalonych wcześniej punktów granicznych w przypadku kwestionowania ich położenia przez jednego z właścicieli i traktowanie ich jako granice sporne podważa pewność granic wynikających z podziałów nieruchomości, ustaleń scaleń i innych prac geodezyjnych podważa też wiarygodność tych prac, podpisanych protokołów, decyzji podziałowych. Powoduje to niepewność co do przebiegu tych granic dając możliwość  kwestionowania granic, na które strona postępowania wcześniej się zgodziła. Przy tym strona, która kwestionuje granice nie musi złożyć wniosku o rozgraniczenie. W większości przypadków to strona, która nie kwestionuje przebiegu granic będzie musiała złożyć wniosek o rozgraniczenie nieruchomości i ponieść jego koszty żeby jednoznacznie rozstrzygnąć położenie punktu granicznego i usunąć stan niepewności. Postępowanie rozgraniczeniowe jest długotrwałe i często jest rozstrzygane przez Sąd, blokując do tego czasu możliwość zagospodarowania działek. Brak możliwości wznowienia znaków granicznych i uzyskania pewności co do przebiegu granic działek uniemożliwi przeprowadzenie postępowań administracyjnych w sprawie zajęcia pasa drogowego. Nie sposób będzie jednoznacznie rozstrzygnąć, czy doszło do zajęcia pasa drogowego. W praktyce to GDDKiA będzie musiała złożyć wniosek o rozgraniczenie nawet wtedy gdy przebieg granicy wynika jednoznacznie np. z decyzji ZRID i pokryć koszty, które mogą wynieść w skali całego kraju, do poniesienia przez Skarb Państwa, nawet kilkadziesiąt milinów zł rocznie. Utrudnione będą także prace utrzymaniowe.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79C940C" w14:textId="386150DD" w:rsidR="00A1261B" w:rsidRPr="005A61A3" w:rsidRDefault="00A1261B" w:rsidP="009B06B7">
            <w:pPr>
              <w:pStyle w:val="Inne0"/>
              <w:shd w:val="clear" w:color="auto" w:fill="auto"/>
              <w:spacing w:before="120" w:after="120"/>
              <w:ind w:left="125" w:right="136"/>
              <w:rPr>
                <w:rFonts w:ascii="Lato" w:eastAsia="Arial" w:hAnsi="Lato" w:cs="Arial"/>
                <w:sz w:val="18"/>
                <w:szCs w:val="18"/>
              </w:rPr>
            </w:pPr>
            <w:r w:rsidRPr="005A61A3">
              <w:rPr>
                <w:rFonts w:ascii="Lato" w:hAnsi="Lato"/>
                <w:sz w:val="18"/>
                <w:szCs w:val="18"/>
              </w:rPr>
              <w:t xml:space="preserve">W art. 1 ustawy zmieniającej, w pkt 36 dot. art. 39 ustawy z dnia 17 maja 1989 r. – Prawo geodezyjne i kartograficzne ust. 2 otrzymuje brzmienie: </w:t>
            </w:r>
            <w:r w:rsidRPr="005A61A3">
              <w:rPr>
                <w:rFonts w:ascii="Lato" w:hAnsi="Lato"/>
                <w:sz w:val="18"/>
                <w:szCs w:val="18"/>
              </w:rPr>
              <w:br/>
              <w:t xml:space="preserve">„2. Spór co do położenia wznawianych znaków granicznych </w:t>
            </w:r>
            <w:r w:rsidRPr="005A61A3">
              <w:rPr>
                <w:rFonts w:ascii="Lato" w:hAnsi="Lato"/>
                <w:b/>
                <w:i/>
                <w:sz w:val="18"/>
                <w:szCs w:val="18"/>
              </w:rPr>
              <w:t>nie wstrzymuje stabilizacji spornych punktów granicznych.</w:t>
            </w:r>
            <w:r w:rsidRPr="005A61A3">
              <w:rPr>
                <w:rFonts w:ascii="Lato" w:hAnsi="Lato"/>
                <w:sz w:val="18"/>
                <w:szCs w:val="18"/>
              </w:rPr>
              <w:t xml:space="preserve"> Rozstrzygnięcie sporu może nastąpić w postępowaniu rozgraniczeniowym, z wyłączeniem przypadków określonych w ust. 1 pkt 1, w których rozstrzygniecie sporu następuje przed sądem powszechnym. Informację o sporze zamieszcza się w protokole, o którym mowa w ust. 11.”.</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FBB4949"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Wyjaśnienie.</w:t>
            </w:r>
          </w:p>
          <w:p w14:paraId="504F8D50" w14:textId="1D16D63B" w:rsidR="00A1261B" w:rsidRDefault="00A1261B" w:rsidP="001D39E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Należy wskazać, że art. 39 ustawy </w:t>
            </w:r>
            <w:proofErr w:type="spellStart"/>
            <w:r w:rsidR="00D74456">
              <w:rPr>
                <w:rFonts w:ascii="Lato" w:eastAsia="Arial" w:hAnsi="Lato" w:cs="Arial"/>
                <w:sz w:val="18"/>
                <w:szCs w:val="18"/>
              </w:rPr>
              <w:t>PGiK</w:t>
            </w:r>
            <w:proofErr w:type="spellEnd"/>
            <w:r w:rsidR="00D74456">
              <w:rPr>
                <w:rFonts w:ascii="Lato" w:eastAsia="Arial" w:hAnsi="Lato" w:cs="Arial"/>
                <w:sz w:val="18"/>
                <w:szCs w:val="18"/>
              </w:rPr>
              <w:t xml:space="preserve"> </w:t>
            </w:r>
            <w:r>
              <w:rPr>
                <w:rFonts w:ascii="Lato" w:eastAsia="Arial" w:hAnsi="Lato" w:cs="Arial"/>
                <w:sz w:val="18"/>
                <w:szCs w:val="18"/>
              </w:rPr>
              <w:t>mówi o wznawianiu punktów granicznych, które zostały p</w:t>
            </w:r>
            <w:r w:rsidRPr="001D39EA">
              <w:rPr>
                <w:rFonts w:ascii="Lato" w:eastAsia="Arial" w:hAnsi="Lato" w:cs="Arial"/>
                <w:sz w:val="18"/>
                <w:szCs w:val="18"/>
              </w:rPr>
              <w:t xml:space="preserve">rzesunięte, uszkodzone lub zniszczone, </w:t>
            </w:r>
            <w:r>
              <w:rPr>
                <w:rFonts w:ascii="Lato" w:eastAsia="Arial" w:hAnsi="Lato" w:cs="Arial"/>
                <w:sz w:val="18"/>
                <w:szCs w:val="18"/>
              </w:rPr>
              <w:t xml:space="preserve">i </w:t>
            </w:r>
            <w:r w:rsidRPr="001D39EA">
              <w:rPr>
                <w:rFonts w:ascii="Lato" w:eastAsia="Arial" w:hAnsi="Lato" w:cs="Arial"/>
                <w:sz w:val="18"/>
                <w:szCs w:val="18"/>
              </w:rPr>
              <w:t>któr</w:t>
            </w:r>
            <w:r>
              <w:rPr>
                <w:rFonts w:ascii="Lato" w:eastAsia="Arial" w:hAnsi="Lato" w:cs="Arial"/>
                <w:sz w:val="18"/>
                <w:szCs w:val="18"/>
              </w:rPr>
              <w:t>e zostały</w:t>
            </w:r>
            <w:r w:rsidRPr="001D39EA">
              <w:rPr>
                <w:rFonts w:ascii="Lato" w:eastAsia="Arial" w:hAnsi="Lato" w:cs="Arial"/>
                <w:sz w:val="18"/>
                <w:szCs w:val="18"/>
              </w:rPr>
              <w:t xml:space="preserve"> </w:t>
            </w:r>
            <w:r>
              <w:rPr>
                <w:rFonts w:ascii="Lato" w:eastAsia="Arial" w:hAnsi="Lato" w:cs="Arial"/>
                <w:sz w:val="18"/>
                <w:szCs w:val="18"/>
              </w:rPr>
              <w:t xml:space="preserve">wcześniej </w:t>
            </w:r>
            <w:proofErr w:type="spellStart"/>
            <w:r>
              <w:rPr>
                <w:rFonts w:ascii="Lato" w:eastAsia="Arial" w:hAnsi="Lato" w:cs="Arial"/>
                <w:sz w:val="18"/>
                <w:szCs w:val="18"/>
              </w:rPr>
              <w:t>za</w:t>
            </w:r>
            <w:r w:rsidRPr="001D39EA">
              <w:rPr>
                <w:rFonts w:ascii="Lato" w:eastAsia="Arial" w:hAnsi="Lato" w:cs="Arial"/>
                <w:sz w:val="18"/>
                <w:szCs w:val="18"/>
              </w:rPr>
              <w:t>stabiliz</w:t>
            </w:r>
            <w:r>
              <w:rPr>
                <w:rFonts w:ascii="Lato" w:eastAsia="Arial" w:hAnsi="Lato" w:cs="Arial"/>
                <w:sz w:val="18"/>
                <w:szCs w:val="18"/>
              </w:rPr>
              <w:t>owane</w:t>
            </w:r>
            <w:proofErr w:type="spellEnd"/>
            <w:r>
              <w:rPr>
                <w:rFonts w:ascii="Lato" w:eastAsia="Arial" w:hAnsi="Lato" w:cs="Arial"/>
                <w:sz w:val="18"/>
                <w:szCs w:val="18"/>
              </w:rPr>
              <w:t xml:space="preserve"> </w:t>
            </w:r>
            <w:r w:rsidRPr="001D39EA">
              <w:rPr>
                <w:rFonts w:ascii="Lato" w:eastAsia="Arial" w:hAnsi="Lato" w:cs="Arial"/>
                <w:sz w:val="18"/>
                <w:szCs w:val="18"/>
              </w:rPr>
              <w:t>w trybie i na zasadach określonych w ustawie oraz innych przepisach prawa z zakresu geodezji i kartografii</w:t>
            </w:r>
            <w:r>
              <w:rPr>
                <w:rFonts w:ascii="Lato" w:eastAsia="Arial" w:hAnsi="Lato" w:cs="Arial"/>
                <w:sz w:val="18"/>
                <w:szCs w:val="18"/>
              </w:rPr>
              <w:t xml:space="preserve"> – a więc odnosi się do stabilizacji wtórnej. Nie dotyczy zatem wskazanej w uwadze stabilizacji pierwotnej wykonywanej w ramach określonych postępowań administracyjnych (np. </w:t>
            </w:r>
            <w:r w:rsidRPr="00EE1940">
              <w:rPr>
                <w:rFonts w:ascii="Lato" w:eastAsia="Arial" w:hAnsi="Lato" w:cs="Arial"/>
                <w:sz w:val="18"/>
                <w:szCs w:val="18"/>
              </w:rPr>
              <w:t>postępowania w sprawie podziału nieruchomości</w:t>
            </w:r>
            <w:r>
              <w:rPr>
                <w:rFonts w:ascii="Lato" w:eastAsia="Arial" w:hAnsi="Lato" w:cs="Arial"/>
                <w:sz w:val="18"/>
                <w:szCs w:val="18"/>
              </w:rPr>
              <w:t xml:space="preserve">, </w:t>
            </w:r>
            <w:r w:rsidRPr="00EE1940">
              <w:rPr>
                <w:rFonts w:ascii="Lato" w:eastAsia="Arial" w:hAnsi="Lato" w:cs="Arial"/>
                <w:sz w:val="18"/>
                <w:szCs w:val="18"/>
              </w:rPr>
              <w:t>postępowania w sprawie scalenia i wymiany gruntów</w:t>
            </w:r>
            <w:r>
              <w:rPr>
                <w:rFonts w:ascii="Lato" w:eastAsia="Arial" w:hAnsi="Lato" w:cs="Arial"/>
                <w:sz w:val="18"/>
                <w:szCs w:val="18"/>
              </w:rPr>
              <w:t>).</w:t>
            </w:r>
          </w:p>
          <w:p w14:paraId="16ED1081" w14:textId="3C5AFAA2" w:rsidR="00A1261B" w:rsidRDefault="00A1261B" w:rsidP="00EE1940">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Ponadto stabilizacja punktu granicznego znakiem granicznym ma jedynie na celu fizyczne utrwalenie położenia punktu w terenie. Wystąpienie sporu na etapie stabilizacji punktów granicznych nie powoduje zmiany położenia tych punktów w ewidencji gruntów i budynków ani nie wywołuje innych zmian w tym rejestrze. Z tego względu w opinii Projektodawcy proponowane przepisy nie wywołują niepewności odnośnie przebiegu granic nieruchomości ani nie uniemożliwiają </w:t>
            </w:r>
            <w:r w:rsidRPr="001D39EA">
              <w:rPr>
                <w:rFonts w:ascii="Lato" w:eastAsia="Arial" w:hAnsi="Lato" w:cs="Arial"/>
                <w:sz w:val="18"/>
                <w:szCs w:val="18"/>
              </w:rPr>
              <w:t>przeprowadzeni</w:t>
            </w:r>
            <w:r>
              <w:rPr>
                <w:rFonts w:ascii="Lato" w:eastAsia="Arial" w:hAnsi="Lato" w:cs="Arial"/>
                <w:sz w:val="18"/>
                <w:szCs w:val="18"/>
              </w:rPr>
              <w:t>a</w:t>
            </w:r>
            <w:r w:rsidRPr="001D39EA">
              <w:rPr>
                <w:rFonts w:ascii="Lato" w:eastAsia="Arial" w:hAnsi="Lato" w:cs="Arial"/>
                <w:sz w:val="18"/>
                <w:szCs w:val="18"/>
              </w:rPr>
              <w:t xml:space="preserve"> postępowań administracyjnych w sprawie zajęcia pasa drogowego</w:t>
            </w:r>
            <w:r>
              <w:rPr>
                <w:rFonts w:ascii="Lato" w:eastAsia="Arial" w:hAnsi="Lato" w:cs="Arial"/>
                <w:sz w:val="18"/>
                <w:szCs w:val="18"/>
              </w:rPr>
              <w:t xml:space="preserve">. </w:t>
            </w:r>
          </w:p>
          <w:p w14:paraId="0F8626EE" w14:textId="671EE77F" w:rsidR="00A1261B" w:rsidRPr="0037774A" w:rsidRDefault="00A1261B" w:rsidP="001D39EA">
            <w:pPr>
              <w:pStyle w:val="Inne0"/>
              <w:shd w:val="clear" w:color="auto" w:fill="auto"/>
              <w:spacing w:before="120" w:after="120"/>
              <w:ind w:left="131" w:right="138"/>
              <w:rPr>
                <w:rFonts w:ascii="Lato" w:eastAsia="Arial" w:hAnsi="Lato" w:cs="Arial"/>
                <w:sz w:val="18"/>
                <w:szCs w:val="18"/>
              </w:rPr>
            </w:pPr>
          </w:p>
        </w:tc>
      </w:tr>
      <w:tr w:rsidR="00A1261B" w:rsidRPr="0037774A" w14:paraId="2D852FEB"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3E4B83DA"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20E0EEB" w14:textId="08680A13"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1A5741F0"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Proponuje się nadanie nowego brzmienia ust. 2 w art. 40b mającego na celu zwolnienie z wszelkich opłat za wydanie wypisów i wyrysów w związku z działaniami związanymi z ujawnieniem, wpisem lub przeniesieniem praw w księdze wieczystej pomiędzy nieruchomościami Skarbu Państwa lub pomiędzy nieruchomościami Jednostek Samorządu Terytorialnego (JST).</w:t>
            </w:r>
          </w:p>
          <w:p w14:paraId="20894F29"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Aktualnie, zwolnienie takie dotyczy sytuacji przeniesienia takich praw pomiędzy odpowiednio nieruchomościami Skarbu Państwa a JST.</w:t>
            </w:r>
          </w:p>
          <w:p w14:paraId="4EAE897F"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 xml:space="preserve">Działania Głównej Dyrekcji Dróg Krajowych i Autostrad (GDDKiA) sprowadzają się do ujawniania trwałego zarządu w księgach wieczystych. W przypadku gdy ujawnienie dotyczy nieruchomości nabytej/wywłaszczonej od osób fizycznych, osób prawnych czy JST za wypisy i wyrysy nie są pobierane opłaty. Natomiast w przypadku gdy przejmowane są w trwały zarząd GDDKiA nieruchomości Skarbu Państwa (KOWR, Lasy Państwowe itp.) zwolnienie z opłaty za wypisy i wyrysy nie przysługuje. </w:t>
            </w:r>
          </w:p>
          <w:p w14:paraId="18DDB06B"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Należy również wskazać, że Państwowe Gospodarstwo Wodne Wody Polskie (PGW WP), pomimo tego że wykonuje zadania publiczne w zakresie wykonywanych kontroli a także zarządzania mieniem Skarbu Państwa, nie podlega pod zwolnienie z opłaty za wypisy i wyrysy z operatu ewidencyjnego, z uwagi na fakt, że jest państwową osobą prawną.</w:t>
            </w:r>
          </w:p>
          <w:p w14:paraId="0BC5C633"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Warto dodać, że zapewnienie prawidłowej reprezentacji przez PGW WP nad mieniem będącym własnością Skarbu Państwa wymaga podejmowania różnorodnych czynności, w tym:</w:t>
            </w:r>
          </w:p>
          <w:p w14:paraId="3D515763"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1) ustalania charakteru wód (na podstawie art. 219 ustawy Prawo wodne) – gdyż przedmiotowa czynność przesądza, czy dana woda należy do wód płynących – dla których wyłącznym właścicielem jest Skarb Państwa;</w:t>
            </w:r>
          </w:p>
          <w:p w14:paraId="74924807"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2) ustalenia linii brzegów cieków naturalnych (na podstawie art. 220 ust. 1 ustawy Prawo wodne) – gdyż dana czynność przesądza o przebiegu granic wód stanowiących własność Skarbu Państwa;</w:t>
            </w:r>
          </w:p>
          <w:p w14:paraId="2AE2374B"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lastRenderedPageBreak/>
              <w:t>3) nabywania niezbędnych nieruchomości na rzecz Skarbu Państwa w celu ochrony przeciwpowodziowej a także potwierdzania reprezentacji PGW WP wobec tych nieruchomości (na podstawie art. 258a, art. 258b oraz art. 528 ust. 6 ustawy Prawo wodne).</w:t>
            </w:r>
          </w:p>
          <w:p w14:paraId="437010BD"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Konieczność realizacji nowych inwestycji pozwalających na lepsze zabezpieczenie przed powodzią, konieczność naprawy i rozbudowy istniejących urządzeń wymaga sprawnego i możliwie szybkiego pozyskiwania gruntów pod ich realizację. Natomiast nabywanie nieruchomości na potrzeby inwestycji przeciwpowodziowych wymaga uprzedniego uzyskania wypisów z ewidencji gruntów i budynków, co zbytecznie podwyższa koszty inwestycji. W wielu przypadkach środki na realizacje inwestycji zapewniane są z budżetu państwa w ramach przyznawanych dotacji celowych. Tym samym ponoszenie kosztów przez PGW WP na rzecz realizacji inwestycji doprowadza do  zbytecznego przekazywania do budżetu państwa tych środków uzyskanych z budżetu państwa.</w:t>
            </w:r>
          </w:p>
          <w:p w14:paraId="3D3EE9FE"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Należy także podkreślić, że inwestycje realizowane przez PGW WP o charakterze przeciwpowodziowym albo retencyjnym nie są realizowane w interesie własnym, ale w interesie ogółu obywateli i bezpieczeństwa Państwa. Proponowane rozwiązanie pozwoli na ograniczenie kosztów podejmowanych działań zarówno w sytuacjach kryzysowych, jak i w normalnym funkcjonowaniu.</w:t>
            </w:r>
          </w:p>
          <w:p w14:paraId="31A38C1E"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Odnosząc się kwestii do kontroli gospodarowania wodami prowadzonej przez PGW WP należy wskazać dodatkowo na następujące okoliczności. W wielu przypadkach podjęcie odpowiednich działań w zakresie kontroli gospodarowania wodami wymaga ustalenia właściciela nieruchomości na danym terenie. Przede wszystkim dotyczy to nielegalnego wykonania urządzeń wodnych lub nielegalnego korzystania z wód oraz niezgodnego z prawem grodzenia nieruchomości przyległych do wód. Tym samym realizacja tych zadań publicznych prowadzi do zbytniego obciążania kosztami uzyskiwania wypisów przez PGW WP.</w:t>
            </w:r>
          </w:p>
          <w:p w14:paraId="205F4D93" w14:textId="6A432261"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 xml:space="preserve">PGW WP wydatkowały w 2024 roku na </w:t>
            </w:r>
            <w:r w:rsidRPr="005A61A3">
              <w:rPr>
                <w:rFonts w:ascii="Lato" w:hAnsi="Lato"/>
                <w:sz w:val="18"/>
                <w:szCs w:val="18"/>
              </w:rPr>
              <w:lastRenderedPageBreak/>
              <w:t xml:space="preserve">wypisy/wyrysy około 175 000 zł w skali całego kraju na potrzeby regulowania stanu prawnego nieruchomości Skarbu Państwa. Z danych ustalonych przez PGW WP wynika, że potwierdzenie lub ustalenie reprezentacji Skarbu Państwa dotyczy jeszcze około 200 tys. działek, co może zwiększyć koszty PGW WP w tym zakresie o około 30 mln zł (przyjmując średnio za 1 wypis kwotę 150 zł x 199 619).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C8AC805"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lastRenderedPageBreak/>
              <w:t xml:space="preserve">W art. 1 ustawy zmieniającej, w pkt 38 dot. </w:t>
            </w:r>
            <w:r w:rsidRPr="005A61A3">
              <w:rPr>
                <w:rFonts w:ascii="Lato" w:hAnsi="Lato"/>
                <w:sz w:val="18"/>
                <w:szCs w:val="18"/>
              </w:rPr>
              <w:br/>
              <w:t xml:space="preserve">art. 40b ustawy z dnia 17 maja 1989 r. – Prawo geodezyjne i kartograficzne ust. 2 art. 40b otrzymuje brzmienie: </w:t>
            </w:r>
          </w:p>
          <w:p w14:paraId="6328270E" w14:textId="77777777" w:rsidR="00A1261B" w:rsidRPr="005A61A3" w:rsidRDefault="00A1261B" w:rsidP="009B06B7">
            <w:pPr>
              <w:spacing w:before="120" w:after="120"/>
              <w:ind w:left="129" w:right="268"/>
              <w:rPr>
                <w:rFonts w:ascii="Lato" w:hAnsi="Lato"/>
                <w:sz w:val="18"/>
                <w:szCs w:val="18"/>
              </w:rPr>
            </w:pPr>
          </w:p>
          <w:p w14:paraId="166F299E"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 xml:space="preserve">„2. Nie pobiera się opłaty za wypisy i wyrysy z </w:t>
            </w:r>
            <w:r w:rsidRPr="005A61A3">
              <w:rPr>
                <w:rFonts w:ascii="Lato" w:hAnsi="Lato"/>
                <w:b/>
                <w:i/>
                <w:sz w:val="18"/>
                <w:szCs w:val="18"/>
              </w:rPr>
              <w:t>ewidencji gruntów i budynków</w:t>
            </w:r>
            <w:r w:rsidRPr="005A61A3">
              <w:rPr>
                <w:rFonts w:ascii="Lato" w:hAnsi="Lato"/>
                <w:sz w:val="18"/>
                <w:szCs w:val="18"/>
              </w:rPr>
              <w:t xml:space="preserve"> sporządzane i wydawane na żądanie:</w:t>
            </w:r>
          </w:p>
          <w:p w14:paraId="419C4A98"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1) prokuratury;</w:t>
            </w:r>
          </w:p>
          <w:p w14:paraId="23E68BE7"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2) sądów rozpoznających sprawy, w których stroną jest Skarb Państwa;</w:t>
            </w:r>
          </w:p>
          <w:p w14:paraId="5E91D8DC"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3) organów kontroli państwowej w związku z wykonywaniem przez te organy ich ustawowych zadań;</w:t>
            </w:r>
          </w:p>
          <w:p w14:paraId="1C3955C0"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4) organów administracji rządowej oraz jednostek samorządu terytorialnego, w związku z ich działaniami mającymi na celu:</w:t>
            </w:r>
          </w:p>
          <w:p w14:paraId="5E9B7AD1"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a) ujawnienie praw, lub trwałego zarządu do nieruchomości Skarbu Państwa lub jednostki samorządu terytorialnego w księdze wieczystej,</w:t>
            </w:r>
          </w:p>
          <w:p w14:paraId="0DC39C7D"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b) przeniesienie praw do nieruchomości Skarbu Państwa na rzecz jednostki samorządu terytorialnego,</w:t>
            </w:r>
          </w:p>
          <w:p w14:paraId="245724DA"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c) przeniesienie praw do nieruchomości jednostki samorządu terytorialnego na rzecz Skarbu Państwa;</w:t>
            </w:r>
          </w:p>
          <w:p w14:paraId="3E2D96F0"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d) </w:t>
            </w:r>
            <w:r w:rsidRPr="005A61A3">
              <w:rPr>
                <w:rFonts w:ascii="Lato" w:hAnsi="Lato"/>
                <w:b/>
                <w:sz w:val="18"/>
                <w:szCs w:val="18"/>
              </w:rPr>
              <w:t>wpis w księdze wieczystej prawa do nieruchomości Skarbu Państwa lub jednostki samorządu terytorialnego albo trwałego zarządu taką nieruchomością</w:t>
            </w:r>
            <w:r w:rsidRPr="005A61A3">
              <w:rPr>
                <w:rFonts w:ascii="Lato" w:hAnsi="Lato"/>
                <w:b/>
                <w:i/>
                <w:sz w:val="18"/>
                <w:szCs w:val="18"/>
              </w:rPr>
              <w:t>;</w:t>
            </w:r>
          </w:p>
          <w:p w14:paraId="7604438F"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5) Krajowego Zasobu Nieruchomości w związku z jego działaniami mającymi na celu regulację stanu prawnego nieruchomości wchodzących w skład Zasobu, o którym mowa w art. 2 ustawy z dnia 20 lipca 2017 r. o Krajowym Zasobie Nieruchomości (Dz.U. z 2023 r. poz. 1054, 1688 i 1693), oraz zbycie lub udostępnienie nieruchomości wchodzących w skład tego zasobu;</w:t>
            </w:r>
          </w:p>
          <w:p w14:paraId="032FD227" w14:textId="1CA0C501" w:rsidR="00A1261B" w:rsidRPr="005A61A3" w:rsidRDefault="00A1261B" w:rsidP="009B06B7">
            <w:pPr>
              <w:pStyle w:val="Inne0"/>
              <w:shd w:val="clear" w:color="auto" w:fill="auto"/>
              <w:spacing w:before="120" w:after="120"/>
              <w:ind w:left="125" w:right="136"/>
              <w:rPr>
                <w:rFonts w:ascii="Lato" w:eastAsia="Arial" w:hAnsi="Lato" w:cs="Arial"/>
                <w:sz w:val="18"/>
                <w:szCs w:val="18"/>
              </w:rPr>
            </w:pPr>
            <w:r w:rsidRPr="005A61A3">
              <w:rPr>
                <w:rFonts w:ascii="Lato" w:hAnsi="Lato"/>
                <w:b/>
                <w:i/>
                <w:sz w:val="18"/>
                <w:szCs w:val="18"/>
              </w:rPr>
              <w:t xml:space="preserve">6) Państwowego Gospodarstwa Wodnego Wody </w:t>
            </w:r>
            <w:r w:rsidRPr="005A61A3">
              <w:rPr>
                <w:rFonts w:ascii="Lato" w:hAnsi="Lato"/>
                <w:b/>
                <w:i/>
                <w:sz w:val="18"/>
                <w:szCs w:val="18"/>
              </w:rPr>
              <w:lastRenderedPageBreak/>
              <w:t>Polskie w związku z wykonywaniem ustawowych zadań w zakresie kontroli gospodarowania wodami oraz działań mających na celu regulację stanu prawnego nieruchomości Skarbu Państwa, w zakresie określonym w art. 219 ust. 1, art. 220 ust. 1, art. 258 ust. 10, 258a ust. 1, 258b oraz 528 ust. 6 ustawy z dnia 20 lipca 2017 r. - Prawo wodne (Dz.</w:t>
            </w:r>
            <w:r w:rsidRPr="005A61A3">
              <w:rPr>
                <w:rFonts w:ascii="Lato" w:hAnsi="Lato"/>
                <w:sz w:val="18"/>
                <w:szCs w:val="18"/>
              </w:rPr>
              <w:t xml:space="preserve"> </w:t>
            </w:r>
            <w:r w:rsidRPr="005A61A3">
              <w:rPr>
                <w:rFonts w:ascii="Lato" w:hAnsi="Lato"/>
                <w:b/>
                <w:i/>
                <w:sz w:val="18"/>
                <w:szCs w:val="18"/>
              </w:rPr>
              <w:t>U. z 2024 r. poz. 1087, 1089 i 1473 oraz z 2025 r. poz. 216 i 680).".</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830F0E5"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nie została uwzględniona.</w:t>
            </w:r>
          </w:p>
          <w:p w14:paraId="2F14015E" w14:textId="10457766" w:rsidR="00A1261B" w:rsidRPr="0037774A" w:rsidRDefault="00A1261B" w:rsidP="00F7319E">
            <w:pPr>
              <w:pStyle w:val="Inne0"/>
              <w:shd w:val="clear" w:color="auto" w:fill="auto"/>
              <w:spacing w:before="120" w:after="120"/>
              <w:ind w:left="131" w:right="138"/>
              <w:rPr>
                <w:rFonts w:ascii="Lato" w:eastAsia="Arial" w:hAnsi="Lato" w:cs="Arial"/>
                <w:sz w:val="18"/>
                <w:szCs w:val="18"/>
              </w:rPr>
            </w:pPr>
            <w:r w:rsidRPr="00EE1940">
              <w:rPr>
                <w:rFonts w:ascii="Lato" w:eastAsia="Arial" w:hAnsi="Lato" w:cs="Arial"/>
                <w:sz w:val="18"/>
                <w:szCs w:val="18"/>
              </w:rPr>
              <w:t>Propozycja wykracza poza przedmiot regulacji</w:t>
            </w:r>
            <w:r>
              <w:rPr>
                <w:rFonts w:ascii="Lato" w:eastAsia="Arial" w:hAnsi="Lato" w:cs="Arial"/>
                <w:sz w:val="18"/>
                <w:szCs w:val="18"/>
              </w:rPr>
              <w:t xml:space="preserve"> oraz</w:t>
            </w:r>
            <w:r w:rsidRPr="00EE1940">
              <w:rPr>
                <w:rFonts w:ascii="Lato" w:eastAsia="Arial" w:hAnsi="Lato" w:cs="Arial"/>
                <w:sz w:val="18"/>
                <w:szCs w:val="18"/>
              </w:rPr>
              <w:t xml:space="preserve"> spowoduje obniżenie wpływów z tytułu opłat zw. z prowadzeniem p</w:t>
            </w:r>
            <w:r>
              <w:rPr>
                <w:rFonts w:ascii="Lato" w:eastAsia="Arial" w:hAnsi="Lato" w:cs="Arial"/>
                <w:sz w:val="18"/>
                <w:szCs w:val="18"/>
              </w:rPr>
              <w:t>aństwowego zasobu geodezyjnego i kartograficznego.</w:t>
            </w:r>
          </w:p>
        </w:tc>
      </w:tr>
      <w:tr w:rsidR="00A1261B" w:rsidRPr="0037774A" w14:paraId="785F7AFE"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98C09C2"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C5F4AF1" w14:textId="5EB27B2C"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002C2F97"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Nadanie zarządcy linii kolejowych uprawnień do nieodpłatnego korzystania z danych zasobu prowadzonego przez właściwe organy Służby Geodezyjnej i Kartograficznej w zakresie treści ujawnionych na działkach ewidencyjnych stanowiących obszar kolejowy.</w:t>
            </w:r>
          </w:p>
          <w:p w14:paraId="3A2A56D9"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Przepis ma na celu umożliwienie zarządcy infrastruktury kolejowej, w rozumieniu przepisów ustawy z dnia 28 marca 2003 r. o transporcie kolejowym (Dz.U. z 2024 r. poz. 697 i 731), szybkiego i nieodpłatnego dostępu do danych geodezyjnych i kartograficznych, co jest kluczowe dla zapewnienia bezpieczeństwa ruchu kolejowego, szybkiego reagowania na zdarzenia losowe (np. wypadki, awarie) oraz usuwania usterek toru stwierdzonych w trakcie badań okresowych. Tereny kolejowe, w tym tereny zamknięte kategorii II, wymagają szczególnego traktowania ze względu na ich strategiczne znaczenie dla funkcjonowania infrastruktury krytycznej.</w:t>
            </w:r>
          </w:p>
          <w:p w14:paraId="05529602" w14:textId="77777777" w:rsidR="00A1261B" w:rsidRPr="005A61A3" w:rsidRDefault="00A1261B" w:rsidP="009B06B7">
            <w:pPr>
              <w:spacing w:before="120" w:after="120"/>
              <w:ind w:left="138" w:right="274"/>
              <w:rPr>
                <w:rFonts w:ascii="Lato" w:hAnsi="Lato"/>
                <w:sz w:val="18"/>
                <w:szCs w:val="18"/>
              </w:rPr>
            </w:pPr>
            <w:r w:rsidRPr="005A61A3">
              <w:rPr>
                <w:rFonts w:ascii="Lato" w:hAnsi="Lato"/>
                <w:sz w:val="18"/>
                <w:szCs w:val="18"/>
              </w:rPr>
              <w:t>Propozycja opiera się na istniejących przepisach Prawa geodezyjnego i kartograficznego, w szczególności na art. 40 dotyczącym udostępniania zasobu geodezyjnego, oraz na przepisach ustawy o transporcie kolejowym, które określają obowiązki zarządcy infrastruktury kolejowej w zakresie bezpieczeństwa i utrzymania linii kolejowych.</w:t>
            </w:r>
          </w:p>
          <w:p w14:paraId="2ECAD5DF" w14:textId="4C517E0D"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Propozycja przepisu enumeratywnie wskazuje rodzaje danych, do których zarządca powinien mieć dostęp (</w:t>
            </w:r>
            <w:proofErr w:type="spellStart"/>
            <w:r w:rsidRPr="005A61A3">
              <w:rPr>
                <w:rFonts w:ascii="Lato" w:hAnsi="Lato"/>
                <w:sz w:val="18"/>
                <w:szCs w:val="18"/>
              </w:rPr>
              <w:t>EGiB</w:t>
            </w:r>
            <w:proofErr w:type="spellEnd"/>
            <w:r w:rsidRPr="005A61A3">
              <w:rPr>
                <w:rFonts w:ascii="Lato" w:hAnsi="Lato"/>
                <w:sz w:val="18"/>
                <w:szCs w:val="18"/>
              </w:rPr>
              <w:t>, GESUT, mapy zasadnicze, osnowy geodezyjne), aby zapewnić pełną funkcjonalność w realizacji zadań. Obejmuje to zarówno dane dotyczące działek ewidencyjnych, jak i materiały kartograficzne niezbędne do działań operacyjnych i inwestycyjnych.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D5DA2D2" w14:textId="77777777" w:rsidR="00A1261B" w:rsidRPr="005A61A3" w:rsidRDefault="00A1261B" w:rsidP="009B06B7">
            <w:pPr>
              <w:spacing w:before="120" w:after="120"/>
              <w:ind w:left="129" w:right="268"/>
              <w:rPr>
                <w:rFonts w:ascii="Lato" w:hAnsi="Lato"/>
                <w:sz w:val="18"/>
                <w:szCs w:val="18"/>
              </w:rPr>
            </w:pPr>
            <w:r w:rsidRPr="005A61A3">
              <w:rPr>
                <w:rFonts w:ascii="Lato" w:hAnsi="Lato"/>
                <w:sz w:val="18"/>
                <w:szCs w:val="18"/>
              </w:rPr>
              <w:t>W ustawie z dnia 17 maja 1989 r. – Prawo geodezyjne i kartograficzne, po art. 40b dodaje się art. 40ba w brzmieniu:</w:t>
            </w:r>
          </w:p>
          <w:p w14:paraId="3C3C33EC"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„Art. 40ba.1. Zarządca infrastruktury kolejowej, w rozumieniu ustawy z dnia 28 marca 2003 r. o transporcie kolejowym (Dz.U. z 2024 r. poz. 697 i 731), jest uprawniony do nieodpłatnego korzystania z danych i materiałów państwowego zasobu geodezyjnego i kartograficznego, prowadzonego przez organy Służby Geodezyjnej i Kartograficznej, w zakresie treści ujawnionych na działkach ewidencyjnych stanowiących obszar kolejowy, w tym tereny zamknięte kategorii II, w celu realizacji zadań związanych z: </w:t>
            </w:r>
          </w:p>
          <w:p w14:paraId="6CA0B248"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1) prowadzeniem ruchu kolejowego, </w:t>
            </w:r>
          </w:p>
          <w:p w14:paraId="6BE47448"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2) zapewnieniem bezpieczeństwa ruchu kolejowego, </w:t>
            </w:r>
          </w:p>
          <w:p w14:paraId="364DDF60"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3)  reagowaniem na zdarzenia losowe na liniach kolejowych, </w:t>
            </w:r>
          </w:p>
          <w:p w14:paraId="647F2B08"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4) usuwaniem usterek toru stwierdzonych w trakcie badań okresowych.</w:t>
            </w:r>
          </w:p>
          <w:p w14:paraId="7DA2C4D8"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2. Dane i materiały, o których mowa w ust. 1, są udostępniane zarządcy infrastruktury kolejowej niezwłocznie, w formie elektronicznej, za pośrednictwem systemu teleinformatycznego, o którym mowa w art. 4 ust. 1a, lub w inny sposób uzgodniony z właściwym organem Służby Geodezyjnej i Kartograficznej. </w:t>
            </w:r>
          </w:p>
          <w:p w14:paraId="686684BB"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 xml:space="preserve">3. Zakres danych i materiałów udostępnianych nieodpłatnie obejmuje w szczególności: </w:t>
            </w:r>
          </w:p>
          <w:p w14:paraId="3FFEFA49"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1)</w:t>
            </w:r>
            <w:r w:rsidRPr="005A61A3">
              <w:rPr>
                <w:rFonts w:ascii="Lato" w:hAnsi="Lato"/>
                <w:b/>
                <w:i/>
                <w:sz w:val="18"/>
                <w:szCs w:val="18"/>
              </w:rPr>
              <w:tab/>
              <w:t>dane ewidencji gruntów i budynków (</w:t>
            </w:r>
            <w:proofErr w:type="spellStart"/>
            <w:r w:rsidRPr="005A61A3">
              <w:rPr>
                <w:rFonts w:ascii="Lato" w:hAnsi="Lato"/>
                <w:b/>
                <w:i/>
                <w:sz w:val="18"/>
                <w:szCs w:val="18"/>
              </w:rPr>
              <w:t>EGiB</w:t>
            </w:r>
            <w:proofErr w:type="spellEnd"/>
            <w:r w:rsidRPr="005A61A3">
              <w:rPr>
                <w:rFonts w:ascii="Lato" w:hAnsi="Lato"/>
                <w:b/>
                <w:i/>
                <w:sz w:val="18"/>
                <w:szCs w:val="18"/>
              </w:rPr>
              <w:t xml:space="preserve">) dotyczące działek ewidencyjnych stanowiących obszar kolejowy, </w:t>
            </w:r>
          </w:p>
          <w:p w14:paraId="33D4A221"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lastRenderedPageBreak/>
              <w:t>2)</w:t>
            </w:r>
            <w:r w:rsidRPr="005A61A3">
              <w:rPr>
                <w:rFonts w:ascii="Lato" w:hAnsi="Lato"/>
                <w:b/>
                <w:i/>
                <w:sz w:val="18"/>
                <w:szCs w:val="18"/>
              </w:rPr>
              <w:tab/>
              <w:t xml:space="preserve">dane geodezyjnej ewidencji sieci uzbrojenia terenu (GESUT), </w:t>
            </w:r>
          </w:p>
          <w:p w14:paraId="7F5C9D22"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3)</w:t>
            </w:r>
            <w:r w:rsidRPr="005A61A3">
              <w:rPr>
                <w:rFonts w:ascii="Lato" w:hAnsi="Lato"/>
                <w:b/>
                <w:i/>
                <w:sz w:val="18"/>
                <w:szCs w:val="18"/>
              </w:rPr>
              <w:tab/>
              <w:t xml:space="preserve">mapy zasadnicze, </w:t>
            </w:r>
          </w:p>
          <w:p w14:paraId="1F0516B1"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4)</w:t>
            </w:r>
            <w:r w:rsidRPr="005A61A3">
              <w:rPr>
                <w:rFonts w:ascii="Lato" w:hAnsi="Lato"/>
                <w:b/>
                <w:i/>
                <w:sz w:val="18"/>
                <w:szCs w:val="18"/>
              </w:rPr>
              <w:tab/>
              <w:t xml:space="preserve">dane dotyczące osnów geodezyjnych, </w:t>
            </w:r>
          </w:p>
          <w:p w14:paraId="21444929" w14:textId="77777777" w:rsidR="00A1261B" w:rsidRPr="005A61A3" w:rsidRDefault="00A1261B" w:rsidP="009B06B7">
            <w:pPr>
              <w:spacing w:before="120" w:after="120"/>
              <w:ind w:left="129" w:right="268"/>
              <w:rPr>
                <w:rFonts w:ascii="Lato" w:hAnsi="Lato"/>
                <w:b/>
                <w:i/>
                <w:sz w:val="18"/>
                <w:szCs w:val="18"/>
              </w:rPr>
            </w:pPr>
            <w:r w:rsidRPr="005A61A3">
              <w:rPr>
                <w:rFonts w:ascii="Lato" w:hAnsi="Lato"/>
                <w:b/>
                <w:i/>
                <w:sz w:val="18"/>
                <w:szCs w:val="18"/>
              </w:rPr>
              <w:t>5)</w:t>
            </w:r>
            <w:r w:rsidRPr="005A61A3">
              <w:rPr>
                <w:rFonts w:ascii="Lato" w:hAnsi="Lato"/>
                <w:b/>
                <w:i/>
                <w:sz w:val="18"/>
                <w:szCs w:val="18"/>
              </w:rPr>
              <w:tab/>
              <w:t>inne materiały państwowego zasobu geodezyjnego i kartograficznego niezbędne do realizacji zadań zarządcy infrastruktury kolejowej.</w:t>
            </w:r>
          </w:p>
          <w:p w14:paraId="53B780F6" w14:textId="77777777" w:rsidR="00A1261B" w:rsidRPr="005A61A3" w:rsidRDefault="00A1261B" w:rsidP="009B06B7">
            <w:pPr>
              <w:spacing w:before="120" w:after="120"/>
              <w:ind w:left="129" w:right="268"/>
              <w:rPr>
                <w:rFonts w:ascii="Lato" w:hAnsi="Lato"/>
                <w:sz w:val="18"/>
                <w:szCs w:val="18"/>
              </w:rPr>
            </w:pPr>
            <w:r w:rsidRPr="005A61A3">
              <w:rPr>
                <w:rFonts w:ascii="Lato" w:hAnsi="Lato"/>
                <w:b/>
                <w:i/>
                <w:sz w:val="18"/>
                <w:szCs w:val="18"/>
              </w:rPr>
              <w:t>4. Minister właściwy do spraw transportu, w porozumieniu z ministrem właściwym do spraw budownictwa, planowania i zagospodarowania przestrzennego oraz mieszkalnictwa, może</w:t>
            </w:r>
            <w:r w:rsidRPr="005A61A3">
              <w:rPr>
                <w:rFonts w:ascii="Lato" w:hAnsi="Lato"/>
                <w:sz w:val="18"/>
                <w:szCs w:val="18"/>
              </w:rPr>
              <w:t xml:space="preserve"> </w:t>
            </w:r>
            <w:r w:rsidRPr="005A61A3">
              <w:rPr>
                <w:rFonts w:ascii="Lato" w:hAnsi="Lato"/>
                <w:b/>
                <w:i/>
                <w:sz w:val="18"/>
                <w:szCs w:val="18"/>
              </w:rPr>
              <w:t>określić, w drodze rozporządzenia, szczegółowe warunki i tryb udostępniania danych i materiałów, o których mowa w ust. 1, mając na uwadze potrzebę zapewnienia bezpieczeństwa ruchu kolejowego oraz sprawności działania zarządcy infrastruktury kolejowej w sytuacjach awaryjnych.</w:t>
            </w:r>
          </w:p>
          <w:p w14:paraId="367B8914"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EB322D"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nie została uwzględniona.</w:t>
            </w:r>
          </w:p>
          <w:p w14:paraId="283B2C79" w14:textId="628FEA27" w:rsidR="00A1261B" w:rsidRPr="00941613" w:rsidRDefault="00A1261B" w:rsidP="00941613">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Proponowane przez Ministerstwo Infrastruktury zmiany, które wprowadzają nieograniczony nieodpłatny dostęp do wszystkich materiałów państwowego zasobu geodezyjnego i kartograficznego - spowodują uszczuplenie budżetów powiatów, które nie zostało określone przez </w:t>
            </w:r>
            <w:r w:rsidR="00D74456">
              <w:rPr>
                <w:rFonts w:ascii="Lato" w:eastAsia="Arial" w:hAnsi="Lato" w:cs="Arial"/>
                <w:sz w:val="18"/>
                <w:szCs w:val="18"/>
              </w:rPr>
              <w:t>resort</w:t>
            </w:r>
            <w:r>
              <w:rPr>
                <w:rFonts w:ascii="Lato" w:eastAsia="Arial" w:hAnsi="Lato" w:cs="Arial"/>
                <w:sz w:val="18"/>
                <w:szCs w:val="18"/>
              </w:rPr>
              <w:t xml:space="preserve"> </w:t>
            </w:r>
            <w:r w:rsidR="00D74456">
              <w:rPr>
                <w:rFonts w:ascii="Lato" w:eastAsia="Arial" w:hAnsi="Lato" w:cs="Arial"/>
                <w:sz w:val="18"/>
                <w:szCs w:val="18"/>
              </w:rPr>
              <w:t>i</w:t>
            </w:r>
            <w:r>
              <w:rPr>
                <w:rFonts w:ascii="Lato" w:eastAsia="Arial" w:hAnsi="Lato" w:cs="Arial"/>
                <w:sz w:val="18"/>
                <w:szCs w:val="18"/>
              </w:rPr>
              <w:t xml:space="preserve">nfrastruktury. Jednocześnie należy wskazać, że zgodnie z art. 15 ustawy </w:t>
            </w:r>
            <w:r w:rsidRPr="00941613">
              <w:rPr>
                <w:rFonts w:ascii="Lato" w:eastAsia="Arial" w:hAnsi="Lato" w:cs="Arial"/>
                <w:sz w:val="18"/>
                <w:szCs w:val="18"/>
              </w:rPr>
              <w:t>z dnia 17 lutego 2005 r.</w:t>
            </w:r>
            <w:r>
              <w:rPr>
                <w:rFonts w:ascii="Lato" w:eastAsia="Arial" w:hAnsi="Lato" w:cs="Arial"/>
                <w:sz w:val="18"/>
                <w:szCs w:val="18"/>
              </w:rPr>
              <w:t xml:space="preserve"> </w:t>
            </w:r>
            <w:r w:rsidRPr="00941613">
              <w:rPr>
                <w:rFonts w:ascii="Lato" w:eastAsia="Arial" w:hAnsi="Lato" w:cs="Arial"/>
                <w:sz w:val="18"/>
                <w:szCs w:val="18"/>
              </w:rPr>
              <w:t>o informatyzacji działalności podmiotów realizujących zadania publiczne (Dz.U. z 2024 r. poz. 1557</w:t>
            </w:r>
            <w:r>
              <w:rPr>
                <w:rFonts w:ascii="Lato" w:eastAsia="Arial" w:hAnsi="Lato" w:cs="Arial"/>
                <w:sz w:val="18"/>
                <w:szCs w:val="18"/>
              </w:rPr>
              <w:t xml:space="preserve">, z </w:t>
            </w:r>
            <w:proofErr w:type="spellStart"/>
            <w:r>
              <w:rPr>
                <w:rFonts w:ascii="Lato" w:eastAsia="Arial" w:hAnsi="Lato" w:cs="Arial"/>
                <w:sz w:val="18"/>
                <w:szCs w:val="18"/>
              </w:rPr>
              <w:t>późn</w:t>
            </w:r>
            <w:proofErr w:type="spellEnd"/>
            <w:r>
              <w:rPr>
                <w:rFonts w:ascii="Lato" w:eastAsia="Arial" w:hAnsi="Lato" w:cs="Arial"/>
                <w:sz w:val="18"/>
                <w:szCs w:val="18"/>
              </w:rPr>
              <w:t>. zm.</w:t>
            </w:r>
            <w:r w:rsidRPr="00941613">
              <w:rPr>
                <w:rFonts w:ascii="Lato" w:eastAsia="Arial" w:hAnsi="Lato" w:cs="Arial"/>
                <w:sz w:val="18"/>
                <w:szCs w:val="18"/>
              </w:rPr>
              <w:t>)</w:t>
            </w:r>
            <w:r>
              <w:rPr>
                <w:rFonts w:ascii="Lato" w:eastAsia="Arial" w:hAnsi="Lato" w:cs="Arial"/>
                <w:sz w:val="18"/>
                <w:szCs w:val="18"/>
              </w:rPr>
              <w:t xml:space="preserve"> starosta już obecnie ma obowiązek zapewnić </w:t>
            </w:r>
            <w:r w:rsidRPr="00941613">
              <w:rPr>
                <w:rFonts w:ascii="Lato" w:eastAsia="Arial" w:hAnsi="Lato" w:cs="Arial"/>
                <w:sz w:val="18"/>
                <w:szCs w:val="18"/>
              </w:rPr>
              <w:t>podmiotowi publicznemu albo podmiotowi niebędącemu podmiotem publicznym, realizującym zadania publiczne na podstawie odrębnych przepisów albo na skutek powierzenia lub zlecenia przez podmiot publiczny ich realizacji, nieodpłatny dostęp do danych zgromadzonych w prowadzonym rejestrze, w zakresie niezbędnym do realizacji tych zadań.</w:t>
            </w:r>
            <w:r>
              <w:rPr>
                <w:rFonts w:ascii="Lato" w:eastAsia="Arial" w:hAnsi="Lato" w:cs="Arial"/>
                <w:sz w:val="18"/>
                <w:szCs w:val="18"/>
              </w:rPr>
              <w:t xml:space="preserve"> Powyższy przepis jednak wymaga wskazania zarówno zadania, do którego pozyskiwane są dane jak i uzasadnić dlaczego są niezbędne. W opinii Projektodawcy powyższe regulacje są wystarczające.</w:t>
            </w:r>
          </w:p>
          <w:p w14:paraId="0125D389" w14:textId="77777777" w:rsidR="00A1261B" w:rsidRPr="00941613" w:rsidRDefault="00A1261B" w:rsidP="00941613">
            <w:pPr>
              <w:pStyle w:val="Inne0"/>
              <w:spacing w:before="120" w:after="120"/>
              <w:ind w:left="131" w:right="138"/>
              <w:rPr>
                <w:rFonts w:ascii="Lato" w:eastAsia="Arial" w:hAnsi="Lato" w:cs="Arial"/>
                <w:sz w:val="18"/>
                <w:szCs w:val="18"/>
              </w:rPr>
            </w:pPr>
          </w:p>
          <w:p w14:paraId="7C62E105" w14:textId="165EDBF3" w:rsidR="00A1261B" w:rsidRPr="0037774A" w:rsidRDefault="00A1261B" w:rsidP="00941613">
            <w:pPr>
              <w:pStyle w:val="Inne0"/>
              <w:shd w:val="clear" w:color="auto" w:fill="auto"/>
              <w:spacing w:before="120" w:after="120"/>
              <w:ind w:left="131" w:right="138"/>
              <w:rPr>
                <w:rFonts w:ascii="Lato" w:eastAsia="Arial" w:hAnsi="Lato" w:cs="Arial"/>
                <w:sz w:val="18"/>
                <w:szCs w:val="18"/>
              </w:rPr>
            </w:pPr>
          </w:p>
        </w:tc>
      </w:tr>
      <w:tr w:rsidR="00A1261B" w:rsidRPr="0037774A" w14:paraId="531D2E0C"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1FE5DFC"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6683BD4" w14:textId="41DB39C1"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37CBFF19" w14:textId="12437988"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W art. 4b ust. 1 wskazany został minimalny zakres informacji/danych ujmowanych w treści decyzji nadającej lub znoszącej status terenu zamkniętego. Z projektowanych przepisów i uzasadnienia nie wynika, czy decyzja taka powinna odnosić się wyłączenie do jednej nieruchomości lub grupy nieruchomości położonych np. w tym samym obrębie ewidencyjnym, czy też dopuszczalne jest objęcie jedną decyzją nieruchomości zlokalizowanych na terenie różnych gmin, powiatów i województw. W celu wyeliminowania wątpliwości zasadne wydaje się dookreślenie w uzasadnieniu przedmiotowej kwestii.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8062CB6"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C34DD5E" w14:textId="1C047D7A"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EE6CCF">
              <w:rPr>
                <w:rFonts w:ascii="Lato" w:eastAsia="Arial" w:hAnsi="Lato" w:cs="Arial"/>
                <w:sz w:val="18"/>
                <w:szCs w:val="18"/>
              </w:rPr>
              <w:t xml:space="preserve">W związku z uwagami Ministra Obrony Narodowej odstąpiono od wprowadzania w projekcie ustawy zmian </w:t>
            </w:r>
            <w:r>
              <w:rPr>
                <w:rFonts w:ascii="Lato" w:eastAsia="Arial" w:hAnsi="Lato" w:cs="Arial"/>
                <w:sz w:val="18"/>
                <w:szCs w:val="18"/>
              </w:rPr>
              <w:t xml:space="preserve">dotyczących uregulowania </w:t>
            </w:r>
            <w:r w:rsidRPr="00EE6CCF">
              <w:rPr>
                <w:rFonts w:ascii="Lato" w:eastAsia="Arial" w:hAnsi="Lato" w:cs="Arial"/>
                <w:sz w:val="18"/>
                <w:szCs w:val="18"/>
              </w:rPr>
              <w:t>zagadnienia ustanawiania i znoszenia terenów zamkniętych.</w:t>
            </w:r>
          </w:p>
        </w:tc>
      </w:tr>
      <w:tr w:rsidR="00A1261B" w:rsidRPr="0037774A" w14:paraId="647B4E76"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217C6677"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C73B07B" w14:textId="419A16C5" w:rsidR="00A1261B" w:rsidRPr="005A61A3" w:rsidRDefault="00A1261B" w:rsidP="009B06B7">
            <w:pPr>
              <w:pStyle w:val="Inne0"/>
              <w:shd w:val="clear" w:color="auto" w:fill="auto"/>
              <w:spacing w:before="120" w:after="120"/>
              <w:ind w:left="140" w:right="132"/>
              <w:rPr>
                <w:rFonts w:ascii="Lato" w:eastAsia="Arial" w:hAnsi="Lato" w:cs="Arial"/>
                <w:sz w:val="18"/>
                <w:szCs w:val="18"/>
              </w:rPr>
            </w:pPr>
            <w:r w:rsidRPr="005A61A3">
              <w:rPr>
                <w:rFonts w:ascii="Lato" w:hAnsi="Lato"/>
                <w:sz w:val="18"/>
                <w:szCs w:val="18"/>
              </w:rPr>
              <w:t>Ministerstwo Infrastruktury</w:t>
            </w:r>
          </w:p>
        </w:tc>
        <w:tc>
          <w:tcPr>
            <w:tcW w:w="4536" w:type="dxa"/>
            <w:tcBorders>
              <w:top w:val="single" w:sz="4" w:space="0" w:color="auto"/>
              <w:left w:val="single" w:sz="4" w:space="0" w:color="auto"/>
              <w:bottom w:val="single" w:sz="4" w:space="0" w:color="auto"/>
            </w:tcBorders>
            <w:shd w:val="clear" w:color="auto" w:fill="FFFFFF"/>
          </w:tcPr>
          <w:p w14:paraId="3D4642F0" w14:textId="4F685E87" w:rsidR="00A1261B" w:rsidRPr="005A61A3" w:rsidRDefault="00A1261B" w:rsidP="009B06B7">
            <w:pPr>
              <w:pStyle w:val="Teksttreci0"/>
              <w:shd w:val="clear" w:color="auto" w:fill="auto"/>
              <w:tabs>
                <w:tab w:val="left" w:pos="319"/>
              </w:tabs>
              <w:spacing w:before="120" w:after="120"/>
              <w:ind w:left="132" w:right="139"/>
              <w:rPr>
                <w:rFonts w:ascii="Lato" w:hAnsi="Lato"/>
                <w:sz w:val="18"/>
                <w:szCs w:val="18"/>
              </w:rPr>
            </w:pPr>
            <w:r w:rsidRPr="005A61A3">
              <w:rPr>
                <w:rFonts w:ascii="Lato" w:hAnsi="Lato"/>
                <w:sz w:val="18"/>
                <w:szCs w:val="18"/>
              </w:rPr>
              <w:t>Z uwagi na fakt, że skutkiem finansowym projektu może być zmiana poziomu wydatków jednostek sektora finansów publicznych w stosunku do wielkości wynikających z obowiązujących przepisów (starostwa, MON itd.), należy rozważyć zasadność wskazania w treści projektu maksymalnego limitu tych wydatków wyrażonego kwotowo, na okres 10 lat budżetowych wykonywania ustawy, oddzielnie dla każdego roku, poczynając od pierwszego roku planowanego wejścia w życie ustawy.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B82CC60" w14:textId="77777777" w:rsidR="00A1261B" w:rsidRPr="005A61A3" w:rsidRDefault="00A1261B" w:rsidP="009B06B7">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2A6FC12" w14:textId="46530101" w:rsidR="00A1261B" w:rsidRDefault="00A1261B" w:rsidP="00941613">
            <w:pPr>
              <w:pStyle w:val="Inne0"/>
              <w:shd w:val="clear" w:color="auto" w:fill="auto"/>
              <w:spacing w:before="120" w:after="120"/>
              <w:ind w:left="131" w:right="138"/>
              <w:rPr>
                <w:rFonts w:ascii="Lato" w:eastAsia="Arial" w:hAnsi="Lato" w:cs="Arial"/>
                <w:sz w:val="18"/>
                <w:szCs w:val="18"/>
              </w:rPr>
            </w:pPr>
            <w:r w:rsidRPr="00F7319E">
              <w:rPr>
                <w:rFonts w:ascii="Lato" w:eastAsia="Arial" w:hAnsi="Lato" w:cs="Arial"/>
                <w:sz w:val="18"/>
                <w:szCs w:val="18"/>
              </w:rPr>
              <w:t>Uwaga nie została uwzględniona.</w:t>
            </w:r>
          </w:p>
          <w:p w14:paraId="1B616DE8" w14:textId="77777777" w:rsidR="00A1261B" w:rsidRPr="00941613" w:rsidRDefault="00A1261B" w:rsidP="00941613">
            <w:pPr>
              <w:pStyle w:val="Inne0"/>
              <w:shd w:val="clear" w:color="auto" w:fill="auto"/>
              <w:spacing w:before="120" w:after="120"/>
              <w:ind w:left="131" w:right="138"/>
              <w:rPr>
                <w:rFonts w:ascii="Lato" w:eastAsia="Arial" w:hAnsi="Lato" w:cs="Arial"/>
                <w:sz w:val="18"/>
                <w:szCs w:val="18"/>
              </w:rPr>
            </w:pPr>
          </w:p>
          <w:p w14:paraId="0D969268" w14:textId="77777777"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15D424BF"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97DE4EC"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71A2175" w14:textId="38BD53FB" w:rsidR="00A1261B" w:rsidRPr="005A61A3" w:rsidRDefault="00A1261B" w:rsidP="009B06B7">
            <w:pPr>
              <w:pStyle w:val="Inne0"/>
              <w:shd w:val="clear" w:color="auto" w:fill="auto"/>
              <w:spacing w:before="120" w:after="120"/>
              <w:ind w:left="138" w:right="128"/>
              <w:rPr>
                <w:rFonts w:ascii="Lato" w:eastAsia="Arial" w:hAnsi="Lato" w:cs="Calibri"/>
                <w:color w:val="auto"/>
                <w:sz w:val="18"/>
                <w:szCs w:val="18"/>
              </w:rPr>
            </w:pPr>
            <w:r w:rsidRPr="005A61A3">
              <w:rPr>
                <w:rFonts w:ascii="Lato" w:eastAsia="Arial" w:hAnsi="Lato" w:cs="Calibri"/>
                <w:color w:val="auto"/>
                <w:sz w:val="18"/>
                <w:szCs w:val="18"/>
              </w:rPr>
              <w:t>Ministerstwo Sprawiedliwości</w:t>
            </w:r>
          </w:p>
          <w:p w14:paraId="1DC42CB2" w14:textId="77777777" w:rsidR="00A1261B" w:rsidRPr="005A61A3" w:rsidRDefault="00A1261B" w:rsidP="009B06B7">
            <w:pPr>
              <w:pStyle w:val="Inne0"/>
              <w:shd w:val="clear" w:color="auto" w:fill="auto"/>
              <w:spacing w:before="120" w:after="120"/>
              <w:ind w:left="138" w:right="128"/>
              <w:rPr>
                <w:rFonts w:ascii="Lato" w:eastAsia="Arial" w:hAnsi="Lato" w:cs="Arial"/>
                <w:sz w:val="18"/>
                <w:szCs w:val="18"/>
              </w:rPr>
            </w:pPr>
          </w:p>
        </w:tc>
        <w:tc>
          <w:tcPr>
            <w:tcW w:w="4536" w:type="dxa"/>
            <w:tcBorders>
              <w:top w:val="single" w:sz="4" w:space="0" w:color="auto"/>
              <w:left w:val="single" w:sz="4" w:space="0" w:color="auto"/>
              <w:bottom w:val="single" w:sz="4" w:space="0" w:color="auto"/>
            </w:tcBorders>
            <w:shd w:val="clear" w:color="auto" w:fill="FFFFFF"/>
          </w:tcPr>
          <w:p w14:paraId="508257A0" w14:textId="77777777" w:rsidR="00A1261B" w:rsidRPr="005A61A3" w:rsidRDefault="00A1261B" w:rsidP="009B06B7">
            <w:pPr>
              <w:pStyle w:val="Inne0"/>
              <w:shd w:val="clear" w:color="auto" w:fill="auto"/>
              <w:spacing w:before="120" w:after="120"/>
              <w:ind w:left="131" w:right="132"/>
              <w:rPr>
                <w:rFonts w:ascii="Lato" w:eastAsia="Arial" w:hAnsi="Lato" w:cs="Calibri"/>
                <w:color w:val="auto"/>
                <w:sz w:val="18"/>
                <w:szCs w:val="18"/>
              </w:rPr>
            </w:pPr>
            <w:r w:rsidRPr="005A61A3">
              <w:rPr>
                <w:rFonts w:ascii="Lato" w:eastAsia="Arial" w:hAnsi="Lato" w:cs="Calibri"/>
                <w:b/>
                <w:bCs/>
                <w:color w:val="auto"/>
                <w:sz w:val="18"/>
                <w:szCs w:val="18"/>
                <w:u w:val="single"/>
              </w:rPr>
              <w:t>Dotyczy art. 1 pkt 8</w:t>
            </w:r>
            <w:r w:rsidRPr="005A61A3">
              <w:rPr>
                <w:rFonts w:ascii="Lato" w:eastAsia="Arial" w:hAnsi="Lato" w:cs="Calibri"/>
                <w:b/>
                <w:bCs/>
                <w:color w:val="auto"/>
                <w:sz w:val="18"/>
                <w:szCs w:val="18"/>
              </w:rPr>
              <w:t>:</w:t>
            </w:r>
            <w:r w:rsidRPr="005A61A3">
              <w:rPr>
                <w:rFonts w:ascii="Lato" w:eastAsia="Arial" w:hAnsi="Lato" w:cs="Calibri"/>
                <w:color w:val="auto"/>
                <w:sz w:val="18"/>
                <w:szCs w:val="18"/>
              </w:rPr>
              <w:t xml:space="preserve"> zgodnie z art. 27 ust. 4 ustawy o księgach wieczystych i hipotece bezpośredni dostęp do bazy danych katastru nieruchomości powinien następować poprzez zintegrowany system informacji o nieruchomościach. Wyjaśnienia wymaga czy projektodawca przewiduje zapewnienie sądom prowadzącym księgi wieczyste bezpośredni dostęp do bazy danych ewidencji gruntów i budynków z wykorzystaniem ZSIN czy odbywać się to będzie poza tym systemem, co byłoby sprzeczne ze wskazanym art. 27 ust. 4 </w:t>
            </w:r>
            <w:proofErr w:type="spellStart"/>
            <w:r w:rsidRPr="005A61A3">
              <w:rPr>
                <w:rFonts w:ascii="Lato" w:eastAsia="Arial" w:hAnsi="Lato" w:cs="Calibri"/>
                <w:color w:val="auto"/>
                <w:sz w:val="18"/>
                <w:szCs w:val="18"/>
              </w:rPr>
              <w:t>u.k.w.h</w:t>
            </w:r>
            <w:proofErr w:type="spellEnd"/>
            <w:r w:rsidRPr="005A61A3">
              <w:rPr>
                <w:rFonts w:ascii="Lato" w:eastAsia="Arial" w:hAnsi="Lato" w:cs="Calibri"/>
                <w:color w:val="auto"/>
                <w:sz w:val="18"/>
                <w:szCs w:val="18"/>
              </w:rPr>
              <w:t>.</w:t>
            </w:r>
          </w:p>
          <w:p w14:paraId="336871F6" w14:textId="77777777" w:rsidR="00A1261B" w:rsidRPr="005A61A3" w:rsidRDefault="00A1261B" w:rsidP="009B06B7">
            <w:pPr>
              <w:spacing w:before="120" w:after="120"/>
              <w:ind w:left="131" w:right="132"/>
              <w:rPr>
                <w:rFonts w:ascii="Lato" w:hAnsi="Lato" w:cs="Calibri"/>
                <w:i/>
                <w:iCs/>
                <w:color w:val="auto"/>
                <w:sz w:val="18"/>
                <w:szCs w:val="18"/>
              </w:rPr>
            </w:pPr>
            <w:r w:rsidRPr="005A61A3">
              <w:rPr>
                <w:rFonts w:ascii="Lato" w:hAnsi="Lato" w:cs="Calibri"/>
                <w:b/>
                <w:bCs/>
                <w:color w:val="auto"/>
                <w:sz w:val="18"/>
                <w:szCs w:val="18"/>
                <w:u w:val="single"/>
              </w:rPr>
              <w:t>Z projektowanych przepisów, które będą oddziaływać na sądy prowadzące księgi wieczyste, wymienić należy art. 1 pkt 8 projektu, który przewiduje nowelizację art. 7a ust. 1 ustawy z dnia 17 maja 1989 r. Prawo geodezyjne i kartograficzne poprzez dodanie punktu 5a, który przydaje Głównemu Geodecie Kraju nowe zadania:</w:t>
            </w:r>
            <w:r w:rsidRPr="005A61A3">
              <w:rPr>
                <w:rFonts w:ascii="Lato" w:hAnsi="Lato" w:cs="Calibri"/>
                <w:color w:val="auto"/>
                <w:sz w:val="18"/>
                <w:szCs w:val="18"/>
              </w:rPr>
              <w:t xml:space="preserve"> zgodnie z ww. przepisem Główny</w:t>
            </w:r>
            <w:r w:rsidRPr="005A61A3">
              <w:rPr>
                <w:rFonts w:ascii="Lato" w:eastAsia="Times New Roman" w:hAnsi="Lato" w:cs="Calibri"/>
                <w:color w:val="auto"/>
                <w:sz w:val="18"/>
                <w:szCs w:val="18"/>
              </w:rPr>
              <w:t xml:space="preserve"> Geodeta Kraju wykonuje zadania określone w ustawie, a w szczególności (nowe zadania) „</w:t>
            </w:r>
            <w:r w:rsidRPr="005A61A3">
              <w:rPr>
                <w:rFonts w:ascii="Lato" w:hAnsi="Lato" w:cs="Calibri"/>
                <w:i/>
                <w:iCs/>
                <w:color w:val="auto"/>
                <w:sz w:val="18"/>
                <w:szCs w:val="18"/>
                <w:u w:val="single"/>
              </w:rPr>
              <w:t>tworzy i utrzymuje system teleinformatyczny zapewniający bezpośredni dostęp do baz danych prowadzonych przez starostę, o których mowa w art. 4 ust. 1a pkt 2, 3, 7, 10 i 12, w celu:</w:t>
            </w:r>
          </w:p>
          <w:p w14:paraId="48E8C63B" w14:textId="77777777" w:rsidR="00A1261B" w:rsidRPr="005A61A3" w:rsidRDefault="00A1261B" w:rsidP="009B06B7">
            <w:pPr>
              <w:pStyle w:val="Akapitzlist"/>
              <w:widowControl/>
              <w:numPr>
                <w:ilvl w:val="0"/>
                <w:numId w:val="38"/>
              </w:numPr>
              <w:spacing w:before="120" w:after="120"/>
              <w:ind w:left="411" w:right="132" w:hanging="280"/>
              <w:contextualSpacing w:val="0"/>
              <w:rPr>
                <w:rFonts w:ascii="Lato" w:hAnsi="Lato" w:cs="Calibri"/>
                <w:i/>
                <w:iCs/>
                <w:color w:val="auto"/>
                <w:sz w:val="18"/>
                <w:szCs w:val="18"/>
              </w:rPr>
            </w:pPr>
            <w:r w:rsidRPr="005A61A3">
              <w:rPr>
                <w:rFonts w:ascii="Lato" w:hAnsi="Lato" w:cs="Calibri"/>
                <w:i/>
                <w:iCs/>
                <w:color w:val="auto"/>
                <w:sz w:val="18"/>
                <w:szCs w:val="18"/>
              </w:rPr>
              <w:t>realizacji zadań, o których mowa w ust. 1 pkt 1,</w:t>
            </w:r>
          </w:p>
          <w:p w14:paraId="25099370" w14:textId="77777777" w:rsidR="00A1261B" w:rsidRPr="005A61A3" w:rsidRDefault="00A1261B" w:rsidP="009B06B7">
            <w:pPr>
              <w:pStyle w:val="Akapitzlist"/>
              <w:widowControl/>
              <w:numPr>
                <w:ilvl w:val="0"/>
                <w:numId w:val="38"/>
              </w:numPr>
              <w:spacing w:before="120" w:after="120"/>
              <w:ind w:left="411" w:right="132" w:hanging="280"/>
              <w:contextualSpacing w:val="0"/>
              <w:rPr>
                <w:rFonts w:ascii="Lato" w:hAnsi="Lato" w:cs="Calibri"/>
                <w:i/>
                <w:iCs/>
                <w:color w:val="auto"/>
                <w:sz w:val="18"/>
                <w:szCs w:val="18"/>
                <w:u w:val="single"/>
              </w:rPr>
            </w:pPr>
            <w:r w:rsidRPr="005A61A3">
              <w:rPr>
                <w:rFonts w:ascii="Lato" w:hAnsi="Lato" w:cs="Calibri"/>
                <w:i/>
                <w:iCs/>
                <w:color w:val="auto"/>
                <w:sz w:val="18"/>
                <w:szCs w:val="18"/>
                <w:u w:val="single"/>
              </w:rPr>
              <w:t>zapewnienia sądom prowadzącym księgi wieczyste bezpośredniego dostępu do bazy danych ewidencji gruntów i budynków, o którym mowa w art. 27 ust. 4 ustawy z dnia 6 lipca 1982 r. o księgach wieczystych i hipotece (Dz. U. z 2025 r. poz. 341),</w:t>
            </w:r>
          </w:p>
          <w:p w14:paraId="7B69E688" w14:textId="77777777" w:rsidR="00A1261B" w:rsidRPr="005A61A3" w:rsidRDefault="00A1261B" w:rsidP="009B06B7">
            <w:pPr>
              <w:pStyle w:val="Akapitzlist"/>
              <w:widowControl/>
              <w:numPr>
                <w:ilvl w:val="0"/>
                <w:numId w:val="38"/>
              </w:numPr>
              <w:spacing w:before="120" w:after="120"/>
              <w:ind w:left="411" w:right="132" w:hanging="280"/>
              <w:contextualSpacing w:val="0"/>
              <w:rPr>
                <w:rFonts w:ascii="Lato" w:hAnsi="Lato" w:cs="Calibri"/>
                <w:color w:val="auto"/>
                <w:sz w:val="18"/>
                <w:szCs w:val="18"/>
                <w:u w:val="single"/>
              </w:rPr>
            </w:pPr>
            <w:r w:rsidRPr="005A61A3">
              <w:rPr>
                <w:rFonts w:ascii="Lato" w:hAnsi="Lato" w:cs="Calibri"/>
                <w:color w:val="auto"/>
                <w:sz w:val="18"/>
                <w:szCs w:val="18"/>
              </w:rPr>
              <w:t xml:space="preserve">udostępniania danych z tych baz w postaci usług, o których mowa w art. 9 ust. 1 ustawy z dnia 4 marca 2010 r. o infrastrukturze informacji przestrzennej przez Głównego Geodetę Kraju”. </w:t>
            </w:r>
          </w:p>
          <w:p w14:paraId="19648802" w14:textId="77777777" w:rsidR="00A1261B" w:rsidRPr="005A61A3" w:rsidRDefault="00A1261B" w:rsidP="009B06B7">
            <w:pPr>
              <w:widowControl/>
              <w:spacing w:before="120" w:after="120"/>
              <w:ind w:left="131" w:right="132"/>
              <w:rPr>
                <w:rFonts w:ascii="Lato" w:hAnsi="Lato" w:cs="Calibri"/>
                <w:b/>
                <w:bCs/>
                <w:color w:val="auto"/>
                <w:sz w:val="18"/>
                <w:szCs w:val="18"/>
                <w:u w:val="single"/>
              </w:rPr>
            </w:pPr>
            <w:r w:rsidRPr="005A61A3">
              <w:rPr>
                <w:rFonts w:ascii="Lato" w:hAnsi="Lato" w:cs="Calibri"/>
                <w:color w:val="auto"/>
                <w:sz w:val="18"/>
                <w:szCs w:val="18"/>
                <w:u w:val="single"/>
              </w:rPr>
              <w:t xml:space="preserve">Z projektowanego przepisu art. 7a pkt 5a </w:t>
            </w:r>
            <w:proofErr w:type="spellStart"/>
            <w:r w:rsidRPr="005A61A3">
              <w:rPr>
                <w:rFonts w:ascii="Lato" w:hAnsi="Lato" w:cs="Calibri"/>
                <w:color w:val="auto"/>
                <w:sz w:val="18"/>
                <w:szCs w:val="18"/>
                <w:u w:val="single"/>
              </w:rPr>
              <w:t>ppkt</w:t>
            </w:r>
            <w:proofErr w:type="spellEnd"/>
            <w:r w:rsidRPr="005A61A3">
              <w:rPr>
                <w:rFonts w:ascii="Lato" w:hAnsi="Lato" w:cs="Calibri"/>
                <w:color w:val="auto"/>
                <w:sz w:val="18"/>
                <w:szCs w:val="18"/>
                <w:u w:val="single"/>
              </w:rPr>
              <w:t xml:space="preserve"> b i c oraz uzasadnienia nie wynika jaka usługa będzie obsługiwała ten proces dostępu do bazy danych ewidencji gruntów i budynków. Natomiast obecnie obowiązująca treść art. 27 ust. 4 </w:t>
            </w:r>
            <w:proofErr w:type="spellStart"/>
            <w:r w:rsidRPr="005A61A3">
              <w:rPr>
                <w:rFonts w:ascii="Lato" w:hAnsi="Lato" w:cs="Calibri"/>
                <w:color w:val="auto"/>
                <w:sz w:val="18"/>
                <w:szCs w:val="18"/>
                <w:u w:val="single"/>
              </w:rPr>
              <w:t>u.k.h.w</w:t>
            </w:r>
            <w:proofErr w:type="spellEnd"/>
            <w:r w:rsidRPr="005A61A3">
              <w:rPr>
                <w:rFonts w:ascii="Lato" w:hAnsi="Lato" w:cs="Calibri"/>
                <w:color w:val="auto"/>
                <w:sz w:val="18"/>
                <w:szCs w:val="18"/>
                <w:u w:val="single"/>
              </w:rPr>
              <w:t>. wskazuje wprost, że bezpośredni dostęp do bazy danych katastru nieruchomości możliwy jest tylko poprzez zintegrowany system informacji o nieruchomościach.</w:t>
            </w:r>
          </w:p>
          <w:p w14:paraId="2F082DE2" w14:textId="5FC06055" w:rsidR="00A1261B" w:rsidRPr="005A61A3" w:rsidRDefault="00A1261B" w:rsidP="009B06B7">
            <w:pPr>
              <w:widowControl/>
              <w:autoSpaceDE w:val="0"/>
              <w:autoSpaceDN w:val="0"/>
              <w:adjustRightInd w:val="0"/>
              <w:spacing w:before="120" w:after="120"/>
              <w:ind w:left="131" w:right="132"/>
              <w:rPr>
                <w:rFonts w:ascii="Lato" w:hAnsi="Lato" w:cs="Calibri"/>
                <w:i/>
                <w:iCs/>
                <w:color w:val="auto"/>
                <w:sz w:val="18"/>
                <w:szCs w:val="18"/>
                <w:lang w:bidi="ar-SA"/>
              </w:rPr>
            </w:pPr>
            <w:r w:rsidRPr="005A61A3">
              <w:rPr>
                <w:rFonts w:ascii="Lato" w:hAnsi="Lato" w:cs="Calibri"/>
                <w:color w:val="auto"/>
                <w:sz w:val="18"/>
                <w:szCs w:val="18"/>
                <w:u w:val="single"/>
                <w:lang w:bidi="ar-SA"/>
              </w:rPr>
              <w:t>Projektowany przepis koliduje z treścią art. 7a ust. 1 pkt 5</w:t>
            </w:r>
            <w:r>
              <w:rPr>
                <w:rFonts w:ascii="Lato" w:hAnsi="Lato" w:cs="Calibri"/>
                <w:color w:val="auto"/>
                <w:sz w:val="18"/>
                <w:szCs w:val="18"/>
                <w:u w:val="single"/>
                <w:lang w:bidi="ar-SA"/>
              </w:rPr>
              <w:t xml:space="preserve"> </w:t>
            </w:r>
            <w:r w:rsidRPr="005A61A3">
              <w:rPr>
                <w:rFonts w:ascii="Lato" w:hAnsi="Lato" w:cs="Calibri"/>
                <w:color w:val="auto"/>
                <w:sz w:val="18"/>
                <w:szCs w:val="18"/>
                <w:u w:val="single"/>
                <w:lang w:bidi="ar-SA"/>
              </w:rPr>
              <w:t>zmienianej ustawy,</w:t>
            </w:r>
            <w:r w:rsidRPr="005A61A3">
              <w:rPr>
                <w:rFonts w:ascii="Lato" w:hAnsi="Lato" w:cs="Calibri"/>
                <w:color w:val="auto"/>
                <w:sz w:val="18"/>
                <w:szCs w:val="18"/>
                <w:lang w:bidi="ar-SA"/>
              </w:rPr>
              <w:t xml:space="preserve"> który nakłada na Głównego </w:t>
            </w:r>
            <w:r w:rsidRPr="005A61A3">
              <w:rPr>
                <w:rFonts w:ascii="Lato" w:hAnsi="Lato" w:cs="Calibri"/>
                <w:color w:val="auto"/>
                <w:sz w:val="18"/>
                <w:szCs w:val="18"/>
                <w:lang w:bidi="ar-SA"/>
              </w:rPr>
              <w:lastRenderedPageBreak/>
              <w:t xml:space="preserve">Geodetę Kraju zadanie inicjacji i koordynowania działań w zakresie tworzenia zintegrowanego systemu informacji o nieruchomościach oraz tworzenia i utrzymania, we współpracy z innymi organami administracji publicznej, infrastruktury technicznej tego systemu. Nie jest jasne czy przewidziany nowelizacji system teleinformatyczny ma stanowić część zintegrowanego systemu informacji o nieruchomościach, czy ma stanowić nowy samodzielny system, na co wskazywałby sposób redakcji projektowanego aktu prawnego poprzez wyodrębnienie zadania w nowej jednostce redakcyjnej tekstu prawnego. </w:t>
            </w:r>
            <w:r w:rsidRPr="005A61A3">
              <w:rPr>
                <w:rFonts w:ascii="Lato" w:hAnsi="Lato" w:cs="Calibri"/>
                <w:color w:val="auto"/>
                <w:sz w:val="18"/>
                <w:szCs w:val="18"/>
                <w:u w:val="single"/>
                <w:lang w:bidi="ar-SA"/>
              </w:rPr>
              <w:t xml:space="preserve">Przede wszystkim należy zwrócić uwagę, że projektowany przepis pozostaje w rozbieżności z przepisem art. 27 ust. 4 ustawy z dnia 6 lipca 1982 r. o księgach wieczystych i hipotece. Zgodnie z powyższym przepisem: </w:t>
            </w:r>
            <w:r w:rsidRPr="005A61A3">
              <w:rPr>
                <w:rFonts w:ascii="Lato" w:hAnsi="Lato" w:cs="Calibri"/>
                <w:i/>
                <w:iCs/>
                <w:color w:val="auto"/>
                <w:sz w:val="18"/>
                <w:szCs w:val="18"/>
                <w:u w:val="single"/>
                <w:lang w:bidi="ar-SA"/>
              </w:rPr>
              <w:t>„Organ prowadzący kataster nieruchomości zapewni nieodpłatnie sądom</w:t>
            </w:r>
            <w:r w:rsidRPr="005A61A3">
              <w:rPr>
                <w:rFonts w:ascii="Lato" w:hAnsi="Lato" w:cs="Calibri"/>
                <w:color w:val="auto"/>
                <w:sz w:val="18"/>
                <w:szCs w:val="18"/>
                <w:u w:val="single"/>
                <w:lang w:bidi="ar-SA"/>
              </w:rPr>
              <w:t xml:space="preserve"> </w:t>
            </w:r>
            <w:r w:rsidRPr="005A61A3">
              <w:rPr>
                <w:rFonts w:ascii="Lato" w:hAnsi="Lato" w:cs="Calibri"/>
                <w:i/>
                <w:iCs/>
                <w:color w:val="auto"/>
                <w:sz w:val="18"/>
                <w:szCs w:val="18"/>
                <w:u w:val="single"/>
                <w:lang w:bidi="ar-SA"/>
              </w:rPr>
              <w:t>prowadzącym księgi wieczyste, w celu sprawdzenia oznaczenia nieruchomości,</w:t>
            </w:r>
            <w:r w:rsidRPr="005A61A3">
              <w:rPr>
                <w:rFonts w:ascii="Lato" w:hAnsi="Lato" w:cs="Calibri"/>
                <w:color w:val="auto"/>
                <w:sz w:val="18"/>
                <w:szCs w:val="18"/>
                <w:u w:val="single"/>
                <w:lang w:bidi="ar-SA"/>
              </w:rPr>
              <w:t xml:space="preserve"> </w:t>
            </w:r>
            <w:r w:rsidRPr="005A61A3">
              <w:rPr>
                <w:rFonts w:ascii="Lato" w:hAnsi="Lato" w:cs="Calibri"/>
                <w:i/>
                <w:iCs/>
                <w:color w:val="auto"/>
                <w:sz w:val="18"/>
                <w:szCs w:val="18"/>
                <w:u w:val="single"/>
                <w:lang w:bidi="ar-SA"/>
              </w:rPr>
              <w:t>bezpośredni dostęp do bazy danych katastru nieruchomości poprzez zintegrowany system informacji o nieruchomościach.”</w:t>
            </w:r>
          </w:p>
          <w:p w14:paraId="6FE16E4B"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hAnsi="Lato" w:cs="Calibri"/>
                <w:color w:val="auto"/>
                <w:sz w:val="18"/>
                <w:szCs w:val="18"/>
                <w:lang w:bidi="ar-SA"/>
              </w:rPr>
              <w:t xml:space="preserve">Zgodnie z przepisem art. 25 ustawy z dnia 14 lutego 2003 r. do czasu przekształcenia ewidencji gruntów i budynków w kataster nieruchomości przez użyte w tej ustawie oraz w ustawach Kodeks postępowania cywilnego i ustawie o księgach wieczystych i hipotece pojęcie "kataster nieruchomości" rozumie się tę ewidencję. </w:t>
            </w:r>
            <w:r w:rsidRPr="005A61A3">
              <w:rPr>
                <w:rFonts w:ascii="Lato" w:hAnsi="Lato" w:cs="Calibri"/>
                <w:color w:val="auto"/>
                <w:sz w:val="18"/>
                <w:szCs w:val="18"/>
                <w:u w:val="single"/>
                <w:lang w:bidi="ar-SA"/>
              </w:rPr>
              <w:t>Natomiast projektowana nowelizacja nie nadaje Głównemu Geodecie Kraju zadania prowadzenia ewidencji gruntów i budynków, które to zadanie pozostaje w myśl przepisu art. 7d ust. 1 lit. a) Prawa geodezyjnego i kartograficznego przy staroście (prezydencie miasta na prawach powiatu).</w:t>
            </w:r>
          </w:p>
          <w:p w14:paraId="365136E5"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hAnsi="Lato" w:cs="Calibri"/>
                <w:color w:val="auto"/>
                <w:sz w:val="18"/>
                <w:szCs w:val="18"/>
                <w:lang w:bidi="ar-SA"/>
              </w:rPr>
              <w:t xml:space="preserve">Jednocześnie należy zwrócić uwagę, że przepis art. 27 ust. 4 ustawy o księgach wieczystych i hipotece stanowi wprost, że bezpośredni dostęp do danych katastru nieruchomości następuje poprzez zintegrowany system informacji o nieruchomościach (ZSIN). </w:t>
            </w:r>
            <w:r w:rsidRPr="005A61A3">
              <w:rPr>
                <w:rFonts w:ascii="Lato" w:hAnsi="Lato" w:cs="Calibri"/>
                <w:color w:val="auto"/>
                <w:sz w:val="18"/>
                <w:szCs w:val="18"/>
                <w:u w:val="single"/>
                <w:lang w:bidi="ar-SA"/>
              </w:rPr>
              <w:t>Przyjęcie, że obowiązkiem Głównego Geodety Kraju będzie stworzenie odrębnej infrastruktury teleinformatycznej od ZSIN powoduje bezpośrednią rozbieżność pomiędzy projektowaną regulacją a treścią przepisu art. 27 ust. 4 ustawy o księgach wieczystych i hipotece.</w:t>
            </w:r>
            <w:r w:rsidRPr="005A61A3">
              <w:rPr>
                <w:rFonts w:ascii="Lato" w:hAnsi="Lato" w:cs="Calibri"/>
                <w:color w:val="auto"/>
                <w:sz w:val="18"/>
                <w:szCs w:val="18"/>
                <w:lang w:bidi="ar-SA"/>
              </w:rPr>
              <w:t xml:space="preserve"> </w:t>
            </w:r>
          </w:p>
          <w:p w14:paraId="6108C002" w14:textId="77777777" w:rsidR="00A1261B" w:rsidRPr="005A61A3" w:rsidRDefault="00A1261B" w:rsidP="009B06B7">
            <w:pPr>
              <w:widowControl/>
              <w:autoSpaceDE w:val="0"/>
              <w:autoSpaceDN w:val="0"/>
              <w:adjustRightInd w:val="0"/>
              <w:spacing w:before="120" w:after="120"/>
              <w:ind w:left="131" w:right="132"/>
              <w:rPr>
                <w:rFonts w:ascii="Lato" w:hAnsi="Lato" w:cs="Calibri"/>
                <w:b/>
                <w:bCs/>
                <w:color w:val="auto"/>
                <w:sz w:val="18"/>
                <w:szCs w:val="18"/>
                <w:u w:val="single"/>
                <w:lang w:bidi="ar-SA"/>
              </w:rPr>
            </w:pPr>
            <w:r w:rsidRPr="005A61A3">
              <w:rPr>
                <w:rFonts w:ascii="Lato" w:hAnsi="Lato" w:cs="Calibri"/>
                <w:b/>
                <w:bCs/>
                <w:color w:val="auto"/>
                <w:sz w:val="18"/>
                <w:szCs w:val="18"/>
                <w:u w:val="single"/>
                <w:lang w:bidi="ar-SA"/>
              </w:rPr>
              <w:lastRenderedPageBreak/>
              <w:t xml:space="preserve">Tym samym nowelizacja przepisu art. 7a ust 1 Prawa geodezyjnego i kartograficznego w sposób wskazany w opiniowanym projekcie doprowadzi, bez zmiany treści art. 27 ust. 4 ustawy o księgach wieczystych i hipotece, do praktycznej niemożliwości celu ustawowego, jakim jest zgodność oznaczenia nieruchomości w księdze wieczystej z danymi katastru nieruchomości. Dwa równorzędne akty prawne będą bowiem wskazywać inny organ i inne środki techniczne właściwe do zapewnienia realizacji tego celu. </w:t>
            </w:r>
          </w:p>
          <w:p w14:paraId="486597C3" w14:textId="77777777" w:rsidR="00A1261B" w:rsidRPr="005A61A3" w:rsidRDefault="00A1261B" w:rsidP="009B06B7">
            <w:pPr>
              <w:widowControl/>
              <w:spacing w:before="120" w:after="120"/>
              <w:ind w:left="131" w:right="132"/>
              <w:rPr>
                <w:rFonts w:ascii="Lato" w:hAnsi="Lato" w:cs="Calibri"/>
                <w:color w:val="auto"/>
                <w:sz w:val="18"/>
                <w:szCs w:val="18"/>
                <w:u w:val="single"/>
              </w:rPr>
            </w:pPr>
            <w:r w:rsidRPr="005A61A3">
              <w:rPr>
                <w:rFonts w:ascii="Lato" w:hAnsi="Lato" w:cs="Calibri"/>
                <w:color w:val="auto"/>
                <w:sz w:val="18"/>
                <w:szCs w:val="18"/>
                <w:u w:val="single"/>
              </w:rPr>
              <w:t>Druga wątpliwość związana z przedmiotowym zagadnieniem dotyczy tego, czy stosowany w sądach System Obsługi Wydziałów Ksiąg Wieczystych (SOWKW) jest obecnie dostosowany do realizacji bezpośredniego dostępu do bazy danych ewidencji gruntów i budynków za pośrednictwem Głównego Geodety Kraju, jeżeli system nie jest obecnie dostosowany do realizacji ww. funkcjonalności należałoby postawić pytanie, czy termin przewidziany dla Głównego Geodety Kraju na utworzenie systemu teleinformatycznego, o którym mowa w art. 7a ust. 1 pkt 5a (24 miesiące od dnia wejścia w życie niniejszej ustawy – art. 12 projektu),  jest wystarczający dla przygotowania i wdrożenia odpowiedniej funkcjonalności w sądach wieczystoksięgowych</w:t>
            </w:r>
            <w:r w:rsidRPr="005A61A3">
              <w:rPr>
                <w:rFonts w:ascii="Lato" w:hAnsi="Lato" w:cs="Calibri"/>
                <w:b/>
                <w:bCs/>
                <w:color w:val="auto"/>
                <w:sz w:val="18"/>
                <w:szCs w:val="18"/>
                <w:u w:val="single"/>
              </w:rPr>
              <w:t xml:space="preserve">. </w:t>
            </w:r>
          </w:p>
          <w:p w14:paraId="386E487D" w14:textId="77777777" w:rsidR="00A1261B" w:rsidRPr="005A61A3" w:rsidRDefault="00A1261B" w:rsidP="009B06B7">
            <w:pPr>
              <w:spacing w:before="120" w:after="120"/>
              <w:ind w:left="131" w:right="132"/>
              <w:rPr>
                <w:rFonts w:ascii="Lato" w:hAnsi="Lato" w:cs="Calibri"/>
                <w:color w:val="auto"/>
                <w:sz w:val="18"/>
                <w:szCs w:val="18"/>
              </w:rPr>
            </w:pPr>
            <w:r w:rsidRPr="005A61A3">
              <w:rPr>
                <w:rFonts w:ascii="Lato" w:hAnsi="Lato" w:cs="Calibri"/>
                <w:color w:val="auto"/>
                <w:sz w:val="18"/>
                <w:szCs w:val="18"/>
              </w:rPr>
              <w:t xml:space="preserve">Zapewnienie zgodności oznaczeń nieruchomości z księgami wieczystymi </w:t>
            </w:r>
            <w:r w:rsidRPr="005A61A3">
              <w:rPr>
                <w:rFonts w:ascii="Lato" w:hAnsi="Lato" w:cs="Calibri"/>
                <w:color w:val="auto"/>
                <w:sz w:val="18"/>
                <w:szCs w:val="18"/>
              </w:rPr>
              <w:sym w:font="Symbol" w:char="F02D"/>
            </w:r>
            <w:r w:rsidRPr="005A61A3">
              <w:rPr>
                <w:rFonts w:ascii="Lato" w:hAnsi="Lato" w:cs="Calibri"/>
                <w:color w:val="auto"/>
                <w:sz w:val="18"/>
                <w:szCs w:val="18"/>
              </w:rPr>
              <w:t xml:space="preserve"> dostęp do bazy danych ewidencji gruntów i budynków wynika z obowiązującego od 1 lipca 2003 r. art. 27 ust. 4 ustawy z dnia 6 lipca 1982 r. o księgach wieczystych i hipotece (tj. Dz. U. z 2025 r., poz. 341). Zgodnie z tym przepisem, </w:t>
            </w:r>
            <w:r w:rsidRPr="005A61A3">
              <w:rPr>
                <w:rFonts w:ascii="Lato" w:hAnsi="Lato" w:cs="Calibri"/>
                <w:color w:val="auto"/>
                <w:sz w:val="18"/>
                <w:szCs w:val="18"/>
                <w:shd w:val="clear" w:color="auto" w:fill="FFFFFF"/>
              </w:rPr>
              <w:t>organ prowadzący kataster nieruchomości zapewni nieodpłatnie sądom prowadzącym księgi wieczyste, w celu sprawdzenia oznaczenia nieruchomości, bezpośredni dostęp do bazy danych katastru nieruchomości poprzez zintegrowany system informacji o nieruchomościach.</w:t>
            </w:r>
            <w:r w:rsidRPr="005A61A3">
              <w:rPr>
                <w:rFonts w:ascii="Lato" w:hAnsi="Lato" w:cs="Calibri"/>
                <w:color w:val="auto"/>
                <w:sz w:val="18"/>
                <w:szCs w:val="18"/>
              </w:rPr>
              <w:t xml:space="preserve">  </w:t>
            </w:r>
          </w:p>
          <w:p w14:paraId="79DFB574" w14:textId="77777777" w:rsidR="00A1261B" w:rsidRPr="005A61A3" w:rsidRDefault="00A1261B" w:rsidP="009B06B7">
            <w:pPr>
              <w:spacing w:before="120" w:after="120"/>
              <w:ind w:left="131" w:right="132"/>
              <w:rPr>
                <w:rFonts w:ascii="Lato" w:hAnsi="Lato" w:cs="Calibri"/>
                <w:color w:val="auto"/>
                <w:sz w:val="18"/>
                <w:szCs w:val="18"/>
              </w:rPr>
            </w:pPr>
            <w:r w:rsidRPr="005A61A3">
              <w:rPr>
                <w:rFonts w:ascii="Lato" w:hAnsi="Lato" w:cs="Calibri"/>
                <w:color w:val="auto"/>
                <w:sz w:val="18"/>
                <w:szCs w:val="18"/>
              </w:rPr>
              <w:t xml:space="preserve">Co do zasady słusznie zauważono w uzasadnieniu projektu, że pomimo iż przepis ten wszedł w życie w 2003 r., to jednak do dziś nie jest faktycznie realizowany, gdyż ZSIN (Zintegrowany System Informacji o Nieruchomościach) nie zapewnia bezpośredniego dostępu do baz danych starosty. W ocenie projektodawców, aby realizacja ww. przepisu była skuteczna, „konieczne jest zapewnienie </w:t>
            </w:r>
            <w:r w:rsidRPr="005A61A3">
              <w:rPr>
                <w:rFonts w:ascii="Lato" w:hAnsi="Lato" w:cs="Calibri"/>
                <w:color w:val="auto"/>
                <w:sz w:val="18"/>
                <w:szCs w:val="18"/>
              </w:rPr>
              <w:lastRenderedPageBreak/>
              <w:t xml:space="preserve">spójności danych pomiędzy katastrem nieruchomości, a księgami wieczystymi w taki sposób, aby dane były aktualne i jednolite w skali kraju. Dostęp Głównego Geodety Kraju do bazy ewidencji gruntów i budynków umożliwi efektywne wsparcie w realizacji tych zadań i ograniczy przypadki rozbieżności w oznaczeniach nieruchomości”. </w:t>
            </w:r>
          </w:p>
          <w:p w14:paraId="5B5D5FA5" w14:textId="77777777" w:rsidR="00A1261B" w:rsidRPr="005A61A3" w:rsidRDefault="00A1261B" w:rsidP="009B06B7">
            <w:pPr>
              <w:spacing w:before="120" w:after="120"/>
              <w:ind w:left="131" w:right="132"/>
              <w:rPr>
                <w:rFonts w:ascii="Lato" w:hAnsi="Lato" w:cs="Calibri"/>
                <w:color w:val="auto"/>
                <w:sz w:val="18"/>
                <w:szCs w:val="18"/>
              </w:rPr>
            </w:pPr>
            <w:r w:rsidRPr="005A61A3">
              <w:rPr>
                <w:rFonts w:ascii="Lato" w:hAnsi="Lato" w:cs="Calibri"/>
                <w:color w:val="auto"/>
                <w:sz w:val="18"/>
                <w:szCs w:val="18"/>
              </w:rPr>
              <w:t>W świetle zaproponowanych zmian nasuwają się dwie wątpliwości. Mianowicie,  czy poprzez pojęcie „</w:t>
            </w:r>
            <w:r w:rsidRPr="005A61A3">
              <w:rPr>
                <w:rFonts w:ascii="Lato" w:hAnsi="Lato" w:cs="Calibri"/>
                <w:color w:val="auto"/>
                <w:sz w:val="18"/>
                <w:szCs w:val="18"/>
                <w:shd w:val="clear" w:color="auto" w:fill="FFFFFF"/>
              </w:rPr>
              <w:t xml:space="preserve">organu prowadzącego kataster nieruchomości”, którym posłużono się  w art. 27 ust. 4 ustawy o księgach wieczystych i hipotece, należy rozumieć </w:t>
            </w:r>
            <w:r w:rsidRPr="005A61A3">
              <w:rPr>
                <w:rFonts w:ascii="Lato" w:hAnsi="Lato" w:cs="Calibri"/>
                <w:color w:val="auto"/>
                <w:sz w:val="18"/>
                <w:szCs w:val="18"/>
              </w:rPr>
              <w:t xml:space="preserve">Głównego Geodetę Kraju, który w świetle nowych przepisów zapewni sądom prowadzącym księgi wieczyste bezpośredni dostęp do bazy danych ewidencji gruntów i budynków, o którym mowa w art. 27 ust. 4 ustawy o księgach wieczystych i hipotece. </w:t>
            </w:r>
          </w:p>
          <w:p w14:paraId="282B1881" w14:textId="77777777" w:rsidR="00A1261B" w:rsidRPr="005A61A3" w:rsidRDefault="00A1261B" w:rsidP="009B06B7">
            <w:pPr>
              <w:spacing w:before="120" w:after="120"/>
              <w:ind w:left="131" w:right="132"/>
              <w:rPr>
                <w:rFonts w:ascii="Lato" w:eastAsia="Times New Roman" w:hAnsi="Lato" w:cs="Calibri"/>
                <w:color w:val="auto"/>
                <w:sz w:val="18"/>
                <w:szCs w:val="18"/>
              </w:rPr>
            </w:pPr>
            <w:r w:rsidRPr="005A61A3">
              <w:rPr>
                <w:rFonts w:ascii="Lato" w:hAnsi="Lato" w:cs="Calibri"/>
                <w:color w:val="auto"/>
                <w:sz w:val="18"/>
                <w:szCs w:val="18"/>
              </w:rPr>
              <w:t>Czy może jednak, przez pojęcie „</w:t>
            </w:r>
            <w:r w:rsidRPr="005A61A3">
              <w:rPr>
                <w:rFonts w:ascii="Lato" w:hAnsi="Lato" w:cs="Calibri"/>
                <w:color w:val="auto"/>
                <w:sz w:val="18"/>
                <w:szCs w:val="18"/>
                <w:shd w:val="clear" w:color="auto" w:fill="FFFFFF"/>
              </w:rPr>
              <w:t xml:space="preserve">organu prowadzącego kataster nieruchomości”, należy rozumieć wyłącznie starostę, do którego zadań - zgodnie z art. 7 d pkt 1) a) ustawy Prawo geodezyjne o kartograficzne- </w:t>
            </w:r>
            <w:r w:rsidRPr="005A61A3">
              <w:rPr>
                <w:rFonts w:ascii="Lato" w:hAnsi="Lato" w:cs="Calibri"/>
                <w:color w:val="auto"/>
                <w:sz w:val="18"/>
                <w:szCs w:val="18"/>
                <w:u w:val="single"/>
                <w:shd w:val="clear" w:color="auto" w:fill="FFFFFF"/>
              </w:rPr>
              <w:t>należy m.in. prowadzenie</w:t>
            </w:r>
            <w:r w:rsidRPr="005A61A3">
              <w:rPr>
                <w:rFonts w:ascii="Lato" w:eastAsia="Times New Roman" w:hAnsi="Lato" w:cs="Calibri"/>
                <w:color w:val="auto"/>
                <w:sz w:val="18"/>
                <w:szCs w:val="18"/>
                <w:u w:val="single"/>
              </w:rPr>
              <w:t xml:space="preserve"> powiatowego zasobu geodezyjnego i kartograficznego</w:t>
            </w:r>
            <w:r w:rsidRPr="005A61A3">
              <w:rPr>
                <w:rFonts w:ascii="Lato" w:eastAsia="Times New Roman" w:hAnsi="Lato" w:cs="Calibri"/>
                <w:color w:val="auto"/>
                <w:sz w:val="18"/>
                <w:szCs w:val="18"/>
              </w:rPr>
              <w:t>, w tym prowadzenie dla obszaru powiatu:</w:t>
            </w:r>
            <w:r w:rsidRPr="005A61A3">
              <w:rPr>
                <w:rFonts w:ascii="Lato" w:hAnsi="Lato" w:cs="Calibri"/>
                <w:color w:val="auto"/>
                <w:sz w:val="18"/>
                <w:szCs w:val="18"/>
              </w:rPr>
              <w:t xml:space="preserve"> </w:t>
            </w:r>
            <w:r w:rsidRPr="005A61A3">
              <w:rPr>
                <w:rFonts w:ascii="Lato" w:eastAsia="Times New Roman" w:hAnsi="Lato" w:cs="Calibri"/>
                <w:color w:val="auto"/>
                <w:sz w:val="18"/>
                <w:szCs w:val="18"/>
              </w:rPr>
              <w:t>ewidencji gruntów i budynków, w tym bazy danych,  o której mowa w art. 4 ust. 1a pkt 2.</w:t>
            </w:r>
          </w:p>
          <w:p w14:paraId="7F069B63" w14:textId="77777777" w:rsidR="00A1261B" w:rsidRPr="005A61A3" w:rsidRDefault="00A1261B" w:rsidP="009B06B7">
            <w:pPr>
              <w:spacing w:before="120" w:after="120"/>
              <w:ind w:left="131" w:right="132"/>
              <w:rPr>
                <w:rFonts w:ascii="Lato" w:eastAsia="Times New Roman" w:hAnsi="Lato" w:cs="Calibri"/>
                <w:bCs/>
                <w:color w:val="auto"/>
                <w:sz w:val="18"/>
                <w:szCs w:val="18"/>
              </w:rPr>
            </w:pPr>
            <w:r w:rsidRPr="005A61A3">
              <w:rPr>
                <w:rFonts w:ascii="Lato" w:eastAsia="Times New Roman" w:hAnsi="Lato" w:cs="Calibri"/>
                <w:color w:val="auto"/>
                <w:sz w:val="18"/>
                <w:szCs w:val="18"/>
              </w:rPr>
              <w:t xml:space="preserve">Zwrócić także należy uwagę, że zgodnie z projektowanym art. 7d pkt 1a, </w:t>
            </w:r>
            <w:r w:rsidRPr="005A61A3">
              <w:rPr>
                <w:rFonts w:ascii="Lato" w:hAnsi="Lato" w:cs="Calibri"/>
                <w:color w:val="auto"/>
                <w:sz w:val="18"/>
                <w:szCs w:val="18"/>
                <w:shd w:val="clear" w:color="auto" w:fill="FFFFFF"/>
              </w:rPr>
              <w:t xml:space="preserve">do zadań starosty należeć będzie w szczególności </w:t>
            </w:r>
            <w:r w:rsidRPr="005A61A3">
              <w:rPr>
                <w:rFonts w:ascii="Lato" w:eastAsia="Times New Roman" w:hAnsi="Lato" w:cs="Calibri"/>
                <w:bCs/>
                <w:color w:val="auto"/>
                <w:sz w:val="18"/>
                <w:szCs w:val="18"/>
                <w:u w:val="single"/>
              </w:rPr>
              <w:t>zapewnienie Głównemu Geodecie Kraju bezpośredniego dostępu do baz danych</w:t>
            </w:r>
            <w:r w:rsidRPr="005A61A3">
              <w:rPr>
                <w:rFonts w:ascii="Lato" w:eastAsia="Times New Roman" w:hAnsi="Lato" w:cs="Calibri"/>
                <w:bCs/>
                <w:color w:val="auto"/>
                <w:sz w:val="18"/>
                <w:szCs w:val="18"/>
              </w:rPr>
              <w:t xml:space="preserve">, o których mowa w art. 4 ust. 1a pkt 2, 3, 7, 10 i 12. Tym samym do zadań </w:t>
            </w:r>
            <w:r w:rsidRPr="005A61A3">
              <w:rPr>
                <w:rFonts w:ascii="Lato" w:hAnsi="Lato" w:cs="Calibri"/>
                <w:color w:val="auto"/>
                <w:sz w:val="18"/>
                <w:szCs w:val="18"/>
                <w:shd w:val="clear" w:color="auto" w:fill="FFFFFF"/>
              </w:rPr>
              <w:t xml:space="preserve">starosty należeć będzie </w:t>
            </w:r>
            <w:r w:rsidRPr="005A61A3">
              <w:rPr>
                <w:rFonts w:ascii="Lato" w:eastAsia="Times New Roman" w:hAnsi="Lato" w:cs="Calibri"/>
                <w:bCs/>
                <w:color w:val="auto"/>
                <w:sz w:val="18"/>
                <w:szCs w:val="18"/>
              </w:rPr>
              <w:t xml:space="preserve">zapewnienie Głównemu Geodecie Kraju bezpośredniego dostępu do bazy danych ewidencji gruntów i budynków (katastru nieruchomości) – art. 4 ust. 1 pkt 2. Wydaje się zatem, że w dalszym ciągu to starosta będzie prowadził </w:t>
            </w:r>
            <w:r w:rsidRPr="005A61A3">
              <w:rPr>
                <w:rFonts w:ascii="Lato" w:hAnsi="Lato" w:cs="Calibri"/>
                <w:color w:val="auto"/>
                <w:sz w:val="18"/>
                <w:szCs w:val="18"/>
                <w:shd w:val="clear" w:color="auto" w:fill="FFFFFF"/>
              </w:rPr>
              <w:t xml:space="preserve">kataster nieruchomości (ewidencję gruntów i budynków). Natomiast Główny Geodeta Kraju będzie miał dostęp do bazy danych tego rejestru i będzie jednocześnie zobowiązany do </w:t>
            </w:r>
            <w:r w:rsidRPr="005A61A3">
              <w:rPr>
                <w:rFonts w:ascii="Lato" w:hAnsi="Lato" w:cs="Calibri"/>
                <w:color w:val="auto"/>
                <w:sz w:val="18"/>
                <w:szCs w:val="18"/>
              </w:rPr>
              <w:t>zapewnienia sądom prowadzącym księgi wieczyste bezpośredniego dostępu do bazy danych ewidencji gruntów i budynków.</w:t>
            </w:r>
          </w:p>
          <w:p w14:paraId="09F35EEA" w14:textId="055D9841" w:rsidR="00A1261B" w:rsidRPr="005A61A3" w:rsidRDefault="00A1261B" w:rsidP="009B06B7">
            <w:pPr>
              <w:spacing w:before="120" w:after="120"/>
              <w:ind w:left="131" w:right="132"/>
              <w:rPr>
                <w:rFonts w:ascii="Lato" w:hAnsi="Lato"/>
                <w:sz w:val="18"/>
                <w:szCs w:val="18"/>
              </w:rPr>
            </w:pPr>
            <w:r w:rsidRPr="005A61A3">
              <w:rPr>
                <w:rFonts w:ascii="Lato" w:eastAsia="Times New Roman" w:hAnsi="Lato" w:cs="Calibri"/>
                <w:b/>
                <w:color w:val="auto"/>
                <w:sz w:val="18"/>
                <w:szCs w:val="18"/>
                <w:u w:val="single"/>
              </w:rPr>
              <w:t xml:space="preserve">Nasuwa się zatem wątpliwość, czy w związku z tym, że </w:t>
            </w:r>
            <w:r w:rsidRPr="005A61A3">
              <w:rPr>
                <w:rFonts w:ascii="Lato" w:hAnsi="Lato" w:cs="Calibri"/>
                <w:b/>
                <w:color w:val="auto"/>
                <w:sz w:val="18"/>
                <w:szCs w:val="18"/>
                <w:u w:val="single"/>
              </w:rPr>
              <w:t xml:space="preserve">po wejściu w życie ww. projektu, do zadań Głównego Geodety Kraju będzie zapewnienie sądom </w:t>
            </w:r>
            <w:r w:rsidRPr="005A61A3">
              <w:rPr>
                <w:rFonts w:ascii="Lato" w:hAnsi="Lato" w:cs="Calibri"/>
                <w:b/>
                <w:color w:val="auto"/>
                <w:sz w:val="18"/>
                <w:szCs w:val="18"/>
                <w:u w:val="single"/>
              </w:rPr>
              <w:lastRenderedPageBreak/>
              <w:t>prowadzącym księgi wieczyste bezpośredniego dostępu do bazy danych ewidencji gruntów i budynków</w:t>
            </w:r>
            <w:r w:rsidRPr="005A61A3">
              <w:rPr>
                <w:rFonts w:ascii="Lato" w:eastAsia="Times New Roman" w:hAnsi="Lato" w:cs="Calibri"/>
                <w:b/>
                <w:color w:val="auto"/>
                <w:sz w:val="18"/>
                <w:szCs w:val="18"/>
                <w:u w:val="single"/>
              </w:rPr>
              <w:t xml:space="preserve">, zmianie nie powinien ulec także przepis </w:t>
            </w:r>
            <w:r w:rsidRPr="005A61A3">
              <w:rPr>
                <w:rFonts w:ascii="Lato" w:hAnsi="Lato" w:cs="Calibri"/>
                <w:b/>
                <w:color w:val="auto"/>
                <w:sz w:val="18"/>
                <w:szCs w:val="18"/>
                <w:u w:val="single"/>
              </w:rPr>
              <w:t xml:space="preserve">art. 27 ust. 4 ustawy o księgach wieczystych i hipotece, poprzez wskazanie w nim, że to Główny Geodeta Kraju </w:t>
            </w:r>
            <w:r w:rsidRPr="005A61A3">
              <w:rPr>
                <w:rFonts w:ascii="Lato" w:hAnsi="Lato" w:cs="Calibri"/>
                <w:b/>
                <w:color w:val="auto"/>
                <w:sz w:val="18"/>
                <w:szCs w:val="18"/>
                <w:u w:val="single"/>
                <w:shd w:val="clear" w:color="auto" w:fill="FFFFFF"/>
              </w:rPr>
              <w:t>zapewni nieodpłatnie sądom prowadzącym księgi wieczyste, w celu sprawdzenia oznaczenia nieruchomości, bezpośredni dostęp do bazy danych katastru nieruchomości  poprzez zintegrowany system informacji o nieruchomościach.</w:t>
            </w:r>
            <w:r w:rsidRPr="005A61A3">
              <w:rPr>
                <w:rFonts w:ascii="Lato" w:hAnsi="Lato" w:cs="Calibri"/>
                <w:b/>
                <w:color w:val="auto"/>
                <w:sz w:val="18"/>
                <w:szCs w:val="18"/>
                <w:u w:val="single"/>
              </w:rPr>
              <w:t xml:space="preserve"> Obecnie przepis ten nakłada ww. obowiązek na </w:t>
            </w:r>
            <w:r w:rsidRPr="005A61A3">
              <w:rPr>
                <w:rFonts w:ascii="Lato" w:hAnsi="Lato" w:cs="Calibri"/>
                <w:b/>
                <w:color w:val="auto"/>
                <w:sz w:val="18"/>
                <w:szCs w:val="18"/>
                <w:u w:val="single"/>
                <w:shd w:val="clear" w:color="auto" w:fill="FFFFFF"/>
              </w:rPr>
              <w:t xml:space="preserve">organ prowadzący kataster nieruchomości, co może sugerować, że zobowiązanym do jego realizacji nie jest Główny Geodeta Kraju a starosta bądź  prezydent miasta na prawach powiatu.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71DCEE0" w14:textId="77777777" w:rsidR="00A1261B" w:rsidRPr="005A61A3" w:rsidRDefault="00A1261B" w:rsidP="009B06B7">
            <w:pPr>
              <w:pStyle w:val="Inne0"/>
              <w:shd w:val="clear" w:color="auto" w:fill="auto"/>
              <w:spacing w:before="120" w:after="120"/>
              <w:ind w:left="127" w:right="134"/>
              <w:rPr>
                <w:rFonts w:ascii="Lato" w:eastAsia="Arial" w:hAnsi="Lato" w:cs="Calibri"/>
                <w:b/>
                <w:bCs/>
                <w:color w:val="auto"/>
                <w:sz w:val="18"/>
                <w:szCs w:val="18"/>
              </w:rPr>
            </w:pPr>
            <w:r w:rsidRPr="005A61A3">
              <w:rPr>
                <w:rFonts w:ascii="Lato" w:eastAsia="Arial" w:hAnsi="Lato" w:cs="Calibri"/>
                <w:b/>
                <w:bCs/>
                <w:color w:val="auto"/>
                <w:sz w:val="18"/>
                <w:szCs w:val="18"/>
              </w:rPr>
              <w:lastRenderedPageBreak/>
              <w:t xml:space="preserve">W kontekście potrzeby ewentualnej zmiany tego przepisu należy wziąć pod uwagę wzajemną relację projektowanego art. 7a ust. 1 pkt 5a do art. 27 ust. 4 ustawy o księgach wieczystych i hipotece. </w:t>
            </w:r>
            <w:r w:rsidRPr="005A61A3">
              <w:rPr>
                <w:rFonts w:ascii="Lato" w:eastAsia="Arial" w:hAnsi="Lato" w:cs="Calibri"/>
                <w:color w:val="auto"/>
                <w:sz w:val="18"/>
                <w:szCs w:val="18"/>
              </w:rPr>
              <w:t>Konieczne jest zatem uzupełnienie o wyjaśnienie bądź też odpowiednią zmianę przepisów przez wnioskodawcę.</w:t>
            </w:r>
          </w:p>
          <w:p w14:paraId="588CFDF7" w14:textId="77777777" w:rsidR="00A1261B" w:rsidRPr="005A61A3" w:rsidRDefault="00A1261B" w:rsidP="009B06B7">
            <w:pPr>
              <w:pStyle w:val="Inne0"/>
              <w:shd w:val="clear" w:color="auto" w:fill="auto"/>
              <w:spacing w:before="120" w:after="120"/>
              <w:ind w:left="127" w:right="134"/>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85008C4"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sidRPr="00941613">
              <w:rPr>
                <w:rFonts w:ascii="Lato" w:eastAsia="Arial" w:hAnsi="Lato" w:cs="Arial"/>
                <w:sz w:val="18"/>
                <w:szCs w:val="18"/>
              </w:rPr>
              <w:t>Uwaga została uwzględniona</w:t>
            </w:r>
            <w:r>
              <w:rPr>
                <w:rFonts w:ascii="Lato" w:eastAsia="Arial" w:hAnsi="Lato" w:cs="Arial"/>
                <w:sz w:val="18"/>
                <w:szCs w:val="18"/>
              </w:rPr>
              <w:t>.</w:t>
            </w:r>
          </w:p>
          <w:p w14:paraId="7B516876" w14:textId="2DA65C9B"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Dokonano zmiany brzmienia projektowanego art. 7a ust. 1 pkt 5a lit. b ustawy </w:t>
            </w:r>
            <w:proofErr w:type="spellStart"/>
            <w:r w:rsidR="00D74456">
              <w:rPr>
                <w:rFonts w:ascii="Lato" w:eastAsia="Arial" w:hAnsi="Lato" w:cs="Arial"/>
                <w:sz w:val="18"/>
                <w:szCs w:val="18"/>
              </w:rPr>
              <w:t>PGiK</w:t>
            </w:r>
            <w:proofErr w:type="spellEnd"/>
            <w:r>
              <w:rPr>
                <w:rFonts w:ascii="Lato" w:eastAsia="Arial" w:hAnsi="Lato" w:cs="Arial"/>
                <w:sz w:val="18"/>
                <w:szCs w:val="18"/>
              </w:rPr>
              <w:t>.</w:t>
            </w:r>
          </w:p>
          <w:p w14:paraId="439DBFCE" w14:textId="5BB540B8"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941613">
              <w:rPr>
                <w:rFonts w:ascii="Lato" w:eastAsia="Arial" w:hAnsi="Lato" w:cs="Arial"/>
                <w:sz w:val="18"/>
                <w:szCs w:val="18"/>
              </w:rPr>
              <w:t xml:space="preserve">Planuje się, ze dostęp do danych </w:t>
            </w:r>
            <w:r>
              <w:rPr>
                <w:rFonts w:ascii="Lato" w:eastAsia="Arial" w:hAnsi="Lato" w:cs="Arial"/>
                <w:sz w:val="18"/>
                <w:szCs w:val="18"/>
              </w:rPr>
              <w:t>ewidencji gruntów i budynków</w:t>
            </w:r>
            <w:r w:rsidRPr="00941613">
              <w:rPr>
                <w:rFonts w:ascii="Lato" w:eastAsia="Arial" w:hAnsi="Lato" w:cs="Arial"/>
                <w:sz w:val="18"/>
                <w:szCs w:val="18"/>
              </w:rPr>
              <w:t xml:space="preserve"> dla s</w:t>
            </w:r>
            <w:r>
              <w:rPr>
                <w:rFonts w:ascii="Lato" w:eastAsia="Arial" w:hAnsi="Lato" w:cs="Arial"/>
                <w:sz w:val="18"/>
                <w:szCs w:val="18"/>
              </w:rPr>
              <w:t>ą</w:t>
            </w:r>
            <w:r w:rsidRPr="00941613">
              <w:rPr>
                <w:rFonts w:ascii="Lato" w:eastAsia="Arial" w:hAnsi="Lato" w:cs="Arial"/>
                <w:sz w:val="18"/>
                <w:szCs w:val="18"/>
              </w:rPr>
              <w:t xml:space="preserve">dów prowadzących księgi wieczyste nadal będzie realizowany z wykorzystaniem ZSIN. </w:t>
            </w:r>
          </w:p>
        </w:tc>
      </w:tr>
      <w:tr w:rsidR="00A1261B" w:rsidRPr="0037774A" w14:paraId="0DBE3846"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ECC712A"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41E2BA8" w14:textId="1D59B7F5"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66E134CB" w14:textId="77777777" w:rsidR="00A1261B" w:rsidRPr="005A61A3" w:rsidRDefault="00A1261B" w:rsidP="009B06B7">
            <w:pPr>
              <w:pStyle w:val="Inne0"/>
              <w:spacing w:before="120" w:after="120"/>
              <w:ind w:left="131" w:right="132"/>
              <w:rPr>
                <w:rFonts w:ascii="Lato" w:eastAsia="Arial" w:hAnsi="Lato" w:cs="Calibri"/>
                <w:color w:val="auto"/>
                <w:sz w:val="18"/>
                <w:szCs w:val="18"/>
              </w:rPr>
            </w:pPr>
            <w:r w:rsidRPr="005A61A3">
              <w:rPr>
                <w:rFonts w:ascii="Lato" w:eastAsia="Arial" w:hAnsi="Lato" w:cs="Calibri"/>
                <w:b/>
                <w:bCs/>
                <w:color w:val="auto"/>
                <w:sz w:val="18"/>
                <w:szCs w:val="18"/>
              </w:rPr>
              <w:t>Zasadne byłoby uszczegółowienie zapisów w art. 1 pkt 14 i pkt 16 lit. c)</w:t>
            </w:r>
            <w:r w:rsidRPr="005A61A3">
              <w:rPr>
                <w:rFonts w:ascii="Lato" w:eastAsia="Arial" w:hAnsi="Lato" w:cs="Calibri"/>
                <w:color w:val="auto"/>
                <w:sz w:val="18"/>
                <w:szCs w:val="18"/>
              </w:rPr>
              <w:t xml:space="preserve"> projektu ustawy stanowiących o brzmieniu art. 11 ust. 4  oraz art. 12b ust. 5a ustawy z dnia 17 maja 1989 r. –</w:t>
            </w:r>
            <w:r w:rsidRPr="005A61A3">
              <w:rPr>
                <w:rFonts w:ascii="Lato" w:eastAsia="Arial" w:hAnsi="Lato" w:cs="Calibri"/>
                <w:b/>
                <w:bCs/>
                <w:color w:val="auto"/>
                <w:sz w:val="18"/>
                <w:szCs w:val="18"/>
              </w:rPr>
              <w:t xml:space="preserve"> </w:t>
            </w:r>
            <w:r w:rsidRPr="005A61A3">
              <w:rPr>
                <w:rFonts w:ascii="Lato" w:eastAsia="Arial" w:hAnsi="Lato" w:cs="Calibri"/>
                <w:color w:val="auto"/>
                <w:sz w:val="18"/>
                <w:szCs w:val="18"/>
              </w:rPr>
              <w:t xml:space="preserve">Prawo geodezyjne i kartograficzne, w zakresie treści klauzul składających oświadczenia, poprzez uzupełnienie, że odpowiedzialność karna za złożenie fałszywego oświadczenia wynika z art. 233 § 6 ustawy z dnia 6 czerwca 1997 r. – Kodeks karny. Proponowana zmiana nie budziłaby wątpliwości interpretacyjnych co do zakresu stosowanych przepisów w przypadku złożenia nieprawdziwego oświadczenia.  </w:t>
            </w:r>
          </w:p>
          <w:p w14:paraId="68B34010" w14:textId="77777777" w:rsidR="00A1261B" w:rsidRPr="005A61A3" w:rsidRDefault="00A1261B" w:rsidP="009B06B7">
            <w:pPr>
              <w:spacing w:before="120" w:after="120"/>
              <w:ind w:left="131" w:right="132"/>
              <w:rPr>
                <w:rFonts w:ascii="Lato" w:eastAsia="Arial" w:hAnsi="Lato" w:cs="Calibri"/>
                <w:color w:val="auto"/>
                <w:sz w:val="18"/>
                <w:szCs w:val="18"/>
              </w:rPr>
            </w:pPr>
          </w:p>
          <w:p w14:paraId="347D85E0" w14:textId="3FAD8A5E" w:rsidR="00A1261B" w:rsidRPr="005A61A3" w:rsidRDefault="00A1261B" w:rsidP="009B06B7">
            <w:pPr>
              <w:pStyle w:val="Teksttreci0"/>
              <w:shd w:val="clear" w:color="auto" w:fill="auto"/>
              <w:tabs>
                <w:tab w:val="left" w:pos="319"/>
              </w:tabs>
              <w:spacing w:before="120" w:after="120"/>
              <w:ind w:left="131" w:right="132"/>
              <w:rPr>
                <w:rFonts w:ascii="Lato" w:hAnsi="Lato"/>
                <w:sz w:val="18"/>
                <w:szCs w:val="18"/>
              </w:rPr>
            </w:pPr>
            <w:r w:rsidRPr="005A61A3">
              <w:rPr>
                <w:rFonts w:ascii="Lato" w:eastAsia="Arial" w:hAnsi="Lato" w:cs="Calibri"/>
                <w:color w:val="auto"/>
                <w:sz w:val="18"/>
                <w:szCs w:val="18"/>
              </w:rPr>
              <w:t>Omyłki pisarskie w oznaczeniu ustępów art. 11 ustawy z dnia 17 maja 1989 r. – Prawo geodezyjne i kartograficzne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FA208D8" w14:textId="77777777" w:rsidR="00A1261B" w:rsidRPr="005A61A3" w:rsidRDefault="00A1261B" w:rsidP="009B06B7">
            <w:pPr>
              <w:pStyle w:val="Inne0"/>
              <w:shd w:val="clear" w:color="auto" w:fill="auto"/>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Art. 11 otrzymuje brzmienie:</w:t>
            </w:r>
          </w:p>
          <w:p w14:paraId="063A385D" w14:textId="77777777" w:rsidR="00A1261B" w:rsidRPr="005A61A3" w:rsidRDefault="00A1261B" w:rsidP="009B06B7">
            <w:pPr>
              <w:pStyle w:val="Inne0"/>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4. W przypadku prac geodezyjnych lub prac kartograficznych wykonanych w związku z realizacją zamówienia publicznego przez organy Służby Geodezyjnej i Kartograficznej, a także przez podmioty działające z upoważnienia tych organów, wykonawca prac geodezyjnych lub prac kartograficznych dołącza do umowy oświadczenie o treści:</w:t>
            </w:r>
          </w:p>
          <w:p w14:paraId="0290FEDD" w14:textId="77777777" w:rsidR="00A1261B" w:rsidRPr="005A61A3" w:rsidRDefault="00A1261B" w:rsidP="009B06B7">
            <w:pPr>
              <w:pStyle w:val="Inne0"/>
              <w:shd w:val="clear" w:color="auto" w:fill="auto"/>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„Świadoma/świadomy odpowiedzialności karnej za składanie fałszywego oświadczenia wynikającej z art. 233 § 6 ustawy z dnia 6 czerwca 1997 r. – Kodeks karny, oświadczam, że jestem wykonawcą prac geodezyjnych lub prac kartograficznych wykonanych w związku z realizacją zamówienia publicznego (nazwa zamówienia), ustanowionym przez: (nazwa podmiotu), z którym pozostaję w stosunku pracy lub umowy cywilnoprawnej.”.</w:t>
            </w:r>
          </w:p>
          <w:p w14:paraId="0F8E04CF" w14:textId="77777777" w:rsidR="00A1261B" w:rsidRPr="005A61A3" w:rsidRDefault="00A1261B" w:rsidP="009B06B7">
            <w:pPr>
              <w:pStyle w:val="Inne0"/>
              <w:shd w:val="clear" w:color="auto" w:fill="auto"/>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5. Klauzula zawarta w oświadczeniu, o którym mowa w ust. 4, zastępuje pouczenie organu o odpowiedzialności karnej za składanie fałszywych oświadczeń.”;</w:t>
            </w:r>
          </w:p>
          <w:p w14:paraId="01D69CA6" w14:textId="77777777" w:rsidR="00A1261B" w:rsidRPr="005A61A3" w:rsidRDefault="00A1261B" w:rsidP="009B06B7">
            <w:pPr>
              <w:pStyle w:val="Inne0"/>
              <w:shd w:val="clear" w:color="auto" w:fill="auto"/>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 xml:space="preserve">W art. 12b ust. </w:t>
            </w:r>
          </w:p>
          <w:p w14:paraId="21443F68" w14:textId="77777777" w:rsidR="00A1261B" w:rsidRPr="005A61A3" w:rsidRDefault="00A1261B" w:rsidP="009B06B7">
            <w:pPr>
              <w:pStyle w:val="Inne0"/>
              <w:shd w:val="clear" w:color="auto" w:fill="auto"/>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5a i 5b otrzymują brzmienie:</w:t>
            </w:r>
          </w:p>
          <w:p w14:paraId="52414DFA" w14:textId="77777777" w:rsidR="00A1261B" w:rsidRPr="005A61A3" w:rsidRDefault="00A1261B" w:rsidP="009B06B7">
            <w:pPr>
              <w:pStyle w:val="Inne0"/>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 xml:space="preserve">„5a. Wykonawca prac geodezyjnych, o których mowa w art. 12 ust. 1 pkt 3 lit. c oraz i po uzyskaniu informacji o pozytywnym wyniku </w:t>
            </w:r>
            <w:r w:rsidRPr="005A61A3">
              <w:rPr>
                <w:rFonts w:ascii="Lato" w:eastAsia="Arial" w:hAnsi="Lato" w:cs="Calibri"/>
                <w:color w:val="auto"/>
                <w:sz w:val="18"/>
                <w:szCs w:val="18"/>
              </w:rPr>
              <w:lastRenderedPageBreak/>
              <w:t>weryfikacji może umieścić na dokumentach przeznaczonych dla podmiotu, na rzecz którego wykonuje prace geodezyjne, powstałych w wyniku tych prac, oświadczenie o uzyskaniu pozytywnego wyniku weryfikacji o treści:</w:t>
            </w:r>
          </w:p>
          <w:p w14:paraId="2E594E75" w14:textId="77777777" w:rsidR="00A1261B" w:rsidRPr="005A61A3" w:rsidRDefault="00A1261B" w:rsidP="009B06B7">
            <w:pPr>
              <w:pStyle w:val="Inne0"/>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„Oświadczam, że niniejszy dokument został sporządzony w ramach pracy geodezyjnej zarejestrowanej w (nazwa właściwego starostwa lub urzędu miasta) pod numerem (identyfikator zgłoszenia prac geodezyjnych), której wyniki uzyskały pozytywny wynik weryfikacji. Pozytywny protokół weryfikacji numer (numer protokołu weryfikacji) wystawiono dnia (data protokołu weryfikacji). Niniejsze oświadczenie składam pod rygorem odpowiedzialności karnej za złożenie fałszywego oświadczenia wynikającej z art. 233 § 6 ustawy z dnia 6 czerwca 1997 r. – Kodeks karny”.</w:t>
            </w:r>
          </w:p>
          <w:p w14:paraId="3323A1CA" w14:textId="77777777" w:rsidR="00A1261B" w:rsidRPr="005A61A3" w:rsidRDefault="00A1261B" w:rsidP="009B06B7">
            <w:pPr>
              <w:pStyle w:val="Inne0"/>
              <w:shd w:val="clear" w:color="auto" w:fill="auto"/>
              <w:spacing w:before="120" w:after="120"/>
              <w:ind w:left="127" w:right="134"/>
              <w:rPr>
                <w:rFonts w:ascii="Lato" w:eastAsia="Arial" w:hAnsi="Lato" w:cs="Calibri"/>
                <w:color w:val="auto"/>
                <w:sz w:val="18"/>
                <w:szCs w:val="18"/>
              </w:rPr>
            </w:pPr>
            <w:r w:rsidRPr="005A61A3">
              <w:rPr>
                <w:rFonts w:ascii="Lato" w:eastAsia="Arial" w:hAnsi="Lato" w:cs="Calibri"/>
                <w:color w:val="auto"/>
                <w:sz w:val="18"/>
                <w:szCs w:val="18"/>
              </w:rPr>
              <w:t>5b. Oświadczenie, o którym mowa w ust. 5a, jest równoważne z klauzulą urzędową, o której mowa w art. 40 ust. 3g pkt 3 i składane jest pod rygorem odpowiedzialności karnej za składanie fałszywych oświadczeń. Klauzula zawarta w tym oświadczeniu zastępuje pouczenie organu o odpowiedzialności karnej za składanie fałszywych oświadczeń.”,</w:t>
            </w:r>
          </w:p>
          <w:p w14:paraId="7902A091" w14:textId="77777777" w:rsidR="00A1261B" w:rsidRPr="005A61A3" w:rsidRDefault="00A1261B" w:rsidP="009B06B7">
            <w:pPr>
              <w:pStyle w:val="Inne0"/>
              <w:shd w:val="clear" w:color="auto" w:fill="auto"/>
              <w:spacing w:before="120" w:after="120"/>
              <w:ind w:left="127" w:right="134"/>
              <w:rPr>
                <w:rFonts w:ascii="Lato" w:eastAsia="Arial" w:hAnsi="Lato" w:cs="Calibri"/>
                <w:color w:val="auto"/>
                <w:sz w:val="18"/>
                <w:szCs w:val="18"/>
              </w:rPr>
            </w:pPr>
          </w:p>
          <w:p w14:paraId="4E85C4E8" w14:textId="77777777" w:rsidR="00A1261B" w:rsidRPr="005A61A3" w:rsidRDefault="00A1261B" w:rsidP="009B06B7">
            <w:pPr>
              <w:pStyle w:val="Inne0"/>
              <w:shd w:val="clear" w:color="auto" w:fill="auto"/>
              <w:spacing w:before="120" w:after="120"/>
              <w:ind w:left="127" w:right="134"/>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0BAEA60" w14:textId="3C0A535C"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6A2BC5">
              <w:rPr>
                <w:rFonts w:ascii="Lato" w:eastAsia="Arial" w:hAnsi="Lato" w:cs="Arial"/>
                <w:sz w:val="18"/>
                <w:szCs w:val="18"/>
              </w:rPr>
              <w:lastRenderedPageBreak/>
              <w:t xml:space="preserve">Uwaga bezprzedmiotowa w związku z </w:t>
            </w:r>
            <w:r>
              <w:rPr>
                <w:rFonts w:ascii="Lato" w:eastAsia="Arial" w:hAnsi="Lato" w:cs="Arial"/>
                <w:sz w:val="18"/>
                <w:szCs w:val="18"/>
              </w:rPr>
              <w:t xml:space="preserve">modyfikacją przepisów dotyczących </w:t>
            </w:r>
            <w:r w:rsidRPr="006A2BC5">
              <w:rPr>
                <w:rFonts w:ascii="Lato" w:eastAsia="Arial" w:hAnsi="Lato" w:cs="Arial"/>
                <w:sz w:val="18"/>
                <w:szCs w:val="18"/>
              </w:rPr>
              <w:t>przedmiotowej regulacji.</w:t>
            </w:r>
          </w:p>
        </w:tc>
      </w:tr>
      <w:tr w:rsidR="00A1261B" w:rsidRPr="0037774A" w14:paraId="2321B408"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5818F46"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66252F5" w14:textId="15F2E435"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65157BBC" w14:textId="6B8BFC8C" w:rsidR="00A1261B" w:rsidRPr="005A61A3" w:rsidRDefault="00A1261B" w:rsidP="009B06B7">
            <w:pPr>
              <w:pStyle w:val="Teksttreci0"/>
              <w:shd w:val="clear" w:color="auto" w:fill="auto"/>
              <w:tabs>
                <w:tab w:val="left" w:pos="319"/>
              </w:tabs>
              <w:spacing w:before="120" w:after="120"/>
              <w:ind w:left="131" w:right="132"/>
              <w:rPr>
                <w:rFonts w:ascii="Lato" w:hAnsi="Lato"/>
                <w:sz w:val="18"/>
                <w:szCs w:val="18"/>
              </w:rPr>
            </w:pPr>
            <w:r w:rsidRPr="005A61A3">
              <w:rPr>
                <w:rFonts w:ascii="Lato" w:hAnsi="Lato" w:cs="Calibri"/>
                <w:b/>
                <w:bCs/>
                <w:color w:val="auto"/>
                <w:sz w:val="18"/>
                <w:szCs w:val="18"/>
                <w:u w:val="single"/>
                <w:lang w:bidi="ar-SA"/>
              </w:rPr>
              <w:t>Wątpliwości budzi art. 1 pkt 14</w:t>
            </w:r>
            <w:r w:rsidRPr="005A61A3">
              <w:rPr>
                <w:rFonts w:ascii="Lato" w:hAnsi="Lato" w:cs="Calibri"/>
                <w:color w:val="auto"/>
                <w:sz w:val="18"/>
                <w:szCs w:val="18"/>
                <w:lang w:bidi="ar-SA"/>
              </w:rPr>
              <w:t xml:space="preserve"> projektu ustawy, z uwagi na to, że projektowany art. 11 powinien mieć ust. 4 i ust. 5, a nie dwukrotnie ust. 4. Ponadto fraza: klauzula zawarta w oświadczeniu, o którym mowa w ust. 3, zastępuje pouczenie organu o odpowiedzialności karnej za składanie fałszywych oświadczeń powinna odnosić się do - prawidłowo ustalonego - ust. 4, a nie do ust. 3.</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438C95F" w14:textId="74647394" w:rsidR="00A1261B" w:rsidRPr="005A61A3" w:rsidRDefault="00A1261B" w:rsidP="009B06B7">
            <w:pPr>
              <w:pStyle w:val="Inne0"/>
              <w:shd w:val="clear" w:color="auto" w:fill="auto"/>
              <w:spacing w:before="120" w:after="120"/>
              <w:ind w:left="127" w:right="134"/>
              <w:rPr>
                <w:rFonts w:ascii="Lato" w:eastAsia="Arial" w:hAnsi="Lato" w:cs="Arial"/>
                <w:sz w:val="18"/>
                <w:szCs w:val="18"/>
              </w:rPr>
            </w:pPr>
            <w:r w:rsidRPr="005A61A3">
              <w:rPr>
                <w:rFonts w:ascii="Lato" w:eastAsia="Arial" w:hAnsi="Lato" w:cs="Calibri"/>
                <w:color w:val="auto"/>
                <w:sz w:val="18"/>
                <w:szCs w:val="18"/>
              </w:rPr>
              <w:t>Konieczność korekty.</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932B430" w14:textId="77777777" w:rsidR="00A1261B" w:rsidRDefault="00A1261B" w:rsidP="006A2BC5">
            <w:pPr>
              <w:pStyle w:val="Inne0"/>
              <w:spacing w:before="120" w:after="120"/>
              <w:ind w:left="131" w:right="138"/>
              <w:rPr>
                <w:rFonts w:ascii="Lato" w:eastAsia="Arial" w:hAnsi="Lato" w:cs="Arial"/>
                <w:sz w:val="18"/>
                <w:szCs w:val="18"/>
              </w:rPr>
            </w:pPr>
            <w:r w:rsidRPr="0059148B">
              <w:rPr>
                <w:rFonts w:ascii="Lato" w:eastAsia="Arial" w:hAnsi="Lato" w:cs="Arial"/>
                <w:sz w:val="18"/>
                <w:szCs w:val="18"/>
              </w:rPr>
              <w:t xml:space="preserve">Uwaga </w:t>
            </w:r>
            <w:r>
              <w:rPr>
                <w:rFonts w:ascii="Lato" w:eastAsia="Arial" w:hAnsi="Lato" w:cs="Arial"/>
                <w:sz w:val="18"/>
                <w:szCs w:val="18"/>
              </w:rPr>
              <w:t>bezprzedmiotowa w związku z odstąpieniem od wprowadzania przedmiotowej regulacji.</w:t>
            </w:r>
          </w:p>
          <w:p w14:paraId="26764AD6" w14:textId="732CCFF4"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r w:rsidR="00A1261B" w:rsidRPr="0037774A" w14:paraId="325282A2"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5F046AE6"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785EB25" w14:textId="2229938E"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4CA033F4" w14:textId="77777777" w:rsidR="00A1261B" w:rsidRPr="005A61A3" w:rsidRDefault="00A1261B" w:rsidP="009B06B7">
            <w:pPr>
              <w:spacing w:before="120" w:after="120"/>
              <w:ind w:left="131" w:right="132"/>
              <w:rPr>
                <w:rFonts w:ascii="Lato" w:eastAsia="Arial" w:hAnsi="Lato" w:cs="Calibri"/>
                <w:color w:val="auto"/>
                <w:sz w:val="18"/>
                <w:szCs w:val="18"/>
              </w:rPr>
            </w:pPr>
            <w:r w:rsidRPr="005A61A3">
              <w:rPr>
                <w:rFonts w:ascii="Lato" w:eastAsia="Arial" w:hAnsi="Lato" w:cs="Calibri"/>
                <w:b/>
                <w:bCs/>
                <w:color w:val="auto"/>
                <w:sz w:val="18"/>
                <w:szCs w:val="18"/>
                <w:u w:val="single"/>
              </w:rPr>
              <w:t>Dotyczy art. 1 pkt 25 lit. b</w:t>
            </w:r>
            <w:r w:rsidRPr="005A61A3">
              <w:rPr>
                <w:rFonts w:ascii="Lato" w:eastAsia="Arial" w:hAnsi="Lato" w:cs="Calibri"/>
                <w:b/>
                <w:bCs/>
                <w:color w:val="auto"/>
                <w:sz w:val="18"/>
                <w:szCs w:val="18"/>
              </w:rPr>
              <w:t xml:space="preserve">: w art. 24b po ust. 1 proponuje </w:t>
            </w:r>
            <w:r w:rsidRPr="005A61A3">
              <w:rPr>
                <w:rFonts w:ascii="Lato" w:eastAsia="Arial" w:hAnsi="Lato" w:cs="Calibri"/>
                <w:b/>
                <w:bCs/>
                <w:color w:val="auto"/>
                <w:sz w:val="18"/>
                <w:szCs w:val="18"/>
                <w:u w:val="single"/>
              </w:rPr>
              <w:t>się dodać ust. 1a</w:t>
            </w:r>
            <w:r w:rsidRPr="005A61A3">
              <w:rPr>
                <w:rFonts w:ascii="Lato" w:eastAsia="Arial" w:hAnsi="Lato" w:cs="Calibri"/>
                <w:color w:val="auto"/>
                <w:sz w:val="18"/>
                <w:szCs w:val="18"/>
              </w:rPr>
              <w:t xml:space="preserve">, zgodnie z którym: </w:t>
            </w:r>
            <w:r w:rsidRPr="005A61A3">
              <w:rPr>
                <w:rFonts w:ascii="Lato" w:eastAsia="Arial" w:hAnsi="Lato" w:cs="Calibri"/>
                <w:i/>
                <w:iCs/>
                <w:color w:val="auto"/>
                <w:sz w:val="18"/>
                <w:szCs w:val="18"/>
              </w:rPr>
              <w:t xml:space="preserve">„Zawiadomienie o zmianie danych dokonanej w ewidencji gruntów i budynków wraz z odpowiednimi załącznikami, przekazane za pomocą zintegrowanego systemu informacji o nieruchomościach w postaci dokumentów elektronicznych, stanowi podstawę wpisu </w:t>
            </w:r>
            <w:r w:rsidRPr="005A61A3">
              <w:rPr>
                <w:rFonts w:ascii="Lato" w:eastAsia="Arial" w:hAnsi="Lato" w:cs="Calibri"/>
                <w:i/>
                <w:iCs/>
                <w:color w:val="auto"/>
                <w:sz w:val="18"/>
                <w:szCs w:val="18"/>
              </w:rPr>
              <w:lastRenderedPageBreak/>
              <w:t>oznaczenia nieruchomości w księdze wieczystej”.</w:t>
            </w:r>
            <w:r w:rsidRPr="005A61A3">
              <w:rPr>
                <w:rFonts w:ascii="Lato" w:eastAsia="Arial" w:hAnsi="Lato" w:cs="Calibri"/>
                <w:color w:val="auto"/>
                <w:sz w:val="18"/>
                <w:szCs w:val="18"/>
              </w:rPr>
              <w:t xml:space="preserve"> </w:t>
            </w:r>
          </w:p>
          <w:p w14:paraId="38F600EA"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u w:val="single"/>
                <w:lang w:bidi="ar-SA"/>
              </w:rPr>
            </w:pPr>
            <w:r w:rsidRPr="005A61A3">
              <w:rPr>
                <w:rFonts w:ascii="Lato" w:hAnsi="Lato" w:cs="Calibri"/>
                <w:color w:val="auto"/>
                <w:sz w:val="18"/>
                <w:szCs w:val="18"/>
                <w:u w:val="single"/>
                <w:lang w:bidi="ar-SA"/>
              </w:rPr>
              <w:t xml:space="preserve">Omawiany projekt przepisu pozostaje w sprzeczności z aktualnie obowiązującymi przepisami art. 27 ust. 2 i 3 ustawy o księgach wieczystych i hipotece i nie znajduje akceptacji Ministerstwa Sprawiedliwości. </w:t>
            </w:r>
          </w:p>
          <w:p w14:paraId="508DF2B7"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u w:val="single"/>
                <w:lang w:bidi="ar-SA"/>
              </w:rPr>
            </w:pPr>
            <w:r w:rsidRPr="005A61A3">
              <w:rPr>
                <w:rFonts w:ascii="Lato" w:hAnsi="Lato" w:cs="Calibri"/>
                <w:color w:val="auto"/>
                <w:sz w:val="18"/>
                <w:szCs w:val="18"/>
                <w:u w:val="single"/>
                <w:lang w:bidi="ar-SA"/>
              </w:rPr>
              <w:t>Przede wszystkim omawiany przepis odwraca dotychczasową logikę postępowania. Zgodnie z obowiązującą treścią art. 27 ust. 2 ustawy o księgach wieczystych i hipotece zawiadomienie jednostki prowadzącej kataster nieruchomości stanowiło ustawową</w:t>
            </w:r>
          </w:p>
          <w:p w14:paraId="70A52AEC"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u w:val="single"/>
                <w:lang w:bidi="ar-SA"/>
              </w:rPr>
            </w:pPr>
            <w:r w:rsidRPr="005A61A3">
              <w:rPr>
                <w:rFonts w:ascii="Lato" w:hAnsi="Lato" w:cs="Calibri"/>
                <w:color w:val="auto"/>
                <w:sz w:val="18"/>
                <w:szCs w:val="18"/>
                <w:u w:val="single"/>
                <w:lang w:bidi="ar-SA"/>
              </w:rPr>
              <w:t>przesłankę wszczęcia postępowania z urzędu o zmianę oznaczenia nieruchomości w księdze wieczystej. Natomiast walor podstawy sprostowania oznaczenia nieruchomości</w:t>
            </w:r>
          </w:p>
          <w:p w14:paraId="0B6C94C7"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hAnsi="Lato" w:cs="Calibri"/>
                <w:color w:val="auto"/>
                <w:sz w:val="18"/>
                <w:szCs w:val="18"/>
                <w:u w:val="single"/>
                <w:lang w:bidi="ar-SA"/>
              </w:rPr>
              <w:t>przysługuje, w myśl art. 27 ust. 3 wypisowi z operatu katastralnego, wyrysowi z mapy katastralnej lub innemu dokumentowi.</w:t>
            </w:r>
            <w:r w:rsidRPr="005A61A3">
              <w:rPr>
                <w:rFonts w:ascii="Lato" w:hAnsi="Lato" w:cs="Calibri"/>
                <w:color w:val="auto"/>
                <w:sz w:val="18"/>
                <w:szCs w:val="18"/>
                <w:lang w:bidi="ar-SA"/>
              </w:rPr>
              <w:t xml:space="preserve"> </w:t>
            </w:r>
            <w:r w:rsidRPr="005A61A3">
              <w:rPr>
                <w:rFonts w:ascii="Lato" w:hAnsi="Lato" w:cs="Calibri"/>
                <w:b/>
                <w:bCs/>
                <w:color w:val="auto"/>
                <w:sz w:val="18"/>
                <w:szCs w:val="18"/>
                <w:u w:val="single"/>
                <w:lang w:bidi="ar-SA"/>
              </w:rPr>
              <w:t>Wskazanie samego zawiadomienia o zmianie danych dokonanej w ewidencji gruntów i budynków jako podstawy wpisu oznaczenia nieruchomości w księdze wieczystej nie znajduje uzasadnienia i jest sprzeczne z treścią przepisów regulujących tematykę podstaw wpisu w księgach wieczystych.</w:t>
            </w:r>
          </w:p>
          <w:p w14:paraId="5F943F47" w14:textId="77777777" w:rsidR="00A1261B" w:rsidRPr="005A61A3" w:rsidRDefault="00A1261B" w:rsidP="009B06B7">
            <w:pPr>
              <w:spacing w:before="120" w:after="120"/>
              <w:ind w:left="131" w:right="132"/>
              <w:rPr>
                <w:rFonts w:ascii="Lato" w:eastAsia="Arial" w:hAnsi="Lato" w:cs="Calibri"/>
                <w:color w:val="auto"/>
                <w:sz w:val="18"/>
                <w:szCs w:val="18"/>
              </w:rPr>
            </w:pPr>
            <w:r w:rsidRPr="005A61A3">
              <w:rPr>
                <w:rFonts w:ascii="Lato" w:eastAsia="Arial" w:hAnsi="Lato" w:cs="Calibri"/>
                <w:color w:val="auto"/>
                <w:sz w:val="18"/>
                <w:szCs w:val="18"/>
              </w:rPr>
              <w:t xml:space="preserve">Podstawą wpisu w księdze wieczystej może być wypis z operatu katastralnego, a gdy to jest niezbędne także </w:t>
            </w:r>
            <w:proofErr w:type="spellStart"/>
            <w:r w:rsidRPr="005A61A3">
              <w:rPr>
                <w:rFonts w:ascii="Lato" w:eastAsia="Arial" w:hAnsi="Lato" w:cs="Calibri"/>
                <w:color w:val="auto"/>
                <w:sz w:val="18"/>
                <w:szCs w:val="18"/>
              </w:rPr>
              <w:t>wyrys</w:t>
            </w:r>
            <w:proofErr w:type="spellEnd"/>
            <w:r w:rsidRPr="005A61A3">
              <w:rPr>
                <w:rFonts w:ascii="Lato" w:eastAsia="Arial" w:hAnsi="Lato" w:cs="Calibri"/>
                <w:color w:val="auto"/>
                <w:sz w:val="18"/>
                <w:szCs w:val="18"/>
              </w:rPr>
              <w:t xml:space="preserve"> z mapy katastralnej lub inny dokument stanowiący podstawę sprostowania oznaczenia nieruchomości. Dokumentem takim nie jest zawiadomienie o zmianie danych ewidencyjnych. Niezależnie od tego, sądy okręgowe działające jako sądy odwoławcze, nie mają dostępu do ZSIN, a zatem możliwości orzekania w oparciu o tak skonstruowaną podstawę.</w:t>
            </w:r>
          </w:p>
          <w:p w14:paraId="554C6E58" w14:textId="77777777" w:rsidR="00A1261B" w:rsidRPr="005A61A3" w:rsidRDefault="00A1261B" w:rsidP="009B06B7">
            <w:pPr>
              <w:spacing w:before="120" w:after="120"/>
              <w:ind w:left="131" w:right="132"/>
              <w:rPr>
                <w:rFonts w:ascii="Lato" w:eastAsia="Arial" w:hAnsi="Lato" w:cs="Calibri"/>
                <w:color w:val="auto"/>
                <w:sz w:val="18"/>
                <w:szCs w:val="18"/>
              </w:rPr>
            </w:pPr>
            <w:r w:rsidRPr="005A61A3">
              <w:rPr>
                <w:rFonts w:ascii="Lato" w:hAnsi="Lato" w:cs="Calibri"/>
                <w:color w:val="auto"/>
                <w:sz w:val="18"/>
                <w:szCs w:val="18"/>
              </w:rPr>
              <w:t>Obecnie z uwagi na kwestie technicznoprawne nie ma możliwości na powołanie się w treści wpisu w księdze wieczystej bezpośrednio na dokument w</w:t>
            </w:r>
            <w:r w:rsidRPr="005A61A3">
              <w:rPr>
                <w:rFonts w:ascii="Lato" w:eastAsia="Arial" w:hAnsi="Lato" w:cs="Calibri"/>
                <w:color w:val="auto"/>
                <w:sz w:val="18"/>
                <w:szCs w:val="18"/>
              </w:rPr>
              <w:t xml:space="preserve"> postaci elektronicznej. </w:t>
            </w:r>
          </w:p>
          <w:p w14:paraId="703200DB"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eastAsia="Arial" w:hAnsi="Lato" w:cs="Calibri"/>
                <w:b/>
                <w:bCs/>
                <w:color w:val="auto"/>
                <w:sz w:val="18"/>
                <w:szCs w:val="18"/>
                <w:u w:val="single"/>
              </w:rPr>
              <w:t xml:space="preserve">Należy podkreślić, że obecnie </w:t>
            </w:r>
            <w:r w:rsidRPr="005A61A3">
              <w:rPr>
                <w:rFonts w:ascii="Lato" w:hAnsi="Lato" w:cs="Calibri"/>
                <w:b/>
                <w:bCs/>
                <w:color w:val="auto"/>
                <w:sz w:val="18"/>
                <w:szCs w:val="18"/>
                <w:u w:val="single"/>
                <w:lang w:bidi="ar-SA"/>
              </w:rPr>
              <w:t xml:space="preserve">w Ministerstwie Sprawiedliwości prowadzone są prace nad nowym systemem teleinformatycznym księgi wieczystej oraz dotyczącą go legislacją, w ramach których przewiduje się stworzenie akt hybrydowych, w postaci elektronicznej i papierowej, co umożliwi </w:t>
            </w:r>
            <w:r w:rsidRPr="005A61A3">
              <w:rPr>
                <w:rFonts w:ascii="Lato" w:hAnsi="Lato" w:cs="Calibri"/>
                <w:b/>
                <w:bCs/>
                <w:color w:val="auto"/>
                <w:sz w:val="18"/>
                <w:szCs w:val="18"/>
                <w:u w:val="single"/>
                <w:lang w:bidi="ar-SA"/>
              </w:rPr>
              <w:lastRenderedPageBreak/>
              <w:t>orzekanie na podstawie dokumentów sporządzonych wyłącznie w postaci elektronicznej, w tym także przesyłanych za pośrednictwem ZSIN.</w:t>
            </w:r>
          </w:p>
          <w:p w14:paraId="4957B80F" w14:textId="77777777" w:rsidR="00A1261B" w:rsidRPr="005A61A3" w:rsidRDefault="00A1261B" w:rsidP="009B06B7">
            <w:pPr>
              <w:spacing w:before="120" w:after="120"/>
              <w:ind w:left="131" w:right="132"/>
              <w:rPr>
                <w:rFonts w:ascii="Lato" w:eastAsia="Arial" w:hAnsi="Lato" w:cs="Calibri"/>
                <w:color w:val="auto"/>
                <w:sz w:val="18"/>
                <w:szCs w:val="18"/>
              </w:rPr>
            </w:pPr>
            <w:r w:rsidRPr="005A61A3">
              <w:rPr>
                <w:rFonts w:ascii="Lato" w:eastAsia="Arial" w:hAnsi="Lato" w:cs="Calibri"/>
                <w:color w:val="auto"/>
                <w:sz w:val="18"/>
                <w:szCs w:val="18"/>
              </w:rPr>
              <w:t xml:space="preserve">Dzięki trwającym pracom nad aktami hybrydowymi, zmierzającym do rozwiązania problemu, sądy uzyskają możliwość dokonywania wpisów w oparciu o dokumenty elektroniczne.    </w:t>
            </w:r>
          </w:p>
          <w:p w14:paraId="453D03DF" w14:textId="77777777" w:rsidR="00A1261B" w:rsidRPr="005A61A3" w:rsidRDefault="00A1261B" w:rsidP="009B06B7">
            <w:pPr>
              <w:spacing w:before="120" w:after="120"/>
              <w:ind w:left="131" w:right="132"/>
              <w:rPr>
                <w:rFonts w:ascii="Lato" w:eastAsia="Arial" w:hAnsi="Lato" w:cs="Calibri"/>
                <w:color w:val="auto"/>
                <w:sz w:val="18"/>
                <w:szCs w:val="18"/>
                <w:u w:val="single"/>
              </w:rPr>
            </w:pPr>
            <w:r w:rsidRPr="005A61A3">
              <w:rPr>
                <w:rFonts w:ascii="Lato" w:eastAsia="Arial" w:hAnsi="Lato" w:cs="Calibri"/>
                <w:b/>
                <w:bCs/>
                <w:color w:val="auto"/>
                <w:sz w:val="18"/>
                <w:szCs w:val="18"/>
                <w:u w:val="single"/>
              </w:rPr>
              <w:t>Mając powyższe na uwadze w ocenie Ministra Sprawiedliwości wprowadzenie omawianego przepisu nie jest zasadne.</w:t>
            </w:r>
            <w:r w:rsidRPr="005A61A3">
              <w:rPr>
                <w:rFonts w:ascii="Lato" w:eastAsia="Arial" w:hAnsi="Lato" w:cs="Calibri"/>
                <w:color w:val="auto"/>
                <w:sz w:val="18"/>
                <w:szCs w:val="18"/>
                <w:u w:val="single"/>
              </w:rPr>
              <w:t xml:space="preserve"> </w:t>
            </w:r>
            <w:r w:rsidRPr="005A61A3">
              <w:rPr>
                <w:rFonts w:ascii="Lato" w:hAnsi="Lato" w:cs="Calibri"/>
                <w:b/>
                <w:bCs/>
                <w:color w:val="auto"/>
                <w:sz w:val="18"/>
                <w:szCs w:val="18"/>
                <w:u w:val="single"/>
                <w:lang w:bidi="ar-SA"/>
              </w:rPr>
              <w:t>Nieuzasadnione jest wprowadzanie wyłomów w aktualnym</w:t>
            </w:r>
            <w:r w:rsidRPr="005A61A3">
              <w:rPr>
                <w:rFonts w:ascii="Lato" w:eastAsia="Arial" w:hAnsi="Lato" w:cs="Calibri"/>
                <w:b/>
                <w:bCs/>
                <w:color w:val="auto"/>
                <w:sz w:val="18"/>
                <w:szCs w:val="18"/>
                <w:u w:val="single"/>
              </w:rPr>
              <w:t xml:space="preserve"> </w:t>
            </w:r>
            <w:r w:rsidRPr="005A61A3">
              <w:rPr>
                <w:rFonts w:ascii="Lato" w:hAnsi="Lato" w:cs="Calibri"/>
                <w:b/>
                <w:bCs/>
                <w:color w:val="auto"/>
                <w:sz w:val="18"/>
                <w:szCs w:val="18"/>
                <w:u w:val="single"/>
                <w:lang w:bidi="ar-SA"/>
              </w:rPr>
              <w:t>stanie prawnym, co istotnie by zaburzyło prace nad nowym systemem oraz legislacją.</w:t>
            </w:r>
            <w:r w:rsidRPr="005A61A3">
              <w:rPr>
                <w:rFonts w:ascii="Lato" w:eastAsia="Arial" w:hAnsi="Lato" w:cs="Calibri"/>
                <w:b/>
                <w:bCs/>
                <w:color w:val="auto"/>
                <w:sz w:val="18"/>
                <w:szCs w:val="18"/>
                <w:u w:val="single"/>
              </w:rPr>
              <w:t xml:space="preserve"> </w:t>
            </w:r>
            <w:r w:rsidRPr="005A61A3">
              <w:rPr>
                <w:rFonts w:ascii="Lato" w:hAnsi="Lato" w:cs="Calibri"/>
                <w:b/>
                <w:bCs/>
                <w:color w:val="auto"/>
                <w:sz w:val="18"/>
                <w:szCs w:val="18"/>
                <w:u w:val="single"/>
                <w:lang w:bidi="ar-SA"/>
              </w:rPr>
              <w:t>Nadto należy zwrócić uwagę, że dostosowanie systemów teleinformatycznych jest zawsze</w:t>
            </w:r>
            <w:r w:rsidRPr="005A61A3">
              <w:rPr>
                <w:rFonts w:ascii="Lato" w:eastAsia="Arial" w:hAnsi="Lato" w:cs="Calibri"/>
                <w:b/>
                <w:bCs/>
                <w:color w:val="auto"/>
                <w:sz w:val="18"/>
                <w:szCs w:val="18"/>
                <w:u w:val="single"/>
              </w:rPr>
              <w:t xml:space="preserve"> </w:t>
            </w:r>
            <w:r w:rsidRPr="005A61A3">
              <w:rPr>
                <w:rFonts w:ascii="Lato" w:hAnsi="Lato" w:cs="Calibri"/>
                <w:b/>
                <w:bCs/>
                <w:color w:val="auto"/>
                <w:sz w:val="18"/>
                <w:szCs w:val="18"/>
                <w:u w:val="single"/>
                <w:lang w:bidi="ar-SA"/>
              </w:rPr>
              <w:t xml:space="preserve">procesem </w:t>
            </w:r>
            <w:proofErr w:type="spellStart"/>
            <w:r w:rsidRPr="005A61A3">
              <w:rPr>
                <w:rFonts w:ascii="Lato" w:hAnsi="Lato" w:cs="Calibri"/>
                <w:b/>
                <w:bCs/>
                <w:color w:val="auto"/>
                <w:sz w:val="18"/>
                <w:szCs w:val="18"/>
                <w:u w:val="single"/>
                <w:lang w:bidi="ar-SA"/>
              </w:rPr>
              <w:t>czaso</w:t>
            </w:r>
            <w:proofErr w:type="spellEnd"/>
            <w:r w:rsidRPr="005A61A3">
              <w:rPr>
                <w:rFonts w:ascii="Lato" w:hAnsi="Lato" w:cs="Calibri"/>
                <w:b/>
                <w:bCs/>
                <w:color w:val="auto"/>
                <w:sz w:val="18"/>
                <w:szCs w:val="18"/>
                <w:u w:val="single"/>
                <w:lang w:bidi="ar-SA"/>
              </w:rPr>
              <w:t xml:space="preserve">- i </w:t>
            </w:r>
            <w:proofErr w:type="spellStart"/>
            <w:r w:rsidRPr="005A61A3">
              <w:rPr>
                <w:rFonts w:ascii="Lato" w:hAnsi="Lato" w:cs="Calibri"/>
                <w:b/>
                <w:bCs/>
                <w:color w:val="auto"/>
                <w:sz w:val="18"/>
                <w:szCs w:val="18"/>
                <w:u w:val="single"/>
                <w:lang w:bidi="ar-SA"/>
              </w:rPr>
              <w:t>zasobochłonnym</w:t>
            </w:r>
            <w:proofErr w:type="spellEnd"/>
            <w:r w:rsidRPr="005A61A3">
              <w:rPr>
                <w:rFonts w:ascii="Lato" w:hAnsi="Lato" w:cs="Calibri"/>
                <w:b/>
                <w:bCs/>
                <w:color w:val="auto"/>
                <w:sz w:val="18"/>
                <w:szCs w:val="18"/>
                <w:u w:val="single"/>
                <w:lang w:bidi="ar-SA"/>
              </w:rPr>
              <w:t>, a projekt ustawy nie przewiduje w tym zakresie</w:t>
            </w:r>
            <w:r w:rsidRPr="005A61A3">
              <w:rPr>
                <w:rFonts w:ascii="Lato" w:eastAsia="Arial" w:hAnsi="Lato" w:cs="Calibri"/>
                <w:b/>
                <w:bCs/>
                <w:color w:val="auto"/>
                <w:sz w:val="18"/>
                <w:szCs w:val="18"/>
                <w:u w:val="single"/>
              </w:rPr>
              <w:t xml:space="preserve"> </w:t>
            </w:r>
            <w:r w:rsidRPr="005A61A3">
              <w:rPr>
                <w:rFonts w:ascii="Lato" w:hAnsi="Lato" w:cs="Calibri"/>
                <w:b/>
                <w:bCs/>
                <w:color w:val="auto"/>
                <w:sz w:val="18"/>
                <w:szCs w:val="18"/>
                <w:u w:val="single"/>
                <w:lang w:bidi="ar-SA"/>
              </w:rPr>
              <w:t xml:space="preserve">właściwego (odpowiednio długiego) </w:t>
            </w:r>
            <w:r w:rsidRPr="005A61A3">
              <w:rPr>
                <w:rFonts w:ascii="Lato" w:hAnsi="Lato" w:cs="Calibri"/>
                <w:b/>
                <w:bCs/>
                <w:i/>
                <w:iCs/>
                <w:color w:val="auto"/>
                <w:sz w:val="18"/>
                <w:szCs w:val="18"/>
                <w:u w:val="single"/>
                <w:lang w:bidi="ar-SA"/>
              </w:rPr>
              <w:t>vacatio legis</w:t>
            </w:r>
            <w:r w:rsidRPr="005A61A3">
              <w:rPr>
                <w:rFonts w:ascii="Lato" w:hAnsi="Lato" w:cs="Calibri"/>
                <w:b/>
                <w:bCs/>
                <w:color w:val="auto"/>
                <w:sz w:val="18"/>
                <w:szCs w:val="18"/>
                <w:u w:val="single"/>
                <w:lang w:bidi="ar-SA"/>
              </w:rPr>
              <w:t>, które wynosić powinno co najmniej 36 miesięcy. Nie zostały</w:t>
            </w:r>
            <w:r w:rsidRPr="005A61A3">
              <w:rPr>
                <w:rFonts w:ascii="Lato" w:eastAsia="Arial" w:hAnsi="Lato" w:cs="Calibri"/>
                <w:b/>
                <w:bCs/>
                <w:color w:val="auto"/>
                <w:sz w:val="18"/>
                <w:szCs w:val="18"/>
                <w:u w:val="single"/>
              </w:rPr>
              <w:t xml:space="preserve"> </w:t>
            </w:r>
            <w:r w:rsidRPr="005A61A3">
              <w:rPr>
                <w:rFonts w:ascii="Lato" w:hAnsi="Lato" w:cs="Calibri"/>
                <w:b/>
                <w:bCs/>
                <w:color w:val="auto"/>
                <w:sz w:val="18"/>
                <w:szCs w:val="18"/>
                <w:u w:val="single"/>
                <w:lang w:bidi="ar-SA"/>
              </w:rPr>
              <w:t>przewidziane także koszty zmian systemu Elektronicznych Ksiąg Wieczystych, które wobec</w:t>
            </w:r>
            <w:r w:rsidRPr="005A61A3">
              <w:rPr>
                <w:rFonts w:ascii="Lato" w:eastAsia="Arial" w:hAnsi="Lato" w:cs="Calibri"/>
                <w:b/>
                <w:bCs/>
                <w:color w:val="auto"/>
                <w:sz w:val="18"/>
                <w:szCs w:val="18"/>
                <w:u w:val="single"/>
              </w:rPr>
              <w:t xml:space="preserve"> </w:t>
            </w:r>
            <w:r w:rsidRPr="005A61A3">
              <w:rPr>
                <w:rFonts w:ascii="Lato" w:hAnsi="Lato" w:cs="Calibri"/>
                <w:b/>
                <w:bCs/>
                <w:color w:val="auto"/>
                <w:sz w:val="18"/>
                <w:szCs w:val="18"/>
                <w:u w:val="single"/>
                <w:lang w:bidi="ar-SA"/>
              </w:rPr>
              <w:t>niejednoznaczności projektowanych przepisów nie są możliwe do oszacowania.</w:t>
            </w:r>
            <w:r w:rsidRPr="005A61A3">
              <w:rPr>
                <w:rFonts w:ascii="Lato" w:hAnsi="Lato" w:cs="Calibri"/>
                <w:color w:val="auto"/>
                <w:sz w:val="18"/>
                <w:szCs w:val="18"/>
                <w:lang w:bidi="ar-SA"/>
              </w:rPr>
              <w:t xml:space="preserve"> </w:t>
            </w:r>
          </w:p>
          <w:p w14:paraId="50CA557B" w14:textId="77777777" w:rsidR="00A1261B" w:rsidRPr="005A61A3" w:rsidRDefault="00A1261B" w:rsidP="009B06B7">
            <w:pPr>
              <w:spacing w:before="120" w:after="120"/>
              <w:ind w:left="131" w:right="132"/>
              <w:rPr>
                <w:rFonts w:ascii="Lato" w:eastAsia="Arial" w:hAnsi="Lato" w:cs="Calibri"/>
                <w:b/>
                <w:bCs/>
                <w:color w:val="auto"/>
                <w:sz w:val="18"/>
                <w:szCs w:val="18"/>
                <w:u w:val="single"/>
              </w:rPr>
            </w:pPr>
            <w:r w:rsidRPr="005A61A3">
              <w:rPr>
                <w:rFonts w:ascii="Lato" w:eastAsia="Arial" w:hAnsi="Lato" w:cs="Calibri"/>
                <w:b/>
                <w:bCs/>
                <w:color w:val="auto"/>
                <w:sz w:val="18"/>
                <w:szCs w:val="18"/>
                <w:u w:val="single"/>
              </w:rPr>
              <w:t>Z tych też względów postuluje się usunięcie omawianego przepisu z treści nowelizacji.</w:t>
            </w:r>
          </w:p>
          <w:p w14:paraId="56CB7455"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hAnsi="Lato" w:cs="Calibri"/>
                <w:color w:val="auto"/>
                <w:sz w:val="18"/>
                <w:szCs w:val="18"/>
                <w:lang w:bidi="ar-SA"/>
              </w:rPr>
              <w:t>Zaproponowana treść przepisu - jak wynika z uzasadnienia do projektu – to szczególne rozwiązanie dające podstawę prawną (jako odstępstwo od zasady ogólnej) do dokonywania wpisu do księgi wieczystej na podstawie dokumentów geodezyjnych sporządzonych w postaci elektronicznej.</w:t>
            </w:r>
          </w:p>
          <w:p w14:paraId="25567F50"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hAnsi="Lato" w:cs="Calibri"/>
                <w:color w:val="auto"/>
                <w:sz w:val="18"/>
                <w:szCs w:val="18"/>
                <w:lang w:bidi="ar-SA"/>
              </w:rPr>
              <w:t xml:space="preserve">Treść zaproponowanego przepisu należy ocenić negatywnie, albowiem miałby on regulować  materię nie obejmującą zakresem przedmiotowym zmienianej ustawy, a dodatkowo zaburzyłby zasadę spójności i czytelności systemu prawa rozwiązując jedynie częściowo problem związany z elektronicznymi dokumentami stanowiącymi podstawę wpisu do księgi wieczystej. </w:t>
            </w:r>
          </w:p>
          <w:p w14:paraId="779AD25D" w14:textId="77777777" w:rsidR="00A1261B" w:rsidRPr="005A61A3" w:rsidRDefault="00A1261B" w:rsidP="009B06B7">
            <w:pPr>
              <w:pStyle w:val="Teksttreci0"/>
              <w:shd w:val="clear" w:color="auto" w:fill="auto"/>
              <w:tabs>
                <w:tab w:val="left" w:pos="319"/>
              </w:tabs>
              <w:spacing w:before="120" w:after="120"/>
              <w:ind w:left="131" w:right="132"/>
              <w:rPr>
                <w:rFonts w:ascii="Lato" w:hAnsi="Lato"/>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25EDEC8" w14:textId="77777777" w:rsidR="00A1261B" w:rsidRPr="005A61A3" w:rsidRDefault="00A1261B" w:rsidP="009B06B7">
            <w:pPr>
              <w:widowControl/>
              <w:autoSpaceDE w:val="0"/>
              <w:autoSpaceDN w:val="0"/>
              <w:adjustRightInd w:val="0"/>
              <w:spacing w:before="120" w:after="120"/>
              <w:ind w:left="127" w:right="134"/>
              <w:rPr>
                <w:rFonts w:ascii="Lato" w:hAnsi="Lato" w:cs="Calibri"/>
                <w:b/>
                <w:bCs/>
                <w:color w:val="auto"/>
                <w:sz w:val="18"/>
                <w:szCs w:val="18"/>
                <w:u w:val="single"/>
                <w:lang w:bidi="ar-SA"/>
              </w:rPr>
            </w:pPr>
            <w:r w:rsidRPr="005A61A3">
              <w:rPr>
                <w:rFonts w:ascii="Lato" w:eastAsia="Arial" w:hAnsi="Lato" w:cs="Calibri"/>
                <w:b/>
                <w:bCs/>
                <w:color w:val="auto"/>
                <w:sz w:val="18"/>
                <w:szCs w:val="18"/>
                <w:u w:val="single"/>
              </w:rPr>
              <w:lastRenderedPageBreak/>
              <w:t>Odstąpienie od wprowadzenia wskazanego przepisu.</w:t>
            </w:r>
          </w:p>
          <w:p w14:paraId="0C955369"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p>
          <w:p w14:paraId="57AD91D3"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r w:rsidRPr="005A61A3">
              <w:rPr>
                <w:rFonts w:ascii="Lato" w:hAnsi="Lato" w:cs="Calibri"/>
                <w:color w:val="auto"/>
                <w:sz w:val="18"/>
                <w:szCs w:val="18"/>
                <w:lang w:bidi="ar-SA"/>
              </w:rPr>
              <w:t xml:space="preserve">W pierwszej kolejności należy zwrócić uwagę, że art. 1 </w:t>
            </w:r>
            <w:proofErr w:type="spellStart"/>
            <w:r w:rsidRPr="005A61A3">
              <w:rPr>
                <w:rFonts w:ascii="Lato" w:hAnsi="Lato" w:cs="Calibri"/>
                <w:color w:val="auto"/>
                <w:sz w:val="18"/>
                <w:szCs w:val="18"/>
                <w:lang w:bidi="ar-SA"/>
              </w:rPr>
              <w:t>p.g.i.k</w:t>
            </w:r>
            <w:proofErr w:type="spellEnd"/>
            <w:r w:rsidRPr="005A61A3">
              <w:rPr>
                <w:rFonts w:ascii="Lato" w:hAnsi="Lato" w:cs="Calibri"/>
                <w:color w:val="auto"/>
                <w:sz w:val="18"/>
                <w:szCs w:val="18"/>
                <w:lang w:bidi="ar-SA"/>
              </w:rPr>
              <w:t xml:space="preserve">. wyznacza przedmiotowy zakres stosowania tejże ustawy. Zgodnie z treścią tego </w:t>
            </w:r>
            <w:r w:rsidRPr="005A61A3">
              <w:rPr>
                <w:rFonts w:ascii="Lato" w:hAnsi="Lato" w:cs="Calibri"/>
                <w:color w:val="auto"/>
                <w:sz w:val="18"/>
                <w:szCs w:val="18"/>
                <w:lang w:bidi="ar-SA"/>
              </w:rPr>
              <w:lastRenderedPageBreak/>
              <w:t xml:space="preserve">przepisu ustawa ta reguluje sprawy: krajowego systemu informacji o terenie; organizacji i zadań Służby Geodezyjnej i Kartograficznej; wykonywania prac geodezyjnych i kartograficznych; ewidencji gruntów i budynków; zintegrowanego systemu informacji o nieruchomościach, dalej ZSIN; gleboznawczej klasyfikacji gruntów; rozgraniczania nieruchomości; geodezyjnej ewidencji sieci uzbrojenia terenu oraz koordynacji sytuowania tych sieci; państwowego zasobu geodezyjnego i kartograficznego; uprawnień zawodowych w dziedzinie geodezji i kartografii; ewidencji miejscowości, ulic i adresów. W świetle powyższego należy stwierdzić, że nie ma wątpliwości jakie sprawy ustawodawca może uregulować w ramach </w:t>
            </w:r>
            <w:proofErr w:type="spellStart"/>
            <w:r w:rsidRPr="005A61A3">
              <w:rPr>
                <w:rFonts w:ascii="Lato" w:hAnsi="Lato" w:cs="Calibri"/>
                <w:color w:val="auto"/>
                <w:sz w:val="18"/>
                <w:szCs w:val="18"/>
                <w:lang w:bidi="ar-SA"/>
              </w:rPr>
              <w:t>p.g.i.k</w:t>
            </w:r>
            <w:proofErr w:type="spellEnd"/>
            <w:r w:rsidRPr="005A61A3">
              <w:rPr>
                <w:rFonts w:ascii="Lato" w:hAnsi="Lato" w:cs="Calibri"/>
                <w:color w:val="auto"/>
                <w:sz w:val="18"/>
                <w:szCs w:val="18"/>
                <w:lang w:bidi="ar-SA"/>
              </w:rPr>
              <w:t>., gdyż wynika to z tytułu ustawy oraz jej przepisów ogólnych.</w:t>
            </w:r>
          </w:p>
          <w:p w14:paraId="38C042B4"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r w:rsidRPr="005A61A3">
              <w:rPr>
                <w:rFonts w:ascii="Lato" w:hAnsi="Lato" w:cs="Calibri"/>
                <w:color w:val="auto"/>
                <w:sz w:val="18"/>
                <w:szCs w:val="18"/>
                <w:lang w:bidi="ar-SA"/>
              </w:rPr>
              <w:t xml:space="preserve">Co prawda projektowana regulacja powiązana jest z powołaną wyżej ustawą w części odnoszącej się do prowadzenia Zintegrowanego Systemu Informacji o Nieruchomościach (dalej: </w:t>
            </w:r>
            <w:proofErr w:type="spellStart"/>
            <w:r w:rsidRPr="005A61A3">
              <w:rPr>
                <w:rFonts w:ascii="Lato" w:hAnsi="Lato" w:cs="Calibri"/>
                <w:color w:val="auto"/>
                <w:sz w:val="18"/>
                <w:szCs w:val="18"/>
                <w:lang w:bidi="ar-SA"/>
              </w:rPr>
              <w:t>ZSiN</w:t>
            </w:r>
            <w:proofErr w:type="spellEnd"/>
            <w:r w:rsidRPr="005A61A3">
              <w:rPr>
                <w:rFonts w:ascii="Lato" w:hAnsi="Lato" w:cs="Calibri"/>
                <w:color w:val="auto"/>
                <w:sz w:val="18"/>
                <w:szCs w:val="18"/>
                <w:lang w:bidi="ar-SA"/>
              </w:rPr>
              <w:t xml:space="preserve">), jednakże - jak jest to wskazane w części ogólnej ustawy </w:t>
            </w:r>
            <w:proofErr w:type="spellStart"/>
            <w:r w:rsidRPr="005A61A3">
              <w:rPr>
                <w:rFonts w:ascii="Lato" w:hAnsi="Lato" w:cs="Calibri"/>
                <w:color w:val="auto"/>
                <w:sz w:val="18"/>
                <w:szCs w:val="18"/>
                <w:lang w:bidi="ar-SA"/>
              </w:rPr>
              <w:t>p.g.i.k</w:t>
            </w:r>
            <w:proofErr w:type="spellEnd"/>
            <w:r w:rsidRPr="005A61A3">
              <w:rPr>
                <w:rFonts w:ascii="Lato" w:hAnsi="Lato" w:cs="Calibri"/>
                <w:color w:val="auto"/>
                <w:sz w:val="18"/>
                <w:szCs w:val="18"/>
                <w:lang w:bidi="ar-SA"/>
              </w:rPr>
              <w:t>. - ustawa ta nie reguluje spraw związanych z postępowaniem wieczystoksięgowym. Projektowana regulacja wykracza więc poza przedmiotowy zakres regulowany tą ustawą. Odnosi się ona bowiem do regulacji związanych z problematyką podstaw wpisu w księdze wieczystej wprowadzając nową podstawę prawną do wpisu do księgi wieczystej. Należy wskazać, że przepisy ustawy z dnia 6 lipca 1982 r. o księgach wieczystych i hipotece (</w:t>
            </w:r>
            <w:proofErr w:type="spellStart"/>
            <w:r w:rsidRPr="005A61A3">
              <w:rPr>
                <w:rFonts w:ascii="Lato" w:hAnsi="Lato" w:cs="Calibri"/>
                <w:color w:val="auto"/>
                <w:sz w:val="18"/>
                <w:szCs w:val="18"/>
                <w:lang w:bidi="ar-SA"/>
              </w:rPr>
              <w:t>t.j</w:t>
            </w:r>
            <w:proofErr w:type="spellEnd"/>
            <w:r w:rsidRPr="005A61A3">
              <w:rPr>
                <w:rFonts w:ascii="Lato" w:hAnsi="Lato" w:cs="Calibri"/>
                <w:color w:val="auto"/>
                <w:sz w:val="18"/>
                <w:szCs w:val="18"/>
                <w:lang w:bidi="ar-SA"/>
              </w:rPr>
              <w:t xml:space="preserve">. Dz. U. z 2025r. poz.341, dalej: </w:t>
            </w:r>
            <w:proofErr w:type="spellStart"/>
            <w:r w:rsidRPr="005A61A3">
              <w:rPr>
                <w:rFonts w:ascii="Lato" w:hAnsi="Lato" w:cs="Calibri"/>
                <w:color w:val="auto"/>
                <w:sz w:val="18"/>
                <w:szCs w:val="18"/>
                <w:lang w:bidi="ar-SA"/>
              </w:rPr>
              <w:t>u.k.w.h</w:t>
            </w:r>
            <w:proofErr w:type="spellEnd"/>
            <w:r w:rsidRPr="005A61A3">
              <w:rPr>
                <w:rFonts w:ascii="Lato" w:hAnsi="Lato" w:cs="Calibri"/>
                <w:color w:val="auto"/>
                <w:sz w:val="18"/>
                <w:szCs w:val="18"/>
                <w:lang w:bidi="ar-SA"/>
              </w:rPr>
              <w:t>.) oraz ustawy z dnia 17 listopada 1964 r. Kodeks postępowania cywilnego(</w:t>
            </w:r>
            <w:proofErr w:type="spellStart"/>
            <w:r w:rsidRPr="005A61A3">
              <w:rPr>
                <w:rFonts w:ascii="Lato" w:hAnsi="Lato" w:cs="Calibri"/>
                <w:color w:val="auto"/>
                <w:sz w:val="18"/>
                <w:szCs w:val="18"/>
                <w:lang w:bidi="ar-SA"/>
              </w:rPr>
              <w:t>t.j</w:t>
            </w:r>
            <w:proofErr w:type="spellEnd"/>
            <w:r w:rsidRPr="005A61A3">
              <w:rPr>
                <w:rFonts w:ascii="Lato" w:hAnsi="Lato" w:cs="Calibri"/>
                <w:color w:val="auto"/>
                <w:sz w:val="18"/>
                <w:szCs w:val="18"/>
                <w:lang w:bidi="ar-SA"/>
              </w:rPr>
              <w:t>. Dz. U. z 2024r. poz.1568 ze zm., dalej k.p.c.), a także rozporządzenie Ministra Sprawiedliwości z dnia 15 lutego 2016 r. w sprawie zakładania i prowadzenia ksiąg wieczystych w systemie teleinformatycznym (Dz. U. z 2024 r. poz.1583 ze zm., dalej:</w:t>
            </w:r>
          </w:p>
          <w:p w14:paraId="42CBD5FF"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proofErr w:type="spellStart"/>
            <w:r w:rsidRPr="005A61A3">
              <w:rPr>
                <w:rFonts w:ascii="Lato" w:hAnsi="Lato" w:cs="Calibri"/>
                <w:color w:val="auto"/>
                <w:sz w:val="18"/>
                <w:szCs w:val="18"/>
                <w:lang w:bidi="ar-SA"/>
              </w:rPr>
              <w:t>rozp</w:t>
            </w:r>
            <w:proofErr w:type="spellEnd"/>
            <w:r w:rsidRPr="005A61A3">
              <w:rPr>
                <w:rFonts w:ascii="Lato" w:hAnsi="Lato" w:cs="Calibri"/>
                <w:color w:val="auto"/>
                <w:sz w:val="18"/>
                <w:szCs w:val="18"/>
                <w:lang w:bidi="ar-SA"/>
              </w:rPr>
              <w:t xml:space="preserve">. inf.) w zakresie regulującym postępowanie wieczystoksięgowe jednoznacznie i bez żadnych wątpliwości normują kwestię podstaw wpisu w ramach tego postępowania. </w:t>
            </w:r>
            <w:r w:rsidRPr="005A61A3">
              <w:rPr>
                <w:rFonts w:ascii="Lato" w:hAnsi="Lato" w:cs="Calibri"/>
                <w:b/>
                <w:bCs/>
                <w:color w:val="auto"/>
                <w:sz w:val="18"/>
                <w:szCs w:val="18"/>
                <w:u w:val="single"/>
                <w:lang w:bidi="ar-SA"/>
              </w:rPr>
              <w:t xml:space="preserve">Nie wydaje się więc w tym wypadku uzasadnione regulowanie - w </w:t>
            </w:r>
            <w:r w:rsidRPr="005A61A3">
              <w:rPr>
                <w:rFonts w:ascii="Lato" w:hAnsi="Lato" w:cs="Calibri"/>
                <w:b/>
                <w:bCs/>
                <w:color w:val="auto"/>
                <w:sz w:val="18"/>
                <w:szCs w:val="18"/>
                <w:u w:val="single"/>
                <w:lang w:bidi="ar-SA"/>
              </w:rPr>
              <w:lastRenderedPageBreak/>
              <w:t>sposób zupełnie niespójny z pozostałymi przepisami - problematyki z tym związanej.</w:t>
            </w:r>
            <w:r w:rsidRPr="005A61A3">
              <w:rPr>
                <w:rFonts w:ascii="Lato" w:hAnsi="Lato" w:cs="Calibri"/>
                <w:color w:val="auto"/>
                <w:sz w:val="18"/>
                <w:szCs w:val="18"/>
                <w:lang w:bidi="ar-SA"/>
              </w:rPr>
              <w:t xml:space="preserve"> Warto bowiem wskazać na elementarną zasadę techniki prawodawczej wynikającą z treści § 3 ust 2 rozporządzenia Prezesa Rady Ministrów z dnia 20 czerwca 2002 r. w sprawie "Zasad techniki prawodawczej" (</w:t>
            </w:r>
            <w:proofErr w:type="spellStart"/>
            <w:r w:rsidRPr="005A61A3">
              <w:rPr>
                <w:rFonts w:ascii="Lato" w:hAnsi="Lato" w:cs="Calibri"/>
                <w:color w:val="auto"/>
                <w:sz w:val="18"/>
                <w:szCs w:val="18"/>
                <w:lang w:bidi="ar-SA"/>
              </w:rPr>
              <w:t>t.j</w:t>
            </w:r>
            <w:proofErr w:type="spellEnd"/>
            <w:r w:rsidRPr="005A61A3">
              <w:rPr>
                <w:rFonts w:ascii="Lato" w:hAnsi="Lato" w:cs="Calibri"/>
                <w:color w:val="auto"/>
                <w:sz w:val="18"/>
                <w:szCs w:val="18"/>
                <w:lang w:bidi="ar-SA"/>
              </w:rPr>
              <w:t xml:space="preserve">. Dz. U. z 2016 r. poz.283), że „w ustawie nie zamieszcza się przepisów, które regulowałyby sprawy wykraczające poza wyznaczony przez nią zakres przedmiotowy (stosunki, które reguluje) oraz podmiotowy (krąg podmiotów, do których się odnosi).” Nie do pomyślenia byłoby, gdyby ustawa regulowała inne sprawy niż te, które określa jako swój przedmiot. Taki stan rzeczy wprowadzałby bowiem obywateli w błąd, co przeczyłoby zasadzie pewności i jasności prawa. „Ustawa nie powinna być zatem aktem normatywnym składającym się z oderwanych od siebie przepisów, czysto przypadkowo i bez żadnego związku merytorycznego zebranych w jednym akcie normatywnym. Wynika stąd generalny zakaz dowolnego "obudowywania" projektów ustaw w trakcie postępowania ustawodawczego rozwiązaniami niezwiązanymi z materią, której ustawa dotyczy. Zgodnie bowiem z elementarnym wręcz rozumieniem pojęcia ustawy jest to akt prawny regulujący pewną dziedzinę życia społecznego, zbudowany w pewien usystematyzowany i w założeniu racjonalny i logiczny sposób. Tak więc stwierdzić można, że ograniczenia zakresu przedmiotowego pojęcia poprawki do ustawy wynikają również z samej koncepcji ustawy". (G. Wierczyński [w:] Komentarz do rozporządzenia w sprawie "Zasad techniki prawodawczej" [w:] Redagowanie i ogłaszanie aktów normatywnych. Komentarz, wyd. II, Warszawa 2016, Załącznik @1 § 3). „Takie działanie umożliwia bowiem obywatelowi odnalezienie ustawy, która reguluje interesujące go zagadnienia, bez wnikliwego analizowania treści innych, przypadkowo napotkanych aktów prawnych. W ten sposób, gdy początek ustawy dostarcza informacji, czego ona dotyczy, a prawodawca jest konsekwentny, obywatel łatwiej odnajduje interesujące go przepisy.” (M.M. Dębska [w:] Zasady techniki </w:t>
            </w:r>
            <w:r w:rsidRPr="005A61A3">
              <w:rPr>
                <w:rFonts w:ascii="Lato" w:hAnsi="Lato" w:cs="Calibri"/>
                <w:color w:val="auto"/>
                <w:sz w:val="18"/>
                <w:szCs w:val="18"/>
                <w:lang w:bidi="ar-SA"/>
              </w:rPr>
              <w:lastRenderedPageBreak/>
              <w:t xml:space="preserve">prawodawczej. Komentarz, Warszawa 2013, Załącznik § 3.) Istotne jest przecież zaufanie obywateli do prawa, a w konsekwencji także do tworzącego je państwa, co oznacza, że ustawa nie wprowadza w błąd, ustanawiając rozbieżność między jej tytułem a rzeczywistym zakresem przedmiotowym. </w:t>
            </w:r>
          </w:p>
          <w:p w14:paraId="20DD72FA"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r w:rsidRPr="005A61A3">
              <w:rPr>
                <w:rFonts w:ascii="Lato" w:hAnsi="Lato" w:cs="Calibri"/>
                <w:color w:val="auto"/>
                <w:sz w:val="18"/>
                <w:szCs w:val="18"/>
                <w:lang w:bidi="ar-SA"/>
              </w:rPr>
              <w:t xml:space="preserve">Obecnie zgodnie z art. 27 ust. 1 </w:t>
            </w:r>
            <w:proofErr w:type="spellStart"/>
            <w:r w:rsidRPr="005A61A3">
              <w:rPr>
                <w:rFonts w:ascii="Lato" w:hAnsi="Lato" w:cs="Calibri"/>
                <w:color w:val="auto"/>
                <w:sz w:val="18"/>
                <w:szCs w:val="18"/>
                <w:lang w:bidi="ar-SA"/>
              </w:rPr>
              <w:t>u.k.w.h</w:t>
            </w:r>
            <w:proofErr w:type="spellEnd"/>
            <w:r w:rsidRPr="005A61A3">
              <w:rPr>
                <w:rFonts w:ascii="Lato" w:hAnsi="Lato" w:cs="Calibri"/>
                <w:color w:val="auto"/>
                <w:sz w:val="18"/>
                <w:szCs w:val="18"/>
                <w:lang w:bidi="ar-SA"/>
              </w:rPr>
              <w:t xml:space="preserve">. w razie niezgodności danych katastru nieruchomości z oznaczeniem nieruchomości w księdze wieczystej sąd rejonowy dokonuje - na wniosek właściciela nieruchomości lub wieczystego użytkownika - sprostowania oznaczenia nieruchomości na podstawie danych katastru nieruchomości. Sprostowanie, o którym mowa w ust. 1, może być dokonane także z urzędu, na skutek bezpośredniego sprawdzenia danych w bazie danych katastru nieruchomości lub zawiadomienia jednostki prowadzącej kataster nieruchomości (art. 27 ust. 2 </w:t>
            </w:r>
            <w:proofErr w:type="spellStart"/>
            <w:r w:rsidRPr="005A61A3">
              <w:rPr>
                <w:rFonts w:ascii="Lato" w:hAnsi="Lato" w:cs="Calibri"/>
                <w:color w:val="auto"/>
                <w:sz w:val="18"/>
                <w:szCs w:val="18"/>
                <w:lang w:bidi="ar-SA"/>
              </w:rPr>
              <w:t>u.k.w.h</w:t>
            </w:r>
            <w:proofErr w:type="spellEnd"/>
            <w:r w:rsidRPr="005A61A3">
              <w:rPr>
                <w:rFonts w:ascii="Lato" w:hAnsi="Lato" w:cs="Calibri"/>
                <w:color w:val="auto"/>
                <w:sz w:val="18"/>
                <w:szCs w:val="18"/>
                <w:lang w:bidi="ar-SA"/>
              </w:rPr>
              <w:t>.).</w:t>
            </w:r>
          </w:p>
          <w:p w14:paraId="6A90A467"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r w:rsidRPr="005A61A3">
              <w:rPr>
                <w:rFonts w:ascii="Lato" w:hAnsi="Lato" w:cs="Calibri"/>
                <w:color w:val="auto"/>
                <w:sz w:val="18"/>
                <w:szCs w:val="18"/>
                <w:lang w:bidi="ar-SA"/>
              </w:rPr>
              <w:t xml:space="preserve">Do zawiadomienia, o którym mowa w ust. 2, dołącza się wypis z operatu katastralnego, a gdy jest to niezbędne – także </w:t>
            </w:r>
            <w:proofErr w:type="spellStart"/>
            <w:r w:rsidRPr="005A61A3">
              <w:rPr>
                <w:rFonts w:ascii="Lato" w:hAnsi="Lato" w:cs="Calibri"/>
                <w:color w:val="auto"/>
                <w:sz w:val="18"/>
                <w:szCs w:val="18"/>
                <w:lang w:bidi="ar-SA"/>
              </w:rPr>
              <w:t>wyrys</w:t>
            </w:r>
            <w:proofErr w:type="spellEnd"/>
            <w:r w:rsidRPr="005A61A3">
              <w:rPr>
                <w:rFonts w:ascii="Lato" w:hAnsi="Lato" w:cs="Calibri"/>
                <w:color w:val="auto"/>
                <w:sz w:val="18"/>
                <w:szCs w:val="18"/>
                <w:lang w:bidi="ar-SA"/>
              </w:rPr>
              <w:t xml:space="preserve"> z mapy katastralnej lub inny dokument stanowiący podstawę sprostowania oznaczenia nieruchomości (art. 27 ust. 3 </w:t>
            </w:r>
            <w:proofErr w:type="spellStart"/>
            <w:r w:rsidRPr="005A61A3">
              <w:rPr>
                <w:rFonts w:ascii="Lato" w:hAnsi="Lato" w:cs="Calibri"/>
                <w:color w:val="auto"/>
                <w:sz w:val="18"/>
                <w:szCs w:val="18"/>
                <w:lang w:bidi="ar-SA"/>
              </w:rPr>
              <w:t>u.k.w.h</w:t>
            </w:r>
            <w:proofErr w:type="spellEnd"/>
            <w:r w:rsidRPr="005A61A3">
              <w:rPr>
                <w:rFonts w:ascii="Lato" w:hAnsi="Lato" w:cs="Calibri"/>
                <w:color w:val="auto"/>
                <w:sz w:val="18"/>
                <w:szCs w:val="18"/>
                <w:lang w:bidi="ar-SA"/>
              </w:rPr>
              <w:t xml:space="preserve">.). Natomiast rozp.inf. wskazuje jakie dokumenty stanowią podstawę wpisu zmian w oznaczeniu nieruchomości, dla których prowadzi się księgę wieczystą. Z § 78 </w:t>
            </w:r>
            <w:proofErr w:type="spellStart"/>
            <w:r w:rsidRPr="005A61A3">
              <w:rPr>
                <w:rFonts w:ascii="Lato" w:hAnsi="Lato" w:cs="Calibri"/>
                <w:color w:val="auto"/>
                <w:sz w:val="18"/>
                <w:szCs w:val="18"/>
                <w:lang w:bidi="ar-SA"/>
              </w:rPr>
              <w:t>rozp</w:t>
            </w:r>
            <w:proofErr w:type="spellEnd"/>
            <w:r w:rsidRPr="005A61A3">
              <w:rPr>
                <w:rFonts w:ascii="Lato" w:hAnsi="Lato" w:cs="Calibri"/>
                <w:color w:val="auto"/>
                <w:sz w:val="18"/>
                <w:szCs w:val="18"/>
                <w:lang w:bidi="ar-SA"/>
              </w:rPr>
              <w:t xml:space="preserve">. inf. wynika, że dane dotyczące nieruchomości gruntowych i budynkowych wpisuje się w księdze wieczystej na podstawie wypisu z rejestru gruntów, wypisu z rejestru budynków lub wypisu z kartoteki budynków, a także wyrysu z mapy ewidencyjnej, sporządzonych na podstawie przepisów rozporządzenia Ministra Rozwoju, Pracy i Technologii z dnia 27 lipca 2021 r. w sprawie ewidencji gruntów i budynków. Jeżeli zmiana oznaczenia nieruchomości, o których mowa wyżej, dotyczy wyłącznie położenia nieruchomości, numeracji działek ewidencyjnych, obrębu ewidencyjnego lub sposobu korzystania z nieruchomości, podstawę wpisu w księdze wieczystej stanowi wypis z rejestru gruntów. Zwrócić należy uwagę na to, że aby takie dokumenty stanowiły podstawę </w:t>
            </w:r>
            <w:r w:rsidRPr="005A61A3">
              <w:rPr>
                <w:rFonts w:ascii="Lato" w:hAnsi="Lato" w:cs="Calibri"/>
                <w:color w:val="auto"/>
                <w:sz w:val="18"/>
                <w:szCs w:val="18"/>
                <w:lang w:bidi="ar-SA"/>
              </w:rPr>
              <w:lastRenderedPageBreak/>
              <w:t>wpisu w księdze wieczystej muszą być opatrzone klauzulą właściwego organu prowadzącego ewidencję gruntów i budynków stwierdzającą, że są przeznaczone do dokonywania wpisów w księgach wieczystych.</w:t>
            </w:r>
          </w:p>
          <w:p w14:paraId="49FFFD7A"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r w:rsidRPr="005A61A3">
              <w:rPr>
                <w:rFonts w:ascii="Lato" w:hAnsi="Lato" w:cs="Calibri"/>
                <w:color w:val="auto"/>
                <w:sz w:val="18"/>
                <w:szCs w:val="18"/>
                <w:lang w:bidi="ar-SA"/>
              </w:rPr>
              <w:t xml:space="preserve">Powyższe przepisy regulują kwestię sprostowania oznaczenia nieruchomości w księdze wieczystej przez sąd. </w:t>
            </w:r>
            <w:r w:rsidRPr="005A61A3">
              <w:rPr>
                <w:rFonts w:ascii="Lato" w:hAnsi="Lato" w:cs="Calibri"/>
                <w:b/>
                <w:bCs/>
                <w:color w:val="auto"/>
                <w:sz w:val="18"/>
                <w:szCs w:val="18"/>
                <w:u w:val="single"/>
                <w:lang w:bidi="ar-SA"/>
              </w:rPr>
              <w:t>Na podstawie tych przepisów należy wyprowadzić normę kompetencyjną sądu wieczystoksięgowego do przedmiotowego sprostowania. Natomiast proponowany w projekcie przepis wprowadzałby nowy rodzaj podstaw wpisu do księgi wieczystej niezgodny z przedstawionymi wyżej regulacjami.</w:t>
            </w:r>
            <w:r w:rsidRPr="005A61A3">
              <w:rPr>
                <w:rFonts w:ascii="Lato" w:hAnsi="Lato" w:cs="Calibri"/>
                <w:color w:val="auto"/>
                <w:sz w:val="18"/>
                <w:szCs w:val="18"/>
                <w:lang w:bidi="ar-SA"/>
              </w:rPr>
              <w:t xml:space="preserve"> Faktem jest, że w obowiązującym stanie prawnym nie ma podstaw prawnych do dokonania wpisu w księdze wieczystej na podstawie dokumentów w postaci elektronicznej przesyłanych do sądu za pośrednictwem sytemu ZSIN. Brak jest regulacji na poziomie ustawowym wskazujących, że dokumenty (zawiadomienie o zmianach oznaczenia nieruchomości wraz z załącznikami – dokumentami geodezyjnymi – wytworzonymi w postaci elektronicznej) przekazywane sądowi za pośrednictwem ZSIN stanowią podstawę wpisu w księdze wieczystej. Dopuszczenie w szerokim zakresie możliwości dokonywania wpisów w księgach wieczystych na podstawie dokumentów w postaci elektronicznej musi się wiązać z istotną zmianą regulacji dotyczących akt księgi wieczystej. </w:t>
            </w:r>
            <w:r w:rsidRPr="005A61A3">
              <w:rPr>
                <w:rFonts w:ascii="Lato" w:hAnsi="Lato" w:cs="Calibri"/>
                <w:b/>
                <w:bCs/>
                <w:color w:val="auto"/>
                <w:sz w:val="18"/>
                <w:szCs w:val="18"/>
                <w:u w:val="single"/>
                <w:lang w:bidi="ar-SA"/>
              </w:rPr>
              <w:t>Należy w szczególności opracować rozwiązania informatyczno-techniczne dotyczące gromadzenia dokumentacji w postaci elektronicznej, jej przechowywania, a przede wszystkim jej udostępniania. Akta księgi wieczystej powinny być bowiem jednolicie udostępniane uprawnionym niezależnie od tego, w jakiej postaci sporządzono złożone do nich dokumenty. Brak</w:t>
            </w:r>
            <w:r w:rsidRPr="005A61A3">
              <w:rPr>
                <w:rFonts w:ascii="Lato" w:hAnsi="Lato" w:cs="Calibri"/>
                <w:color w:val="auto"/>
                <w:sz w:val="18"/>
                <w:szCs w:val="18"/>
                <w:lang w:bidi="ar-SA"/>
              </w:rPr>
              <w:t xml:space="preserve"> </w:t>
            </w:r>
            <w:r w:rsidRPr="005A61A3">
              <w:rPr>
                <w:rFonts w:ascii="Lato" w:hAnsi="Lato" w:cs="Calibri"/>
                <w:b/>
                <w:bCs/>
                <w:color w:val="auto"/>
                <w:sz w:val="18"/>
                <w:szCs w:val="18"/>
                <w:u w:val="single"/>
                <w:lang w:bidi="ar-SA"/>
              </w:rPr>
              <w:t xml:space="preserve">spójnych zmian, które miałyby umożliwić powoływanie się na dokument w postaci elektronicznej doprowadzi w praktyce do sytuacji, że otrzymany przez wydział ksiąg wieczystych dokument elektroniczny nie będzie mógł być załączony do akt księgi wieczystej, chociażby przez brak </w:t>
            </w:r>
            <w:r w:rsidRPr="005A61A3">
              <w:rPr>
                <w:rFonts w:ascii="Lato" w:hAnsi="Lato" w:cs="Calibri"/>
                <w:b/>
                <w:bCs/>
                <w:color w:val="auto"/>
                <w:sz w:val="18"/>
                <w:szCs w:val="18"/>
                <w:u w:val="single"/>
                <w:lang w:bidi="ar-SA"/>
              </w:rPr>
              <w:lastRenderedPageBreak/>
              <w:t>stosownych rozwiązań prawnych czy technicznych związanych ze sposobem przechowywania takiego dokumentu w systemie. Brak koherencji pomiędzy projektowanym przepisem, a ustawą o księgach wieczystych i hipoteką czy Kodeksem postępowania cywilnego w zakresie postępowania wieczystoksięgowego uniemożliwi faktyczne wykonanie projektowanego przepisu.</w:t>
            </w:r>
          </w:p>
          <w:p w14:paraId="7CAC0709" w14:textId="77777777" w:rsidR="00A1261B" w:rsidRPr="005A61A3" w:rsidRDefault="00A1261B" w:rsidP="009B06B7">
            <w:pPr>
              <w:widowControl/>
              <w:autoSpaceDE w:val="0"/>
              <w:autoSpaceDN w:val="0"/>
              <w:adjustRightInd w:val="0"/>
              <w:spacing w:before="120" w:after="120"/>
              <w:ind w:left="127" w:right="134"/>
              <w:rPr>
                <w:rFonts w:ascii="Lato" w:hAnsi="Lato" w:cs="Calibri"/>
                <w:b/>
                <w:bCs/>
                <w:color w:val="auto"/>
                <w:sz w:val="18"/>
                <w:szCs w:val="18"/>
                <w:u w:val="single"/>
                <w:lang w:bidi="ar-SA"/>
              </w:rPr>
            </w:pPr>
            <w:r w:rsidRPr="005A61A3">
              <w:rPr>
                <w:rFonts w:ascii="Lato" w:hAnsi="Lato" w:cs="Calibri"/>
                <w:b/>
                <w:bCs/>
                <w:color w:val="auto"/>
                <w:sz w:val="18"/>
                <w:szCs w:val="18"/>
                <w:u w:val="single"/>
                <w:lang w:bidi="ar-SA"/>
              </w:rPr>
              <w:t>Widzi się potrzebę zmiany przepisów w zakresie, w którym ustawodawca pozwoliłby przyjąć, że elektroniczne dokumenty geodezyjne, przesyłane do sądu za pośrednictwem systemu teleinformatycznego wraz z zawiadomieniem z ZSIN o zmianie oznaczenia nieruchomości, staną się podstawą wpisu do księgi wieczystej.</w:t>
            </w:r>
          </w:p>
          <w:p w14:paraId="6E96DCAD" w14:textId="77777777" w:rsidR="00A1261B" w:rsidRPr="005A61A3" w:rsidRDefault="00A1261B" w:rsidP="009B06B7">
            <w:pPr>
              <w:widowControl/>
              <w:autoSpaceDE w:val="0"/>
              <w:autoSpaceDN w:val="0"/>
              <w:adjustRightInd w:val="0"/>
              <w:spacing w:before="120" w:after="120"/>
              <w:ind w:left="127" w:right="134"/>
              <w:rPr>
                <w:rFonts w:ascii="Lato" w:hAnsi="Lato" w:cs="Calibri"/>
                <w:b/>
                <w:bCs/>
                <w:color w:val="auto"/>
                <w:sz w:val="18"/>
                <w:szCs w:val="18"/>
                <w:u w:val="single"/>
                <w:lang w:bidi="ar-SA"/>
              </w:rPr>
            </w:pPr>
            <w:r w:rsidRPr="005A61A3">
              <w:rPr>
                <w:rFonts w:ascii="Lato" w:hAnsi="Lato" w:cs="Calibri"/>
                <w:b/>
                <w:bCs/>
                <w:color w:val="auto"/>
                <w:sz w:val="18"/>
                <w:szCs w:val="18"/>
                <w:u w:val="single"/>
                <w:lang w:bidi="ar-SA"/>
              </w:rPr>
              <w:t>W związku z tym w chwili obecnej trwają intensywne prace analityczno-koncepcyjne nad stworzeniem regulacji prawnych, które kompleksowo uregulują materię dotyczącą przechowywania, gromadzenia oraz udostępniania dokumentów elektronicznych oraz prowadzenia hybrydowych akt księgi wieczystej, a także umożliwiających weryfikację istnienia i treści takiego dokumentu.</w:t>
            </w:r>
          </w:p>
          <w:p w14:paraId="2C9CD528" w14:textId="77777777" w:rsidR="00A1261B" w:rsidRPr="005A61A3" w:rsidRDefault="00A1261B" w:rsidP="009B06B7">
            <w:pPr>
              <w:widowControl/>
              <w:autoSpaceDE w:val="0"/>
              <w:autoSpaceDN w:val="0"/>
              <w:adjustRightInd w:val="0"/>
              <w:spacing w:before="120" w:after="120"/>
              <w:ind w:left="127" w:right="134"/>
              <w:rPr>
                <w:rFonts w:ascii="Lato" w:hAnsi="Lato" w:cs="Calibri"/>
                <w:b/>
                <w:bCs/>
                <w:color w:val="auto"/>
                <w:sz w:val="18"/>
                <w:szCs w:val="18"/>
                <w:u w:val="single"/>
                <w:lang w:bidi="ar-SA"/>
              </w:rPr>
            </w:pPr>
            <w:r w:rsidRPr="005A61A3">
              <w:rPr>
                <w:rFonts w:ascii="Lato" w:hAnsi="Lato" w:cs="Calibri"/>
                <w:b/>
                <w:bCs/>
                <w:color w:val="auto"/>
                <w:sz w:val="18"/>
                <w:szCs w:val="18"/>
                <w:u w:val="single"/>
                <w:lang w:bidi="ar-SA"/>
              </w:rPr>
              <w:t>Wobec braku takich uregulowań koniecznym jest wprowadzenie w tym zakresie regulacji prawnych rangi ustawowej, jednakże w ramach ustaw, które swym zakresem przedmiotowym obejmują problematykę postępowania wieczystoksięgowego. Wstępna analiza dotycząca ewentualnych zmian legislacyjnych prowadzi do wniosku, że należy dokonać zmian legislacyjnych w szeregu aktów prawnych, w tym w ustawie z dnia 17 listopada 1964 r. Kodeks postępowania cywilnego, w ustawie z dnia 6 lipca 1982 r. o księgach wieczystych i hipotece, w rozporządzeniu Ministra Sprawiedliwości z dnia 17 września 2001 r. w</w:t>
            </w:r>
            <w:r w:rsidRPr="005A61A3">
              <w:rPr>
                <w:rFonts w:ascii="Lato" w:hAnsi="Lato" w:cs="Calibri"/>
                <w:color w:val="auto"/>
                <w:sz w:val="18"/>
                <w:szCs w:val="18"/>
                <w:lang w:bidi="ar-SA"/>
              </w:rPr>
              <w:t xml:space="preserve"> </w:t>
            </w:r>
            <w:r w:rsidRPr="005A61A3">
              <w:rPr>
                <w:rFonts w:ascii="Lato" w:hAnsi="Lato" w:cs="Calibri"/>
                <w:b/>
                <w:bCs/>
                <w:color w:val="auto"/>
                <w:sz w:val="18"/>
                <w:szCs w:val="18"/>
                <w:u w:val="single"/>
                <w:lang w:bidi="ar-SA"/>
              </w:rPr>
              <w:t xml:space="preserve">sprawie prowadzenia ksiąg wieczystych i zbiorów dokumentów (Dz. U. z 2015 r. poz. 251), w rozporządzeniu Ministra Sprawiedliwości z dnia 15 lutego 2016 r. w sprawie zakładania i prowadzenia ksiąg </w:t>
            </w:r>
            <w:r w:rsidRPr="005A61A3">
              <w:rPr>
                <w:rFonts w:ascii="Lato" w:hAnsi="Lato" w:cs="Calibri"/>
                <w:b/>
                <w:bCs/>
                <w:color w:val="auto"/>
                <w:sz w:val="18"/>
                <w:szCs w:val="18"/>
                <w:u w:val="single"/>
                <w:lang w:bidi="ar-SA"/>
              </w:rPr>
              <w:lastRenderedPageBreak/>
              <w:t>wieczystych w systemie teleinformatycznym, w rozporządzeniu Ministra Sprawiedliwości z dnia 18 czerwca 2019 r. Regulamin urzędowania sądów powszechnych (</w:t>
            </w:r>
            <w:proofErr w:type="spellStart"/>
            <w:r w:rsidRPr="005A61A3">
              <w:rPr>
                <w:rFonts w:ascii="Lato" w:hAnsi="Lato" w:cs="Calibri"/>
                <w:b/>
                <w:bCs/>
                <w:color w:val="auto"/>
                <w:sz w:val="18"/>
                <w:szCs w:val="18"/>
                <w:u w:val="single"/>
                <w:lang w:bidi="ar-SA"/>
              </w:rPr>
              <w:t>t.j</w:t>
            </w:r>
            <w:proofErr w:type="spellEnd"/>
            <w:r w:rsidRPr="005A61A3">
              <w:rPr>
                <w:rFonts w:ascii="Lato" w:hAnsi="Lato" w:cs="Calibri"/>
                <w:b/>
                <w:bCs/>
                <w:color w:val="auto"/>
                <w:sz w:val="18"/>
                <w:szCs w:val="18"/>
                <w:u w:val="single"/>
                <w:lang w:bidi="ar-SA"/>
              </w:rPr>
              <w:t xml:space="preserve">. Dz. U. z 2024 r., poz. 867 ze zm.), a także w zarządzeniu Ministra Sprawiedliwości z dnia 19 czerwca 2019 r. w sprawie organizacji i zakresu działania sekretariatów sądowych oraz innych działów administracji sądowej (Dz. Urz. Min. </w:t>
            </w:r>
            <w:proofErr w:type="spellStart"/>
            <w:r w:rsidRPr="005A61A3">
              <w:rPr>
                <w:rFonts w:ascii="Lato" w:hAnsi="Lato" w:cs="Calibri"/>
                <w:b/>
                <w:bCs/>
                <w:color w:val="auto"/>
                <w:sz w:val="18"/>
                <w:szCs w:val="18"/>
                <w:u w:val="single"/>
                <w:lang w:bidi="ar-SA"/>
              </w:rPr>
              <w:t>Sprawiedl</w:t>
            </w:r>
            <w:proofErr w:type="spellEnd"/>
            <w:r w:rsidRPr="005A61A3">
              <w:rPr>
                <w:rFonts w:ascii="Lato" w:hAnsi="Lato" w:cs="Calibri"/>
                <w:b/>
                <w:bCs/>
                <w:color w:val="auto"/>
                <w:sz w:val="18"/>
                <w:szCs w:val="18"/>
                <w:u w:val="single"/>
                <w:lang w:bidi="ar-SA"/>
              </w:rPr>
              <w:t>. z 2024 r., poz. 293).</w:t>
            </w:r>
          </w:p>
          <w:p w14:paraId="17AA2032" w14:textId="77777777" w:rsidR="00A1261B" w:rsidRPr="005A61A3" w:rsidRDefault="00A1261B" w:rsidP="009B06B7">
            <w:pPr>
              <w:widowControl/>
              <w:autoSpaceDE w:val="0"/>
              <w:autoSpaceDN w:val="0"/>
              <w:adjustRightInd w:val="0"/>
              <w:spacing w:before="120" w:after="120"/>
              <w:ind w:left="127" w:right="134"/>
              <w:rPr>
                <w:rFonts w:ascii="Lato" w:hAnsi="Lato" w:cs="Calibri"/>
                <w:color w:val="auto"/>
                <w:sz w:val="18"/>
                <w:szCs w:val="18"/>
                <w:lang w:bidi="ar-SA"/>
              </w:rPr>
            </w:pPr>
          </w:p>
          <w:p w14:paraId="74A1EEA2" w14:textId="77777777" w:rsidR="00A1261B" w:rsidRPr="005A61A3" w:rsidRDefault="00A1261B" w:rsidP="009B06B7">
            <w:pPr>
              <w:widowControl/>
              <w:autoSpaceDE w:val="0"/>
              <w:autoSpaceDN w:val="0"/>
              <w:adjustRightInd w:val="0"/>
              <w:spacing w:before="120" w:after="120"/>
              <w:ind w:left="127" w:right="134"/>
              <w:rPr>
                <w:rFonts w:ascii="Lato" w:hAnsi="Lato" w:cs="Calibri"/>
                <w:b/>
                <w:bCs/>
                <w:color w:val="auto"/>
                <w:sz w:val="18"/>
                <w:szCs w:val="18"/>
                <w:u w:val="single"/>
                <w:lang w:bidi="ar-SA"/>
              </w:rPr>
            </w:pPr>
          </w:p>
          <w:p w14:paraId="034CC034" w14:textId="77777777" w:rsidR="00A1261B" w:rsidRPr="005A61A3" w:rsidRDefault="00A1261B" w:rsidP="009B06B7">
            <w:pPr>
              <w:widowControl/>
              <w:autoSpaceDE w:val="0"/>
              <w:autoSpaceDN w:val="0"/>
              <w:adjustRightInd w:val="0"/>
              <w:spacing w:before="120" w:after="120"/>
              <w:ind w:left="127" w:right="134"/>
              <w:rPr>
                <w:rFonts w:ascii="Lato" w:hAnsi="Lato" w:cs="Calibri"/>
                <w:b/>
                <w:bCs/>
                <w:color w:val="auto"/>
                <w:sz w:val="18"/>
                <w:szCs w:val="18"/>
                <w:u w:val="single"/>
                <w:lang w:bidi="ar-SA"/>
              </w:rPr>
            </w:pPr>
          </w:p>
          <w:p w14:paraId="09853785" w14:textId="77777777" w:rsidR="00A1261B" w:rsidRPr="005A61A3" w:rsidRDefault="00A1261B" w:rsidP="009B06B7">
            <w:pPr>
              <w:pStyle w:val="Inne0"/>
              <w:shd w:val="clear" w:color="auto" w:fill="auto"/>
              <w:spacing w:before="120" w:after="120"/>
              <w:ind w:left="127" w:right="134"/>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FFE67AC" w14:textId="7777777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nie została uwzględniona.</w:t>
            </w:r>
          </w:p>
          <w:p w14:paraId="2837FFB2" w14:textId="18B1F0DF" w:rsidR="00C2557D" w:rsidRDefault="00D74456" w:rsidP="007512B7">
            <w:pPr>
              <w:pStyle w:val="Inne0"/>
              <w:spacing w:before="120" w:after="120"/>
              <w:ind w:left="131" w:right="138"/>
              <w:rPr>
                <w:rFonts w:ascii="Lato" w:hAnsi="Lato" w:cs="Calibri"/>
                <w:color w:val="auto"/>
                <w:sz w:val="18"/>
                <w:szCs w:val="18"/>
                <w:lang w:bidi="ar-SA"/>
              </w:rPr>
            </w:pPr>
            <w:r>
              <w:rPr>
                <w:rFonts w:ascii="Lato" w:eastAsia="Arial" w:hAnsi="Lato" w:cs="Arial"/>
                <w:sz w:val="18"/>
                <w:szCs w:val="18"/>
              </w:rPr>
              <w:t xml:space="preserve">Przepisy ustawy PGIK regulują kwestię </w:t>
            </w:r>
            <w:r w:rsidRPr="00D74456">
              <w:rPr>
                <w:rFonts w:ascii="Lato" w:eastAsia="Arial" w:hAnsi="Lato" w:cs="Arial"/>
                <w:sz w:val="18"/>
                <w:szCs w:val="18"/>
              </w:rPr>
              <w:t>wymian</w:t>
            </w:r>
            <w:r>
              <w:rPr>
                <w:rFonts w:ascii="Lato" w:eastAsia="Arial" w:hAnsi="Lato" w:cs="Arial"/>
                <w:sz w:val="18"/>
                <w:szCs w:val="18"/>
              </w:rPr>
              <w:t>y</w:t>
            </w:r>
            <w:r w:rsidRPr="00D74456">
              <w:rPr>
                <w:rFonts w:ascii="Lato" w:eastAsia="Arial" w:hAnsi="Lato" w:cs="Arial"/>
                <w:sz w:val="18"/>
                <w:szCs w:val="18"/>
              </w:rPr>
              <w:t xml:space="preserve"> danych w formie dokumentów elektronicznych między ewidencją gruntów i budynków a innymi rejestrami publicznymi, takimi jak: księga wieczysta</w:t>
            </w:r>
            <w:r w:rsidR="00C2557D">
              <w:rPr>
                <w:rFonts w:ascii="Lato" w:eastAsia="Arial" w:hAnsi="Lato" w:cs="Arial"/>
                <w:sz w:val="18"/>
                <w:szCs w:val="18"/>
              </w:rPr>
              <w:t xml:space="preserve"> poprzez zintegrowany system informacji o nieruchomościach (ZSIN). Jednocześnie nie można zgodzić się z </w:t>
            </w:r>
            <w:r w:rsidR="00C2557D">
              <w:rPr>
                <w:rFonts w:ascii="Lato" w:eastAsia="Arial" w:hAnsi="Lato" w:cs="Arial"/>
                <w:sz w:val="18"/>
                <w:szCs w:val="18"/>
              </w:rPr>
              <w:lastRenderedPageBreak/>
              <w:t xml:space="preserve">twierdzeniem, że </w:t>
            </w:r>
            <w:r w:rsidR="00C2557D" w:rsidRPr="005A61A3">
              <w:rPr>
                <w:rFonts w:ascii="Lato" w:hAnsi="Lato" w:cs="Calibri"/>
                <w:color w:val="auto"/>
                <w:sz w:val="18"/>
                <w:szCs w:val="18"/>
                <w:lang w:bidi="ar-SA"/>
              </w:rPr>
              <w:t>w obowiązującym stanie prawnym nie ma podstaw prawnych do dokonania wpisu w księdze wieczystej na podstawie dokumentów w postaci elektronicznej przesyłanych do sądu za pośrednictwem sytemu ZSIN</w:t>
            </w:r>
            <w:r w:rsidR="00C2557D">
              <w:rPr>
                <w:rFonts w:ascii="Lato" w:hAnsi="Lato" w:cs="Calibri"/>
                <w:color w:val="auto"/>
                <w:sz w:val="18"/>
                <w:szCs w:val="18"/>
                <w:lang w:bidi="ar-SA"/>
              </w:rPr>
              <w:t xml:space="preserve">. </w:t>
            </w:r>
          </w:p>
          <w:p w14:paraId="20A78B31" w14:textId="5B7B893E" w:rsidR="009D1BDD" w:rsidRDefault="00C2557D" w:rsidP="009D1BDD">
            <w:pPr>
              <w:pStyle w:val="Inne0"/>
              <w:spacing w:before="120" w:after="120"/>
              <w:ind w:left="131" w:right="138"/>
              <w:rPr>
                <w:rFonts w:ascii="Lato" w:eastAsia="Arial" w:hAnsi="Lato" w:cs="Arial"/>
                <w:sz w:val="18"/>
                <w:szCs w:val="18"/>
              </w:rPr>
            </w:pPr>
            <w:r>
              <w:rPr>
                <w:rFonts w:ascii="Lato" w:hAnsi="Lato" w:cs="Calibri"/>
                <w:color w:val="auto"/>
                <w:sz w:val="18"/>
                <w:szCs w:val="18"/>
                <w:lang w:bidi="ar-SA"/>
              </w:rPr>
              <w:t xml:space="preserve">Należy zauważyć, że przepisy </w:t>
            </w:r>
            <w:r w:rsidRPr="007512B7">
              <w:rPr>
                <w:rFonts w:ascii="Lato" w:eastAsia="Arial" w:hAnsi="Lato" w:cs="Arial"/>
                <w:sz w:val="18"/>
                <w:szCs w:val="18"/>
              </w:rPr>
              <w:t xml:space="preserve">ustawy z dnia 6 lipca 1982 r. o księgach wieczystych i hipotece </w:t>
            </w:r>
            <w:r w:rsidRPr="00C2557D">
              <w:rPr>
                <w:rFonts w:ascii="Lato" w:eastAsia="Arial" w:hAnsi="Lato" w:cs="Arial"/>
                <w:sz w:val="18"/>
                <w:szCs w:val="18"/>
              </w:rPr>
              <w:t>(Dz.U. z 2025 r. poz. 341</w:t>
            </w:r>
            <w:r>
              <w:rPr>
                <w:rFonts w:ascii="Lato" w:eastAsia="Arial" w:hAnsi="Lato" w:cs="Arial"/>
                <w:sz w:val="18"/>
                <w:szCs w:val="18"/>
              </w:rPr>
              <w:t xml:space="preserve">,  z </w:t>
            </w:r>
            <w:proofErr w:type="spellStart"/>
            <w:r>
              <w:rPr>
                <w:rFonts w:ascii="Lato" w:eastAsia="Arial" w:hAnsi="Lato" w:cs="Arial"/>
                <w:sz w:val="18"/>
                <w:szCs w:val="18"/>
              </w:rPr>
              <w:t>późn</w:t>
            </w:r>
            <w:proofErr w:type="spellEnd"/>
            <w:r>
              <w:rPr>
                <w:rFonts w:ascii="Lato" w:eastAsia="Arial" w:hAnsi="Lato" w:cs="Arial"/>
                <w:sz w:val="18"/>
                <w:szCs w:val="18"/>
              </w:rPr>
              <w:t>. zm.</w:t>
            </w:r>
            <w:r w:rsidRPr="00C2557D">
              <w:rPr>
                <w:rFonts w:ascii="Lato" w:eastAsia="Arial" w:hAnsi="Lato" w:cs="Arial"/>
                <w:sz w:val="18"/>
                <w:szCs w:val="18"/>
              </w:rPr>
              <w:t>)</w:t>
            </w:r>
            <w:r>
              <w:rPr>
                <w:rFonts w:ascii="Lato" w:eastAsia="Arial" w:hAnsi="Lato" w:cs="Arial"/>
                <w:sz w:val="18"/>
                <w:szCs w:val="18"/>
              </w:rPr>
              <w:t>, w szczególności art. 25</w:t>
            </w:r>
            <w:r w:rsidRPr="00C2557D">
              <w:rPr>
                <w:rFonts w:ascii="Lato" w:eastAsia="Arial" w:hAnsi="Lato" w:cs="Arial"/>
                <w:sz w:val="18"/>
                <w:szCs w:val="18"/>
                <w:vertAlign w:val="superscript"/>
              </w:rPr>
              <w:t>1</w:t>
            </w:r>
            <w:r>
              <w:rPr>
                <w:rFonts w:ascii="Lato" w:eastAsia="Arial" w:hAnsi="Lato" w:cs="Arial"/>
                <w:sz w:val="18"/>
                <w:szCs w:val="18"/>
              </w:rPr>
              <w:t>, art. 28, art. 36</w:t>
            </w:r>
            <w:r w:rsidRPr="00C2557D">
              <w:rPr>
                <w:rFonts w:ascii="Lato" w:eastAsia="Arial" w:hAnsi="Lato" w:cs="Arial"/>
                <w:sz w:val="18"/>
                <w:szCs w:val="18"/>
                <w:vertAlign w:val="superscript"/>
              </w:rPr>
              <w:t>1</w:t>
            </w:r>
            <w:r>
              <w:rPr>
                <w:rFonts w:ascii="Lato" w:eastAsia="Arial" w:hAnsi="Lato" w:cs="Arial"/>
                <w:sz w:val="18"/>
                <w:szCs w:val="18"/>
                <w:vertAlign w:val="superscript"/>
              </w:rPr>
              <w:t xml:space="preserve"> </w:t>
            </w:r>
            <w:r>
              <w:rPr>
                <w:rFonts w:ascii="Lato" w:eastAsia="Arial" w:hAnsi="Lato" w:cs="Arial"/>
                <w:sz w:val="18"/>
                <w:szCs w:val="18"/>
              </w:rPr>
              <w:t xml:space="preserve">tej ustawy, nie narzucają obowiązku prowadzenia akt księgi wieczystej w postaci papierowej a sama ustawa powyższa nie ogranicza w tym zakresie możliwości przekazywania dokumentów w postaci cyfrowej. Ponadto zgodnie z art. 31 ust. 1 ww. ustawy przepisy szczególne mogą określać formę dokumentu stanowiącego </w:t>
            </w:r>
            <w:r w:rsidR="009D1BDD">
              <w:rPr>
                <w:rFonts w:ascii="Lato" w:eastAsia="Arial" w:hAnsi="Lato" w:cs="Arial"/>
                <w:sz w:val="18"/>
                <w:szCs w:val="18"/>
              </w:rPr>
              <w:t xml:space="preserve">podstawę </w:t>
            </w:r>
            <w:r>
              <w:rPr>
                <w:rFonts w:ascii="Lato" w:eastAsia="Arial" w:hAnsi="Lato" w:cs="Arial"/>
                <w:sz w:val="18"/>
                <w:szCs w:val="18"/>
              </w:rPr>
              <w:t>wpis</w:t>
            </w:r>
            <w:r w:rsidR="009D1BDD">
              <w:rPr>
                <w:rFonts w:ascii="Lato" w:eastAsia="Arial" w:hAnsi="Lato" w:cs="Arial"/>
                <w:sz w:val="18"/>
                <w:szCs w:val="18"/>
              </w:rPr>
              <w:t>u do księgi wieczystej</w:t>
            </w:r>
            <w:r w:rsidRPr="00C2557D">
              <w:rPr>
                <w:rFonts w:ascii="Lato" w:eastAsia="Arial" w:hAnsi="Lato" w:cs="Arial"/>
                <w:sz w:val="18"/>
                <w:szCs w:val="18"/>
              </w:rPr>
              <w:t>.</w:t>
            </w:r>
            <w:r w:rsidR="009D1BDD">
              <w:rPr>
                <w:rFonts w:ascii="Lato" w:eastAsia="Arial" w:hAnsi="Lato" w:cs="Arial"/>
                <w:sz w:val="18"/>
                <w:szCs w:val="18"/>
              </w:rPr>
              <w:t xml:space="preserve"> W związku z powyższym projektowane przepisy nie powodują wyłomu w obowiązującym stanie prawnym. Wręcz przeciwnie zgodnie z obowiązującym § 35 ust. 4 rozporządzenia </w:t>
            </w:r>
            <w:r w:rsidR="009D1BDD" w:rsidRPr="009D1BDD">
              <w:rPr>
                <w:rFonts w:ascii="Lato" w:eastAsia="Arial" w:hAnsi="Lato" w:cs="Arial"/>
                <w:sz w:val="18"/>
                <w:szCs w:val="18"/>
              </w:rPr>
              <w:t>z dnia 27 lipca 2021 r.</w:t>
            </w:r>
            <w:r w:rsidR="009D1BDD">
              <w:rPr>
                <w:rFonts w:ascii="Lato" w:eastAsia="Arial" w:hAnsi="Lato" w:cs="Arial"/>
                <w:sz w:val="18"/>
                <w:szCs w:val="18"/>
              </w:rPr>
              <w:t xml:space="preserve"> </w:t>
            </w:r>
            <w:r w:rsidR="009D1BDD" w:rsidRPr="009D1BDD">
              <w:rPr>
                <w:rFonts w:ascii="Lato" w:eastAsia="Arial" w:hAnsi="Lato" w:cs="Arial"/>
                <w:sz w:val="18"/>
                <w:szCs w:val="18"/>
              </w:rPr>
              <w:t>w sprawie ewidencji gruntów i budynków</w:t>
            </w:r>
            <w:r w:rsidR="009D1BDD">
              <w:rPr>
                <w:rFonts w:ascii="Lato" w:eastAsia="Arial" w:hAnsi="Lato" w:cs="Arial"/>
                <w:sz w:val="18"/>
                <w:szCs w:val="18"/>
              </w:rPr>
              <w:t xml:space="preserve"> – już od 2021 r. przepisy prawa zakładały, że z</w:t>
            </w:r>
            <w:r w:rsidR="009D1BDD" w:rsidRPr="009D1BDD">
              <w:rPr>
                <w:rFonts w:ascii="Lato" w:eastAsia="Arial" w:hAnsi="Lato" w:cs="Arial"/>
                <w:sz w:val="18"/>
                <w:szCs w:val="18"/>
              </w:rPr>
              <w:t>awiadomienia</w:t>
            </w:r>
            <w:r w:rsidR="009D1BDD">
              <w:rPr>
                <w:rFonts w:ascii="Lato" w:eastAsia="Arial" w:hAnsi="Lato" w:cs="Arial"/>
                <w:sz w:val="18"/>
                <w:szCs w:val="18"/>
              </w:rPr>
              <w:t xml:space="preserve"> o dokonanych zmianach w danych ewidencyjnych </w:t>
            </w:r>
            <w:r w:rsidR="009D1BDD" w:rsidRPr="009D1BDD">
              <w:rPr>
                <w:rFonts w:ascii="Lato" w:eastAsia="Arial" w:hAnsi="Lato" w:cs="Arial"/>
                <w:sz w:val="18"/>
                <w:szCs w:val="18"/>
              </w:rPr>
              <w:t>sporządza się w postaci dokumentu elektronicznego i doręcza się</w:t>
            </w:r>
            <w:r w:rsidR="009D1BDD">
              <w:rPr>
                <w:rFonts w:ascii="Lato" w:eastAsia="Arial" w:hAnsi="Lato" w:cs="Arial"/>
                <w:sz w:val="18"/>
                <w:szCs w:val="18"/>
              </w:rPr>
              <w:t xml:space="preserve"> do </w:t>
            </w:r>
            <w:r w:rsidR="009D1BDD" w:rsidRPr="009D1BDD">
              <w:rPr>
                <w:rFonts w:ascii="Lato" w:eastAsia="Arial" w:hAnsi="Lato" w:cs="Arial"/>
                <w:sz w:val="18"/>
                <w:szCs w:val="18"/>
              </w:rPr>
              <w:t>wydział</w:t>
            </w:r>
            <w:r w:rsidR="009D1BDD">
              <w:rPr>
                <w:rFonts w:ascii="Lato" w:eastAsia="Arial" w:hAnsi="Lato" w:cs="Arial"/>
                <w:sz w:val="18"/>
                <w:szCs w:val="18"/>
              </w:rPr>
              <w:t>ów</w:t>
            </w:r>
            <w:r w:rsidR="009D1BDD" w:rsidRPr="009D1BDD">
              <w:rPr>
                <w:rFonts w:ascii="Lato" w:eastAsia="Arial" w:hAnsi="Lato" w:cs="Arial"/>
                <w:sz w:val="18"/>
                <w:szCs w:val="18"/>
              </w:rPr>
              <w:t xml:space="preserve"> ksiąg wieczystych właściwego miejscowo sądu rejonowego - </w:t>
            </w:r>
            <w:r w:rsidR="009D1BDD">
              <w:rPr>
                <w:rFonts w:ascii="Lato" w:eastAsia="Arial" w:hAnsi="Lato" w:cs="Arial"/>
                <w:sz w:val="18"/>
                <w:szCs w:val="18"/>
              </w:rPr>
              <w:t>poprzez ZSIN</w:t>
            </w:r>
            <w:r w:rsidR="009D1BDD" w:rsidRPr="009D1BDD">
              <w:rPr>
                <w:rFonts w:ascii="Lato" w:eastAsia="Arial" w:hAnsi="Lato" w:cs="Arial"/>
                <w:sz w:val="18"/>
                <w:szCs w:val="18"/>
              </w:rPr>
              <w:t>.</w:t>
            </w:r>
          </w:p>
          <w:p w14:paraId="35F654C4" w14:textId="49D60194" w:rsidR="009D1BDD" w:rsidRDefault="009D1BDD" w:rsidP="009D1BDD">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Należy jednocześnie wskazać, że przepisy </w:t>
            </w:r>
            <w:r w:rsidR="00F16BFF">
              <w:rPr>
                <w:rFonts w:ascii="Lato" w:eastAsia="Arial" w:hAnsi="Lato" w:cs="Arial"/>
                <w:sz w:val="18"/>
                <w:szCs w:val="18"/>
              </w:rPr>
              <w:t xml:space="preserve">projektowanej ustawy są </w:t>
            </w:r>
            <w:r>
              <w:rPr>
                <w:rFonts w:ascii="Lato" w:eastAsia="Arial" w:hAnsi="Lato" w:cs="Arial"/>
                <w:sz w:val="18"/>
                <w:szCs w:val="18"/>
              </w:rPr>
              <w:t xml:space="preserve">zgodne z </w:t>
            </w:r>
            <w:r w:rsidR="00F16BFF">
              <w:rPr>
                <w:rFonts w:ascii="Lato" w:eastAsia="Arial" w:hAnsi="Lato" w:cs="Arial"/>
                <w:sz w:val="18"/>
                <w:szCs w:val="18"/>
              </w:rPr>
              <w:t>przepisami</w:t>
            </w:r>
            <w:r w:rsidRPr="009D1BDD">
              <w:rPr>
                <w:rFonts w:ascii="Lato" w:eastAsia="Arial" w:hAnsi="Lato" w:cs="Arial"/>
                <w:sz w:val="18"/>
                <w:szCs w:val="18"/>
              </w:rPr>
              <w:t xml:space="preserve"> zarządzenia </w:t>
            </w:r>
            <w:r>
              <w:rPr>
                <w:rFonts w:ascii="Lato" w:eastAsia="Arial" w:hAnsi="Lato" w:cs="Arial"/>
                <w:sz w:val="18"/>
                <w:szCs w:val="18"/>
              </w:rPr>
              <w:t>M</w:t>
            </w:r>
            <w:r w:rsidRPr="009D1BDD">
              <w:rPr>
                <w:rFonts w:ascii="Lato" w:eastAsia="Arial" w:hAnsi="Lato" w:cs="Arial"/>
                <w:sz w:val="18"/>
                <w:szCs w:val="18"/>
              </w:rPr>
              <w:t xml:space="preserve">inistra </w:t>
            </w:r>
            <w:r>
              <w:rPr>
                <w:rFonts w:ascii="Lato" w:eastAsia="Arial" w:hAnsi="Lato" w:cs="Arial"/>
                <w:sz w:val="18"/>
                <w:szCs w:val="18"/>
              </w:rPr>
              <w:t>S</w:t>
            </w:r>
            <w:r w:rsidRPr="009D1BDD">
              <w:rPr>
                <w:rFonts w:ascii="Lato" w:eastAsia="Arial" w:hAnsi="Lato" w:cs="Arial"/>
                <w:sz w:val="18"/>
                <w:szCs w:val="18"/>
              </w:rPr>
              <w:t xml:space="preserve">prawiedliwości z 19 czerwca 2019 r. </w:t>
            </w:r>
            <w:hyperlink r:id="rId8" w:tgtFrame="_blank" w:history="1">
              <w:r w:rsidRPr="009D1BDD">
                <w:rPr>
                  <w:rFonts w:ascii="Lato" w:eastAsia="Arial" w:hAnsi="Lato" w:cs="Arial"/>
                  <w:sz w:val="18"/>
                  <w:szCs w:val="18"/>
                </w:rPr>
                <w:t>w sprawie organizacji i zakresu działania sekretariatów sądowych oraz innych działów administracji sądowej</w:t>
              </w:r>
            </w:hyperlink>
            <w:r>
              <w:rPr>
                <w:rFonts w:ascii="Lato" w:eastAsia="Arial" w:hAnsi="Lato" w:cs="Arial"/>
                <w:sz w:val="18"/>
                <w:szCs w:val="18"/>
              </w:rPr>
              <w:t xml:space="preserve"> (Dz.U. M.S. poz. 138), które w § 259 i </w:t>
            </w:r>
            <w:r w:rsidRPr="009D1BDD">
              <w:rPr>
                <w:rFonts w:ascii="Lato" w:eastAsia="Arial" w:hAnsi="Lato" w:cs="Arial"/>
                <w:sz w:val="18"/>
                <w:szCs w:val="18"/>
              </w:rPr>
              <w:t>§ 267 ust. 5 jasno wskazują, że</w:t>
            </w:r>
            <w:r>
              <w:rPr>
                <w:rFonts w:ascii="Lato" w:eastAsia="Arial" w:hAnsi="Lato" w:cs="Arial"/>
                <w:sz w:val="18"/>
                <w:szCs w:val="18"/>
              </w:rPr>
              <w:t xml:space="preserve"> z</w:t>
            </w:r>
            <w:r w:rsidRPr="009D1BDD">
              <w:rPr>
                <w:rFonts w:ascii="Lato" w:eastAsia="Arial" w:hAnsi="Lato" w:cs="Arial"/>
                <w:sz w:val="18"/>
                <w:szCs w:val="18"/>
              </w:rPr>
              <w:t xml:space="preserve">awiadomienia o zmianie danych w </w:t>
            </w:r>
            <w:r>
              <w:rPr>
                <w:rFonts w:ascii="Lato" w:eastAsia="Arial" w:hAnsi="Lato" w:cs="Arial"/>
                <w:sz w:val="18"/>
                <w:szCs w:val="18"/>
              </w:rPr>
              <w:t>ewidencji gruntów i budynków</w:t>
            </w:r>
            <w:r w:rsidRPr="009D1BDD">
              <w:rPr>
                <w:rFonts w:ascii="Lato" w:eastAsia="Arial" w:hAnsi="Lato" w:cs="Arial"/>
                <w:sz w:val="18"/>
                <w:szCs w:val="18"/>
              </w:rPr>
              <w:t xml:space="preserve">, przekazywane w formie dokumentów elektronicznych w ramach infrastruktury </w:t>
            </w:r>
            <w:r>
              <w:rPr>
                <w:rFonts w:ascii="Lato" w:eastAsia="Arial" w:hAnsi="Lato" w:cs="Arial"/>
                <w:sz w:val="18"/>
                <w:szCs w:val="18"/>
              </w:rPr>
              <w:t xml:space="preserve">ZSIN powinny być </w:t>
            </w:r>
            <w:r w:rsidRPr="009D1BDD">
              <w:rPr>
                <w:rFonts w:ascii="Lato" w:eastAsia="Arial" w:hAnsi="Lato" w:cs="Arial"/>
                <w:sz w:val="18"/>
                <w:szCs w:val="18"/>
              </w:rPr>
              <w:t>automatycznie rejestrowane pod kolejnymi numerami dziennika</w:t>
            </w:r>
            <w:r>
              <w:rPr>
                <w:rFonts w:ascii="Lato" w:eastAsia="Arial" w:hAnsi="Lato" w:cs="Arial"/>
                <w:sz w:val="18"/>
                <w:szCs w:val="18"/>
              </w:rPr>
              <w:t xml:space="preserve"> i </w:t>
            </w:r>
            <w:r w:rsidRPr="009D1BDD">
              <w:rPr>
                <w:rFonts w:ascii="Lato" w:eastAsia="Arial" w:hAnsi="Lato" w:cs="Arial"/>
                <w:sz w:val="18"/>
                <w:szCs w:val="18"/>
              </w:rPr>
              <w:t xml:space="preserve">dokumenty </w:t>
            </w:r>
            <w:r>
              <w:rPr>
                <w:rFonts w:ascii="Lato" w:eastAsia="Arial" w:hAnsi="Lato" w:cs="Arial"/>
                <w:sz w:val="18"/>
                <w:szCs w:val="18"/>
              </w:rPr>
              <w:t>te</w:t>
            </w:r>
            <w:r w:rsidRPr="009D1BDD">
              <w:rPr>
                <w:rFonts w:ascii="Lato" w:eastAsia="Arial" w:hAnsi="Lato" w:cs="Arial"/>
                <w:sz w:val="18"/>
                <w:szCs w:val="18"/>
              </w:rPr>
              <w:t xml:space="preserve"> podlegają niezwłocznemu wydrukowaniu i dołączeniu w porządku chronologicznym do akt właściwej księgi wieczystej</w:t>
            </w:r>
            <w:r w:rsidR="00F16BFF">
              <w:rPr>
                <w:rFonts w:ascii="Lato" w:eastAsia="Arial" w:hAnsi="Lato" w:cs="Arial"/>
                <w:sz w:val="18"/>
                <w:szCs w:val="18"/>
              </w:rPr>
              <w:t xml:space="preserve">. Powyższe zarządzenie zostało wydane na podstawie ustawy </w:t>
            </w:r>
            <w:r w:rsidR="00F16BFF" w:rsidRPr="00F16BFF">
              <w:rPr>
                <w:rFonts w:ascii="Lato" w:eastAsia="Arial" w:hAnsi="Lato" w:cs="Arial"/>
                <w:sz w:val="18"/>
                <w:szCs w:val="18"/>
              </w:rPr>
              <w:t>z dnia 27 lipca 2001 r. – Prawo o ustroju sądów powszechnych</w:t>
            </w:r>
            <w:r w:rsidR="00F16BFF">
              <w:rPr>
                <w:rFonts w:ascii="Lato" w:eastAsia="Arial" w:hAnsi="Lato" w:cs="Arial"/>
                <w:sz w:val="18"/>
                <w:szCs w:val="18"/>
              </w:rPr>
              <w:t>, które reguluje funkcjonowanie i organizację sądów wieczysto-księgowych.</w:t>
            </w:r>
          </w:p>
          <w:p w14:paraId="38BAF18A" w14:textId="3C215019" w:rsidR="00F16BFF" w:rsidRPr="009D1BDD" w:rsidRDefault="00F16BFF" w:rsidP="009D1BDD">
            <w:pPr>
              <w:pStyle w:val="Inne0"/>
              <w:spacing w:before="120" w:after="120"/>
              <w:ind w:left="131" w:right="138"/>
              <w:rPr>
                <w:rFonts w:ascii="Lato" w:eastAsia="Arial" w:hAnsi="Lato" w:cs="Arial"/>
                <w:sz w:val="16"/>
                <w:szCs w:val="16"/>
              </w:rPr>
            </w:pPr>
            <w:r>
              <w:rPr>
                <w:rFonts w:ascii="Lato" w:eastAsia="Arial" w:hAnsi="Lato" w:cs="Arial"/>
                <w:sz w:val="18"/>
                <w:szCs w:val="18"/>
              </w:rPr>
              <w:t xml:space="preserve">Mając na względzie powyższe należy stwierdzić, że projektowane przepisy nie nakładają na sądy wieczysto-księgowe nowych obowiązków ani nie wprowadzają przepisów sprzecznych z obowiązującymi regulacjami – </w:t>
            </w:r>
            <w:r>
              <w:rPr>
                <w:rFonts w:ascii="Lato" w:eastAsia="Arial" w:hAnsi="Lato" w:cs="Arial"/>
                <w:sz w:val="18"/>
                <w:szCs w:val="18"/>
              </w:rPr>
              <w:lastRenderedPageBreak/>
              <w:t>egzekwują jedynie od sądów wieczysto-księgowych stosowanie obowiązujących przepisów prawa.</w:t>
            </w:r>
          </w:p>
          <w:p w14:paraId="28F3F6DF" w14:textId="3BD5E088" w:rsidR="00A1261B" w:rsidRPr="0037774A" w:rsidRDefault="00A1261B" w:rsidP="007512B7">
            <w:pPr>
              <w:pStyle w:val="Inne0"/>
              <w:shd w:val="clear" w:color="auto" w:fill="auto"/>
              <w:spacing w:before="120" w:after="120"/>
              <w:ind w:left="131" w:right="138"/>
              <w:rPr>
                <w:rFonts w:ascii="Lato" w:eastAsia="Arial" w:hAnsi="Lato" w:cs="Arial"/>
                <w:sz w:val="18"/>
                <w:szCs w:val="18"/>
              </w:rPr>
            </w:pPr>
          </w:p>
        </w:tc>
      </w:tr>
      <w:tr w:rsidR="00A1261B" w:rsidRPr="0037774A" w14:paraId="3DA45A5B"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226A4E7B"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3517F0D" w14:textId="300E814F"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4DB58648"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eastAsia="Arial" w:hAnsi="Lato" w:cs="Calibri"/>
                <w:b/>
                <w:bCs/>
                <w:color w:val="auto"/>
                <w:sz w:val="18"/>
                <w:szCs w:val="18"/>
                <w:u w:val="single"/>
              </w:rPr>
              <w:t xml:space="preserve">Zgodnie z projektowanym </w:t>
            </w:r>
            <w:r w:rsidRPr="005A61A3">
              <w:rPr>
                <w:rFonts w:ascii="Lato" w:hAnsi="Lato" w:cs="Calibri"/>
                <w:b/>
                <w:bCs/>
                <w:color w:val="auto"/>
                <w:sz w:val="18"/>
                <w:szCs w:val="18"/>
                <w:u w:val="single"/>
                <w:lang w:bidi="ar-SA"/>
              </w:rPr>
              <w:t>w art. 23 ust. 2 ustawy z dnia 17 maja 1989 r. –</w:t>
            </w:r>
            <w:r w:rsidRPr="005A61A3">
              <w:rPr>
                <w:rFonts w:ascii="Lato" w:hAnsi="Lato" w:cs="Calibri"/>
                <w:color w:val="auto"/>
                <w:sz w:val="18"/>
                <w:szCs w:val="18"/>
                <w:lang w:bidi="ar-SA"/>
              </w:rPr>
              <w:t xml:space="preserve"> Prawo geodezyjne i kartograficzne nowym sposobem przekazywania staroście elektronicznych wypisów wskazanych obok czynności notarialnych ma być ich umieszczenie w Centralnym Repozytorium Elektronicznych Wypisów Aktów Notarialnych (CREWAN). Ponadto zgodnie z projektowanym art. 24b ust. 1c ww. ustawy, Krajowa Rada Notarialna zapewnia niezwłoczne przekazywanie za pośrednictwem systemu teleinformatycznego do zintegrowanego systemu informacji o nieruchomościach ww. wypisów czynności notarialnych. W myśl art. 19 ustawy zmieniającej, regulacje te mają wejść w życie w terminie 14 dni od daty ogłoszenia ustawy. Natomiast w art. 11 ust. 2 ustawy zmieniającej przewidziano, że Krajowa Rada Notarialna dostosuje system CREWAN, do jej przepisów dopiero w terminie do 31 grudnia 2027 r.</w:t>
            </w:r>
          </w:p>
          <w:p w14:paraId="488402AB" w14:textId="0077D499" w:rsidR="00A1261B" w:rsidRPr="005A61A3" w:rsidRDefault="00A1261B" w:rsidP="009B06B7">
            <w:pPr>
              <w:widowControl/>
              <w:autoSpaceDE w:val="0"/>
              <w:autoSpaceDN w:val="0"/>
              <w:adjustRightInd w:val="0"/>
              <w:spacing w:before="120" w:after="120"/>
              <w:ind w:left="131" w:right="132"/>
              <w:rPr>
                <w:rFonts w:ascii="Lato" w:hAnsi="Lato"/>
                <w:sz w:val="18"/>
                <w:szCs w:val="18"/>
              </w:rPr>
            </w:pPr>
            <w:r w:rsidRPr="005A61A3">
              <w:rPr>
                <w:rFonts w:ascii="Lato" w:hAnsi="Lato" w:cs="Calibri"/>
                <w:color w:val="auto"/>
                <w:sz w:val="18"/>
                <w:szCs w:val="18"/>
                <w:lang w:bidi="ar-SA"/>
              </w:rPr>
              <w:t xml:space="preserve">Projektowane przepisy, poprzez zastąpienie tradycyjnej formy przekazywania przez notariuszy wypisów czynności notarialnych starostom, z wykorzystaniem w tym zakresie rozszerzonych funkcjonalności systemu CREWAN, niewątpliwie przyczynią się do redukcji obciążeń organizacyjnych kancelarii notarialnych oraz pozwolą obniżyć koszty ich funkcjonowania. Na dzień 31 maja 2025 r. zawód notariusza wykonywało 4252 osób w 3454 kancelariach notarialnych. Krajowa Rada Notarialna prowadzi CREWAN, w którym przechowuje się </w:t>
            </w:r>
            <w:r w:rsidRPr="005A61A3">
              <w:rPr>
                <w:rFonts w:ascii="Lato" w:hAnsi="Lato" w:cs="Calibri"/>
                <w:color w:val="auto"/>
                <w:sz w:val="18"/>
                <w:szCs w:val="18"/>
                <w:lang w:bidi="ar-SA"/>
              </w:rPr>
              <w:lastRenderedPageBreak/>
              <w:t>elektroniczne wypisy i wyciągi z aktów notarialnych sporządzonych na terytorium Rzeczypospolitej Polskiej. Krajowa Rada Notarialna w zakresie i na zasadach określonych w przepisach szczególnych zapewnia notariuszom, sądom oraz innym organom państwowym uprawnionym na podstawie tych przepisów dostęp do Repozytorium oraz bezpieczeństwo Repozytorium, w szczególności ochronę danych zgromadzonych w Repozytorium przed nieuprawnionym dostępem, przetwarzaniem, zmianą lub utratą. Dodatkowo projektowane przepisy przewidują po jej stronie zapewnienie niezwłocznego przekazywania za pośrednictwem systemu teleinformatycznego do zintegrowanego systemu informacji o nieruchomościach, elektronicznych wypisów aktów notarialnych, o których mowa w art. 23 ust. 2 pkt 1 ustawy zmienianej, zarejestrowanych aktów poświadczenia dziedziczenia i zarejestrowanych europejskich poświadczeń spadkowych.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7B5073D" w14:textId="77777777" w:rsidR="00A1261B" w:rsidRPr="005A61A3" w:rsidRDefault="00A1261B" w:rsidP="009B06B7">
            <w:pPr>
              <w:pStyle w:val="Inne0"/>
              <w:shd w:val="clear" w:color="auto" w:fill="auto"/>
              <w:spacing w:before="120" w:after="120"/>
              <w:ind w:left="127" w:right="134"/>
              <w:rPr>
                <w:rFonts w:ascii="Lato" w:eastAsia="Arial" w:hAnsi="Lato" w:cs="Calibri"/>
                <w:b/>
                <w:bCs/>
                <w:color w:val="auto"/>
                <w:sz w:val="18"/>
                <w:szCs w:val="18"/>
                <w:u w:val="single"/>
              </w:rPr>
            </w:pPr>
            <w:r w:rsidRPr="005A61A3">
              <w:rPr>
                <w:rFonts w:ascii="Lato" w:eastAsia="Arial" w:hAnsi="Lato" w:cs="Calibri"/>
                <w:b/>
                <w:bCs/>
                <w:color w:val="auto"/>
                <w:sz w:val="18"/>
                <w:szCs w:val="18"/>
                <w:u w:val="single"/>
              </w:rPr>
              <w:lastRenderedPageBreak/>
              <w:t>Wyjaśnienie założonego terminu wejścia w życie regulacji odnoszących się do nowo przyjmowanego sposobu przekazywania starostom wypisów niektórych aktów notarialnych, aktów poświadczenia dziedziczenia oraz zarejestrowanych europejskich poświadczeń spadkowych.</w:t>
            </w:r>
          </w:p>
          <w:p w14:paraId="56E3A58C" w14:textId="77777777" w:rsidR="00A1261B" w:rsidRPr="005A61A3" w:rsidRDefault="00A1261B" w:rsidP="009B06B7">
            <w:pPr>
              <w:pStyle w:val="Inne0"/>
              <w:shd w:val="clear" w:color="auto" w:fill="auto"/>
              <w:spacing w:before="120" w:after="120"/>
              <w:ind w:left="127" w:right="134"/>
              <w:rPr>
                <w:rFonts w:ascii="Lato" w:eastAsia="Arial" w:hAnsi="Lato" w:cs="Calibri"/>
                <w:b/>
                <w:bCs/>
                <w:color w:val="auto"/>
                <w:sz w:val="18"/>
                <w:szCs w:val="18"/>
                <w:u w:val="single"/>
              </w:rPr>
            </w:pPr>
          </w:p>
          <w:p w14:paraId="7652DC66" w14:textId="77777777" w:rsidR="00A1261B" w:rsidRPr="005A61A3" w:rsidRDefault="00A1261B" w:rsidP="009B06B7">
            <w:pPr>
              <w:pStyle w:val="Inne0"/>
              <w:shd w:val="clear" w:color="auto" w:fill="auto"/>
              <w:spacing w:before="120" w:after="120"/>
              <w:ind w:left="127" w:right="134"/>
              <w:rPr>
                <w:rFonts w:ascii="Lato" w:eastAsia="Arial" w:hAnsi="Lato" w:cs="Calibri"/>
                <w:b/>
                <w:bCs/>
                <w:color w:val="auto"/>
                <w:sz w:val="18"/>
                <w:szCs w:val="18"/>
                <w:u w:val="single"/>
              </w:rPr>
            </w:pPr>
          </w:p>
          <w:p w14:paraId="63DE2E83" w14:textId="77777777" w:rsidR="00A1261B" w:rsidRPr="005A61A3" w:rsidRDefault="00A1261B" w:rsidP="009B06B7">
            <w:pPr>
              <w:widowControl/>
              <w:autoSpaceDE w:val="0"/>
              <w:autoSpaceDN w:val="0"/>
              <w:adjustRightInd w:val="0"/>
              <w:spacing w:before="120" w:after="120"/>
              <w:ind w:left="127" w:right="134"/>
              <w:rPr>
                <w:rFonts w:ascii="Lato" w:hAnsi="Lato" w:cs="Calibri"/>
                <w:b/>
                <w:bCs/>
                <w:color w:val="auto"/>
                <w:sz w:val="18"/>
                <w:szCs w:val="18"/>
                <w:u w:val="single"/>
                <w:lang w:bidi="ar-SA"/>
              </w:rPr>
            </w:pPr>
          </w:p>
          <w:p w14:paraId="0B673803" w14:textId="77777777" w:rsidR="00A1261B" w:rsidRPr="005A61A3" w:rsidRDefault="00A1261B" w:rsidP="009B06B7">
            <w:pPr>
              <w:pStyle w:val="Inne0"/>
              <w:shd w:val="clear" w:color="auto" w:fill="auto"/>
              <w:spacing w:before="120" w:after="120"/>
              <w:ind w:left="127" w:right="134"/>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09D4D1E" w14:textId="29E9C5F0"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sidRPr="006A2BC5">
              <w:rPr>
                <w:rFonts w:ascii="Lato" w:eastAsia="Arial" w:hAnsi="Lato" w:cs="Arial"/>
                <w:sz w:val="18"/>
                <w:szCs w:val="18"/>
              </w:rPr>
              <w:t>Uwaga bezprzedmiotowa w związku z odstąpieniem od wprowadzania przedmiotowej regulacji.</w:t>
            </w:r>
          </w:p>
        </w:tc>
      </w:tr>
      <w:tr w:rsidR="00A1261B" w:rsidRPr="0037774A" w14:paraId="792EE310"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52B2275"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2D5D4B2" w14:textId="37837B8E"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25F80D88" w14:textId="77777777" w:rsidR="00A1261B" w:rsidRPr="005A61A3" w:rsidRDefault="00A1261B" w:rsidP="009B06B7">
            <w:pPr>
              <w:pStyle w:val="Inne0"/>
              <w:spacing w:before="120" w:after="120"/>
              <w:ind w:left="131" w:right="132"/>
              <w:rPr>
                <w:rFonts w:ascii="Lato" w:eastAsia="Arial" w:hAnsi="Lato" w:cs="Calibri"/>
                <w:color w:val="auto"/>
                <w:sz w:val="18"/>
                <w:szCs w:val="18"/>
              </w:rPr>
            </w:pPr>
            <w:r w:rsidRPr="005A61A3">
              <w:rPr>
                <w:rFonts w:ascii="Lato" w:eastAsia="Arial" w:hAnsi="Lato" w:cs="Calibri"/>
                <w:b/>
                <w:bCs/>
                <w:color w:val="auto"/>
                <w:sz w:val="18"/>
                <w:szCs w:val="18"/>
                <w:u w:val="single"/>
              </w:rPr>
              <w:t>Kontrowersje budzi zapis ujęty w art. 1 pkt 64</w:t>
            </w:r>
            <w:r w:rsidRPr="005A61A3">
              <w:rPr>
                <w:rFonts w:ascii="Lato" w:eastAsia="Arial" w:hAnsi="Lato" w:cs="Calibri"/>
                <w:color w:val="auto"/>
                <w:sz w:val="18"/>
                <w:szCs w:val="18"/>
                <w:u w:val="single"/>
              </w:rPr>
              <w:t xml:space="preserve"> projektu ustawy</w:t>
            </w:r>
            <w:r w:rsidRPr="005A61A3">
              <w:rPr>
                <w:rFonts w:ascii="Lato" w:eastAsia="Arial" w:hAnsi="Lato" w:cs="Calibri"/>
                <w:color w:val="auto"/>
                <w:sz w:val="18"/>
                <w:szCs w:val="18"/>
              </w:rPr>
              <w:t xml:space="preserve"> stanowiący o dodaniu do ustawy z dnia 17 maja 1989 r. – Prawo geodezyjne i kartograficzne, artykułu 46ib w brzmieniu: „Rzecznik dyscyplinarny oraz członek komisji podczas pełnienia obowiązków służbowych związanych z wykonywaniem tych funkcji, korzysta z ochrony przewidzianej dla funkcjonariuszy publicznych na zasadach określonych w Kodeksie karnym”.</w:t>
            </w:r>
          </w:p>
          <w:p w14:paraId="204D839D" w14:textId="1023A5A9" w:rsidR="00A1261B" w:rsidRPr="005A61A3" w:rsidRDefault="00A1261B" w:rsidP="009B06B7">
            <w:pPr>
              <w:spacing w:before="120" w:after="120"/>
              <w:ind w:left="131" w:right="132"/>
              <w:rPr>
                <w:rFonts w:ascii="Lato" w:hAnsi="Lato"/>
                <w:sz w:val="18"/>
                <w:szCs w:val="18"/>
              </w:rPr>
            </w:pPr>
            <w:r w:rsidRPr="005A61A3">
              <w:rPr>
                <w:rFonts w:ascii="Lato" w:hAnsi="Lato" w:cs="Calibri"/>
                <w:color w:val="auto"/>
                <w:sz w:val="18"/>
                <w:szCs w:val="18"/>
              </w:rPr>
              <w:t xml:space="preserve">Podkreślić należy, że tendencja do stałego rozszerzania katalogu osób mających przymiot funkcjonariusza publicznego w rozumieniu art. 115 § 13 kk, co z założenia ustawodawcy tworzącego podwaliny pierwotnej wersji podstawowej ustawy prawa karnego materialnego, miało być ograniczone do wąskiej grupy wybranych przedstawicieli określonych organów, jest działaniem z zasady niekorzystnym, zaburzającym wewnętrzną spójność systemową obowiązującego prawa.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8BED46F" w14:textId="08B90CE6" w:rsidR="00A1261B" w:rsidRPr="005A61A3" w:rsidRDefault="00A1261B" w:rsidP="009B06B7">
            <w:pPr>
              <w:pStyle w:val="Inne0"/>
              <w:shd w:val="clear" w:color="auto" w:fill="auto"/>
              <w:spacing w:before="120" w:after="120"/>
              <w:ind w:left="127" w:right="134"/>
              <w:rPr>
                <w:rFonts w:ascii="Lato" w:eastAsia="Arial" w:hAnsi="Lato" w:cs="Arial"/>
                <w:sz w:val="18"/>
                <w:szCs w:val="18"/>
              </w:rPr>
            </w:pPr>
            <w:r w:rsidRPr="005A61A3">
              <w:rPr>
                <w:rFonts w:ascii="Lato" w:eastAsia="Arial" w:hAnsi="Lato" w:cs="Calibri"/>
                <w:color w:val="auto"/>
                <w:sz w:val="18"/>
                <w:szCs w:val="18"/>
              </w:rPr>
              <w:t>Usunięcie projektowanej zmiany.</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0CBE578" w14:textId="57EFD9C3"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782DA79E"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6C9DF0A"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97E50C8" w14:textId="4A27D7D8"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7612D60C"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hAnsi="Lato" w:cs="Calibri"/>
                <w:b/>
                <w:bCs/>
                <w:color w:val="auto"/>
                <w:sz w:val="18"/>
                <w:szCs w:val="18"/>
                <w:u w:val="single"/>
                <w:lang w:bidi="ar-SA"/>
              </w:rPr>
              <w:t>W projektowanym art. 48a ust. 1b (art. 1 pkt 78 projektu</w:t>
            </w:r>
            <w:r w:rsidRPr="005A61A3">
              <w:rPr>
                <w:rFonts w:ascii="Lato" w:hAnsi="Lato" w:cs="Calibri"/>
                <w:b/>
                <w:bCs/>
                <w:color w:val="auto"/>
                <w:sz w:val="18"/>
                <w:szCs w:val="18"/>
                <w:lang w:bidi="ar-SA"/>
              </w:rPr>
              <w:t>)</w:t>
            </w:r>
            <w:r w:rsidRPr="005A61A3">
              <w:rPr>
                <w:rFonts w:ascii="Lato" w:hAnsi="Lato" w:cs="Calibri"/>
                <w:color w:val="auto"/>
                <w:sz w:val="18"/>
                <w:szCs w:val="18"/>
                <w:lang w:bidi="ar-SA"/>
              </w:rPr>
              <w:t xml:space="preserve"> przewiduje się administracyjną karę pieniężną bezwzględnie oznaczoną (w wysokości dziesięciokrotności opłaty zryczałtowanej) za:</w:t>
            </w:r>
          </w:p>
          <w:p w14:paraId="4BAA88EA" w14:textId="77777777" w:rsidR="00A1261B" w:rsidRPr="005A61A3" w:rsidRDefault="00A1261B" w:rsidP="009B06B7">
            <w:pPr>
              <w:widowControl/>
              <w:autoSpaceDE w:val="0"/>
              <w:autoSpaceDN w:val="0"/>
              <w:adjustRightInd w:val="0"/>
              <w:spacing w:before="120" w:after="120"/>
              <w:ind w:left="131" w:right="132"/>
              <w:rPr>
                <w:rFonts w:ascii="Lato" w:hAnsi="Lato" w:cs="Calibri"/>
                <w:color w:val="auto"/>
                <w:sz w:val="18"/>
                <w:szCs w:val="18"/>
                <w:lang w:bidi="ar-SA"/>
              </w:rPr>
            </w:pPr>
            <w:r w:rsidRPr="005A61A3">
              <w:rPr>
                <w:rFonts w:ascii="Lato" w:hAnsi="Lato" w:cs="Calibri"/>
                <w:color w:val="auto"/>
                <w:sz w:val="18"/>
                <w:szCs w:val="18"/>
                <w:lang w:bidi="ar-SA"/>
              </w:rPr>
              <w:lastRenderedPageBreak/>
              <w:t>1) nie zgłoszenie prac geodezyjnych do organu Służby Geodezyjnej i Kartograficznej wbrew przepisom art. 12 ust. 1a;</w:t>
            </w:r>
          </w:p>
          <w:p w14:paraId="5DEDF3CD" w14:textId="42970116" w:rsidR="00A1261B" w:rsidRPr="005A61A3" w:rsidRDefault="00A1261B" w:rsidP="009B06B7">
            <w:pPr>
              <w:widowControl/>
              <w:autoSpaceDE w:val="0"/>
              <w:autoSpaceDN w:val="0"/>
              <w:adjustRightInd w:val="0"/>
              <w:spacing w:before="120" w:after="120"/>
              <w:ind w:left="131" w:right="132"/>
              <w:rPr>
                <w:rFonts w:ascii="Lato" w:hAnsi="Lato"/>
                <w:sz w:val="18"/>
                <w:szCs w:val="18"/>
              </w:rPr>
            </w:pPr>
            <w:r w:rsidRPr="005A61A3">
              <w:rPr>
                <w:rFonts w:ascii="Lato" w:hAnsi="Lato" w:cs="Calibri"/>
                <w:color w:val="auto"/>
                <w:sz w:val="18"/>
                <w:szCs w:val="18"/>
                <w:lang w:bidi="ar-SA"/>
              </w:rPr>
              <w:t>2) zgłoszenie prac geodezyjnych później niż w terminie 5 dni roboczych od dnia rozpoczęcia tych prac wbrew przepisom art. 12 ust. 1a.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CAEF5F0" w14:textId="5E6D6E36" w:rsidR="00A1261B" w:rsidRPr="005A61A3" w:rsidRDefault="00A1261B" w:rsidP="009B06B7">
            <w:pPr>
              <w:pStyle w:val="Inne0"/>
              <w:shd w:val="clear" w:color="auto" w:fill="auto"/>
              <w:spacing w:before="120" w:after="120"/>
              <w:ind w:left="127" w:right="134"/>
              <w:rPr>
                <w:rFonts w:ascii="Lato" w:eastAsia="Arial" w:hAnsi="Lato" w:cs="Arial"/>
                <w:sz w:val="18"/>
                <w:szCs w:val="18"/>
              </w:rPr>
            </w:pPr>
            <w:r w:rsidRPr="005A61A3">
              <w:rPr>
                <w:rFonts w:ascii="Lato" w:hAnsi="Lato" w:cs="Calibri"/>
                <w:color w:val="auto"/>
                <w:sz w:val="18"/>
                <w:szCs w:val="18"/>
                <w:lang w:bidi="ar-SA"/>
              </w:rPr>
              <w:lastRenderedPageBreak/>
              <w:t xml:space="preserve">Mając na uwadze zasadę proporcjonalności, celowe wydaje się wyodrębnienie drugiego z ww. deliktów administracyjnych w odrębną jednostkę redakcyjną z niższą wysokością kary, ponieważ zgłoszenie po terminie ww. prac stanowi „mniejsze” naruszenie prawa, niż w </w:t>
            </w:r>
            <w:r w:rsidRPr="005A61A3">
              <w:rPr>
                <w:rFonts w:ascii="Lato" w:hAnsi="Lato" w:cs="Calibri"/>
                <w:color w:val="auto"/>
                <w:sz w:val="18"/>
                <w:szCs w:val="18"/>
                <w:lang w:bidi="ar-SA"/>
              </w:rPr>
              <w:lastRenderedPageBreak/>
              <w:t>ogóle nie dokonanie tego zgłoszenia.</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B45B1CE" w14:textId="6E075A57" w:rsidR="00A1261B"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 xml:space="preserve">Uwaga </w:t>
            </w:r>
            <w:r w:rsidR="006F2F90">
              <w:rPr>
                <w:rFonts w:ascii="Lato" w:eastAsia="Arial" w:hAnsi="Lato" w:cs="Arial"/>
                <w:sz w:val="18"/>
                <w:szCs w:val="18"/>
              </w:rPr>
              <w:t xml:space="preserve">nie </w:t>
            </w:r>
            <w:r>
              <w:rPr>
                <w:rFonts w:ascii="Lato" w:eastAsia="Arial" w:hAnsi="Lato" w:cs="Arial"/>
                <w:sz w:val="18"/>
                <w:szCs w:val="18"/>
              </w:rPr>
              <w:t>została uwzględniona</w:t>
            </w:r>
          </w:p>
          <w:p w14:paraId="214F3EEC" w14:textId="5759A469" w:rsidR="006F2F90" w:rsidRPr="0037774A" w:rsidRDefault="006F2F90"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 ocenie projektodawcy</w:t>
            </w:r>
            <w:r w:rsidR="00F16BFF">
              <w:rPr>
                <w:rFonts w:ascii="Lato" w:eastAsia="Arial" w:hAnsi="Lato" w:cs="Arial"/>
                <w:sz w:val="18"/>
                <w:szCs w:val="18"/>
              </w:rPr>
              <w:t>, kara za obydwa</w:t>
            </w:r>
            <w:r>
              <w:rPr>
                <w:rFonts w:ascii="Lato" w:eastAsia="Arial" w:hAnsi="Lato" w:cs="Arial"/>
                <w:sz w:val="18"/>
                <w:szCs w:val="18"/>
              </w:rPr>
              <w:t xml:space="preserve"> naruszenia z art. 48a ust. 1b projektowanej ustaw</w:t>
            </w:r>
            <w:r w:rsidR="00F16BFF">
              <w:rPr>
                <w:rFonts w:ascii="Lato" w:eastAsia="Arial" w:hAnsi="Lato" w:cs="Arial"/>
                <w:sz w:val="18"/>
                <w:szCs w:val="18"/>
              </w:rPr>
              <w:t>y powinna mieć taką samą wysokość</w:t>
            </w:r>
            <w:r>
              <w:rPr>
                <w:rFonts w:ascii="Lato" w:eastAsia="Arial" w:hAnsi="Lato" w:cs="Arial"/>
                <w:sz w:val="18"/>
                <w:szCs w:val="18"/>
              </w:rPr>
              <w:t>.</w:t>
            </w:r>
          </w:p>
        </w:tc>
      </w:tr>
      <w:tr w:rsidR="00A1261B" w:rsidRPr="0037774A" w14:paraId="07266FE8"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A8447F8"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FC9BA68" w14:textId="75904A77"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33B713BF" w14:textId="77777777" w:rsidR="00A1261B" w:rsidRPr="00F16BFF" w:rsidRDefault="00A1261B" w:rsidP="009B06B7">
            <w:pPr>
              <w:spacing w:before="120" w:after="120"/>
              <w:ind w:left="131" w:right="132"/>
              <w:rPr>
                <w:rFonts w:ascii="Lato" w:hAnsi="Lato" w:cs="Calibri"/>
                <w:color w:val="auto"/>
                <w:sz w:val="18"/>
                <w:szCs w:val="18"/>
              </w:rPr>
            </w:pPr>
            <w:r w:rsidRPr="00F16BFF">
              <w:rPr>
                <w:rFonts w:ascii="Lato" w:hAnsi="Lato" w:cs="Calibri"/>
                <w:color w:val="auto"/>
                <w:sz w:val="18"/>
                <w:szCs w:val="18"/>
              </w:rPr>
              <w:t xml:space="preserve">Zgodnie z § 28 ust. 1 uchwały Nr 190 Rady Ministrów z dnia 29 października 2013 r. Regulamin pracy Rady Ministrów (M.P. z 2024 r. poz. 806) odrębną część uzasadnienia projektu aktu normatywnego stanowi ocena skutków regulacji, która przedstawia wyniki oceny przewidywanych skutków społeczno-gospodarczych, o której mowa w § 24 ust. 3, zwana dalej "OSR". Natomiast w myśl § 28 ust. 2 pkt 1 omawianej Uchwały, „OSR” zawiera w szczególności </w:t>
            </w:r>
            <w:r w:rsidRPr="00F16BFF">
              <w:rPr>
                <w:rFonts w:ascii="Lato" w:hAnsi="Lato" w:cs="Calibri"/>
                <w:color w:val="auto"/>
                <w:sz w:val="18"/>
                <w:szCs w:val="18"/>
                <w:u w:val="single"/>
              </w:rPr>
              <w:t>wskazanie podmiotów, na które oddziałuje projektowany akt normatywny</w:t>
            </w:r>
            <w:r w:rsidRPr="00F16BFF">
              <w:rPr>
                <w:rFonts w:ascii="Lato" w:hAnsi="Lato" w:cs="Calibri"/>
                <w:color w:val="auto"/>
                <w:sz w:val="18"/>
                <w:szCs w:val="18"/>
              </w:rPr>
              <w:t xml:space="preserve">. </w:t>
            </w:r>
          </w:p>
          <w:p w14:paraId="117D4FD2" w14:textId="77777777" w:rsidR="00A1261B" w:rsidRPr="00F16BFF" w:rsidRDefault="00A1261B" w:rsidP="009B06B7">
            <w:pPr>
              <w:pStyle w:val="Inne0"/>
              <w:spacing w:before="120" w:after="120"/>
              <w:ind w:left="131" w:right="132"/>
              <w:rPr>
                <w:rFonts w:ascii="Lato" w:hAnsi="Lato" w:cs="Calibri"/>
                <w:color w:val="auto"/>
                <w:sz w:val="18"/>
                <w:szCs w:val="18"/>
              </w:rPr>
            </w:pPr>
            <w:r w:rsidRPr="00F16BFF">
              <w:rPr>
                <w:rFonts w:ascii="Lato" w:hAnsi="Lato" w:cs="Calibri"/>
                <w:color w:val="auto"/>
                <w:sz w:val="18"/>
                <w:szCs w:val="18"/>
                <w:u w:val="single"/>
              </w:rPr>
              <w:t>Omawiany projekt będzie oddziaływał na sądy powszechne prowadzące księgi wieczyste - na co wskazuje się w uzasadnieniu projektu,  a co nie zostało dostrzeżone w OSR projektu.</w:t>
            </w:r>
            <w:r w:rsidRPr="00F16BFF">
              <w:rPr>
                <w:rFonts w:ascii="Lato" w:hAnsi="Lato" w:cs="Calibri"/>
                <w:color w:val="auto"/>
                <w:sz w:val="18"/>
                <w:szCs w:val="18"/>
              </w:rPr>
              <w:t xml:space="preserve"> Z uzasadnienia projektu nie wynika również, czy nowe rozwiązania przewidziane w ustawie o zmianie ustawy - Prawo geodezyjne i kartograficzne oraz ustawy o infrastrukturze informacji przestrzennej nie wpłyną na obciążenie sądów wieczystoksięgowych. Innymi słowy, czy nowe rozwiązania przewidziane w projekcie nie spowodują konieczności aktualizacji działu I-O księgi wieczystej (oznaczenie nieruchomości). </w:t>
            </w:r>
          </w:p>
          <w:p w14:paraId="4900DBEE" w14:textId="77777777" w:rsidR="00A1261B" w:rsidRPr="00F16BFF" w:rsidRDefault="00A1261B" w:rsidP="009B06B7">
            <w:pPr>
              <w:pStyle w:val="Teksttreci0"/>
              <w:shd w:val="clear" w:color="auto" w:fill="auto"/>
              <w:tabs>
                <w:tab w:val="left" w:pos="319"/>
              </w:tabs>
              <w:spacing w:before="120" w:after="120"/>
              <w:ind w:left="131" w:right="132"/>
              <w:rPr>
                <w:rFonts w:ascii="Lato" w:hAnsi="Lato"/>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F6BDF11" w14:textId="77777777" w:rsidR="00A1261B" w:rsidRPr="005A61A3" w:rsidRDefault="00A1261B" w:rsidP="009B06B7">
            <w:pPr>
              <w:spacing w:before="120" w:after="120"/>
              <w:ind w:left="127" w:right="134"/>
              <w:rPr>
                <w:rFonts w:ascii="Lato" w:hAnsi="Lato" w:cs="Calibri"/>
                <w:color w:val="auto"/>
                <w:sz w:val="18"/>
                <w:szCs w:val="18"/>
              </w:rPr>
            </w:pPr>
            <w:r w:rsidRPr="00F16BFF">
              <w:rPr>
                <w:rFonts w:ascii="Lato" w:hAnsi="Lato" w:cs="Calibri"/>
                <w:color w:val="auto"/>
                <w:sz w:val="18"/>
                <w:szCs w:val="18"/>
              </w:rPr>
              <w:t>Uzupełnienie Oceny Skutków Regulacji w tym zakresie.</w:t>
            </w:r>
            <w:r w:rsidRPr="005A61A3">
              <w:rPr>
                <w:rFonts w:ascii="Lato" w:hAnsi="Lato" w:cs="Calibri"/>
                <w:color w:val="auto"/>
                <w:sz w:val="18"/>
                <w:szCs w:val="18"/>
              </w:rPr>
              <w:t xml:space="preserve">  </w:t>
            </w:r>
          </w:p>
          <w:p w14:paraId="4102237C" w14:textId="77777777" w:rsidR="00A1261B" w:rsidRPr="005A61A3" w:rsidRDefault="00A1261B" w:rsidP="009B06B7">
            <w:pPr>
              <w:pStyle w:val="Inne0"/>
              <w:shd w:val="clear" w:color="auto" w:fill="auto"/>
              <w:spacing w:before="120" w:after="120"/>
              <w:ind w:left="127" w:right="134"/>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B91E5B6" w14:textId="020DFD15" w:rsidR="00A1261B" w:rsidRPr="0037774A" w:rsidRDefault="00A1261B" w:rsidP="009B06B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Należy wskazać, że w uzasadnieniu projektu nie wskazano, że </w:t>
            </w:r>
            <w:r w:rsidRPr="0018193E">
              <w:rPr>
                <w:rFonts w:ascii="Lato" w:hAnsi="Lato" w:cs="Calibri"/>
                <w:color w:val="auto"/>
                <w:sz w:val="18"/>
                <w:szCs w:val="18"/>
              </w:rPr>
              <w:t>projekt będzie oddziaływał na sądy powszechne prowadzące księgi wieczyste</w:t>
            </w:r>
            <w:r>
              <w:rPr>
                <w:rFonts w:ascii="Lato" w:hAnsi="Lato" w:cs="Calibri"/>
                <w:color w:val="auto"/>
                <w:sz w:val="18"/>
                <w:szCs w:val="18"/>
              </w:rPr>
              <w:t>. Niemniej jednak dopisano sądy rejonowe prowadzące księgi wieczyste do pkt 11 OSR.</w:t>
            </w:r>
          </w:p>
        </w:tc>
      </w:tr>
      <w:tr w:rsidR="00A1261B" w:rsidRPr="0037774A" w14:paraId="12DA65C0" w14:textId="777777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689FC343" w14:textId="77777777" w:rsidR="00A1261B" w:rsidRPr="0037774A" w:rsidRDefault="00A1261B" w:rsidP="009B06B7">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412D315" w14:textId="102379CE" w:rsidR="00A1261B" w:rsidRPr="005A61A3" w:rsidRDefault="00A1261B" w:rsidP="009B06B7">
            <w:pPr>
              <w:pStyle w:val="Inne0"/>
              <w:shd w:val="clear" w:color="auto" w:fill="auto"/>
              <w:spacing w:before="120" w:after="120"/>
              <w:ind w:left="138" w:right="128"/>
              <w:rPr>
                <w:rFonts w:ascii="Lato" w:eastAsia="Arial" w:hAnsi="Lato" w:cs="Arial"/>
                <w:sz w:val="18"/>
                <w:szCs w:val="18"/>
              </w:rPr>
            </w:pPr>
            <w:r w:rsidRPr="00D24B94">
              <w:rPr>
                <w:rFonts w:ascii="Lato" w:eastAsia="Arial" w:hAnsi="Lato" w:cs="Calibri"/>
                <w:color w:val="auto"/>
                <w:sz w:val="18"/>
                <w:szCs w:val="18"/>
              </w:rPr>
              <w:t>Ministerstwo Sprawiedliwości</w:t>
            </w:r>
          </w:p>
        </w:tc>
        <w:tc>
          <w:tcPr>
            <w:tcW w:w="4536" w:type="dxa"/>
            <w:tcBorders>
              <w:top w:val="single" w:sz="4" w:space="0" w:color="auto"/>
              <w:left w:val="single" w:sz="4" w:space="0" w:color="auto"/>
              <w:bottom w:val="single" w:sz="4" w:space="0" w:color="auto"/>
            </w:tcBorders>
            <w:shd w:val="clear" w:color="auto" w:fill="FFFFFF"/>
          </w:tcPr>
          <w:p w14:paraId="71389C20" w14:textId="5652D053" w:rsidR="00A1261B" w:rsidRPr="00F16BFF" w:rsidRDefault="00A1261B" w:rsidP="009B06B7">
            <w:pPr>
              <w:pStyle w:val="Teksttreci0"/>
              <w:shd w:val="clear" w:color="auto" w:fill="auto"/>
              <w:tabs>
                <w:tab w:val="left" w:pos="319"/>
              </w:tabs>
              <w:spacing w:before="120" w:after="120"/>
              <w:ind w:left="131" w:right="132"/>
              <w:rPr>
                <w:rFonts w:ascii="Lato" w:hAnsi="Lato"/>
                <w:sz w:val="18"/>
                <w:szCs w:val="18"/>
              </w:rPr>
            </w:pPr>
            <w:r w:rsidRPr="00F16BFF">
              <w:rPr>
                <w:rFonts w:ascii="Lato" w:hAnsi="Lato" w:cs="Calibri"/>
                <w:color w:val="auto"/>
                <w:sz w:val="18"/>
                <w:szCs w:val="18"/>
              </w:rPr>
              <w:t>OSR w części określającej krąg podmiotów, na które oddziałuje projekt.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CA6D1D" w14:textId="420EF63D" w:rsidR="00A1261B" w:rsidRPr="005A61A3" w:rsidRDefault="00A1261B" w:rsidP="009B06B7">
            <w:pPr>
              <w:pStyle w:val="Inne0"/>
              <w:shd w:val="clear" w:color="auto" w:fill="auto"/>
              <w:spacing w:before="120" w:after="120"/>
              <w:ind w:left="127" w:right="134"/>
              <w:rPr>
                <w:rFonts w:ascii="Lato" w:eastAsia="Arial" w:hAnsi="Lato" w:cs="Arial"/>
                <w:sz w:val="18"/>
                <w:szCs w:val="18"/>
              </w:rPr>
            </w:pPr>
            <w:r w:rsidRPr="005A61A3">
              <w:rPr>
                <w:rFonts w:ascii="Lato" w:hAnsi="Lato" w:cs="Calibri"/>
                <w:color w:val="auto"/>
                <w:sz w:val="18"/>
                <w:szCs w:val="18"/>
              </w:rPr>
              <w:t>Uzupełnienie dokumentu OSR w tym zakresie o grupę zawodową notariuszy oraz wskazanie w tym zakresie Krajowej Rady Notarialnej.</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254C95F" w14:textId="6FA308A7" w:rsidR="00A1261B" w:rsidRPr="006741A7" w:rsidRDefault="00A1261B" w:rsidP="006741A7">
            <w:pPr>
              <w:pStyle w:val="Inne0"/>
              <w:shd w:val="clear" w:color="auto" w:fill="auto"/>
              <w:spacing w:before="120" w:after="120"/>
              <w:ind w:left="131" w:right="138"/>
              <w:rPr>
                <w:rFonts w:ascii="Lato" w:hAnsi="Lato" w:cs="Calibri"/>
                <w:color w:val="auto"/>
                <w:sz w:val="18"/>
                <w:szCs w:val="18"/>
              </w:rPr>
            </w:pPr>
            <w:r w:rsidRPr="006741A7">
              <w:rPr>
                <w:rFonts w:ascii="Lato" w:hAnsi="Lato" w:cs="Calibri"/>
                <w:color w:val="auto"/>
                <w:sz w:val="18"/>
                <w:szCs w:val="18"/>
              </w:rPr>
              <w:t>Uwaga została uwzględniona w zakresie notariuszy. W zakresie Krajowej Rady Notarialnej uwaga bezprzedmiotowa w związku z odstąpieniem od wprowadzania przedmiotowej regulacji.</w:t>
            </w:r>
          </w:p>
          <w:p w14:paraId="5C1AFFF6" w14:textId="59BDFB48" w:rsidR="00A1261B" w:rsidRPr="0037774A" w:rsidRDefault="00A1261B" w:rsidP="009B06B7">
            <w:pPr>
              <w:pStyle w:val="Inne0"/>
              <w:shd w:val="clear" w:color="auto" w:fill="auto"/>
              <w:spacing w:before="120" w:after="120"/>
              <w:ind w:left="131" w:right="138"/>
              <w:rPr>
                <w:rFonts w:ascii="Lato" w:eastAsia="Arial" w:hAnsi="Lato" w:cs="Arial"/>
                <w:sz w:val="18"/>
                <w:szCs w:val="18"/>
              </w:rPr>
            </w:pPr>
          </w:p>
        </w:tc>
      </w:tr>
    </w:tbl>
    <w:p w14:paraId="188C6DC6" w14:textId="77777777" w:rsidR="004C0D89" w:rsidRPr="0037774A" w:rsidRDefault="004C0D89">
      <w:pPr>
        <w:rPr>
          <w:sz w:val="18"/>
          <w:szCs w:val="18"/>
        </w:rPr>
      </w:pPr>
    </w:p>
    <w:sectPr w:rsidR="004C0D89" w:rsidRPr="0037774A" w:rsidSect="00A1261B">
      <w:pgSz w:w="16838" w:h="11906" w:orient="landscape" w:code="9"/>
      <w:pgMar w:top="720" w:right="720" w:bottom="720" w:left="720" w:header="987" w:footer="9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AF1C" w14:textId="77777777" w:rsidR="00AF03AF" w:rsidRDefault="00AF03AF">
      <w:r>
        <w:separator/>
      </w:r>
    </w:p>
  </w:endnote>
  <w:endnote w:type="continuationSeparator" w:id="0">
    <w:p w14:paraId="466823DE" w14:textId="77777777" w:rsidR="00AF03AF" w:rsidRDefault="00AF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Regular">
    <w:altName w:val="Lato"/>
    <w:panose1 w:val="00000000000000000000"/>
    <w:charset w:val="00"/>
    <w:family w:val="swiss"/>
    <w:notTrueType/>
    <w:pitch w:val="default"/>
    <w:sig w:usb0="00000007" w:usb1="00000000" w:usb2="00000000" w:usb3="00000000" w:csb0="00000003" w:csb1="00000000"/>
  </w:font>
  <w:font w:name="Lato-Italic">
    <w:altName w:val="Lato"/>
    <w:panose1 w:val="00000000000000000000"/>
    <w:charset w:val="00"/>
    <w:family w:val="swiss"/>
    <w:notTrueType/>
    <w:pitch w:val="default"/>
    <w:sig w:usb0="00000007" w:usb1="00000000" w:usb2="00000000" w:usb3="00000000" w:csb0="00000003" w:csb1="00000000"/>
  </w:font>
  <w:font w:name="Lato-Bold">
    <w:altName w:val="Lato"/>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46AF" w14:textId="77777777" w:rsidR="00AF03AF" w:rsidRDefault="00AF03AF"/>
  </w:footnote>
  <w:footnote w:type="continuationSeparator" w:id="0">
    <w:p w14:paraId="0EB3406D" w14:textId="77777777" w:rsidR="00AF03AF" w:rsidRDefault="00AF03AF"/>
  </w:footnote>
  <w:footnote w:id="1">
    <w:p w14:paraId="5A4255E8" w14:textId="77777777" w:rsidR="00A1261B" w:rsidRDefault="00A1261B" w:rsidP="00360BF1">
      <w:pPr>
        <w:pStyle w:val="Tekstprzypisudolnego"/>
      </w:pPr>
      <w:r>
        <w:rPr>
          <w:rStyle w:val="Odwoanieprzypisudolnego"/>
        </w:rPr>
        <w:footnoteRef/>
      </w:r>
      <w:r>
        <w:t xml:space="preserve">   Zmiany wymienionej decyzji zostały ogłoszone w Dz. Urz. Min. Inf. z 2020 r. poz. 47, z 2021 r. poz. 2, 4, 8, 19, 26, 28, 31, 33, 35, 44, 49, 50, 51 i 53, z 2022 r. poz. 3, 5, 9, 10, 20, 21, 29, 34, 38 i 41, z 2023 r. poz. 5, 10, 16, 24, 32, 34, 39, 45 i 46, z 2024 r. poz. 2, 6, 8, 18, 29, 36, 42, 52, 54, 56 i 62 oraz z 2025 r. poz. 6, 10 i 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7BC"/>
    <w:multiLevelType w:val="hybridMultilevel"/>
    <w:tmpl w:val="619ACA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470784"/>
    <w:multiLevelType w:val="multilevel"/>
    <w:tmpl w:val="124A273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D07B36"/>
    <w:multiLevelType w:val="multilevel"/>
    <w:tmpl w:val="32206B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D56B7"/>
    <w:multiLevelType w:val="multilevel"/>
    <w:tmpl w:val="053E91A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8410C"/>
    <w:multiLevelType w:val="hybridMultilevel"/>
    <w:tmpl w:val="6D968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1B5125"/>
    <w:multiLevelType w:val="multilevel"/>
    <w:tmpl w:val="69F2E31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A50C68"/>
    <w:multiLevelType w:val="multilevel"/>
    <w:tmpl w:val="34E22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96562"/>
    <w:multiLevelType w:val="hybridMultilevel"/>
    <w:tmpl w:val="7B2260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276E18"/>
    <w:multiLevelType w:val="hybridMultilevel"/>
    <w:tmpl w:val="B29A2D08"/>
    <w:lvl w:ilvl="0" w:tplc="04150011">
      <w:start w:val="1"/>
      <w:numFmt w:val="decimal"/>
      <w:lvlText w:val="%1)"/>
      <w:lvlJc w:val="left"/>
      <w:pPr>
        <w:ind w:left="848" w:hanging="360"/>
      </w:pPr>
    </w:lvl>
    <w:lvl w:ilvl="1" w:tplc="04150019" w:tentative="1">
      <w:start w:val="1"/>
      <w:numFmt w:val="lowerLetter"/>
      <w:lvlText w:val="%2."/>
      <w:lvlJc w:val="left"/>
      <w:pPr>
        <w:ind w:left="1568" w:hanging="360"/>
      </w:pPr>
    </w:lvl>
    <w:lvl w:ilvl="2" w:tplc="0415001B" w:tentative="1">
      <w:start w:val="1"/>
      <w:numFmt w:val="lowerRoman"/>
      <w:lvlText w:val="%3."/>
      <w:lvlJc w:val="right"/>
      <w:pPr>
        <w:ind w:left="2288" w:hanging="180"/>
      </w:pPr>
    </w:lvl>
    <w:lvl w:ilvl="3" w:tplc="0415000F" w:tentative="1">
      <w:start w:val="1"/>
      <w:numFmt w:val="decimal"/>
      <w:lvlText w:val="%4."/>
      <w:lvlJc w:val="left"/>
      <w:pPr>
        <w:ind w:left="3008" w:hanging="360"/>
      </w:pPr>
    </w:lvl>
    <w:lvl w:ilvl="4" w:tplc="04150019" w:tentative="1">
      <w:start w:val="1"/>
      <w:numFmt w:val="lowerLetter"/>
      <w:lvlText w:val="%5."/>
      <w:lvlJc w:val="left"/>
      <w:pPr>
        <w:ind w:left="3728" w:hanging="360"/>
      </w:pPr>
    </w:lvl>
    <w:lvl w:ilvl="5" w:tplc="0415001B" w:tentative="1">
      <w:start w:val="1"/>
      <w:numFmt w:val="lowerRoman"/>
      <w:lvlText w:val="%6."/>
      <w:lvlJc w:val="right"/>
      <w:pPr>
        <w:ind w:left="4448" w:hanging="180"/>
      </w:pPr>
    </w:lvl>
    <w:lvl w:ilvl="6" w:tplc="0415000F" w:tentative="1">
      <w:start w:val="1"/>
      <w:numFmt w:val="decimal"/>
      <w:lvlText w:val="%7."/>
      <w:lvlJc w:val="left"/>
      <w:pPr>
        <w:ind w:left="5168" w:hanging="360"/>
      </w:pPr>
    </w:lvl>
    <w:lvl w:ilvl="7" w:tplc="04150019" w:tentative="1">
      <w:start w:val="1"/>
      <w:numFmt w:val="lowerLetter"/>
      <w:lvlText w:val="%8."/>
      <w:lvlJc w:val="left"/>
      <w:pPr>
        <w:ind w:left="5888" w:hanging="360"/>
      </w:pPr>
    </w:lvl>
    <w:lvl w:ilvl="8" w:tplc="0415001B" w:tentative="1">
      <w:start w:val="1"/>
      <w:numFmt w:val="lowerRoman"/>
      <w:lvlText w:val="%9."/>
      <w:lvlJc w:val="right"/>
      <w:pPr>
        <w:ind w:left="6608" w:hanging="180"/>
      </w:pPr>
    </w:lvl>
  </w:abstractNum>
  <w:abstractNum w:abstractNumId="9" w15:restartNumberingAfterBreak="0">
    <w:nsid w:val="0FAD0109"/>
    <w:multiLevelType w:val="hybridMultilevel"/>
    <w:tmpl w:val="DE88C1FC"/>
    <w:lvl w:ilvl="0" w:tplc="9D2C0646">
      <w:start w:val="1"/>
      <w:numFmt w:val="bullet"/>
      <w:lvlText w:val="-"/>
      <w:lvlJc w:val="left"/>
      <w:pPr>
        <w:ind w:left="859" w:hanging="360"/>
      </w:pPr>
      <w:rPr>
        <w:rFonts w:hint="default"/>
      </w:rPr>
    </w:lvl>
    <w:lvl w:ilvl="1" w:tplc="04150003" w:tentative="1">
      <w:start w:val="1"/>
      <w:numFmt w:val="bullet"/>
      <w:lvlText w:val="o"/>
      <w:lvlJc w:val="left"/>
      <w:pPr>
        <w:ind w:left="1579" w:hanging="360"/>
      </w:pPr>
      <w:rPr>
        <w:rFonts w:ascii="Courier New" w:hAnsi="Courier New" w:cs="Courier New" w:hint="default"/>
      </w:rPr>
    </w:lvl>
    <w:lvl w:ilvl="2" w:tplc="04150005" w:tentative="1">
      <w:start w:val="1"/>
      <w:numFmt w:val="bullet"/>
      <w:lvlText w:val=""/>
      <w:lvlJc w:val="left"/>
      <w:pPr>
        <w:ind w:left="2299" w:hanging="360"/>
      </w:pPr>
      <w:rPr>
        <w:rFonts w:ascii="Wingdings" w:hAnsi="Wingdings" w:hint="default"/>
      </w:rPr>
    </w:lvl>
    <w:lvl w:ilvl="3" w:tplc="04150001" w:tentative="1">
      <w:start w:val="1"/>
      <w:numFmt w:val="bullet"/>
      <w:lvlText w:val=""/>
      <w:lvlJc w:val="left"/>
      <w:pPr>
        <w:ind w:left="3019" w:hanging="360"/>
      </w:pPr>
      <w:rPr>
        <w:rFonts w:ascii="Symbol" w:hAnsi="Symbol" w:hint="default"/>
      </w:rPr>
    </w:lvl>
    <w:lvl w:ilvl="4" w:tplc="04150003" w:tentative="1">
      <w:start w:val="1"/>
      <w:numFmt w:val="bullet"/>
      <w:lvlText w:val="o"/>
      <w:lvlJc w:val="left"/>
      <w:pPr>
        <w:ind w:left="3739" w:hanging="360"/>
      </w:pPr>
      <w:rPr>
        <w:rFonts w:ascii="Courier New" w:hAnsi="Courier New" w:cs="Courier New" w:hint="default"/>
      </w:rPr>
    </w:lvl>
    <w:lvl w:ilvl="5" w:tplc="04150005" w:tentative="1">
      <w:start w:val="1"/>
      <w:numFmt w:val="bullet"/>
      <w:lvlText w:val=""/>
      <w:lvlJc w:val="left"/>
      <w:pPr>
        <w:ind w:left="4459" w:hanging="360"/>
      </w:pPr>
      <w:rPr>
        <w:rFonts w:ascii="Wingdings" w:hAnsi="Wingdings" w:hint="default"/>
      </w:rPr>
    </w:lvl>
    <w:lvl w:ilvl="6" w:tplc="04150001" w:tentative="1">
      <w:start w:val="1"/>
      <w:numFmt w:val="bullet"/>
      <w:lvlText w:val=""/>
      <w:lvlJc w:val="left"/>
      <w:pPr>
        <w:ind w:left="5179" w:hanging="360"/>
      </w:pPr>
      <w:rPr>
        <w:rFonts w:ascii="Symbol" w:hAnsi="Symbol" w:hint="default"/>
      </w:rPr>
    </w:lvl>
    <w:lvl w:ilvl="7" w:tplc="04150003" w:tentative="1">
      <w:start w:val="1"/>
      <w:numFmt w:val="bullet"/>
      <w:lvlText w:val="o"/>
      <w:lvlJc w:val="left"/>
      <w:pPr>
        <w:ind w:left="5899" w:hanging="360"/>
      </w:pPr>
      <w:rPr>
        <w:rFonts w:ascii="Courier New" w:hAnsi="Courier New" w:cs="Courier New" w:hint="default"/>
      </w:rPr>
    </w:lvl>
    <w:lvl w:ilvl="8" w:tplc="04150005" w:tentative="1">
      <w:start w:val="1"/>
      <w:numFmt w:val="bullet"/>
      <w:lvlText w:val=""/>
      <w:lvlJc w:val="left"/>
      <w:pPr>
        <w:ind w:left="6619" w:hanging="360"/>
      </w:pPr>
      <w:rPr>
        <w:rFonts w:ascii="Wingdings" w:hAnsi="Wingdings" w:hint="default"/>
      </w:rPr>
    </w:lvl>
  </w:abstractNum>
  <w:abstractNum w:abstractNumId="10" w15:restartNumberingAfterBreak="0">
    <w:nsid w:val="13263B39"/>
    <w:multiLevelType w:val="hybridMultilevel"/>
    <w:tmpl w:val="2AE266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343F25"/>
    <w:multiLevelType w:val="multilevel"/>
    <w:tmpl w:val="682028A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522A90"/>
    <w:multiLevelType w:val="multilevel"/>
    <w:tmpl w:val="30F0EF92"/>
    <w:lvl w:ilvl="0">
      <w:start w:val="1"/>
      <w:numFmt w:val="lowerLetter"/>
      <w:lvlText w:val="%1)"/>
      <w:lvlJc w:val="left"/>
      <w:rPr>
        <w:rFonts w:ascii="Arial" w:eastAsia="Arial" w:hAnsi="Arial" w:cs="Arial"/>
        <w:b/>
        <w:bCs/>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9960FB"/>
    <w:multiLevelType w:val="hybridMultilevel"/>
    <w:tmpl w:val="AF6E9DD0"/>
    <w:lvl w:ilvl="0" w:tplc="04150017">
      <w:start w:val="1"/>
      <w:numFmt w:val="lowerLetter"/>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4" w15:restartNumberingAfterBreak="0">
    <w:nsid w:val="1EA84A93"/>
    <w:multiLevelType w:val="multilevel"/>
    <w:tmpl w:val="5664C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365F21"/>
    <w:multiLevelType w:val="multilevel"/>
    <w:tmpl w:val="5EB23AF2"/>
    <w:lvl w:ilvl="0">
      <w:start w:val="4"/>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CE6439"/>
    <w:multiLevelType w:val="multilevel"/>
    <w:tmpl w:val="5B9E4B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9542EB"/>
    <w:multiLevelType w:val="hybridMultilevel"/>
    <w:tmpl w:val="4FD630C8"/>
    <w:lvl w:ilvl="0" w:tplc="6D1A0B92">
      <w:start w:val="1"/>
      <w:numFmt w:val="decimal"/>
      <w:lvlText w:val="%1)"/>
      <w:lvlJc w:val="left"/>
      <w:pPr>
        <w:ind w:left="580" w:hanging="360"/>
      </w:pPr>
      <w:rPr>
        <w:rFonts w:hint="default"/>
      </w:r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18" w15:restartNumberingAfterBreak="0">
    <w:nsid w:val="32F81EB3"/>
    <w:multiLevelType w:val="multilevel"/>
    <w:tmpl w:val="BFE0A5BA"/>
    <w:lvl w:ilvl="0">
      <w:start w:val="1"/>
      <w:numFmt w:val="decimal"/>
      <w:lvlText w:val="%1)"/>
      <w:lvlJc w:val="left"/>
      <w:rPr>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1018BE"/>
    <w:multiLevelType w:val="hybridMultilevel"/>
    <w:tmpl w:val="BD1A35F2"/>
    <w:lvl w:ilvl="0" w:tplc="1B26DA84">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20" w15:restartNumberingAfterBreak="0">
    <w:nsid w:val="34101477"/>
    <w:multiLevelType w:val="hybridMultilevel"/>
    <w:tmpl w:val="9E665BE4"/>
    <w:lvl w:ilvl="0" w:tplc="04150011">
      <w:start w:val="1"/>
      <w:numFmt w:val="decimal"/>
      <w:lvlText w:val="%1)"/>
      <w:lvlJc w:val="left"/>
      <w:pPr>
        <w:ind w:left="858" w:hanging="360"/>
      </w:p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21" w15:restartNumberingAfterBreak="0">
    <w:nsid w:val="372831D9"/>
    <w:multiLevelType w:val="multilevel"/>
    <w:tmpl w:val="065C46AA"/>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452627"/>
    <w:multiLevelType w:val="hybridMultilevel"/>
    <w:tmpl w:val="B4B8A9C0"/>
    <w:lvl w:ilvl="0" w:tplc="B7ACB3DC">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1D02A6"/>
    <w:multiLevelType w:val="hybridMultilevel"/>
    <w:tmpl w:val="FE50ED40"/>
    <w:lvl w:ilvl="0" w:tplc="4AB2E732">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24" w15:restartNumberingAfterBreak="0">
    <w:nsid w:val="43D57E38"/>
    <w:multiLevelType w:val="multilevel"/>
    <w:tmpl w:val="DFD48028"/>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B074E8"/>
    <w:multiLevelType w:val="hybridMultilevel"/>
    <w:tmpl w:val="8C7839E0"/>
    <w:lvl w:ilvl="0" w:tplc="C598F5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F1478D4"/>
    <w:multiLevelType w:val="hybridMultilevel"/>
    <w:tmpl w:val="9A5AF8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552636"/>
    <w:multiLevelType w:val="hybridMultilevel"/>
    <w:tmpl w:val="34D41920"/>
    <w:lvl w:ilvl="0" w:tplc="533EF34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C16443"/>
    <w:multiLevelType w:val="hybridMultilevel"/>
    <w:tmpl w:val="33CC6158"/>
    <w:lvl w:ilvl="0" w:tplc="07A8197A">
      <w:start w:val="1"/>
      <w:numFmt w:val="decimal"/>
      <w:lvlText w:val="­"/>
      <w:lvlJc w:val="left"/>
      <w:pPr>
        <w:ind w:left="720" w:hanging="360"/>
      </w:pPr>
    </w:lvl>
    <w:lvl w:ilvl="1" w:tplc="AC34DB9A">
      <w:start w:val="1"/>
      <w:numFmt w:val="lowerLetter"/>
      <w:lvlText w:val="%2."/>
      <w:lvlJc w:val="left"/>
      <w:pPr>
        <w:ind w:left="1440" w:hanging="360"/>
      </w:pPr>
    </w:lvl>
    <w:lvl w:ilvl="2" w:tplc="3920D546">
      <w:start w:val="1"/>
      <w:numFmt w:val="lowerRoman"/>
      <w:lvlText w:val="%3."/>
      <w:lvlJc w:val="right"/>
      <w:pPr>
        <w:ind w:left="2160" w:hanging="180"/>
      </w:pPr>
    </w:lvl>
    <w:lvl w:ilvl="3" w:tplc="62083AD6">
      <w:start w:val="1"/>
      <w:numFmt w:val="decimal"/>
      <w:lvlText w:val="%4."/>
      <w:lvlJc w:val="left"/>
      <w:pPr>
        <w:ind w:left="2880" w:hanging="360"/>
      </w:pPr>
    </w:lvl>
    <w:lvl w:ilvl="4" w:tplc="8884A74A">
      <w:start w:val="1"/>
      <w:numFmt w:val="lowerLetter"/>
      <w:lvlText w:val="%5."/>
      <w:lvlJc w:val="left"/>
      <w:pPr>
        <w:ind w:left="3600" w:hanging="360"/>
      </w:pPr>
    </w:lvl>
    <w:lvl w:ilvl="5" w:tplc="3EE43056">
      <w:start w:val="1"/>
      <w:numFmt w:val="lowerRoman"/>
      <w:lvlText w:val="%6."/>
      <w:lvlJc w:val="right"/>
      <w:pPr>
        <w:ind w:left="4320" w:hanging="180"/>
      </w:pPr>
    </w:lvl>
    <w:lvl w:ilvl="6" w:tplc="AC18A170">
      <w:start w:val="1"/>
      <w:numFmt w:val="decimal"/>
      <w:lvlText w:val="%7."/>
      <w:lvlJc w:val="left"/>
      <w:pPr>
        <w:ind w:left="5040" w:hanging="360"/>
      </w:pPr>
    </w:lvl>
    <w:lvl w:ilvl="7" w:tplc="BA168EF0">
      <w:start w:val="1"/>
      <w:numFmt w:val="lowerLetter"/>
      <w:lvlText w:val="%8."/>
      <w:lvlJc w:val="left"/>
      <w:pPr>
        <w:ind w:left="5760" w:hanging="360"/>
      </w:pPr>
    </w:lvl>
    <w:lvl w:ilvl="8" w:tplc="0764F94C">
      <w:start w:val="1"/>
      <w:numFmt w:val="lowerRoman"/>
      <w:lvlText w:val="%9."/>
      <w:lvlJc w:val="right"/>
      <w:pPr>
        <w:ind w:left="6480" w:hanging="180"/>
      </w:pPr>
    </w:lvl>
  </w:abstractNum>
  <w:abstractNum w:abstractNumId="29" w15:restartNumberingAfterBreak="0">
    <w:nsid w:val="524442F3"/>
    <w:multiLevelType w:val="hybridMultilevel"/>
    <w:tmpl w:val="2C5E6A4A"/>
    <w:lvl w:ilvl="0" w:tplc="0415000F">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0" w15:restartNumberingAfterBreak="0">
    <w:nsid w:val="53867CCA"/>
    <w:multiLevelType w:val="multilevel"/>
    <w:tmpl w:val="12EE7E04"/>
    <w:lvl w:ilvl="0">
      <w:start w:val="1"/>
      <w:numFmt w:val="decimal"/>
      <w:lvlText w:val="%1)"/>
      <w:lvlJc w:val="left"/>
      <w:rPr>
        <w:rFonts w:ascii="Lato" w:eastAsia="Times New Roman" w:hAnsi="Lato" w:cs="Times New Roman"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4C679A"/>
    <w:multiLevelType w:val="multilevel"/>
    <w:tmpl w:val="AE72FF1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E77DFA"/>
    <w:multiLevelType w:val="hybridMultilevel"/>
    <w:tmpl w:val="5EBE2A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8456858"/>
    <w:multiLevelType w:val="multilevel"/>
    <w:tmpl w:val="69D0B94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B90910"/>
    <w:multiLevelType w:val="hybridMultilevel"/>
    <w:tmpl w:val="BF686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3A73A3"/>
    <w:multiLevelType w:val="multilevel"/>
    <w:tmpl w:val="BEE296F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7D1D0D"/>
    <w:multiLevelType w:val="multilevel"/>
    <w:tmpl w:val="4226F862"/>
    <w:lvl w:ilvl="0">
      <w:start w:val="2"/>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7460995"/>
    <w:multiLevelType w:val="multilevel"/>
    <w:tmpl w:val="903CB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8650ED5"/>
    <w:multiLevelType w:val="hybridMultilevel"/>
    <w:tmpl w:val="1B10A1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D60C76"/>
    <w:multiLevelType w:val="multilevel"/>
    <w:tmpl w:val="93328856"/>
    <w:lvl w:ilvl="0">
      <w:start w:val="1"/>
      <w:numFmt w:val="decimal"/>
      <w:lvlText w:val="%1)"/>
      <w:lvlJc w:val="left"/>
      <w:rPr>
        <w:rFonts w:ascii="Arial" w:eastAsia="Arial" w:hAnsi="Arial" w:cs="Arial"/>
        <w:b w:val="0"/>
        <w:bCs w:val="0"/>
        <w:i/>
        <w:iCs/>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10371F"/>
    <w:multiLevelType w:val="multilevel"/>
    <w:tmpl w:val="C1E03FF6"/>
    <w:lvl w:ilvl="0">
      <w:start w:val="3"/>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605CA2"/>
    <w:multiLevelType w:val="multilevel"/>
    <w:tmpl w:val="0D66831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F32A72"/>
    <w:multiLevelType w:val="hybridMultilevel"/>
    <w:tmpl w:val="E61698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2304616">
    <w:abstractNumId w:val="40"/>
  </w:num>
  <w:num w:numId="2" w16cid:durableId="1779249810">
    <w:abstractNumId w:val="15"/>
  </w:num>
  <w:num w:numId="3" w16cid:durableId="1063482940">
    <w:abstractNumId w:val="31"/>
  </w:num>
  <w:num w:numId="4" w16cid:durableId="1293485984">
    <w:abstractNumId w:val="36"/>
  </w:num>
  <w:num w:numId="5" w16cid:durableId="1775779402">
    <w:abstractNumId w:val="29"/>
  </w:num>
  <w:num w:numId="6" w16cid:durableId="1877086558">
    <w:abstractNumId w:val="34"/>
  </w:num>
  <w:num w:numId="7" w16cid:durableId="240649826">
    <w:abstractNumId w:val="13"/>
  </w:num>
  <w:num w:numId="8" w16cid:durableId="1764187179">
    <w:abstractNumId w:val="22"/>
  </w:num>
  <w:num w:numId="9" w16cid:durableId="1778718726">
    <w:abstractNumId w:val="27"/>
  </w:num>
  <w:num w:numId="10" w16cid:durableId="1775056903">
    <w:abstractNumId w:val="17"/>
  </w:num>
  <w:num w:numId="11" w16cid:durableId="1277566040">
    <w:abstractNumId w:val="6"/>
  </w:num>
  <w:num w:numId="12" w16cid:durableId="662662495">
    <w:abstractNumId w:val="38"/>
  </w:num>
  <w:num w:numId="13" w16cid:durableId="941914894">
    <w:abstractNumId w:val="4"/>
  </w:num>
  <w:num w:numId="14" w16cid:durableId="2079861130">
    <w:abstractNumId w:val="26"/>
  </w:num>
  <w:num w:numId="15" w16cid:durableId="2134442669">
    <w:abstractNumId w:val="21"/>
  </w:num>
  <w:num w:numId="16" w16cid:durableId="1770157329">
    <w:abstractNumId w:val="18"/>
  </w:num>
  <w:num w:numId="17" w16cid:durableId="1135222664">
    <w:abstractNumId w:val="32"/>
  </w:num>
  <w:num w:numId="18" w16cid:durableId="553345992">
    <w:abstractNumId w:val="12"/>
  </w:num>
  <w:num w:numId="19" w16cid:durableId="55789476">
    <w:abstractNumId w:val="8"/>
  </w:num>
  <w:num w:numId="20" w16cid:durableId="1235047071">
    <w:abstractNumId w:val="25"/>
  </w:num>
  <w:num w:numId="21" w16cid:durableId="1842692330">
    <w:abstractNumId w:val="1"/>
  </w:num>
  <w:num w:numId="22" w16cid:durableId="2052529904">
    <w:abstractNumId w:val="10"/>
  </w:num>
  <w:num w:numId="23" w16cid:durableId="1166215290">
    <w:abstractNumId w:val="5"/>
  </w:num>
  <w:num w:numId="24" w16cid:durableId="496192609">
    <w:abstractNumId w:val="24"/>
  </w:num>
  <w:num w:numId="25" w16cid:durableId="1498958872">
    <w:abstractNumId w:val="39"/>
  </w:num>
  <w:num w:numId="26" w16cid:durableId="248539025">
    <w:abstractNumId w:val="33"/>
  </w:num>
  <w:num w:numId="27" w16cid:durableId="1105270848">
    <w:abstractNumId w:val="3"/>
  </w:num>
  <w:num w:numId="28" w16cid:durableId="606473775">
    <w:abstractNumId w:val="35"/>
  </w:num>
  <w:num w:numId="29" w16cid:durableId="756092670">
    <w:abstractNumId w:val="2"/>
  </w:num>
  <w:num w:numId="30" w16cid:durableId="735708196">
    <w:abstractNumId w:val="11"/>
  </w:num>
  <w:num w:numId="31" w16cid:durableId="1008680748">
    <w:abstractNumId w:val="41"/>
  </w:num>
  <w:num w:numId="32" w16cid:durableId="1647853372">
    <w:abstractNumId w:val="23"/>
  </w:num>
  <w:num w:numId="33" w16cid:durableId="140654246">
    <w:abstractNumId w:val="16"/>
  </w:num>
  <w:num w:numId="34" w16cid:durableId="2017071845">
    <w:abstractNumId w:val="30"/>
  </w:num>
  <w:num w:numId="35" w16cid:durableId="1847669763">
    <w:abstractNumId w:val="7"/>
  </w:num>
  <w:num w:numId="36" w16cid:durableId="1744066308">
    <w:abstractNumId w:val="37"/>
  </w:num>
  <w:num w:numId="37" w16cid:durableId="1530336197">
    <w:abstractNumId w:val="14"/>
  </w:num>
  <w:num w:numId="38" w16cid:durableId="1136603849">
    <w:abstractNumId w:val="0"/>
  </w:num>
  <w:num w:numId="39" w16cid:durableId="916599721">
    <w:abstractNumId w:val="19"/>
  </w:num>
  <w:num w:numId="40" w16cid:durableId="1114054268">
    <w:abstractNumId w:val="28"/>
  </w:num>
  <w:num w:numId="41" w16cid:durableId="14602958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505805">
    <w:abstractNumId w:val="20"/>
  </w:num>
  <w:num w:numId="43" w16cid:durableId="18237669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462"/>
    <w:rsid w:val="00003700"/>
    <w:rsid w:val="000123D5"/>
    <w:rsid w:val="00020C56"/>
    <w:rsid w:val="000256A4"/>
    <w:rsid w:val="000337DF"/>
    <w:rsid w:val="00041BB8"/>
    <w:rsid w:val="0004467D"/>
    <w:rsid w:val="0005063C"/>
    <w:rsid w:val="0005539B"/>
    <w:rsid w:val="00070C87"/>
    <w:rsid w:val="00072D00"/>
    <w:rsid w:val="000800D9"/>
    <w:rsid w:val="00086628"/>
    <w:rsid w:val="0009506D"/>
    <w:rsid w:val="0009751E"/>
    <w:rsid w:val="000A0C40"/>
    <w:rsid w:val="000A7F07"/>
    <w:rsid w:val="000B29AE"/>
    <w:rsid w:val="000D3830"/>
    <w:rsid w:val="000D38AE"/>
    <w:rsid w:val="000E467D"/>
    <w:rsid w:val="000E79BF"/>
    <w:rsid w:val="000F3F7C"/>
    <w:rsid w:val="000F5FDB"/>
    <w:rsid w:val="0010560A"/>
    <w:rsid w:val="00110B93"/>
    <w:rsid w:val="00114B38"/>
    <w:rsid w:val="00123F74"/>
    <w:rsid w:val="0013011E"/>
    <w:rsid w:val="00131ACB"/>
    <w:rsid w:val="00135700"/>
    <w:rsid w:val="00136704"/>
    <w:rsid w:val="00144D43"/>
    <w:rsid w:val="00146BEF"/>
    <w:rsid w:val="00150163"/>
    <w:rsid w:val="00152521"/>
    <w:rsid w:val="00160F73"/>
    <w:rsid w:val="001678F1"/>
    <w:rsid w:val="00167C19"/>
    <w:rsid w:val="00172440"/>
    <w:rsid w:val="001766B2"/>
    <w:rsid w:val="0018193E"/>
    <w:rsid w:val="0018453D"/>
    <w:rsid w:val="001A0E67"/>
    <w:rsid w:val="001A57F3"/>
    <w:rsid w:val="001A6D74"/>
    <w:rsid w:val="001B20B3"/>
    <w:rsid w:val="001C137B"/>
    <w:rsid w:val="001C551C"/>
    <w:rsid w:val="001D39EA"/>
    <w:rsid w:val="001D4A92"/>
    <w:rsid w:val="001D4C5A"/>
    <w:rsid w:val="001D6320"/>
    <w:rsid w:val="001F22A7"/>
    <w:rsid w:val="0020254C"/>
    <w:rsid w:val="00202C63"/>
    <w:rsid w:val="00207174"/>
    <w:rsid w:val="00207432"/>
    <w:rsid w:val="0021598C"/>
    <w:rsid w:val="00215DF2"/>
    <w:rsid w:val="0022750A"/>
    <w:rsid w:val="00242A21"/>
    <w:rsid w:val="00245FF1"/>
    <w:rsid w:val="00252B61"/>
    <w:rsid w:val="002569D1"/>
    <w:rsid w:val="002605B8"/>
    <w:rsid w:val="0026086C"/>
    <w:rsid w:val="00260E91"/>
    <w:rsid w:val="00262296"/>
    <w:rsid w:val="00282C7C"/>
    <w:rsid w:val="0028686B"/>
    <w:rsid w:val="00297BA2"/>
    <w:rsid w:val="002B2C02"/>
    <w:rsid w:val="002B469B"/>
    <w:rsid w:val="002B4E17"/>
    <w:rsid w:val="002C565B"/>
    <w:rsid w:val="002D362E"/>
    <w:rsid w:val="002D3CCF"/>
    <w:rsid w:val="002E09CC"/>
    <w:rsid w:val="002E2692"/>
    <w:rsid w:val="002E6B9B"/>
    <w:rsid w:val="002F0FAF"/>
    <w:rsid w:val="002F74CC"/>
    <w:rsid w:val="00321B55"/>
    <w:rsid w:val="00321D70"/>
    <w:rsid w:val="00327255"/>
    <w:rsid w:val="0033786E"/>
    <w:rsid w:val="00337942"/>
    <w:rsid w:val="00347CBF"/>
    <w:rsid w:val="0035030C"/>
    <w:rsid w:val="00354C31"/>
    <w:rsid w:val="00356876"/>
    <w:rsid w:val="00363FCA"/>
    <w:rsid w:val="00365E08"/>
    <w:rsid w:val="0037208A"/>
    <w:rsid w:val="0037774A"/>
    <w:rsid w:val="0038500B"/>
    <w:rsid w:val="003865A1"/>
    <w:rsid w:val="003A1B79"/>
    <w:rsid w:val="003A1CE8"/>
    <w:rsid w:val="003B28BF"/>
    <w:rsid w:val="003C0F0B"/>
    <w:rsid w:val="003C1165"/>
    <w:rsid w:val="003C2608"/>
    <w:rsid w:val="003C2CAE"/>
    <w:rsid w:val="003C4530"/>
    <w:rsid w:val="003D0C6C"/>
    <w:rsid w:val="003D229E"/>
    <w:rsid w:val="003E0052"/>
    <w:rsid w:val="003F2F81"/>
    <w:rsid w:val="003F433F"/>
    <w:rsid w:val="003F7B79"/>
    <w:rsid w:val="00401287"/>
    <w:rsid w:val="0040312D"/>
    <w:rsid w:val="00404117"/>
    <w:rsid w:val="00404CAD"/>
    <w:rsid w:val="0041099F"/>
    <w:rsid w:val="004118A4"/>
    <w:rsid w:val="004137D2"/>
    <w:rsid w:val="00417027"/>
    <w:rsid w:val="00420D08"/>
    <w:rsid w:val="004240E6"/>
    <w:rsid w:val="00425F4D"/>
    <w:rsid w:val="004571CD"/>
    <w:rsid w:val="00462093"/>
    <w:rsid w:val="0046594B"/>
    <w:rsid w:val="00466577"/>
    <w:rsid w:val="00477BD7"/>
    <w:rsid w:val="0048125A"/>
    <w:rsid w:val="004821BB"/>
    <w:rsid w:val="00482E88"/>
    <w:rsid w:val="004A1BDC"/>
    <w:rsid w:val="004A38E4"/>
    <w:rsid w:val="004B6430"/>
    <w:rsid w:val="004C0D89"/>
    <w:rsid w:val="004C4073"/>
    <w:rsid w:val="004D1DCA"/>
    <w:rsid w:val="004D4FEB"/>
    <w:rsid w:val="004E45A6"/>
    <w:rsid w:val="004E6C7C"/>
    <w:rsid w:val="004F7790"/>
    <w:rsid w:val="0050030B"/>
    <w:rsid w:val="00502AD4"/>
    <w:rsid w:val="0051054A"/>
    <w:rsid w:val="0052399E"/>
    <w:rsid w:val="00530C95"/>
    <w:rsid w:val="00551944"/>
    <w:rsid w:val="00552DA0"/>
    <w:rsid w:val="00554F5B"/>
    <w:rsid w:val="0056084B"/>
    <w:rsid w:val="005715CA"/>
    <w:rsid w:val="005715D6"/>
    <w:rsid w:val="0057191A"/>
    <w:rsid w:val="005904DA"/>
    <w:rsid w:val="0059757B"/>
    <w:rsid w:val="005A1438"/>
    <w:rsid w:val="005A1DAE"/>
    <w:rsid w:val="005A3F2B"/>
    <w:rsid w:val="005A61A3"/>
    <w:rsid w:val="005C2586"/>
    <w:rsid w:val="005C2D75"/>
    <w:rsid w:val="005C558E"/>
    <w:rsid w:val="005C5AF8"/>
    <w:rsid w:val="005C6D51"/>
    <w:rsid w:val="005E3851"/>
    <w:rsid w:val="005F0335"/>
    <w:rsid w:val="005F652A"/>
    <w:rsid w:val="005F7047"/>
    <w:rsid w:val="00602577"/>
    <w:rsid w:val="00603164"/>
    <w:rsid w:val="00611566"/>
    <w:rsid w:val="006139FD"/>
    <w:rsid w:val="00615806"/>
    <w:rsid w:val="006158D6"/>
    <w:rsid w:val="00623152"/>
    <w:rsid w:val="00624404"/>
    <w:rsid w:val="00625442"/>
    <w:rsid w:val="00625C5B"/>
    <w:rsid w:val="006264BD"/>
    <w:rsid w:val="00635A91"/>
    <w:rsid w:val="0063781A"/>
    <w:rsid w:val="00642228"/>
    <w:rsid w:val="00651938"/>
    <w:rsid w:val="006557AC"/>
    <w:rsid w:val="006615D1"/>
    <w:rsid w:val="00672577"/>
    <w:rsid w:val="006741A7"/>
    <w:rsid w:val="00685FA8"/>
    <w:rsid w:val="00690AA8"/>
    <w:rsid w:val="00693730"/>
    <w:rsid w:val="006A2BC5"/>
    <w:rsid w:val="006B46F1"/>
    <w:rsid w:val="006C3C0B"/>
    <w:rsid w:val="006C6BAA"/>
    <w:rsid w:val="006D00B5"/>
    <w:rsid w:val="006D5615"/>
    <w:rsid w:val="006E3708"/>
    <w:rsid w:val="006E3C94"/>
    <w:rsid w:val="006E3F94"/>
    <w:rsid w:val="006F2F90"/>
    <w:rsid w:val="006F5ED2"/>
    <w:rsid w:val="0070061A"/>
    <w:rsid w:val="00701CB3"/>
    <w:rsid w:val="0071113B"/>
    <w:rsid w:val="0071269F"/>
    <w:rsid w:val="00716999"/>
    <w:rsid w:val="007307BB"/>
    <w:rsid w:val="00732704"/>
    <w:rsid w:val="00740B5A"/>
    <w:rsid w:val="007466B0"/>
    <w:rsid w:val="007512B7"/>
    <w:rsid w:val="00763326"/>
    <w:rsid w:val="00770D96"/>
    <w:rsid w:val="00773FC0"/>
    <w:rsid w:val="00783F8D"/>
    <w:rsid w:val="00785269"/>
    <w:rsid w:val="007857CC"/>
    <w:rsid w:val="00787601"/>
    <w:rsid w:val="00787CC8"/>
    <w:rsid w:val="00796BEF"/>
    <w:rsid w:val="007A57F0"/>
    <w:rsid w:val="007B1A59"/>
    <w:rsid w:val="007B4B69"/>
    <w:rsid w:val="007C53F1"/>
    <w:rsid w:val="007C5837"/>
    <w:rsid w:val="007D1765"/>
    <w:rsid w:val="007D279B"/>
    <w:rsid w:val="007D43AE"/>
    <w:rsid w:val="007D7605"/>
    <w:rsid w:val="007D7C1E"/>
    <w:rsid w:val="007E1998"/>
    <w:rsid w:val="007E6446"/>
    <w:rsid w:val="007F1E39"/>
    <w:rsid w:val="007F2446"/>
    <w:rsid w:val="007F5699"/>
    <w:rsid w:val="008036B3"/>
    <w:rsid w:val="008057FC"/>
    <w:rsid w:val="00813292"/>
    <w:rsid w:val="00815735"/>
    <w:rsid w:val="008178A3"/>
    <w:rsid w:val="008261A0"/>
    <w:rsid w:val="00831E40"/>
    <w:rsid w:val="00832174"/>
    <w:rsid w:val="008333E7"/>
    <w:rsid w:val="00835860"/>
    <w:rsid w:val="00836444"/>
    <w:rsid w:val="008431A0"/>
    <w:rsid w:val="00852DC2"/>
    <w:rsid w:val="00853D24"/>
    <w:rsid w:val="00856036"/>
    <w:rsid w:val="00857BD1"/>
    <w:rsid w:val="00857CC5"/>
    <w:rsid w:val="00862C10"/>
    <w:rsid w:val="008771EC"/>
    <w:rsid w:val="008832B3"/>
    <w:rsid w:val="008846F4"/>
    <w:rsid w:val="00893988"/>
    <w:rsid w:val="00893CE1"/>
    <w:rsid w:val="00897D9A"/>
    <w:rsid w:val="008A0915"/>
    <w:rsid w:val="008A1326"/>
    <w:rsid w:val="008B13E4"/>
    <w:rsid w:val="008B579D"/>
    <w:rsid w:val="008B5DE5"/>
    <w:rsid w:val="008B779F"/>
    <w:rsid w:val="008C0562"/>
    <w:rsid w:val="008C400D"/>
    <w:rsid w:val="008C78A4"/>
    <w:rsid w:val="008D3515"/>
    <w:rsid w:val="008E36AA"/>
    <w:rsid w:val="008E714B"/>
    <w:rsid w:val="008F2F3D"/>
    <w:rsid w:val="008F5E4D"/>
    <w:rsid w:val="008F7D9F"/>
    <w:rsid w:val="009161C3"/>
    <w:rsid w:val="0092261C"/>
    <w:rsid w:val="00924DEA"/>
    <w:rsid w:val="009368A8"/>
    <w:rsid w:val="009372E9"/>
    <w:rsid w:val="009402E7"/>
    <w:rsid w:val="00941613"/>
    <w:rsid w:val="00943A6C"/>
    <w:rsid w:val="009440D3"/>
    <w:rsid w:val="00951303"/>
    <w:rsid w:val="009619C9"/>
    <w:rsid w:val="00964A50"/>
    <w:rsid w:val="0098479F"/>
    <w:rsid w:val="009858C3"/>
    <w:rsid w:val="00995C34"/>
    <w:rsid w:val="009A2065"/>
    <w:rsid w:val="009A6DE6"/>
    <w:rsid w:val="009B06B7"/>
    <w:rsid w:val="009B30D6"/>
    <w:rsid w:val="009C1519"/>
    <w:rsid w:val="009D1BDD"/>
    <w:rsid w:val="009D61EC"/>
    <w:rsid w:val="009D7FB0"/>
    <w:rsid w:val="009F0C8E"/>
    <w:rsid w:val="009F51CC"/>
    <w:rsid w:val="00A060D6"/>
    <w:rsid w:val="00A1261B"/>
    <w:rsid w:val="00A16182"/>
    <w:rsid w:val="00A20262"/>
    <w:rsid w:val="00A2519F"/>
    <w:rsid w:val="00A35DDB"/>
    <w:rsid w:val="00A37990"/>
    <w:rsid w:val="00A4428E"/>
    <w:rsid w:val="00A457C6"/>
    <w:rsid w:val="00A4728A"/>
    <w:rsid w:val="00A50C43"/>
    <w:rsid w:val="00A52195"/>
    <w:rsid w:val="00A5531D"/>
    <w:rsid w:val="00A60627"/>
    <w:rsid w:val="00A67978"/>
    <w:rsid w:val="00A726B0"/>
    <w:rsid w:val="00A72ADB"/>
    <w:rsid w:val="00A8078F"/>
    <w:rsid w:val="00A82C45"/>
    <w:rsid w:val="00A82C8C"/>
    <w:rsid w:val="00A85320"/>
    <w:rsid w:val="00A87EB1"/>
    <w:rsid w:val="00A95D8E"/>
    <w:rsid w:val="00A974F5"/>
    <w:rsid w:val="00AA0953"/>
    <w:rsid w:val="00AA1304"/>
    <w:rsid w:val="00AA483F"/>
    <w:rsid w:val="00AE10B7"/>
    <w:rsid w:val="00AF03AF"/>
    <w:rsid w:val="00AF1C92"/>
    <w:rsid w:val="00AF4D2D"/>
    <w:rsid w:val="00B026B7"/>
    <w:rsid w:val="00B026BD"/>
    <w:rsid w:val="00B0327C"/>
    <w:rsid w:val="00B214E5"/>
    <w:rsid w:val="00B334EC"/>
    <w:rsid w:val="00B41C5B"/>
    <w:rsid w:val="00B41D9E"/>
    <w:rsid w:val="00B42596"/>
    <w:rsid w:val="00B47243"/>
    <w:rsid w:val="00B52459"/>
    <w:rsid w:val="00B674A2"/>
    <w:rsid w:val="00B752D1"/>
    <w:rsid w:val="00B75458"/>
    <w:rsid w:val="00B77263"/>
    <w:rsid w:val="00B92890"/>
    <w:rsid w:val="00BB740A"/>
    <w:rsid w:val="00BC7438"/>
    <w:rsid w:val="00BD2BBE"/>
    <w:rsid w:val="00BD4D14"/>
    <w:rsid w:val="00BD5403"/>
    <w:rsid w:val="00BE2C35"/>
    <w:rsid w:val="00BE7212"/>
    <w:rsid w:val="00BF4462"/>
    <w:rsid w:val="00C00CF7"/>
    <w:rsid w:val="00C02FF4"/>
    <w:rsid w:val="00C10003"/>
    <w:rsid w:val="00C205D1"/>
    <w:rsid w:val="00C250B1"/>
    <w:rsid w:val="00C2557D"/>
    <w:rsid w:val="00C32C31"/>
    <w:rsid w:val="00C335A6"/>
    <w:rsid w:val="00C4497D"/>
    <w:rsid w:val="00C45BE5"/>
    <w:rsid w:val="00C46F43"/>
    <w:rsid w:val="00C510DC"/>
    <w:rsid w:val="00C576F1"/>
    <w:rsid w:val="00C6097A"/>
    <w:rsid w:val="00C615C0"/>
    <w:rsid w:val="00C62439"/>
    <w:rsid w:val="00C661D8"/>
    <w:rsid w:val="00C66FC0"/>
    <w:rsid w:val="00C72E50"/>
    <w:rsid w:val="00C73279"/>
    <w:rsid w:val="00C73599"/>
    <w:rsid w:val="00C7378A"/>
    <w:rsid w:val="00C8296E"/>
    <w:rsid w:val="00C84465"/>
    <w:rsid w:val="00C85C60"/>
    <w:rsid w:val="00C92225"/>
    <w:rsid w:val="00C926D1"/>
    <w:rsid w:val="00CA41C5"/>
    <w:rsid w:val="00CA5338"/>
    <w:rsid w:val="00CA65E2"/>
    <w:rsid w:val="00CA6B69"/>
    <w:rsid w:val="00CC08D3"/>
    <w:rsid w:val="00CD2813"/>
    <w:rsid w:val="00CD2C5D"/>
    <w:rsid w:val="00CE7647"/>
    <w:rsid w:val="00D05C8F"/>
    <w:rsid w:val="00D06C3F"/>
    <w:rsid w:val="00D16C9D"/>
    <w:rsid w:val="00D303F1"/>
    <w:rsid w:val="00D37D55"/>
    <w:rsid w:val="00D41357"/>
    <w:rsid w:val="00D435BF"/>
    <w:rsid w:val="00D47E24"/>
    <w:rsid w:val="00D50888"/>
    <w:rsid w:val="00D538F1"/>
    <w:rsid w:val="00D54ADC"/>
    <w:rsid w:val="00D56582"/>
    <w:rsid w:val="00D57C54"/>
    <w:rsid w:val="00D642BE"/>
    <w:rsid w:val="00D718E5"/>
    <w:rsid w:val="00D74456"/>
    <w:rsid w:val="00D7475F"/>
    <w:rsid w:val="00D76405"/>
    <w:rsid w:val="00D937CE"/>
    <w:rsid w:val="00D95C7E"/>
    <w:rsid w:val="00DB3132"/>
    <w:rsid w:val="00DC18FA"/>
    <w:rsid w:val="00DD20E9"/>
    <w:rsid w:val="00DD2F7D"/>
    <w:rsid w:val="00DF068B"/>
    <w:rsid w:val="00DF431B"/>
    <w:rsid w:val="00DF4330"/>
    <w:rsid w:val="00DF57DD"/>
    <w:rsid w:val="00E06B89"/>
    <w:rsid w:val="00E27B2D"/>
    <w:rsid w:val="00E30379"/>
    <w:rsid w:val="00E31EDC"/>
    <w:rsid w:val="00E36B0C"/>
    <w:rsid w:val="00E406EA"/>
    <w:rsid w:val="00E45D3A"/>
    <w:rsid w:val="00E57968"/>
    <w:rsid w:val="00E60FBC"/>
    <w:rsid w:val="00E80C06"/>
    <w:rsid w:val="00E8225B"/>
    <w:rsid w:val="00E85323"/>
    <w:rsid w:val="00EA147A"/>
    <w:rsid w:val="00EA2AC2"/>
    <w:rsid w:val="00EA302A"/>
    <w:rsid w:val="00EB1B71"/>
    <w:rsid w:val="00EB1E62"/>
    <w:rsid w:val="00EB4F5F"/>
    <w:rsid w:val="00EC3B37"/>
    <w:rsid w:val="00EC3E8D"/>
    <w:rsid w:val="00EC5723"/>
    <w:rsid w:val="00EC7658"/>
    <w:rsid w:val="00ED0223"/>
    <w:rsid w:val="00ED255B"/>
    <w:rsid w:val="00ED4E8F"/>
    <w:rsid w:val="00ED4F02"/>
    <w:rsid w:val="00EE12C3"/>
    <w:rsid w:val="00EE1940"/>
    <w:rsid w:val="00EE3A46"/>
    <w:rsid w:val="00EE6CCF"/>
    <w:rsid w:val="00EF4A28"/>
    <w:rsid w:val="00F010FC"/>
    <w:rsid w:val="00F063E0"/>
    <w:rsid w:val="00F16BFF"/>
    <w:rsid w:val="00F22A79"/>
    <w:rsid w:val="00F2306D"/>
    <w:rsid w:val="00F260DE"/>
    <w:rsid w:val="00F3251C"/>
    <w:rsid w:val="00F402ED"/>
    <w:rsid w:val="00F458D6"/>
    <w:rsid w:val="00F45AFC"/>
    <w:rsid w:val="00F47239"/>
    <w:rsid w:val="00F47923"/>
    <w:rsid w:val="00F64C86"/>
    <w:rsid w:val="00F7319E"/>
    <w:rsid w:val="00F8095C"/>
    <w:rsid w:val="00F900F5"/>
    <w:rsid w:val="00F9313D"/>
    <w:rsid w:val="00F97EB4"/>
    <w:rsid w:val="00FB2E70"/>
    <w:rsid w:val="00FC3274"/>
    <w:rsid w:val="00FC3E97"/>
    <w:rsid w:val="00FE221D"/>
    <w:rsid w:val="00FE7D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71433"/>
  <w15:docId w15:val="{5A391CA5-BAE9-4730-842F-BAE67CA3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paragraph" w:customStyle="1" w:styleId="Inne0">
    <w:name w:val="Inne"/>
    <w:basedOn w:val="Normalny"/>
    <w:link w:val="Inne"/>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after="140"/>
    </w:pPr>
    <w:rPr>
      <w:rFonts w:ascii="Times New Roman" w:eastAsia="Times New Roman" w:hAnsi="Times New Roman" w:cs="Times New Roman"/>
      <w:sz w:val="20"/>
      <w:szCs w:val="20"/>
    </w:rPr>
  </w:style>
  <w:style w:type="paragraph" w:customStyle="1" w:styleId="PKTpunkt">
    <w:name w:val="PKT – punkt"/>
    <w:uiPriority w:val="13"/>
    <w:qFormat/>
    <w:rsid w:val="00B47243"/>
    <w:pPr>
      <w:widowControl/>
      <w:spacing w:line="360" w:lineRule="auto"/>
      <w:ind w:left="510" w:hanging="510"/>
      <w:jc w:val="both"/>
    </w:pPr>
    <w:rPr>
      <w:rFonts w:ascii="Times" w:eastAsiaTheme="minorEastAsia" w:hAnsi="Times" w:cs="Arial"/>
      <w:bCs/>
      <w:szCs w:val="20"/>
      <w:lang w:bidi="ar-SA"/>
    </w:rPr>
  </w:style>
  <w:style w:type="paragraph" w:customStyle="1" w:styleId="LITlitera">
    <w:name w:val="LIT – litera"/>
    <w:basedOn w:val="PKTpunkt"/>
    <w:uiPriority w:val="14"/>
    <w:qFormat/>
    <w:rsid w:val="00B47243"/>
    <w:pPr>
      <w:ind w:left="986" w:hanging="476"/>
    </w:pPr>
  </w:style>
  <w:style w:type="paragraph" w:customStyle="1" w:styleId="ZLITPKTzmpktliter">
    <w:name w:val="Z_LIT/PKT – zm. pkt literą"/>
    <w:basedOn w:val="PKTpunkt"/>
    <w:uiPriority w:val="47"/>
    <w:qFormat/>
    <w:rsid w:val="00B47243"/>
    <w:pPr>
      <w:ind w:left="1497"/>
    </w:pPr>
  </w:style>
  <w:style w:type="paragraph" w:customStyle="1" w:styleId="ZLITLITwPKTzmlitwpktliter">
    <w:name w:val="Z_LIT/LIT_w_PKT – zm. lit. w pkt literą"/>
    <w:basedOn w:val="LITlitera"/>
    <w:uiPriority w:val="48"/>
    <w:qFormat/>
    <w:rsid w:val="00B47243"/>
    <w:pPr>
      <w:ind w:left="1973"/>
    </w:pPr>
  </w:style>
  <w:style w:type="paragraph" w:customStyle="1" w:styleId="ZUSTzmustartykuempunktem">
    <w:name w:val="Z/UST(§) – zm. us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PKTzmpktartykuempunktem">
    <w:name w:val="Z/PKT – zm. pkt artykułem (punktem)"/>
    <w:basedOn w:val="PKTpunkt"/>
    <w:uiPriority w:val="31"/>
    <w:qFormat/>
    <w:rsid w:val="00C02FF4"/>
    <w:pPr>
      <w:ind w:left="1020"/>
    </w:pPr>
  </w:style>
  <w:style w:type="paragraph" w:customStyle="1" w:styleId="ZARTzmartartykuempunktem">
    <w:name w:val="Z/ART(§) – zm. ar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LITUSTzmustliter">
    <w:name w:val="Z_LIT/UST(§) – zm. ust. (§) literą"/>
    <w:basedOn w:val="Normalny"/>
    <w:uiPriority w:val="46"/>
    <w:qFormat/>
    <w:rsid w:val="00462093"/>
    <w:pPr>
      <w:widowControl/>
      <w:suppressAutoHyphens/>
      <w:autoSpaceDE w:val="0"/>
      <w:autoSpaceDN w:val="0"/>
      <w:adjustRightInd w:val="0"/>
      <w:spacing w:line="360" w:lineRule="auto"/>
      <w:ind w:left="987" w:firstLine="510"/>
      <w:jc w:val="both"/>
    </w:pPr>
    <w:rPr>
      <w:rFonts w:ascii="Times" w:eastAsiaTheme="minorEastAsia" w:hAnsi="Times" w:cs="Arial"/>
      <w:bCs/>
      <w:color w:val="auto"/>
      <w:szCs w:val="20"/>
      <w:lang w:bidi="ar-SA"/>
    </w:rPr>
  </w:style>
  <w:style w:type="paragraph" w:styleId="Tekstkomentarza">
    <w:name w:val="annotation text"/>
    <w:basedOn w:val="Normalny"/>
    <w:link w:val="TekstkomentarzaZnak"/>
    <w:uiPriority w:val="99"/>
    <w:unhideWhenUsed/>
    <w:rsid w:val="00150163"/>
    <w:rPr>
      <w:sz w:val="20"/>
      <w:szCs w:val="20"/>
    </w:rPr>
  </w:style>
  <w:style w:type="character" w:customStyle="1" w:styleId="TekstkomentarzaZnak">
    <w:name w:val="Tekst komentarza Znak"/>
    <w:basedOn w:val="Domylnaczcionkaakapitu"/>
    <w:link w:val="Tekstkomentarza"/>
    <w:uiPriority w:val="99"/>
    <w:rsid w:val="00150163"/>
    <w:rPr>
      <w:color w:val="000000"/>
      <w:sz w:val="20"/>
      <w:szCs w:val="20"/>
    </w:rPr>
  </w:style>
  <w:style w:type="character" w:styleId="Odwoaniedokomentarza">
    <w:name w:val="annotation reference"/>
    <w:basedOn w:val="Domylnaczcionkaakapitu"/>
    <w:uiPriority w:val="99"/>
    <w:semiHidden/>
    <w:rsid w:val="00150163"/>
    <w:rPr>
      <w:sz w:val="16"/>
      <w:szCs w:val="16"/>
    </w:rPr>
  </w:style>
  <w:style w:type="paragraph" w:styleId="Akapitzlist">
    <w:name w:val="List Paragraph"/>
    <w:aliases w:val="Numerowanie"/>
    <w:basedOn w:val="Normalny"/>
    <w:uiPriority w:val="34"/>
    <w:qFormat/>
    <w:rsid w:val="00FE7D9A"/>
    <w:pPr>
      <w:ind w:left="720"/>
      <w:contextualSpacing/>
    </w:pPr>
  </w:style>
  <w:style w:type="paragraph" w:styleId="Poprawka">
    <w:name w:val="Revision"/>
    <w:hidden/>
    <w:uiPriority w:val="99"/>
    <w:semiHidden/>
    <w:rsid w:val="000E79BF"/>
    <w:pPr>
      <w:widowControl/>
    </w:pPr>
    <w:rPr>
      <w:color w:val="000000"/>
    </w:rPr>
  </w:style>
  <w:style w:type="paragraph" w:customStyle="1" w:styleId="ARTartustawynprozporzdzenia">
    <w:name w:val="ART(§) – art. ustawy (§ np. rozporządzenia)"/>
    <w:uiPriority w:val="11"/>
    <w:qFormat/>
    <w:rsid w:val="00F402ED"/>
    <w:pPr>
      <w:widowControl/>
      <w:suppressAutoHyphens/>
      <w:autoSpaceDE w:val="0"/>
      <w:autoSpaceDN w:val="0"/>
      <w:adjustRightInd w:val="0"/>
      <w:spacing w:before="120" w:line="360" w:lineRule="auto"/>
      <w:ind w:firstLine="510"/>
      <w:jc w:val="both"/>
    </w:pPr>
    <w:rPr>
      <w:rFonts w:ascii="Times" w:eastAsiaTheme="minorEastAsia" w:hAnsi="Times" w:cs="Arial"/>
      <w:szCs w:val="20"/>
      <w:lang w:bidi="ar-SA"/>
    </w:rPr>
  </w:style>
  <w:style w:type="character" w:customStyle="1" w:styleId="Ppogrubienie">
    <w:name w:val="_P_ – pogrubienie"/>
    <w:basedOn w:val="Domylnaczcionkaakapitu"/>
    <w:uiPriority w:val="1"/>
    <w:qFormat/>
    <w:rsid w:val="00F402ED"/>
    <w:rPr>
      <w:b/>
    </w:rPr>
  </w:style>
  <w:style w:type="paragraph" w:styleId="Tematkomentarza">
    <w:name w:val="annotation subject"/>
    <w:basedOn w:val="Tekstkomentarza"/>
    <w:next w:val="Tekstkomentarza"/>
    <w:link w:val="TematkomentarzaZnak"/>
    <w:uiPriority w:val="99"/>
    <w:semiHidden/>
    <w:unhideWhenUsed/>
    <w:rsid w:val="00F458D6"/>
    <w:rPr>
      <w:b/>
      <w:bCs/>
    </w:rPr>
  </w:style>
  <w:style w:type="character" w:customStyle="1" w:styleId="TematkomentarzaZnak">
    <w:name w:val="Temat komentarza Znak"/>
    <w:basedOn w:val="TekstkomentarzaZnak"/>
    <w:link w:val="Tematkomentarza"/>
    <w:uiPriority w:val="99"/>
    <w:semiHidden/>
    <w:rsid w:val="00F458D6"/>
    <w:rPr>
      <w:b/>
      <w:bCs/>
      <w:color w:val="000000"/>
      <w:sz w:val="20"/>
      <w:szCs w:val="20"/>
    </w:rPr>
  </w:style>
  <w:style w:type="paragraph" w:customStyle="1" w:styleId="ZCZWSPLITwPKTzmczciwsplitwpktartykuempunktem">
    <w:name w:val="Z/CZ_WSP_LIT_w_PKT – zm. części wsp. lit. w pkt artykułem (punktem)"/>
    <w:basedOn w:val="Normalny"/>
    <w:next w:val="ZARTzmartartykuempunktem"/>
    <w:uiPriority w:val="35"/>
    <w:qFormat/>
    <w:rsid w:val="00831E40"/>
    <w:pPr>
      <w:widowControl/>
      <w:spacing w:line="360" w:lineRule="auto"/>
      <w:ind w:left="1021"/>
      <w:jc w:val="both"/>
    </w:pPr>
    <w:rPr>
      <w:rFonts w:ascii="Times" w:eastAsiaTheme="minorEastAsia" w:hAnsi="Times" w:cs="Arial"/>
      <w:bCs/>
      <w:color w:val="auto"/>
      <w:lang w:bidi="ar-SA"/>
    </w:rPr>
  </w:style>
  <w:style w:type="paragraph" w:customStyle="1" w:styleId="ZLITLITzmlitliter">
    <w:name w:val="Z_LIT/LIT – zm. lit. literą"/>
    <w:basedOn w:val="LITlitera"/>
    <w:uiPriority w:val="48"/>
    <w:qFormat/>
    <w:rsid w:val="00831E40"/>
    <w:pPr>
      <w:ind w:left="1463"/>
    </w:pPr>
  </w:style>
  <w:style w:type="paragraph" w:customStyle="1" w:styleId="ZFRAGzmfragmentunpzdaniaartykuempunktem">
    <w:name w:val="Z/FRAG – zm. fragmentu (np. zdania) artykułem (punktem)"/>
    <w:basedOn w:val="ZARTzmartartykuempunktem"/>
    <w:next w:val="PKTpunkt"/>
    <w:uiPriority w:val="36"/>
    <w:qFormat/>
    <w:rsid w:val="00BD5403"/>
    <w:pPr>
      <w:ind w:firstLine="0"/>
    </w:pPr>
    <w:rPr>
      <w:rFonts w:ascii="Times New Roman" w:hAnsi="Times New Roman"/>
    </w:rPr>
  </w:style>
  <w:style w:type="character" w:customStyle="1" w:styleId="Stopka">
    <w:name w:val="Stopka_"/>
    <w:basedOn w:val="Domylnaczcionkaakapitu"/>
    <w:link w:val="Stopka1"/>
    <w:rsid w:val="00CD2C5D"/>
    <w:rPr>
      <w:rFonts w:ascii="Calibri" w:eastAsia="Calibri" w:hAnsi="Calibri" w:cs="Calibri"/>
      <w:sz w:val="20"/>
      <w:szCs w:val="20"/>
      <w:shd w:val="clear" w:color="auto" w:fill="FFFFFF"/>
    </w:rPr>
  </w:style>
  <w:style w:type="paragraph" w:customStyle="1" w:styleId="Stopka1">
    <w:name w:val="Stopka1"/>
    <w:basedOn w:val="Normalny"/>
    <w:link w:val="Stopka"/>
    <w:rsid w:val="00CD2C5D"/>
    <w:pPr>
      <w:shd w:val="clear" w:color="auto" w:fill="FFFFFF"/>
    </w:pPr>
    <w:rPr>
      <w:rFonts w:ascii="Calibri" w:eastAsia="Calibri" w:hAnsi="Calibri" w:cs="Calibri"/>
      <w:color w:val="auto"/>
      <w:sz w:val="20"/>
      <w:szCs w:val="20"/>
    </w:rPr>
  </w:style>
  <w:style w:type="paragraph" w:customStyle="1" w:styleId="ZCZWSPPKTzmczciwsppktartykuempunktem">
    <w:name w:val="Z/CZ_WSP_PKT – zm. części wsp. pkt artykułem (punktem)"/>
    <w:basedOn w:val="Normalny"/>
    <w:next w:val="Normalny"/>
    <w:uiPriority w:val="34"/>
    <w:qFormat/>
    <w:rsid w:val="00FC3274"/>
    <w:pPr>
      <w:widowControl/>
      <w:spacing w:line="360" w:lineRule="auto"/>
      <w:ind w:left="510"/>
      <w:jc w:val="both"/>
    </w:pPr>
    <w:rPr>
      <w:rFonts w:ascii="Times" w:eastAsiaTheme="minorEastAsia" w:hAnsi="Times" w:cs="Arial"/>
      <w:bCs/>
      <w:color w:val="auto"/>
      <w:szCs w:val="20"/>
      <w:lang w:bidi="ar-SA"/>
    </w:rPr>
  </w:style>
  <w:style w:type="paragraph" w:styleId="Stopka0">
    <w:name w:val="footer"/>
    <w:basedOn w:val="Normalny"/>
    <w:link w:val="StopkaZnak"/>
    <w:uiPriority w:val="99"/>
    <w:unhideWhenUsed/>
    <w:rsid w:val="007307BB"/>
    <w:pPr>
      <w:widowControl/>
      <w:tabs>
        <w:tab w:val="center" w:pos="4536"/>
        <w:tab w:val="right" w:pos="9072"/>
      </w:tabs>
    </w:pPr>
    <w:rPr>
      <w:rFonts w:asciiTheme="minorHAnsi" w:eastAsiaTheme="minorHAnsi" w:hAnsiTheme="minorHAnsi" w:cstheme="minorBidi"/>
      <w:color w:val="auto"/>
      <w:sz w:val="22"/>
      <w:szCs w:val="22"/>
      <w:lang w:eastAsia="en-US" w:bidi="ar-SA"/>
    </w:rPr>
  </w:style>
  <w:style w:type="character" w:customStyle="1" w:styleId="StopkaZnak">
    <w:name w:val="Stopka Znak"/>
    <w:basedOn w:val="Domylnaczcionkaakapitu"/>
    <w:link w:val="Stopka0"/>
    <w:uiPriority w:val="99"/>
    <w:rsid w:val="007307BB"/>
    <w:rPr>
      <w:rFonts w:asciiTheme="minorHAnsi" w:eastAsiaTheme="minorHAnsi" w:hAnsiTheme="minorHAnsi" w:cstheme="minorBidi"/>
      <w:sz w:val="22"/>
      <w:szCs w:val="22"/>
      <w:lang w:eastAsia="en-US" w:bidi="ar-SA"/>
    </w:rPr>
  </w:style>
  <w:style w:type="character" w:customStyle="1" w:styleId="Teksttreci2">
    <w:name w:val="Tekst treści (2)_"/>
    <w:basedOn w:val="Domylnaczcionkaakapitu"/>
    <w:link w:val="Teksttreci20"/>
    <w:rsid w:val="00F9313D"/>
    <w:rPr>
      <w:rFonts w:ascii="Arial" w:eastAsia="Arial" w:hAnsi="Arial" w:cs="Arial"/>
      <w:sz w:val="16"/>
      <w:szCs w:val="16"/>
      <w:shd w:val="clear" w:color="auto" w:fill="FFFFFF"/>
    </w:rPr>
  </w:style>
  <w:style w:type="paragraph" w:customStyle="1" w:styleId="Teksttreci20">
    <w:name w:val="Tekst treści (2)"/>
    <w:basedOn w:val="Normalny"/>
    <w:link w:val="Teksttreci2"/>
    <w:rsid w:val="00F9313D"/>
    <w:pPr>
      <w:shd w:val="clear" w:color="auto" w:fill="FFFFFF"/>
      <w:spacing w:after="100"/>
    </w:pPr>
    <w:rPr>
      <w:rFonts w:ascii="Arial" w:eastAsia="Arial" w:hAnsi="Arial" w:cs="Arial"/>
      <w:color w:val="auto"/>
      <w:sz w:val="16"/>
      <w:szCs w:val="16"/>
    </w:rPr>
  </w:style>
  <w:style w:type="character" w:customStyle="1" w:styleId="Nagwek2">
    <w:name w:val="Nagłówek #2_"/>
    <w:basedOn w:val="Domylnaczcionkaakapitu"/>
    <w:link w:val="Nagwek20"/>
    <w:rsid w:val="00F9313D"/>
    <w:rPr>
      <w:rFonts w:ascii="Arial" w:eastAsia="Arial" w:hAnsi="Arial" w:cs="Arial"/>
      <w:b/>
      <w:bCs/>
      <w:sz w:val="19"/>
      <w:szCs w:val="19"/>
      <w:shd w:val="clear" w:color="auto" w:fill="FFFFFF"/>
    </w:rPr>
  </w:style>
  <w:style w:type="paragraph" w:customStyle="1" w:styleId="Nagwek20">
    <w:name w:val="Nagłówek #2"/>
    <w:basedOn w:val="Normalny"/>
    <w:link w:val="Nagwek2"/>
    <w:rsid w:val="00F9313D"/>
    <w:pPr>
      <w:shd w:val="clear" w:color="auto" w:fill="FFFFFF"/>
      <w:ind w:left="4560"/>
      <w:outlineLvl w:val="1"/>
    </w:pPr>
    <w:rPr>
      <w:rFonts w:ascii="Arial" w:eastAsia="Arial" w:hAnsi="Arial" w:cs="Arial"/>
      <w:b/>
      <w:bCs/>
      <w:color w:val="auto"/>
      <w:sz w:val="19"/>
      <w:szCs w:val="19"/>
    </w:rPr>
  </w:style>
  <w:style w:type="paragraph" w:styleId="Tekstprzypisudolnego">
    <w:name w:val="footnote text"/>
    <w:basedOn w:val="Normalny"/>
    <w:link w:val="TekstprzypisudolnegoZnak"/>
    <w:uiPriority w:val="99"/>
    <w:semiHidden/>
    <w:unhideWhenUsed/>
    <w:rsid w:val="005A61A3"/>
    <w:pPr>
      <w:widowControl/>
    </w:pPr>
    <w:rPr>
      <w:rFonts w:asciiTheme="minorHAnsi" w:eastAsiaTheme="minorHAnsi" w:hAnsiTheme="minorHAnsi" w:cstheme="minorBidi"/>
      <w:color w:val="auto"/>
      <w:sz w:val="20"/>
      <w:szCs w:val="20"/>
      <w:lang w:eastAsia="en-US" w:bidi="ar-SA"/>
    </w:rPr>
  </w:style>
  <w:style w:type="character" w:customStyle="1" w:styleId="TekstprzypisudolnegoZnak">
    <w:name w:val="Tekst przypisu dolnego Znak"/>
    <w:basedOn w:val="Domylnaczcionkaakapitu"/>
    <w:link w:val="Tekstprzypisudolnego"/>
    <w:uiPriority w:val="99"/>
    <w:semiHidden/>
    <w:rsid w:val="005A61A3"/>
    <w:rPr>
      <w:rFonts w:asciiTheme="minorHAnsi" w:eastAsiaTheme="minorHAnsi" w:hAnsiTheme="minorHAnsi" w:cstheme="minorBidi"/>
      <w:sz w:val="20"/>
      <w:szCs w:val="20"/>
      <w:lang w:eastAsia="en-US" w:bidi="ar-SA"/>
    </w:rPr>
  </w:style>
  <w:style w:type="character" w:styleId="Odwoanieprzypisudolnego">
    <w:name w:val="footnote reference"/>
    <w:basedOn w:val="Domylnaczcionkaakapitu"/>
    <w:uiPriority w:val="99"/>
    <w:semiHidden/>
    <w:unhideWhenUsed/>
    <w:rsid w:val="005A61A3"/>
    <w:rPr>
      <w:vertAlign w:val="superscript"/>
    </w:rPr>
  </w:style>
  <w:style w:type="paragraph" w:customStyle="1" w:styleId="Default">
    <w:name w:val="Default"/>
    <w:basedOn w:val="Normalny"/>
    <w:uiPriority w:val="1"/>
    <w:rsid w:val="009B06B7"/>
    <w:pPr>
      <w:widowControl/>
    </w:pPr>
    <w:rPr>
      <w:rFonts w:ascii="Times New Roman" w:hAnsi="Times New Roman" w:cs="Times New Roman"/>
      <w:lang w:bidi="ar-SA"/>
    </w:rPr>
  </w:style>
  <w:style w:type="paragraph" w:styleId="Tekstprzypisukocowego">
    <w:name w:val="endnote text"/>
    <w:basedOn w:val="Normalny"/>
    <w:link w:val="TekstprzypisukocowegoZnak"/>
    <w:uiPriority w:val="99"/>
    <w:semiHidden/>
    <w:unhideWhenUsed/>
    <w:rsid w:val="00ED0223"/>
    <w:rPr>
      <w:sz w:val="20"/>
      <w:szCs w:val="20"/>
    </w:rPr>
  </w:style>
  <w:style w:type="character" w:customStyle="1" w:styleId="TekstprzypisukocowegoZnak">
    <w:name w:val="Tekst przypisu końcowego Znak"/>
    <w:basedOn w:val="Domylnaczcionkaakapitu"/>
    <w:link w:val="Tekstprzypisukocowego"/>
    <w:uiPriority w:val="99"/>
    <w:semiHidden/>
    <w:rsid w:val="00ED0223"/>
    <w:rPr>
      <w:color w:val="000000"/>
      <w:sz w:val="20"/>
      <w:szCs w:val="20"/>
    </w:rPr>
  </w:style>
  <w:style w:type="character" w:styleId="Odwoanieprzypisukocowego">
    <w:name w:val="endnote reference"/>
    <w:basedOn w:val="Domylnaczcionkaakapitu"/>
    <w:uiPriority w:val="99"/>
    <w:semiHidden/>
    <w:unhideWhenUsed/>
    <w:rsid w:val="00ED0223"/>
    <w:rPr>
      <w:vertAlign w:val="superscript"/>
    </w:rPr>
  </w:style>
  <w:style w:type="paragraph" w:styleId="Nagwek">
    <w:name w:val="header"/>
    <w:basedOn w:val="Normalny"/>
    <w:link w:val="NagwekZnak"/>
    <w:uiPriority w:val="99"/>
    <w:unhideWhenUsed/>
    <w:rsid w:val="00857BD1"/>
    <w:pPr>
      <w:tabs>
        <w:tab w:val="center" w:pos="4536"/>
        <w:tab w:val="right" w:pos="9072"/>
      </w:tabs>
    </w:pPr>
  </w:style>
  <w:style w:type="character" w:customStyle="1" w:styleId="NagwekZnak">
    <w:name w:val="Nagłówek Znak"/>
    <w:basedOn w:val="Domylnaczcionkaakapitu"/>
    <w:link w:val="Nagwek"/>
    <w:uiPriority w:val="99"/>
    <w:rsid w:val="00857BD1"/>
    <w:rPr>
      <w:color w:val="000000"/>
    </w:rPr>
  </w:style>
  <w:style w:type="character" w:styleId="Hipercze">
    <w:name w:val="Hyperlink"/>
    <w:basedOn w:val="Domylnaczcionkaakapitu"/>
    <w:uiPriority w:val="99"/>
    <w:unhideWhenUsed/>
    <w:rsid w:val="009D1BDD"/>
    <w:rPr>
      <w:color w:val="0563C1" w:themeColor="hyperlink"/>
      <w:u w:val="single"/>
    </w:rPr>
  </w:style>
  <w:style w:type="character" w:styleId="Nierozpoznanawzmianka">
    <w:name w:val="Unresolved Mention"/>
    <w:basedOn w:val="Domylnaczcionkaakapitu"/>
    <w:uiPriority w:val="99"/>
    <w:semiHidden/>
    <w:unhideWhenUsed/>
    <w:rsid w:val="009D1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205193">
      <w:bodyDiv w:val="1"/>
      <w:marLeft w:val="0"/>
      <w:marRight w:val="0"/>
      <w:marTop w:val="0"/>
      <w:marBottom w:val="0"/>
      <w:divBdr>
        <w:top w:val="none" w:sz="0" w:space="0" w:color="auto"/>
        <w:left w:val="none" w:sz="0" w:space="0" w:color="auto"/>
        <w:bottom w:val="none" w:sz="0" w:space="0" w:color="auto"/>
        <w:right w:val="none" w:sz="0" w:space="0" w:color="auto"/>
      </w:divBdr>
      <w:divsChild>
        <w:div w:id="257520636">
          <w:marLeft w:val="0"/>
          <w:marRight w:val="0"/>
          <w:marTop w:val="0"/>
          <w:marBottom w:val="0"/>
          <w:divBdr>
            <w:top w:val="none" w:sz="0" w:space="0" w:color="auto"/>
            <w:left w:val="none" w:sz="0" w:space="0" w:color="auto"/>
            <w:bottom w:val="none" w:sz="0" w:space="0" w:color="auto"/>
            <w:right w:val="none" w:sz="0" w:space="0" w:color="auto"/>
          </w:divBdr>
          <w:divsChild>
            <w:div w:id="573784382">
              <w:marLeft w:val="0"/>
              <w:marRight w:val="0"/>
              <w:marTop w:val="0"/>
              <w:marBottom w:val="0"/>
              <w:divBdr>
                <w:top w:val="none" w:sz="0" w:space="0" w:color="auto"/>
                <w:left w:val="none" w:sz="0" w:space="0" w:color="auto"/>
                <w:bottom w:val="none" w:sz="0" w:space="0" w:color="auto"/>
                <w:right w:val="none" w:sz="0" w:space="0" w:color="auto"/>
              </w:divBdr>
            </w:div>
          </w:divsChild>
        </w:div>
        <w:div w:id="727802287">
          <w:marLeft w:val="0"/>
          <w:marRight w:val="0"/>
          <w:marTop w:val="0"/>
          <w:marBottom w:val="0"/>
          <w:divBdr>
            <w:top w:val="none" w:sz="0" w:space="0" w:color="auto"/>
            <w:left w:val="none" w:sz="0" w:space="0" w:color="auto"/>
            <w:bottom w:val="none" w:sz="0" w:space="0" w:color="auto"/>
            <w:right w:val="none" w:sz="0" w:space="0" w:color="auto"/>
          </w:divBdr>
          <w:divsChild>
            <w:div w:id="731345319">
              <w:marLeft w:val="0"/>
              <w:marRight w:val="0"/>
              <w:marTop w:val="0"/>
              <w:marBottom w:val="0"/>
              <w:divBdr>
                <w:top w:val="none" w:sz="0" w:space="0" w:color="auto"/>
                <w:left w:val="none" w:sz="0" w:space="0" w:color="auto"/>
                <w:bottom w:val="none" w:sz="0" w:space="0" w:color="auto"/>
                <w:right w:val="none" w:sz="0" w:space="0" w:color="auto"/>
              </w:divBdr>
            </w:div>
          </w:divsChild>
        </w:div>
        <w:div w:id="254288762">
          <w:marLeft w:val="0"/>
          <w:marRight w:val="0"/>
          <w:marTop w:val="0"/>
          <w:marBottom w:val="0"/>
          <w:divBdr>
            <w:top w:val="none" w:sz="0" w:space="0" w:color="auto"/>
            <w:left w:val="none" w:sz="0" w:space="0" w:color="auto"/>
            <w:bottom w:val="none" w:sz="0" w:space="0" w:color="auto"/>
            <w:right w:val="none" w:sz="0" w:space="0" w:color="auto"/>
          </w:divBdr>
          <w:divsChild>
            <w:div w:id="358121031">
              <w:marLeft w:val="0"/>
              <w:marRight w:val="0"/>
              <w:marTop w:val="0"/>
              <w:marBottom w:val="0"/>
              <w:divBdr>
                <w:top w:val="none" w:sz="0" w:space="0" w:color="auto"/>
                <w:left w:val="none" w:sz="0" w:space="0" w:color="auto"/>
                <w:bottom w:val="none" w:sz="0" w:space="0" w:color="auto"/>
                <w:right w:val="none" w:sz="0" w:space="0" w:color="auto"/>
              </w:divBdr>
            </w:div>
          </w:divsChild>
        </w:div>
        <w:div w:id="849758997">
          <w:marLeft w:val="0"/>
          <w:marRight w:val="0"/>
          <w:marTop w:val="0"/>
          <w:marBottom w:val="0"/>
          <w:divBdr>
            <w:top w:val="none" w:sz="0" w:space="0" w:color="auto"/>
            <w:left w:val="none" w:sz="0" w:space="0" w:color="auto"/>
            <w:bottom w:val="none" w:sz="0" w:space="0" w:color="auto"/>
            <w:right w:val="none" w:sz="0" w:space="0" w:color="auto"/>
          </w:divBdr>
          <w:divsChild>
            <w:div w:id="11417171">
              <w:marLeft w:val="0"/>
              <w:marRight w:val="0"/>
              <w:marTop w:val="0"/>
              <w:marBottom w:val="0"/>
              <w:divBdr>
                <w:top w:val="none" w:sz="0" w:space="0" w:color="auto"/>
                <w:left w:val="none" w:sz="0" w:space="0" w:color="auto"/>
                <w:bottom w:val="none" w:sz="0" w:space="0" w:color="auto"/>
                <w:right w:val="none" w:sz="0" w:space="0" w:color="auto"/>
              </w:divBdr>
            </w:div>
          </w:divsChild>
        </w:div>
        <w:div w:id="238289544">
          <w:marLeft w:val="0"/>
          <w:marRight w:val="0"/>
          <w:marTop w:val="0"/>
          <w:marBottom w:val="0"/>
          <w:divBdr>
            <w:top w:val="none" w:sz="0" w:space="0" w:color="auto"/>
            <w:left w:val="none" w:sz="0" w:space="0" w:color="auto"/>
            <w:bottom w:val="none" w:sz="0" w:space="0" w:color="auto"/>
            <w:right w:val="none" w:sz="0" w:space="0" w:color="auto"/>
          </w:divBdr>
        </w:div>
        <w:div w:id="1240211753">
          <w:marLeft w:val="0"/>
          <w:marRight w:val="0"/>
          <w:marTop w:val="0"/>
          <w:marBottom w:val="0"/>
          <w:divBdr>
            <w:top w:val="none" w:sz="0" w:space="0" w:color="auto"/>
            <w:left w:val="none" w:sz="0" w:space="0" w:color="auto"/>
            <w:bottom w:val="none" w:sz="0" w:space="0" w:color="auto"/>
            <w:right w:val="none" w:sz="0" w:space="0" w:color="auto"/>
          </w:divBdr>
          <w:divsChild>
            <w:div w:id="1025248746">
              <w:marLeft w:val="0"/>
              <w:marRight w:val="0"/>
              <w:marTop w:val="0"/>
              <w:marBottom w:val="0"/>
              <w:divBdr>
                <w:top w:val="none" w:sz="0" w:space="0" w:color="auto"/>
                <w:left w:val="none" w:sz="0" w:space="0" w:color="auto"/>
                <w:bottom w:val="none" w:sz="0" w:space="0" w:color="auto"/>
                <w:right w:val="none" w:sz="0" w:space="0" w:color="auto"/>
              </w:divBdr>
              <w:divsChild>
                <w:div w:id="3124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769385">
      <w:bodyDiv w:val="1"/>
      <w:marLeft w:val="0"/>
      <w:marRight w:val="0"/>
      <w:marTop w:val="0"/>
      <w:marBottom w:val="0"/>
      <w:divBdr>
        <w:top w:val="none" w:sz="0" w:space="0" w:color="auto"/>
        <w:left w:val="none" w:sz="0" w:space="0" w:color="auto"/>
        <w:bottom w:val="none" w:sz="0" w:space="0" w:color="auto"/>
        <w:right w:val="none" w:sz="0" w:space="0" w:color="auto"/>
      </w:divBdr>
      <w:divsChild>
        <w:div w:id="321469957">
          <w:marLeft w:val="0"/>
          <w:marRight w:val="0"/>
          <w:marTop w:val="0"/>
          <w:marBottom w:val="0"/>
          <w:divBdr>
            <w:top w:val="none" w:sz="0" w:space="0" w:color="auto"/>
            <w:left w:val="none" w:sz="0" w:space="0" w:color="auto"/>
            <w:bottom w:val="none" w:sz="0" w:space="0" w:color="auto"/>
            <w:right w:val="none" w:sz="0" w:space="0" w:color="auto"/>
          </w:divBdr>
          <w:divsChild>
            <w:div w:id="1657683099">
              <w:marLeft w:val="0"/>
              <w:marRight w:val="0"/>
              <w:marTop w:val="0"/>
              <w:marBottom w:val="0"/>
              <w:divBdr>
                <w:top w:val="none" w:sz="0" w:space="0" w:color="auto"/>
                <w:left w:val="none" w:sz="0" w:space="0" w:color="auto"/>
                <w:bottom w:val="none" w:sz="0" w:space="0" w:color="auto"/>
                <w:right w:val="none" w:sz="0" w:space="0" w:color="auto"/>
              </w:divBdr>
            </w:div>
          </w:divsChild>
        </w:div>
        <w:div w:id="406001687">
          <w:marLeft w:val="0"/>
          <w:marRight w:val="0"/>
          <w:marTop w:val="0"/>
          <w:marBottom w:val="0"/>
          <w:divBdr>
            <w:top w:val="none" w:sz="0" w:space="0" w:color="auto"/>
            <w:left w:val="none" w:sz="0" w:space="0" w:color="auto"/>
            <w:bottom w:val="none" w:sz="0" w:space="0" w:color="auto"/>
            <w:right w:val="none" w:sz="0" w:space="0" w:color="auto"/>
          </w:divBdr>
          <w:divsChild>
            <w:div w:id="1507790536">
              <w:marLeft w:val="0"/>
              <w:marRight w:val="0"/>
              <w:marTop w:val="0"/>
              <w:marBottom w:val="0"/>
              <w:divBdr>
                <w:top w:val="none" w:sz="0" w:space="0" w:color="auto"/>
                <w:left w:val="none" w:sz="0" w:space="0" w:color="auto"/>
                <w:bottom w:val="none" w:sz="0" w:space="0" w:color="auto"/>
                <w:right w:val="none" w:sz="0" w:space="0" w:color="auto"/>
              </w:divBdr>
            </w:div>
          </w:divsChild>
        </w:div>
        <w:div w:id="1662850384">
          <w:marLeft w:val="0"/>
          <w:marRight w:val="0"/>
          <w:marTop w:val="0"/>
          <w:marBottom w:val="0"/>
          <w:divBdr>
            <w:top w:val="none" w:sz="0" w:space="0" w:color="auto"/>
            <w:left w:val="none" w:sz="0" w:space="0" w:color="auto"/>
            <w:bottom w:val="none" w:sz="0" w:space="0" w:color="auto"/>
            <w:right w:val="none" w:sz="0" w:space="0" w:color="auto"/>
          </w:divBdr>
          <w:divsChild>
            <w:div w:id="1042900668">
              <w:marLeft w:val="0"/>
              <w:marRight w:val="0"/>
              <w:marTop w:val="0"/>
              <w:marBottom w:val="0"/>
              <w:divBdr>
                <w:top w:val="none" w:sz="0" w:space="0" w:color="auto"/>
                <w:left w:val="none" w:sz="0" w:space="0" w:color="auto"/>
                <w:bottom w:val="none" w:sz="0" w:space="0" w:color="auto"/>
                <w:right w:val="none" w:sz="0" w:space="0" w:color="auto"/>
              </w:divBdr>
            </w:div>
          </w:divsChild>
        </w:div>
        <w:div w:id="1003823669">
          <w:marLeft w:val="0"/>
          <w:marRight w:val="0"/>
          <w:marTop w:val="0"/>
          <w:marBottom w:val="0"/>
          <w:divBdr>
            <w:top w:val="none" w:sz="0" w:space="0" w:color="auto"/>
            <w:left w:val="none" w:sz="0" w:space="0" w:color="auto"/>
            <w:bottom w:val="none" w:sz="0" w:space="0" w:color="auto"/>
            <w:right w:val="none" w:sz="0" w:space="0" w:color="auto"/>
          </w:divBdr>
          <w:divsChild>
            <w:div w:id="657727138">
              <w:marLeft w:val="0"/>
              <w:marRight w:val="0"/>
              <w:marTop w:val="0"/>
              <w:marBottom w:val="0"/>
              <w:divBdr>
                <w:top w:val="none" w:sz="0" w:space="0" w:color="auto"/>
                <w:left w:val="none" w:sz="0" w:space="0" w:color="auto"/>
                <w:bottom w:val="none" w:sz="0" w:space="0" w:color="auto"/>
                <w:right w:val="none" w:sz="0" w:space="0" w:color="auto"/>
              </w:divBdr>
            </w:div>
          </w:divsChild>
        </w:div>
        <w:div w:id="1506438576">
          <w:marLeft w:val="0"/>
          <w:marRight w:val="0"/>
          <w:marTop w:val="0"/>
          <w:marBottom w:val="0"/>
          <w:divBdr>
            <w:top w:val="none" w:sz="0" w:space="0" w:color="auto"/>
            <w:left w:val="none" w:sz="0" w:space="0" w:color="auto"/>
            <w:bottom w:val="none" w:sz="0" w:space="0" w:color="auto"/>
            <w:right w:val="none" w:sz="0" w:space="0" w:color="auto"/>
          </w:divBdr>
        </w:div>
        <w:div w:id="1066533416">
          <w:marLeft w:val="0"/>
          <w:marRight w:val="0"/>
          <w:marTop w:val="0"/>
          <w:marBottom w:val="0"/>
          <w:divBdr>
            <w:top w:val="none" w:sz="0" w:space="0" w:color="auto"/>
            <w:left w:val="none" w:sz="0" w:space="0" w:color="auto"/>
            <w:bottom w:val="none" w:sz="0" w:space="0" w:color="auto"/>
            <w:right w:val="none" w:sz="0" w:space="0" w:color="auto"/>
          </w:divBdr>
          <w:divsChild>
            <w:div w:id="1182015305">
              <w:marLeft w:val="0"/>
              <w:marRight w:val="0"/>
              <w:marTop w:val="0"/>
              <w:marBottom w:val="0"/>
              <w:divBdr>
                <w:top w:val="none" w:sz="0" w:space="0" w:color="auto"/>
                <w:left w:val="none" w:sz="0" w:space="0" w:color="auto"/>
                <w:bottom w:val="none" w:sz="0" w:space="0" w:color="auto"/>
                <w:right w:val="none" w:sz="0" w:space="0" w:color="auto"/>
              </w:divBdr>
              <w:divsChild>
                <w:div w:id="76711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sprawiedliwosc/du-19-13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D35FA-38F7-46E1-85DF-CD2F9ECE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35040</Words>
  <Characters>210246</Characters>
  <Application>Microsoft Office Word</Application>
  <DocSecurity>0</DocSecurity>
  <Lines>1752</Lines>
  <Paragraphs>489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Jankowski Adolf</dc:creator>
  <cp:keywords/>
  <cp:lastModifiedBy>Herman Anna</cp:lastModifiedBy>
  <cp:revision>2</cp:revision>
  <dcterms:created xsi:type="dcterms:W3CDTF">2026-04-23T16:22:00Z</dcterms:created>
  <dcterms:modified xsi:type="dcterms:W3CDTF">2026-04-23T16:22:00Z</dcterms:modified>
</cp:coreProperties>
</file>