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Overlap w:val="never"/>
        <w:tblW w:w="15877" w:type="dxa"/>
        <w:tblInd w:w="-147" w:type="dxa"/>
        <w:tblLayout w:type="fixed"/>
        <w:tblCellMar>
          <w:left w:w="10" w:type="dxa"/>
          <w:right w:w="10" w:type="dxa"/>
        </w:tblCellMar>
        <w:tblLook w:val="04A0" w:firstRow="1" w:lastRow="0" w:firstColumn="1" w:lastColumn="0" w:noHBand="0" w:noVBand="1"/>
      </w:tblPr>
      <w:tblGrid>
        <w:gridCol w:w="709"/>
        <w:gridCol w:w="1701"/>
        <w:gridCol w:w="4536"/>
        <w:gridCol w:w="4111"/>
        <w:gridCol w:w="4820"/>
      </w:tblGrid>
      <w:tr w:rsidR="00A1261B" w:rsidRPr="0037774A" w14:paraId="567D9138" w14:textId="77777777" w:rsidTr="00A1261B">
        <w:trPr>
          <w:trHeight w:val="20"/>
        </w:trPr>
        <w:tc>
          <w:tcPr>
            <w:tcW w:w="15877" w:type="dxa"/>
            <w:gridSpan w:val="5"/>
            <w:tcBorders>
              <w:top w:val="single" w:sz="4" w:space="0" w:color="auto"/>
              <w:left w:val="single" w:sz="4" w:space="0" w:color="auto"/>
              <w:right w:val="single" w:sz="4" w:space="0" w:color="auto"/>
            </w:tcBorders>
            <w:shd w:val="clear" w:color="auto" w:fill="FFFFFF"/>
            <w:vAlign w:val="center"/>
          </w:tcPr>
          <w:p w14:paraId="7E0D69CF" w14:textId="77777777" w:rsidR="00A1261B" w:rsidRPr="0037774A" w:rsidRDefault="00A1261B" w:rsidP="00A1261B">
            <w:pPr>
              <w:pStyle w:val="Inne0"/>
              <w:shd w:val="clear" w:color="auto" w:fill="auto"/>
              <w:spacing w:before="120" w:after="120"/>
              <w:rPr>
                <w:rFonts w:ascii="Lato" w:hAnsi="Lato" w:cs="Arial"/>
                <w:sz w:val="18"/>
                <w:szCs w:val="18"/>
              </w:rPr>
            </w:pPr>
            <w:r w:rsidRPr="0037774A">
              <w:rPr>
                <w:rFonts w:ascii="Lato" w:eastAsia="Arial" w:hAnsi="Lato" w:cs="Arial"/>
                <w:sz w:val="18"/>
                <w:szCs w:val="18"/>
              </w:rPr>
              <w:t>Nazwa dokumentu:</w:t>
            </w:r>
          </w:p>
          <w:p w14:paraId="63A123A8" w14:textId="77777777" w:rsidR="00A1261B" w:rsidRPr="0037774A" w:rsidRDefault="00A1261B" w:rsidP="00A1261B">
            <w:pPr>
              <w:pStyle w:val="Inne0"/>
              <w:shd w:val="clear" w:color="auto" w:fill="auto"/>
              <w:spacing w:before="120" w:after="120"/>
              <w:rPr>
                <w:rFonts w:ascii="Lato" w:eastAsia="Arial" w:hAnsi="Lato" w:cs="Arial"/>
                <w:b/>
                <w:bCs/>
                <w:i/>
                <w:iCs/>
                <w:sz w:val="18"/>
                <w:szCs w:val="18"/>
              </w:rPr>
            </w:pPr>
            <w:r w:rsidRPr="0037774A">
              <w:rPr>
                <w:rFonts w:ascii="Lato" w:eastAsia="Arial" w:hAnsi="Lato" w:cs="Arial"/>
                <w:b/>
                <w:bCs/>
                <w:i/>
                <w:iCs/>
                <w:sz w:val="18"/>
                <w:szCs w:val="18"/>
              </w:rPr>
              <w:t>Projekt ustawy o zmianie ustawy – Prawo geodezyjne i kartograficzne oraz ustawy o infrastrukturze informacji przestrzennej (UD60)</w:t>
            </w:r>
          </w:p>
          <w:p w14:paraId="69615818" w14:textId="37E1CECE" w:rsidR="00A1261B" w:rsidRDefault="00A1261B" w:rsidP="00A1261B">
            <w:pPr>
              <w:pStyle w:val="Inne0"/>
              <w:shd w:val="clear" w:color="auto" w:fill="auto"/>
              <w:spacing w:before="120" w:after="120"/>
              <w:ind w:left="131" w:right="138"/>
              <w:rPr>
                <w:rFonts w:ascii="Lato" w:eastAsia="Arial" w:hAnsi="Lato" w:cs="Arial"/>
                <w:b/>
                <w:bCs/>
                <w:sz w:val="18"/>
                <w:szCs w:val="18"/>
              </w:rPr>
            </w:pPr>
            <w:r w:rsidRPr="0037774A">
              <w:rPr>
                <w:rFonts w:ascii="Lato" w:eastAsia="Arial" w:hAnsi="Lato" w:cs="Arial"/>
                <w:b/>
                <w:bCs/>
                <w:i/>
                <w:iCs/>
                <w:sz w:val="18"/>
                <w:szCs w:val="18"/>
              </w:rPr>
              <w:t>Uzgodnienia międzyresortowe</w:t>
            </w:r>
          </w:p>
        </w:tc>
      </w:tr>
      <w:tr w:rsidR="00A1261B" w:rsidRPr="0037774A" w14:paraId="151E1D00" w14:textId="1C149F7B" w:rsidTr="008B779F">
        <w:trPr>
          <w:trHeight w:val="20"/>
        </w:trPr>
        <w:tc>
          <w:tcPr>
            <w:tcW w:w="709" w:type="dxa"/>
            <w:tcBorders>
              <w:top w:val="single" w:sz="4" w:space="0" w:color="auto"/>
              <w:left w:val="single" w:sz="4" w:space="0" w:color="auto"/>
            </w:tcBorders>
            <w:shd w:val="clear" w:color="auto" w:fill="FFFFFF"/>
            <w:vAlign w:val="center"/>
          </w:tcPr>
          <w:p w14:paraId="080C8CDF" w14:textId="77777777" w:rsidR="00A1261B" w:rsidRPr="0037774A" w:rsidRDefault="00A1261B" w:rsidP="007A57F0">
            <w:pPr>
              <w:pStyle w:val="Inne0"/>
              <w:shd w:val="clear" w:color="auto" w:fill="auto"/>
              <w:spacing w:before="120" w:after="120"/>
              <w:jc w:val="center"/>
              <w:rPr>
                <w:rFonts w:ascii="Lato" w:hAnsi="Lato" w:cs="Arial"/>
                <w:sz w:val="18"/>
                <w:szCs w:val="18"/>
              </w:rPr>
            </w:pPr>
            <w:r w:rsidRPr="0037774A">
              <w:rPr>
                <w:rFonts w:ascii="Lato" w:eastAsia="Arial" w:hAnsi="Lato" w:cs="Arial"/>
                <w:b/>
                <w:bCs/>
                <w:sz w:val="18"/>
                <w:szCs w:val="18"/>
              </w:rPr>
              <w:t>Lp.</w:t>
            </w:r>
          </w:p>
        </w:tc>
        <w:tc>
          <w:tcPr>
            <w:tcW w:w="1701" w:type="dxa"/>
            <w:tcBorders>
              <w:top w:val="single" w:sz="4" w:space="0" w:color="auto"/>
              <w:left w:val="single" w:sz="4" w:space="0" w:color="auto"/>
            </w:tcBorders>
            <w:shd w:val="clear" w:color="auto" w:fill="FFFFFF"/>
            <w:vAlign w:val="center"/>
          </w:tcPr>
          <w:p w14:paraId="6484EAE7" w14:textId="102F1E49" w:rsidR="00A1261B" w:rsidRPr="0037774A" w:rsidRDefault="00A1261B" w:rsidP="008B779F">
            <w:pPr>
              <w:pStyle w:val="Inne0"/>
              <w:shd w:val="clear" w:color="auto" w:fill="auto"/>
              <w:spacing w:before="120" w:after="120"/>
              <w:jc w:val="center"/>
              <w:rPr>
                <w:rFonts w:ascii="Lato" w:hAnsi="Lato" w:cs="Arial"/>
                <w:sz w:val="18"/>
                <w:szCs w:val="18"/>
              </w:rPr>
            </w:pPr>
            <w:r w:rsidRPr="0037774A">
              <w:rPr>
                <w:rFonts w:ascii="Lato" w:eastAsia="Arial" w:hAnsi="Lato" w:cs="Arial"/>
                <w:b/>
                <w:bCs/>
                <w:sz w:val="18"/>
                <w:szCs w:val="18"/>
              </w:rPr>
              <w:t>Podmiot wnoszący uwagi</w:t>
            </w:r>
          </w:p>
        </w:tc>
        <w:tc>
          <w:tcPr>
            <w:tcW w:w="4536" w:type="dxa"/>
            <w:tcBorders>
              <w:top w:val="single" w:sz="4" w:space="0" w:color="auto"/>
              <w:left w:val="single" w:sz="4" w:space="0" w:color="auto"/>
            </w:tcBorders>
            <w:shd w:val="clear" w:color="auto" w:fill="FFFFFF"/>
            <w:vAlign w:val="center"/>
          </w:tcPr>
          <w:p w14:paraId="2A3878C3" w14:textId="77777777" w:rsidR="00A1261B" w:rsidRPr="0037774A" w:rsidRDefault="00A1261B" w:rsidP="008B779F">
            <w:pPr>
              <w:pStyle w:val="Inne0"/>
              <w:shd w:val="clear" w:color="auto" w:fill="auto"/>
              <w:spacing w:before="120" w:after="120"/>
              <w:jc w:val="center"/>
              <w:rPr>
                <w:rFonts w:ascii="Lato" w:hAnsi="Lato" w:cs="Arial"/>
                <w:sz w:val="18"/>
                <w:szCs w:val="18"/>
              </w:rPr>
            </w:pPr>
            <w:r w:rsidRPr="0037774A">
              <w:rPr>
                <w:rFonts w:ascii="Lato" w:eastAsia="Arial" w:hAnsi="Lato" w:cs="Arial"/>
                <w:b/>
                <w:bCs/>
                <w:sz w:val="18"/>
                <w:szCs w:val="18"/>
              </w:rPr>
              <w:t>Treść uwagi i uzasadnienie</w:t>
            </w:r>
          </w:p>
        </w:tc>
        <w:tc>
          <w:tcPr>
            <w:tcW w:w="4111" w:type="dxa"/>
            <w:tcBorders>
              <w:top w:val="single" w:sz="4" w:space="0" w:color="auto"/>
              <w:left w:val="single" w:sz="4" w:space="0" w:color="auto"/>
              <w:right w:val="single" w:sz="4" w:space="0" w:color="auto"/>
            </w:tcBorders>
            <w:shd w:val="clear" w:color="auto" w:fill="FFFFFF"/>
            <w:vAlign w:val="center"/>
          </w:tcPr>
          <w:p w14:paraId="593CD46F" w14:textId="4F137780" w:rsidR="00A1261B" w:rsidRPr="0037774A" w:rsidRDefault="00A1261B" w:rsidP="008B779F">
            <w:pPr>
              <w:pStyle w:val="Inne0"/>
              <w:shd w:val="clear" w:color="auto" w:fill="auto"/>
              <w:spacing w:before="120" w:after="120"/>
              <w:jc w:val="center"/>
              <w:rPr>
                <w:rFonts w:ascii="Lato" w:eastAsia="Arial" w:hAnsi="Lato" w:cs="Arial"/>
                <w:b/>
                <w:bCs/>
                <w:sz w:val="18"/>
                <w:szCs w:val="18"/>
              </w:rPr>
            </w:pPr>
            <w:r w:rsidRPr="0037774A">
              <w:rPr>
                <w:rFonts w:ascii="Lato" w:eastAsia="Arial" w:hAnsi="Lato" w:cs="Arial"/>
                <w:b/>
                <w:bCs/>
                <w:sz w:val="18"/>
                <w:szCs w:val="18"/>
              </w:rPr>
              <w:t>Propozycja zmian</w:t>
            </w:r>
          </w:p>
        </w:tc>
        <w:tc>
          <w:tcPr>
            <w:tcW w:w="4820" w:type="dxa"/>
            <w:tcBorders>
              <w:top w:val="single" w:sz="4" w:space="0" w:color="auto"/>
              <w:left w:val="single" w:sz="4" w:space="0" w:color="auto"/>
              <w:right w:val="single" w:sz="4" w:space="0" w:color="auto"/>
            </w:tcBorders>
            <w:shd w:val="clear" w:color="auto" w:fill="FFFFFF"/>
            <w:vAlign w:val="center"/>
          </w:tcPr>
          <w:p w14:paraId="5E36E323" w14:textId="31995F92" w:rsidR="00A1261B" w:rsidRPr="0037774A" w:rsidRDefault="008B779F" w:rsidP="008B779F">
            <w:pPr>
              <w:pStyle w:val="Inne0"/>
              <w:shd w:val="clear" w:color="auto" w:fill="auto"/>
              <w:spacing w:before="120" w:after="120"/>
              <w:ind w:left="131" w:right="138"/>
              <w:jc w:val="center"/>
              <w:rPr>
                <w:rFonts w:ascii="Lato" w:eastAsia="Arial" w:hAnsi="Lato" w:cs="Arial"/>
                <w:b/>
                <w:bCs/>
                <w:sz w:val="18"/>
                <w:szCs w:val="18"/>
              </w:rPr>
            </w:pPr>
            <w:r>
              <w:rPr>
                <w:rFonts w:ascii="Lato" w:eastAsia="Arial" w:hAnsi="Lato" w:cs="Arial"/>
                <w:b/>
                <w:bCs/>
                <w:sz w:val="18"/>
                <w:szCs w:val="18"/>
              </w:rPr>
              <w:t xml:space="preserve">Stanowisko </w:t>
            </w:r>
            <w:proofErr w:type="spellStart"/>
            <w:r w:rsidR="00A1261B">
              <w:rPr>
                <w:rFonts w:ascii="Lato" w:eastAsia="Arial" w:hAnsi="Lato" w:cs="Arial"/>
                <w:b/>
                <w:bCs/>
                <w:sz w:val="18"/>
                <w:szCs w:val="18"/>
              </w:rPr>
              <w:t>MRiT</w:t>
            </w:r>
            <w:proofErr w:type="spellEnd"/>
          </w:p>
        </w:tc>
      </w:tr>
      <w:tr w:rsidR="00A1261B" w:rsidRPr="0037774A" w14:paraId="6C81883C" w14:textId="7AB4A20F" w:rsidTr="00D50C46">
        <w:trPr>
          <w:trHeight w:val="20"/>
        </w:trPr>
        <w:tc>
          <w:tcPr>
            <w:tcW w:w="709" w:type="dxa"/>
            <w:tcBorders>
              <w:top w:val="single" w:sz="4" w:space="0" w:color="auto"/>
              <w:left w:val="single" w:sz="4" w:space="0" w:color="auto"/>
            </w:tcBorders>
            <w:shd w:val="clear" w:color="auto" w:fill="FFFFFF"/>
          </w:tcPr>
          <w:p w14:paraId="24135B11" w14:textId="53E9F19B"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159958C5" w14:textId="04CE08C9" w:rsidR="00A1261B"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tcBorders>
            <w:shd w:val="clear" w:color="auto" w:fill="FFFFFF"/>
          </w:tcPr>
          <w:p w14:paraId="3A9F47D7"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Zaproponowane w art. 1 pkt 1 lit. d projektowanej ustawy brzmienie definicji gleboznawczej klasyfikacji gruntów odnosi się do podziału gruntów rolnych na klasy bonitacyjne. Należy zauważyć, że zgodnie z § 9 ust. 1 rozporządzenia Ministra Rozwoju, Pracy i Technologii z dnia 27 lipca 2021 r. w sprawie ewidencji gruntów i budynków (Dz. U. z 2024 r. poz. 219, z </w:t>
            </w:r>
            <w:proofErr w:type="spellStart"/>
            <w:r w:rsidRPr="00D50C46">
              <w:rPr>
                <w:rFonts w:ascii="Lato" w:eastAsia="Arial" w:hAnsi="Lato" w:cs="Arial"/>
                <w:sz w:val="18"/>
                <w:szCs w:val="18"/>
              </w:rPr>
              <w:t>późn</w:t>
            </w:r>
            <w:proofErr w:type="spellEnd"/>
            <w:r w:rsidRPr="00D50C46">
              <w:rPr>
                <w:rFonts w:ascii="Lato" w:eastAsia="Arial" w:hAnsi="Lato" w:cs="Arial"/>
                <w:sz w:val="18"/>
                <w:szCs w:val="18"/>
              </w:rPr>
              <w:t>. zm.) grunty rolne dzielą się na użytki rolne i nieużytki.</w:t>
            </w:r>
          </w:p>
          <w:p w14:paraId="0B93C75E"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W związku z tym, że dla nieużytków nie ustala się klasy bonitacyjnej proponuję zmianę definicji gleboznawczej klasyfikacji gruntów polegającą na doprecyzowaniu, że jest to podział gruntów stanowiących użytki rolne na klasy bonitacyjne. Odnosząc się do stanowiska </w:t>
            </w:r>
            <w:proofErr w:type="spellStart"/>
            <w:r w:rsidRPr="00D50C46">
              <w:rPr>
                <w:rFonts w:ascii="Lato" w:eastAsia="Arial" w:hAnsi="Lato" w:cs="Arial"/>
                <w:sz w:val="18"/>
                <w:szCs w:val="18"/>
              </w:rPr>
              <w:t>MRiT</w:t>
            </w:r>
            <w:proofErr w:type="spellEnd"/>
            <w:r w:rsidRPr="00D50C46">
              <w:rPr>
                <w:rFonts w:ascii="Lato" w:eastAsia="Arial" w:hAnsi="Lato" w:cs="Arial"/>
                <w:sz w:val="18"/>
                <w:szCs w:val="18"/>
              </w:rPr>
              <w:t xml:space="preserve"> należy wskazać, że ustawa z dnia 17 maja 1989 r. - Prawo geodezyjne i kartograficzne (Dz. U. z 2024 r. poz. 1151 i 1824 oraz z 2025 r. poz. 1019 i 1542), również nie definiuje „gruntów rolnych”, używając pojęcia „grunty rolne” jedynie w art. 20 ust. 3, który w projekcie ustawy jest uchylany. Ponadto należy zauważyć, że inne ustawy posługują się pojęciem „użytków rolnych”, np. ustawa z dnia 3 lutego 1995 r. o ochronie gruntów rolnych (Dz. U. z 2024 r. poz. 82), ustawa z dnia 15 listopada 1984 r. o podatku rolnym (Dz.U. z 2025 r. poz. 1344) czy ustawa z dnia 11 kwietnia 2003 r. o kształtowaniu ustroju rolnego (Dz.U. z 2025 r. poz. 1653).</w:t>
            </w:r>
          </w:p>
          <w:p w14:paraId="3EC4907B"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Należy zauważyć, że pojęcie „grunty rolne” do ewidencji gruntów i budynków zostało w prowadzane dopiero rozporządzeniem Ministra Administracji i Cyfryzacji zmieniającym rozporządzenie w sprawie ewidencji gruntów i budynków z dnia 29 listopada 2013 r. (Dz.U. z 2013 r. poz. 1551). Przed tą zmianą w ewidencji gruntów i budynków używane było pojęcie użytki rolne.</w:t>
            </w:r>
          </w:p>
          <w:p w14:paraId="36EF3CE2" w14:textId="15E78558" w:rsidR="00A1261B"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Ponadto zgodnie z art. 21 ustawy - Prawo </w:t>
            </w:r>
            <w:r w:rsidRPr="00D50C46">
              <w:rPr>
                <w:rFonts w:ascii="Lato" w:eastAsia="Arial" w:hAnsi="Lato" w:cs="Arial"/>
                <w:sz w:val="18"/>
                <w:szCs w:val="18"/>
              </w:rPr>
              <w:lastRenderedPageBreak/>
              <w:t>geodezyjne i kartograficzne, podstawą planowania gospodarczego, planowania przestrzennego, wymiaru podatków i świadczeń, oznaczania nieruchomości w księgach wieczystych, statystyki państwowej i gospodarki gruntami powinny być dane wynikające z ewidencji gruntów i budynków.</w:t>
            </w:r>
          </w:p>
        </w:tc>
        <w:tc>
          <w:tcPr>
            <w:tcW w:w="4111" w:type="dxa"/>
            <w:tcBorders>
              <w:top w:val="single" w:sz="4" w:space="0" w:color="auto"/>
              <w:left w:val="single" w:sz="4" w:space="0" w:color="auto"/>
              <w:right w:val="single" w:sz="4" w:space="0" w:color="auto"/>
            </w:tcBorders>
            <w:shd w:val="clear" w:color="auto" w:fill="FFFFFF"/>
          </w:tcPr>
          <w:p w14:paraId="6BF3D9B1"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lastRenderedPageBreak/>
              <w:t>Proponuję w art. 2 ustawy z dnia 17 maja 1989 r. - Prawo geodezyjne i kartograficzne nadać brzmienie zmienianemu pkt 12:</w:t>
            </w:r>
          </w:p>
          <w:p w14:paraId="12FF703D" w14:textId="04F355D0" w:rsidR="00A1261B"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„12) gleboznawczej klasyfikacji gruntów - rozumie się przez to podział gruntów stanowiących użytki rolne na klasy bonitacyjne ze względu na wartość produkcyjną gleb, ustaloną na podstawie ich cech morfologicznych, właściwości fizycznych i chemicznych oraz innych uwarunkowań środowiskowych takich jak klimat i rzeźba terenu;”</w:t>
            </w:r>
          </w:p>
        </w:tc>
        <w:tc>
          <w:tcPr>
            <w:tcW w:w="4820" w:type="dxa"/>
            <w:tcBorders>
              <w:top w:val="single" w:sz="4" w:space="0" w:color="auto"/>
              <w:left w:val="single" w:sz="4" w:space="0" w:color="auto"/>
              <w:right w:val="single" w:sz="4" w:space="0" w:color="auto"/>
            </w:tcBorders>
            <w:shd w:val="clear" w:color="auto" w:fill="FFFFFF"/>
          </w:tcPr>
          <w:p w14:paraId="33FB98FC" w14:textId="77777777" w:rsidR="00A1261B" w:rsidRDefault="00847B90"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34D66707" w14:textId="77777777" w:rsidR="00847B90" w:rsidRDefault="00847B90"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Ustawa z dnia 17 maja 1989 r. – Prawo geodezyjne i kartograficzne nie definiuje ani nie posługuje się pojęciami „użytków rolnych” oraz „nieużytków”. Podział użytków gruntowych na użytki rolne i nieużytki wprowadza akt wykonawczy do ustawy - rozporządzenie z dnia 27 lipca 2021 r. w sprawie ewidencji gruntów i budynków, i pojęcia te stosowane są na potrzeby tych przepisów. </w:t>
            </w:r>
          </w:p>
          <w:p w14:paraId="7EBA0C50" w14:textId="2284B933" w:rsidR="00847B90" w:rsidRPr="0037774A" w:rsidRDefault="00847B90"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Mając na względzie powyższe, wskazywana przez Ministerstwo Rolnictwa i Rozwoju wsi konieczność wyłączenia „nieużytków” z obowiązku przeprowadzenia </w:t>
            </w:r>
            <w:r w:rsidRPr="00D50C46">
              <w:rPr>
                <w:rFonts w:ascii="Lato" w:eastAsia="Arial" w:hAnsi="Lato" w:cs="Arial"/>
                <w:sz w:val="18"/>
                <w:szCs w:val="18"/>
              </w:rPr>
              <w:t>gleboznawczej klasyfikacji gruntów</w:t>
            </w:r>
            <w:r>
              <w:rPr>
                <w:rFonts w:ascii="Lato" w:eastAsia="Arial" w:hAnsi="Lato" w:cs="Arial"/>
                <w:sz w:val="18"/>
                <w:szCs w:val="18"/>
              </w:rPr>
              <w:t xml:space="preserve"> powinna nastąpić w przepisach ww. rozporządzenia poprzez wyłączenie „nieużytków” z gruntów rolnych.</w:t>
            </w:r>
          </w:p>
        </w:tc>
      </w:tr>
      <w:tr w:rsidR="00FA234D" w:rsidRPr="0037774A" w14:paraId="348E1B26" w14:textId="4277446F" w:rsidTr="00D50C46">
        <w:trPr>
          <w:trHeight w:val="20"/>
        </w:trPr>
        <w:tc>
          <w:tcPr>
            <w:tcW w:w="709" w:type="dxa"/>
            <w:tcBorders>
              <w:top w:val="single" w:sz="4" w:space="0" w:color="auto"/>
              <w:left w:val="single" w:sz="4" w:space="0" w:color="auto"/>
            </w:tcBorders>
            <w:shd w:val="clear" w:color="auto" w:fill="FFFFFF"/>
          </w:tcPr>
          <w:p w14:paraId="15D3EF11" w14:textId="50E6ABB6"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7E87168B" w14:textId="335A343F"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tcBorders>
            <w:shd w:val="clear" w:color="auto" w:fill="FFFFFF"/>
          </w:tcPr>
          <w:p w14:paraId="1F78DB9E" w14:textId="795C6799"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Proponuję doprecyzować projektowane brzmienie art. 11 ust. 4 pkt 2 ustawy z dnia 17 maja 1989 r. - Prawo geodezyjne i kartograficzne w celu wyeliminowania wątpliwości interpretacyjnych, że asortyment prac geodezyjnych wykonywanych przez samorządowe jednostki organizacyjne - wojewódzkie biura geodezji w ramach zadań przypisanych marszałkom województw jest szerszy niż tylko scalenia i wymiany gruntów. Do innych prac geodezyjnych realizowanych na potrzeby marszałka województwa między innymi należą podziały nieruchomości, połączenia działek, opracowanie map do celów projektowych, aktualizacja ewidencji gruntów i budynków oraz prace klasyfikacyjne</w:t>
            </w:r>
          </w:p>
        </w:tc>
        <w:tc>
          <w:tcPr>
            <w:tcW w:w="4111" w:type="dxa"/>
            <w:tcBorders>
              <w:top w:val="single" w:sz="4" w:space="0" w:color="auto"/>
              <w:left w:val="single" w:sz="4" w:space="0" w:color="auto"/>
              <w:right w:val="single" w:sz="4" w:space="0" w:color="auto"/>
            </w:tcBorders>
            <w:shd w:val="clear" w:color="auto" w:fill="FFFFFF"/>
          </w:tcPr>
          <w:p w14:paraId="494B9BB7"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Proponuję zmienianemu art. 11 ust. 4 pkt 2 ustawy z dnia 17 maja 1989 r. - Prawo geodezyjne i kartograficzne nadać następujące brzmienie:</w:t>
            </w:r>
          </w:p>
          <w:p w14:paraId="7A8DFF75" w14:textId="74A18907"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„2) prac geodezyjnych lub prac kartograficznych wykonywanych na rzecz samorządu województwa, w tym prac scaleniowo-wymiennych, o których mowa w art. 3 ust. 4 ustawy z dnia 26 marca 1982 r. o scalaniu i wymianie gruntów (Dz. U. z 2023 r. poz. 1197) - jednostka organizacyjna samorządu województwa powołana przez ten organ do realizacji tych prac zapewnia wykonanie prac geodezyjnych lub prac kartograficznych przez osoby posiadające odpowiednie uprawnienia zawodowe w dziedzinie geodezji i kartografii lub pod ich bezpośrednim nadzorem, zgodnie z ust. 1.”</w:t>
            </w:r>
          </w:p>
        </w:tc>
        <w:tc>
          <w:tcPr>
            <w:tcW w:w="4820" w:type="dxa"/>
            <w:tcBorders>
              <w:top w:val="single" w:sz="4" w:space="0" w:color="auto"/>
              <w:left w:val="single" w:sz="4" w:space="0" w:color="auto"/>
              <w:right w:val="single" w:sz="4" w:space="0" w:color="auto"/>
            </w:tcBorders>
            <w:shd w:val="clear" w:color="auto" w:fill="FFFFFF"/>
          </w:tcPr>
          <w:p w14:paraId="14F5C7F0" w14:textId="77777777" w:rsidR="00FA234D" w:rsidRDefault="00847B90"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3F591A2" w14:textId="50DD6306" w:rsidR="00847B90" w:rsidRDefault="00847B90" w:rsidP="00FA234D">
            <w:pPr>
              <w:pStyle w:val="Inne0"/>
              <w:shd w:val="clear" w:color="auto" w:fill="auto"/>
              <w:spacing w:before="120" w:after="120"/>
              <w:ind w:left="131" w:right="138"/>
              <w:rPr>
                <w:rFonts w:ascii="Lato" w:eastAsia="Arial" w:hAnsi="Lato" w:cs="Arial"/>
                <w:sz w:val="18"/>
                <w:szCs w:val="18"/>
              </w:rPr>
            </w:pPr>
            <w:r w:rsidRPr="00847B90">
              <w:rPr>
                <w:rFonts w:ascii="Lato" w:eastAsia="Arial" w:hAnsi="Lato" w:cs="Arial"/>
                <w:sz w:val="18"/>
                <w:szCs w:val="18"/>
              </w:rPr>
              <w:t xml:space="preserve">Należy wskazać, że prace scaleniowo-wymienne </w:t>
            </w:r>
            <w:r w:rsidR="00FB70CF">
              <w:rPr>
                <w:rFonts w:ascii="Lato" w:eastAsia="Arial" w:hAnsi="Lato" w:cs="Arial"/>
                <w:sz w:val="18"/>
                <w:szCs w:val="18"/>
              </w:rPr>
              <w:t>nie stanowią</w:t>
            </w:r>
            <w:r w:rsidRPr="00847B90">
              <w:rPr>
                <w:rFonts w:ascii="Lato" w:eastAsia="Arial" w:hAnsi="Lato" w:cs="Arial"/>
                <w:sz w:val="18"/>
                <w:szCs w:val="18"/>
              </w:rPr>
              <w:t xml:space="preserve"> </w:t>
            </w:r>
            <w:r w:rsidR="00FB70CF">
              <w:rPr>
                <w:rFonts w:ascii="Lato" w:eastAsia="Arial" w:hAnsi="Lato" w:cs="Arial"/>
                <w:sz w:val="18"/>
                <w:szCs w:val="18"/>
              </w:rPr>
              <w:t xml:space="preserve">stricte </w:t>
            </w:r>
            <w:r w:rsidRPr="00847B90">
              <w:rPr>
                <w:rFonts w:ascii="Lato" w:eastAsia="Arial" w:hAnsi="Lato" w:cs="Arial"/>
                <w:sz w:val="18"/>
                <w:szCs w:val="18"/>
              </w:rPr>
              <w:t xml:space="preserve">prac kartograficznych </w:t>
            </w:r>
            <w:r w:rsidR="00FB70CF">
              <w:rPr>
                <w:rFonts w:ascii="Lato" w:eastAsia="Arial" w:hAnsi="Lato" w:cs="Arial"/>
                <w:sz w:val="18"/>
                <w:szCs w:val="18"/>
              </w:rPr>
              <w:t>ani</w:t>
            </w:r>
            <w:r w:rsidRPr="00847B90">
              <w:rPr>
                <w:rFonts w:ascii="Lato" w:eastAsia="Arial" w:hAnsi="Lato" w:cs="Arial"/>
                <w:sz w:val="18"/>
                <w:szCs w:val="18"/>
              </w:rPr>
              <w:t xml:space="preserve"> prac geodezyjnych i nie mogą być rozumiane jako jeden z przykładów tych prac. Prace scaleniowo-wymienne to zorganizowane postępowanie administracyjno-geodezyjne, co potwierdza art. 1 pkt 8 ustawy z dnia 26 marca 1982 r. o scalaniu i wymianie gruntów, i część czynności wykonywanych w ramach tych prac nie ma żadnego związku ani z pracami kartograficznymi ani pracami geodezyjnymi (np. wykonywane są w jej trakcie prace klasyfikacyjne).</w:t>
            </w:r>
          </w:p>
          <w:p w14:paraId="74893B66" w14:textId="48B0BDF7" w:rsidR="00847B90" w:rsidRPr="0037774A" w:rsidRDefault="00847B90"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Odnośnie bezpośredniego wskazania, że </w:t>
            </w:r>
            <w:r w:rsidRPr="00847B90">
              <w:rPr>
                <w:rFonts w:ascii="Lato" w:eastAsia="Arial" w:hAnsi="Lato" w:cs="Arial"/>
                <w:sz w:val="18"/>
                <w:szCs w:val="18"/>
              </w:rPr>
              <w:t>prac</w:t>
            </w:r>
            <w:r>
              <w:rPr>
                <w:rFonts w:ascii="Lato" w:eastAsia="Arial" w:hAnsi="Lato" w:cs="Arial"/>
                <w:sz w:val="18"/>
                <w:szCs w:val="18"/>
              </w:rPr>
              <w:t>e</w:t>
            </w:r>
            <w:r w:rsidRPr="00847B90">
              <w:rPr>
                <w:rFonts w:ascii="Lato" w:eastAsia="Arial" w:hAnsi="Lato" w:cs="Arial"/>
                <w:sz w:val="18"/>
                <w:szCs w:val="18"/>
              </w:rPr>
              <w:t xml:space="preserve"> geodezyjn</w:t>
            </w:r>
            <w:r>
              <w:rPr>
                <w:rFonts w:ascii="Lato" w:eastAsia="Arial" w:hAnsi="Lato" w:cs="Arial"/>
                <w:sz w:val="18"/>
                <w:szCs w:val="18"/>
              </w:rPr>
              <w:t>e</w:t>
            </w:r>
            <w:r w:rsidRPr="00847B90">
              <w:rPr>
                <w:rFonts w:ascii="Lato" w:eastAsia="Arial" w:hAnsi="Lato" w:cs="Arial"/>
                <w:sz w:val="18"/>
                <w:szCs w:val="18"/>
              </w:rPr>
              <w:t xml:space="preserve"> lub prac</w:t>
            </w:r>
            <w:r>
              <w:rPr>
                <w:rFonts w:ascii="Lato" w:eastAsia="Arial" w:hAnsi="Lato" w:cs="Arial"/>
                <w:sz w:val="18"/>
                <w:szCs w:val="18"/>
              </w:rPr>
              <w:t>e</w:t>
            </w:r>
            <w:r w:rsidRPr="00847B90">
              <w:rPr>
                <w:rFonts w:ascii="Lato" w:eastAsia="Arial" w:hAnsi="Lato" w:cs="Arial"/>
                <w:sz w:val="18"/>
                <w:szCs w:val="18"/>
              </w:rPr>
              <w:t xml:space="preserve"> kartograficzn</w:t>
            </w:r>
            <w:r>
              <w:rPr>
                <w:rFonts w:ascii="Lato" w:eastAsia="Arial" w:hAnsi="Lato" w:cs="Arial"/>
                <w:sz w:val="18"/>
                <w:szCs w:val="18"/>
              </w:rPr>
              <w:t>e</w:t>
            </w:r>
            <w:r w:rsidRPr="00847B90">
              <w:rPr>
                <w:rFonts w:ascii="Lato" w:eastAsia="Arial" w:hAnsi="Lato" w:cs="Arial"/>
                <w:sz w:val="18"/>
                <w:szCs w:val="18"/>
              </w:rPr>
              <w:t xml:space="preserve"> wykonywan</w:t>
            </w:r>
            <w:r>
              <w:rPr>
                <w:rFonts w:ascii="Lato" w:eastAsia="Arial" w:hAnsi="Lato" w:cs="Arial"/>
                <w:sz w:val="18"/>
                <w:szCs w:val="18"/>
              </w:rPr>
              <w:t>e są „</w:t>
            </w:r>
            <w:r w:rsidRPr="00847B90">
              <w:rPr>
                <w:rFonts w:ascii="Lato" w:eastAsia="Arial" w:hAnsi="Lato" w:cs="Arial"/>
                <w:sz w:val="18"/>
                <w:szCs w:val="18"/>
              </w:rPr>
              <w:t>na rzecz samorządu województwa</w:t>
            </w:r>
            <w:r>
              <w:rPr>
                <w:rFonts w:ascii="Lato" w:eastAsia="Arial" w:hAnsi="Lato" w:cs="Arial"/>
                <w:sz w:val="18"/>
                <w:szCs w:val="18"/>
              </w:rPr>
              <w:t>” należy wskazać, że zawarte jest to już w drugiej części projektowanego przepisu poprzez wskazanie, że prace realizuje „</w:t>
            </w:r>
            <w:r w:rsidRPr="00847B90">
              <w:rPr>
                <w:rFonts w:ascii="Lato" w:eastAsia="Arial" w:hAnsi="Lato" w:cs="Arial"/>
                <w:sz w:val="18"/>
                <w:szCs w:val="18"/>
              </w:rPr>
              <w:t>jednostka organizacyjna samorządu województwa powołana przez ten organ do realizacji tych prac</w:t>
            </w:r>
            <w:r>
              <w:rPr>
                <w:rFonts w:ascii="Lato" w:eastAsia="Arial" w:hAnsi="Lato" w:cs="Arial"/>
                <w:sz w:val="18"/>
                <w:szCs w:val="18"/>
              </w:rPr>
              <w:t xml:space="preserve">”. Dopisanie </w:t>
            </w:r>
            <w:r w:rsidR="00FB70CF">
              <w:rPr>
                <w:rFonts w:ascii="Lato" w:eastAsia="Arial" w:hAnsi="Lato" w:cs="Arial"/>
                <w:sz w:val="18"/>
                <w:szCs w:val="18"/>
              </w:rPr>
              <w:t>wnioskowanego</w:t>
            </w:r>
            <w:r>
              <w:rPr>
                <w:rFonts w:ascii="Lato" w:eastAsia="Arial" w:hAnsi="Lato" w:cs="Arial"/>
                <w:sz w:val="18"/>
                <w:szCs w:val="18"/>
              </w:rPr>
              <w:t xml:space="preserve"> fragmentu </w:t>
            </w:r>
            <w:r w:rsidR="00FB70CF">
              <w:rPr>
                <w:rFonts w:ascii="Lato" w:eastAsia="Arial" w:hAnsi="Lato" w:cs="Arial"/>
                <w:sz w:val="18"/>
                <w:szCs w:val="18"/>
              </w:rPr>
              <w:t xml:space="preserve">przepisu </w:t>
            </w:r>
            <w:r>
              <w:rPr>
                <w:rFonts w:ascii="Lato" w:eastAsia="Arial" w:hAnsi="Lato" w:cs="Arial"/>
                <w:sz w:val="18"/>
                <w:szCs w:val="18"/>
              </w:rPr>
              <w:t>jest w opinii projektodawcy nadmiarowe i zbędne.</w:t>
            </w:r>
          </w:p>
        </w:tc>
      </w:tr>
      <w:tr w:rsidR="00FA234D" w:rsidRPr="0037774A" w14:paraId="17188BD8" w14:textId="4FB8B988" w:rsidTr="00D50C46">
        <w:trPr>
          <w:trHeight w:val="333"/>
        </w:trPr>
        <w:tc>
          <w:tcPr>
            <w:tcW w:w="709" w:type="dxa"/>
            <w:tcBorders>
              <w:top w:val="single" w:sz="4" w:space="0" w:color="auto"/>
              <w:left w:val="single" w:sz="4" w:space="0" w:color="auto"/>
            </w:tcBorders>
            <w:shd w:val="clear" w:color="auto" w:fill="FFFFFF"/>
          </w:tcPr>
          <w:p w14:paraId="5D5E144D" w14:textId="3C564E3E"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tcBorders>
            <w:shd w:val="clear" w:color="auto" w:fill="FFFFFF"/>
          </w:tcPr>
          <w:p w14:paraId="7D3DA556" w14:textId="26931E9E"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tcBorders>
            <w:shd w:val="clear" w:color="auto" w:fill="FFFFFF"/>
          </w:tcPr>
          <w:p w14:paraId="40FCCC81" w14:textId="2E806467" w:rsidR="00FA234D" w:rsidRPr="00D50C46" w:rsidRDefault="00FA234D" w:rsidP="00D50C46">
            <w:pPr>
              <w:spacing w:before="120" w:after="120"/>
              <w:ind w:left="138" w:right="274"/>
              <w:rPr>
                <w:rFonts w:ascii="Lato" w:hAnsi="Lato" w:cs="Arial"/>
                <w:sz w:val="18"/>
                <w:szCs w:val="18"/>
              </w:rPr>
            </w:pPr>
            <w:r w:rsidRPr="00D50C46">
              <w:rPr>
                <w:rFonts w:ascii="Lato" w:hAnsi="Lato" w:cs="Arial"/>
                <w:sz w:val="18"/>
                <w:szCs w:val="18"/>
              </w:rPr>
              <w:t xml:space="preserve">Proponuję ujednolicić nazewnictwo. W art. 26c ust. 1 pkt 4 jest mowa o decyzji o ustaleniu gleboznawczej klasyfikacji gruntów, a nie o decyzji o ustaleniu gleboznawczej klasyfikacji gruntu. Ze stanowiska </w:t>
            </w:r>
            <w:proofErr w:type="spellStart"/>
            <w:r w:rsidRPr="00D50C46">
              <w:rPr>
                <w:rFonts w:ascii="Lato" w:hAnsi="Lato" w:cs="Arial"/>
                <w:sz w:val="18"/>
                <w:szCs w:val="18"/>
              </w:rPr>
              <w:t>MRiT</w:t>
            </w:r>
            <w:proofErr w:type="spellEnd"/>
            <w:r w:rsidRPr="00D50C46">
              <w:rPr>
                <w:rFonts w:ascii="Lato" w:hAnsi="Lato" w:cs="Arial"/>
                <w:sz w:val="18"/>
                <w:szCs w:val="18"/>
              </w:rPr>
              <w:t xml:space="preserve"> wynika, że zgłaszana uwaga została uwzględniona, jednak w nowym tekście projektu ustawy nie zostało to zmienione.</w:t>
            </w:r>
          </w:p>
        </w:tc>
        <w:tc>
          <w:tcPr>
            <w:tcW w:w="4111" w:type="dxa"/>
            <w:tcBorders>
              <w:top w:val="single" w:sz="4" w:space="0" w:color="auto"/>
              <w:left w:val="single" w:sz="4" w:space="0" w:color="auto"/>
              <w:right w:val="single" w:sz="4" w:space="0" w:color="auto"/>
            </w:tcBorders>
            <w:shd w:val="clear" w:color="auto" w:fill="FFFFFF"/>
          </w:tcPr>
          <w:p w14:paraId="5C98C929"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Proponuję zmienianemu art. 23 ust. 3 pkt 1 lit. g ustawy z dnia 17 maja 1989 r. - Prawo geodezyjne i kartograficzne nadać następujące brzmienie:</w:t>
            </w:r>
          </w:p>
          <w:p w14:paraId="3D3E38DF" w14:textId="6C6A0741"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„g) ustaleniu gleboznawczej klasyfikacji gruntów,”</w:t>
            </w:r>
          </w:p>
        </w:tc>
        <w:tc>
          <w:tcPr>
            <w:tcW w:w="4820" w:type="dxa"/>
            <w:tcBorders>
              <w:top w:val="single" w:sz="4" w:space="0" w:color="auto"/>
              <w:left w:val="single" w:sz="4" w:space="0" w:color="auto"/>
              <w:right w:val="single" w:sz="4" w:space="0" w:color="auto"/>
            </w:tcBorders>
            <w:shd w:val="clear" w:color="auto" w:fill="FFFFFF"/>
          </w:tcPr>
          <w:p w14:paraId="5A97C040" w14:textId="77777777" w:rsidR="00FA234D" w:rsidRDefault="00FB70CF"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Wyjaśnienie.</w:t>
            </w:r>
          </w:p>
          <w:p w14:paraId="7CB26B72" w14:textId="4CD7C705" w:rsidR="00FB70CF" w:rsidRPr="0037774A" w:rsidRDefault="00FB70CF"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Przedmiotowa zmiana zawarta jest w projekcie ustawy w pkt 22 lit. b </w:t>
            </w:r>
            <w:proofErr w:type="spellStart"/>
            <w:r>
              <w:rPr>
                <w:rFonts w:ascii="Lato" w:eastAsia="Arial" w:hAnsi="Lato" w:cs="Arial"/>
                <w:sz w:val="18"/>
                <w:szCs w:val="18"/>
              </w:rPr>
              <w:t>tiret</w:t>
            </w:r>
            <w:proofErr w:type="spellEnd"/>
            <w:r>
              <w:rPr>
                <w:rFonts w:ascii="Lato" w:eastAsia="Arial" w:hAnsi="Lato" w:cs="Arial"/>
                <w:sz w:val="18"/>
                <w:szCs w:val="18"/>
              </w:rPr>
              <w:t xml:space="preserve"> pierwsze (wersja projektu z 31 grudnia 2025 r.).</w:t>
            </w:r>
          </w:p>
        </w:tc>
      </w:tr>
      <w:tr w:rsidR="00FA234D" w:rsidRPr="0037774A" w14:paraId="2EAD6CDE" w14:textId="63D0FAD5" w:rsidTr="00D50C46">
        <w:trPr>
          <w:trHeight w:val="20"/>
        </w:trPr>
        <w:tc>
          <w:tcPr>
            <w:tcW w:w="709" w:type="dxa"/>
            <w:tcBorders>
              <w:top w:val="single" w:sz="4" w:space="0" w:color="auto"/>
              <w:left w:val="single" w:sz="4" w:space="0" w:color="auto"/>
              <w:bottom w:val="single" w:sz="4" w:space="0" w:color="auto"/>
            </w:tcBorders>
            <w:shd w:val="clear" w:color="auto" w:fill="FFFFFF"/>
          </w:tcPr>
          <w:p w14:paraId="62B32F2E"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F25EFAD" w14:textId="750A630B"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29B73083"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Zaproponowane w projektowanej ustawie brzmienie art. 26a ma na celu umożliwienie wszczynania postępowania administracyjnego w sprawie gleboznawczej klasyfikacji gruntów także na gruntach użytkowanych rolniczo, a ujawnionych w ewidencji gruntów i budynków jako inne niż użytki rolne. Proponowana zmiana pozwoli na jednoczesną zmianę użytku gruntowego (np. K, </w:t>
            </w:r>
            <w:proofErr w:type="spellStart"/>
            <w:r w:rsidRPr="00D50C46">
              <w:rPr>
                <w:rFonts w:ascii="Lato" w:eastAsia="Arial" w:hAnsi="Lato" w:cs="Arial"/>
                <w:sz w:val="18"/>
                <w:szCs w:val="18"/>
              </w:rPr>
              <w:t>Tr</w:t>
            </w:r>
            <w:proofErr w:type="spellEnd"/>
            <w:r w:rsidRPr="00D50C46">
              <w:rPr>
                <w:rFonts w:ascii="Lato" w:eastAsia="Arial" w:hAnsi="Lato" w:cs="Arial"/>
                <w:sz w:val="18"/>
                <w:szCs w:val="18"/>
              </w:rPr>
              <w:t xml:space="preserve">, dr) na użytek rolny i ustalenie dla takiego gruntu </w:t>
            </w:r>
            <w:r w:rsidRPr="00D50C46">
              <w:rPr>
                <w:rFonts w:ascii="Lato" w:eastAsia="Arial" w:hAnsi="Lato" w:cs="Arial"/>
                <w:sz w:val="18"/>
                <w:szCs w:val="18"/>
              </w:rPr>
              <w:lastRenderedPageBreak/>
              <w:t>klasy bonitacyjnej w jednym postepowaniu w ramach gleboznawczej klasyfikacji gruntów, a następnie ujawnienie tych danych w ewidencji gruntów i budynków.</w:t>
            </w:r>
          </w:p>
          <w:p w14:paraId="73CCCCDB"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W związku z tym, że dla nieużytków nie ustala się klasy bonitacyjnej proponuję doprecyzować, że klasy bonitacyjne ustala się tylko dla gruntów zaliczonych do użytków rolnych, czy to w postępowaniu ewidencyjnym, czy też w postępowaniu w ramach gleboznawczej klasyfikacji gruntów.</w:t>
            </w:r>
          </w:p>
          <w:p w14:paraId="3D686BE8" w14:textId="12DBE167"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Proponuję także doprecyzować uzasadnienie projektu ustawy, żeby projektowane przepisy nie budziły wątpliwości interpretacyjnych jakie grunty można obejmować gleboznawczą klasyfikacja gruntów, a dla jakich gruntów ustala się klasę bonitacyjną.</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EDC1751"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lastRenderedPageBreak/>
              <w:t>Proponuję w dodawanym art. 26a ustawy z dnia 17 maja 1989 r. - Prawo geodezyjne i kartograficzne po zdaniu pierwszym dodać zdanie drugie w brzmieniu:</w:t>
            </w:r>
          </w:p>
          <w:p w14:paraId="6A0075A0" w14:textId="2C773294"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„Klasy bonitacyjne ustala się dla gruntów zaliczonych do użytków rolnych.”</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5EBC176" w14:textId="77777777" w:rsidR="00FB70CF" w:rsidRDefault="00FB70CF" w:rsidP="00FB70C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6D8BB398" w14:textId="7BAA2751" w:rsidR="00593E76" w:rsidRDefault="00593E76" w:rsidP="00FB70C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Należy wskazać, że skutkiem proponowanego brzmienia zdania drugiego w art. </w:t>
            </w:r>
            <w:r w:rsidRPr="00D50C46">
              <w:rPr>
                <w:rFonts w:ascii="Lato" w:eastAsia="Arial" w:hAnsi="Lato" w:cs="Arial"/>
                <w:sz w:val="18"/>
                <w:szCs w:val="18"/>
              </w:rPr>
              <w:t>26a ustawy z dnia 17 maja 1989 r. - Prawo geodezyjne i kartograficzne</w:t>
            </w:r>
            <w:r>
              <w:rPr>
                <w:rFonts w:ascii="Lato" w:eastAsia="Arial" w:hAnsi="Lato" w:cs="Arial"/>
                <w:sz w:val="18"/>
                <w:szCs w:val="18"/>
              </w:rPr>
              <w:t xml:space="preserve"> nie będzie wnioskowane przez Ministerstwo Rolnictwa i Rozwoju Wsi umożliwienie</w:t>
            </w:r>
            <w:r w:rsidRPr="00593E76">
              <w:rPr>
                <w:rFonts w:ascii="Lato" w:eastAsia="Arial" w:hAnsi="Lato" w:cs="Arial"/>
                <w:sz w:val="18"/>
                <w:szCs w:val="18"/>
              </w:rPr>
              <w:t xml:space="preserve"> jednoczesn</w:t>
            </w:r>
            <w:r>
              <w:rPr>
                <w:rFonts w:ascii="Lato" w:eastAsia="Arial" w:hAnsi="Lato" w:cs="Arial"/>
                <w:sz w:val="18"/>
                <w:szCs w:val="18"/>
              </w:rPr>
              <w:t>ej</w:t>
            </w:r>
            <w:r w:rsidRPr="00593E76">
              <w:rPr>
                <w:rFonts w:ascii="Lato" w:eastAsia="Arial" w:hAnsi="Lato" w:cs="Arial"/>
                <w:sz w:val="18"/>
                <w:szCs w:val="18"/>
              </w:rPr>
              <w:t xml:space="preserve"> zmian</w:t>
            </w:r>
            <w:r>
              <w:rPr>
                <w:rFonts w:ascii="Lato" w:eastAsia="Arial" w:hAnsi="Lato" w:cs="Arial"/>
                <w:sz w:val="18"/>
                <w:szCs w:val="18"/>
              </w:rPr>
              <w:t>y</w:t>
            </w:r>
            <w:r w:rsidRPr="00593E76">
              <w:rPr>
                <w:rFonts w:ascii="Lato" w:eastAsia="Arial" w:hAnsi="Lato" w:cs="Arial"/>
                <w:sz w:val="18"/>
                <w:szCs w:val="18"/>
              </w:rPr>
              <w:t xml:space="preserve"> użytku gruntowego na użytek rolny i ustalenie dla takiego gruntu klasy bonitacyjnej w jednym postepowaniu w </w:t>
            </w:r>
            <w:r w:rsidRPr="00593E76">
              <w:rPr>
                <w:rFonts w:ascii="Lato" w:eastAsia="Arial" w:hAnsi="Lato" w:cs="Arial"/>
                <w:sz w:val="18"/>
                <w:szCs w:val="18"/>
              </w:rPr>
              <w:lastRenderedPageBreak/>
              <w:t>ramach gleboznawczej klasyfikacji gruntów</w:t>
            </w:r>
            <w:r>
              <w:rPr>
                <w:rFonts w:ascii="Lato" w:eastAsia="Arial" w:hAnsi="Lato" w:cs="Arial"/>
                <w:sz w:val="18"/>
                <w:szCs w:val="18"/>
              </w:rPr>
              <w:t xml:space="preserve">. </w:t>
            </w:r>
          </w:p>
          <w:p w14:paraId="3AACA1C1" w14:textId="77777777" w:rsidR="00344D22" w:rsidRDefault="00593E76" w:rsidP="00344D22">
            <w:pPr>
              <w:pStyle w:val="Inne0"/>
              <w:ind w:left="131" w:right="138"/>
              <w:rPr>
                <w:rFonts w:ascii="Lato" w:eastAsia="Arial" w:hAnsi="Lato" w:cs="Arial"/>
                <w:sz w:val="18"/>
                <w:szCs w:val="18"/>
              </w:rPr>
            </w:pPr>
            <w:r>
              <w:rPr>
                <w:rFonts w:ascii="Lato" w:eastAsia="Arial" w:hAnsi="Lato" w:cs="Arial"/>
                <w:sz w:val="18"/>
                <w:szCs w:val="18"/>
              </w:rPr>
              <w:t xml:space="preserve">Możliwość przeprowadzenia powyższych działań w ramach jednego postępowania administracyjnego zawarta </w:t>
            </w:r>
            <w:r w:rsidR="0083493B">
              <w:rPr>
                <w:rFonts w:ascii="Lato" w:eastAsia="Arial" w:hAnsi="Lato" w:cs="Arial"/>
                <w:sz w:val="18"/>
                <w:szCs w:val="18"/>
              </w:rPr>
              <w:t>została</w:t>
            </w:r>
            <w:r>
              <w:rPr>
                <w:rFonts w:ascii="Lato" w:eastAsia="Arial" w:hAnsi="Lato" w:cs="Arial"/>
                <w:sz w:val="18"/>
                <w:szCs w:val="18"/>
              </w:rPr>
              <w:t xml:space="preserve"> w projektowanym brzmieniu zdania pierwszego art. </w:t>
            </w:r>
            <w:r w:rsidRPr="00D50C46">
              <w:rPr>
                <w:rFonts w:ascii="Lato" w:eastAsia="Arial" w:hAnsi="Lato" w:cs="Arial"/>
                <w:sz w:val="18"/>
                <w:szCs w:val="18"/>
              </w:rPr>
              <w:t xml:space="preserve">26a </w:t>
            </w:r>
            <w:r>
              <w:rPr>
                <w:rFonts w:ascii="Lato" w:eastAsia="Arial" w:hAnsi="Lato" w:cs="Arial"/>
                <w:sz w:val="18"/>
                <w:szCs w:val="18"/>
              </w:rPr>
              <w:t xml:space="preserve">ww. </w:t>
            </w:r>
            <w:r w:rsidRPr="00D50C46">
              <w:rPr>
                <w:rFonts w:ascii="Lato" w:eastAsia="Arial" w:hAnsi="Lato" w:cs="Arial"/>
                <w:sz w:val="18"/>
                <w:szCs w:val="18"/>
              </w:rPr>
              <w:t>ustawy</w:t>
            </w:r>
            <w:r>
              <w:rPr>
                <w:rFonts w:ascii="Lato" w:eastAsia="Arial" w:hAnsi="Lato" w:cs="Arial"/>
                <w:sz w:val="18"/>
                <w:szCs w:val="18"/>
              </w:rPr>
              <w:t xml:space="preserve"> we fragmencie „</w:t>
            </w:r>
            <w:r w:rsidR="0083493B">
              <w:rPr>
                <w:rFonts w:ascii="Lato" w:eastAsia="Arial" w:hAnsi="Lato" w:cs="Arial"/>
                <w:sz w:val="18"/>
                <w:szCs w:val="18"/>
              </w:rPr>
              <w:t>użyt</w:t>
            </w:r>
            <w:r w:rsidRPr="00593E76">
              <w:rPr>
                <w:rFonts w:ascii="Lato" w:eastAsia="Arial" w:hAnsi="Lato" w:cs="Arial"/>
                <w:sz w:val="18"/>
                <w:szCs w:val="18"/>
              </w:rPr>
              <w:t>kowane rolniczo grunty niestanowiące gruntów rolnych,</w:t>
            </w:r>
            <w:r w:rsidR="0083493B" w:rsidRPr="0083493B">
              <w:rPr>
                <w:rFonts w:ascii="Lato" w:eastAsia="Arial" w:hAnsi="Lato" w:cs="Arial"/>
                <w:sz w:val="18"/>
                <w:szCs w:val="18"/>
              </w:rPr>
              <w:t xml:space="preserve"> obejmuje się gleboznawczą klasyfikacją gruntów</w:t>
            </w:r>
            <w:r w:rsidR="0083493B">
              <w:rPr>
                <w:rFonts w:ascii="Lato" w:eastAsia="Arial" w:hAnsi="Lato" w:cs="Arial"/>
                <w:sz w:val="18"/>
                <w:szCs w:val="18"/>
              </w:rPr>
              <w:t xml:space="preserve">”. </w:t>
            </w:r>
          </w:p>
          <w:p w14:paraId="6333B87C" w14:textId="6921856C" w:rsidR="00FA234D" w:rsidRPr="0037774A" w:rsidRDefault="00344D22" w:rsidP="00344D22">
            <w:pPr>
              <w:pStyle w:val="Inne0"/>
              <w:ind w:left="131" w:right="138"/>
              <w:rPr>
                <w:rFonts w:ascii="Lato" w:eastAsia="Arial" w:hAnsi="Lato" w:cs="Arial"/>
                <w:sz w:val="18"/>
                <w:szCs w:val="18"/>
              </w:rPr>
            </w:pPr>
            <w:r>
              <w:rPr>
                <w:rFonts w:ascii="Lato" w:eastAsia="Arial" w:hAnsi="Lato" w:cs="Arial"/>
                <w:sz w:val="18"/>
                <w:szCs w:val="18"/>
              </w:rPr>
              <w:t xml:space="preserve">Zgodnie z powyższą regulacją </w:t>
            </w:r>
            <w:r w:rsidRPr="00344D22">
              <w:rPr>
                <w:rFonts w:ascii="Lato" w:eastAsia="Arial" w:hAnsi="Lato" w:cs="Arial"/>
                <w:sz w:val="18"/>
                <w:szCs w:val="18"/>
              </w:rPr>
              <w:t>wszystkie grunty niestanowiące gruntów rolnych (w tym również grunty wykazane obecnie w ewidencji gruntów i budynków jako grunty zabudowane i zurbanizowane) mogą zostać objęte gleboznawczą klasyfikacją gruntów jeżeli są użytkowane rolniczo. Wówczas w ramach gleboznawczej klasyfikacji gruntów będzie można dokonać jednocześnie zmiany użytku gruntowego.</w:t>
            </w:r>
          </w:p>
        </w:tc>
      </w:tr>
      <w:tr w:rsidR="00FA234D" w:rsidRPr="0037774A" w14:paraId="25873628" w14:textId="52395798" w:rsidTr="00D50C46">
        <w:trPr>
          <w:trHeight w:val="20"/>
        </w:trPr>
        <w:tc>
          <w:tcPr>
            <w:tcW w:w="709" w:type="dxa"/>
            <w:tcBorders>
              <w:top w:val="single" w:sz="4" w:space="0" w:color="auto"/>
              <w:left w:val="single" w:sz="4" w:space="0" w:color="auto"/>
              <w:bottom w:val="single" w:sz="4" w:space="0" w:color="auto"/>
            </w:tcBorders>
            <w:shd w:val="clear" w:color="auto" w:fill="FFFFFF"/>
          </w:tcPr>
          <w:p w14:paraId="06F51D43"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704219" w14:textId="2A86A06C"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1502ECD5"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Proponuję dodać w projektowanej ustawie przepis mający na celu wyłączenie możliwości przeprowadzenia gleboznawczej klasyfikacji gruntów także w przypadku, gdy nastąpiło już wyłączenie gruntów z produkcji rolniczej, bez uzyskania wymaganej decyzji (np. samowola budowlana) czy też gdy taka decyzja nie była wymagana. Ponadto nie jest zasadne wprowadzenie ograniczenia czasowego do przeprowadzania takich postępowań w sprawie gleboznawczej klasyfikacji gruntów.</w:t>
            </w:r>
          </w:p>
          <w:p w14:paraId="1F0F976D"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Należy podkreślić, że wyłączenie gruntów z produkcji rolniczej, o którym mowa w ustawie z dnia 3 lutego 1995 r. o ochronie gruntów rolnych i leśnych (Dz. U. z 2024 r. poz. 82), może mieć charakter legalny, tj. w przypadku, gdy zostało dokonane na podstawie decyzji administracyjnej, o której mowa w art. 11 wskazanej ustawy lub mieć charakter nielegalny, gdzie wyłączenie gruntów z produkcji rolniczej nastąpiło bez wymaganej decyzji i w konsekwencji wymagane jest przeprowadzenie postępowania z art. 28 tej ustawy. Należy wskazać, że w odróżnieniu do postępowania z art. 11 ww. ustawy, gdzie wyłączenie z produkcji jeszcze nie nastąpiło i dopiero wydanie decyzji umożliwi zainwestowanie gruntów, to w przypadku postępowań z art. 28 ww. ustawy grunty zostały już w stanie faktycznym wyłączone z produkcji </w:t>
            </w:r>
            <w:r w:rsidRPr="00D50C46">
              <w:rPr>
                <w:rFonts w:ascii="Lato" w:eastAsia="Arial" w:hAnsi="Lato" w:cs="Arial"/>
                <w:sz w:val="18"/>
                <w:szCs w:val="18"/>
              </w:rPr>
              <w:lastRenderedPageBreak/>
              <w:t xml:space="preserve">rolniczej. Niezbędne jest zatem wyłączenie możliwości przeprowadzenia gleboznawczej klasyfikacji gruntów w przypadku gruntów, dla których trwa jeszcze postępowanie z art. 28 ustawy z dnia 3 lutego 1995 </w:t>
            </w:r>
            <w:proofErr w:type="spellStart"/>
            <w:r w:rsidRPr="00D50C46">
              <w:rPr>
                <w:rFonts w:ascii="Lato" w:eastAsia="Arial" w:hAnsi="Lato" w:cs="Arial"/>
                <w:sz w:val="18"/>
                <w:szCs w:val="18"/>
              </w:rPr>
              <w:t>r.o</w:t>
            </w:r>
            <w:proofErr w:type="spellEnd"/>
            <w:r w:rsidRPr="00D50C46">
              <w:rPr>
                <w:rFonts w:ascii="Lato" w:eastAsia="Arial" w:hAnsi="Lato" w:cs="Arial"/>
                <w:sz w:val="18"/>
                <w:szCs w:val="18"/>
              </w:rPr>
              <w:t xml:space="preserve"> ochronie gruntów rolnych i leśnych, gdyż pomimo jego niezakończenia, istnieje prawdopodobieństwo, że grunty te utraciły już charakter rolny.</w:t>
            </w:r>
          </w:p>
          <w:p w14:paraId="61A479BE" w14:textId="39EB4330"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Wskazane okoliczności prowadzą do wniosku, iż istnieje potrzeba wprowadzenia jednoznacznego przepisu, który uniemożliwi przeprowadzenie postępowania w zakresie gleboznawczej klasyfikacji gruntów w sytuacji, gdy zostało już wszczęte postępowanie w sprawie nielegalnego wyłączenia gruntów z produkcji rolnej lub leśnej. Wprowadzenie takiej regulacji jest istotne z punktu widzenia zapewnienia spójności systemu prawa, ochrony interesu publicznego oraz przeciwdziałania praktykom zmierzającym do legalizacji nielegalnych działań poprzez późniejsze postępowania klasyfikacyjne. Przepis ten przyczyni się również do zwiększenia pewności prawa oraz skuteczności mechanizmów ochrony gruntów rolnych i leśnych. Odnośnie wprowadzenia w projektowanym art. 26b ust. 2 ustawy z dnia 17 maja 1989 r. - Prawo geodezyjne i kartograficzne 2-letniego terminu do przeprowadzenia postępowań </w:t>
            </w:r>
            <w:proofErr w:type="spellStart"/>
            <w:r w:rsidRPr="00D50C46">
              <w:rPr>
                <w:rFonts w:ascii="Lato" w:eastAsia="Arial" w:hAnsi="Lato" w:cs="Arial"/>
                <w:sz w:val="18"/>
                <w:szCs w:val="18"/>
              </w:rPr>
              <w:t>ws</w:t>
            </w:r>
            <w:proofErr w:type="spellEnd"/>
            <w:r w:rsidRPr="00D50C46">
              <w:rPr>
                <w:rFonts w:ascii="Lato" w:eastAsia="Arial" w:hAnsi="Lato" w:cs="Arial"/>
                <w:sz w:val="18"/>
                <w:szCs w:val="18"/>
              </w:rPr>
              <w:t>. gleboznawczej klasyfikacji gruntów, to niezrozumiałe jest jaki cel przyświecał ustawodawcy wprowadzając taką regulację. Wskazania wymaga bowiem, że w ustawie o ochronie gruntów rolnych i leśnych w art. 12 ust. 2 funkcjonuje 2-letni termin na zrezygnowanie w całości lub w części z uzyskanego prawa do wyłączenia gruntów z produkcji rolniczej lub leśnej, po rezygnacji z takiego wyłączenia wygaszana jest również decyzja zezwalająca na wyłączenie w całości lub w części. Brak jest zatem powiązania pomiędzy tymi przepisami.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A706B63"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lastRenderedPageBreak/>
              <w:t>Proponuję projektowanemu art. 26b ust. 2 ustawy z dnia 17 maja 1989 r. - Prawo geodezyjne i kartograficzne nadać brzmienie</w:t>
            </w:r>
          </w:p>
          <w:p w14:paraId="7DDF64DB" w14:textId="15D45F14"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„2. Nie przeprowadza się gleboznawczej klasyfikacji gruntów na gruntach wyłączonych z produkcji rolniczej lub dla których została wydana decyzja na podstawie art. 11 albo art. 28 ust. 1 i ust. 2 ustawy z dnia 3 lutego 1995 r. o ochronie gruntów rolnych i leśnych (Dz. U. z 2024 r. poz. 82).”</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CE2474B" w14:textId="79DA943F" w:rsidR="00FA234D" w:rsidRPr="0037774A" w:rsidRDefault="00344D22"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r w:rsidR="00CD19D8">
              <w:rPr>
                <w:rFonts w:ascii="Lato" w:eastAsia="Arial" w:hAnsi="Lato" w:cs="Arial"/>
                <w:sz w:val="18"/>
                <w:szCs w:val="18"/>
              </w:rPr>
              <w:t>.</w:t>
            </w:r>
          </w:p>
        </w:tc>
      </w:tr>
      <w:tr w:rsidR="00FA234D" w:rsidRPr="0037774A" w14:paraId="52D8D54F" w14:textId="0FD609BA" w:rsidTr="00D50C46">
        <w:trPr>
          <w:trHeight w:val="20"/>
        </w:trPr>
        <w:tc>
          <w:tcPr>
            <w:tcW w:w="709" w:type="dxa"/>
            <w:tcBorders>
              <w:top w:val="single" w:sz="4" w:space="0" w:color="auto"/>
              <w:left w:val="single" w:sz="4" w:space="0" w:color="auto"/>
              <w:bottom w:val="single" w:sz="4" w:space="0" w:color="auto"/>
            </w:tcBorders>
            <w:shd w:val="clear" w:color="auto" w:fill="FFFFFF"/>
          </w:tcPr>
          <w:p w14:paraId="4F356955"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F16C2B0" w14:textId="09C519CB"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3737A77D" w14:textId="149C7832"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Proponuję doprecyzować projektowany przepis art. 26c w ust. 1 pkt 4 ustawy z dnia 17 maja 1989 r. - Prawo geodezyjne i kartograficzne z uwagi na to, że starosta po przeprowadzaniu postępowania administracyjnego w sprawie ustalenia gleboznawczej klasyfikacji gruntów wydaje decyzję o ustaleniu gleboznawczej klasyfikacji gruntów lub o odmowie ustalenia gleboznawczej klasyfikacji lub </w:t>
            </w:r>
            <w:r w:rsidRPr="00D50C46">
              <w:rPr>
                <w:rFonts w:ascii="Lato" w:eastAsia="Arial" w:hAnsi="Lato" w:cs="Arial"/>
                <w:sz w:val="18"/>
                <w:szCs w:val="18"/>
              </w:rPr>
              <w:lastRenderedPageBreak/>
              <w:t>o umorzeniu postępowania administracyjnego.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D21402C" w14:textId="09A8ADC5"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lastRenderedPageBreak/>
              <w:t>Proponuję projektowanemu art. 26c ust. 1 pkt 4 ustawy z dnia 17 maja 1989 r. - Prawo geodezyjne i kartograficzne nadać brzmienie: „4) wydaje decyzję w sprawie gleboznawczej klasyfikacji gruntów.”</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E18DAE2" w14:textId="77777777" w:rsidR="00FA234D" w:rsidRDefault="00CD19D8"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13FD341" w14:textId="4D7B5843" w:rsidR="00CD19D8" w:rsidRPr="0037774A" w:rsidRDefault="00CD19D8"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Wskazana do wprowadzenia nazwa decyzji „</w:t>
            </w:r>
            <w:r w:rsidRPr="00D50C46">
              <w:rPr>
                <w:rFonts w:ascii="Lato" w:eastAsia="Arial" w:hAnsi="Lato" w:cs="Arial"/>
                <w:sz w:val="18"/>
                <w:szCs w:val="18"/>
              </w:rPr>
              <w:t>w sprawie gleboznawczej klasyfikacji gruntów</w:t>
            </w:r>
            <w:r>
              <w:rPr>
                <w:rFonts w:ascii="Lato" w:eastAsia="Arial" w:hAnsi="Lato" w:cs="Arial"/>
                <w:sz w:val="18"/>
                <w:szCs w:val="18"/>
              </w:rPr>
              <w:t xml:space="preserve">” jest niespójna z proponowaną przez Ministerstwo Rolnictwa i Rozwoju Wsi nazwą decyzji przekazywanej do starosty na podstawie art. 23 ust. 3 pkt 1 lit. g ustawy – Prawo geodezyjne i kartograficzne (uwaga lp. 3) – decyzją w </w:t>
            </w:r>
            <w:r>
              <w:rPr>
                <w:rFonts w:ascii="Lato" w:eastAsia="Arial" w:hAnsi="Lato" w:cs="Arial"/>
                <w:sz w:val="18"/>
                <w:szCs w:val="18"/>
              </w:rPr>
              <w:lastRenderedPageBreak/>
              <w:t xml:space="preserve">sprawie </w:t>
            </w:r>
            <w:r w:rsidR="00F04F08">
              <w:rPr>
                <w:rFonts w:ascii="Lato" w:eastAsia="Arial" w:hAnsi="Lato" w:cs="Arial"/>
                <w:sz w:val="18"/>
                <w:szCs w:val="18"/>
              </w:rPr>
              <w:t xml:space="preserve">o </w:t>
            </w:r>
            <w:r>
              <w:rPr>
                <w:rFonts w:ascii="Lato" w:eastAsia="Arial" w:hAnsi="Lato" w:cs="Arial"/>
                <w:sz w:val="18"/>
                <w:szCs w:val="18"/>
              </w:rPr>
              <w:t>„</w:t>
            </w:r>
            <w:r w:rsidRPr="00D50C46">
              <w:rPr>
                <w:rFonts w:ascii="Lato" w:eastAsia="Arial" w:hAnsi="Lato" w:cs="Arial"/>
                <w:sz w:val="18"/>
                <w:szCs w:val="18"/>
              </w:rPr>
              <w:t>ustaleniu gleboznawczej klasyfikacji gruntów</w:t>
            </w:r>
            <w:r>
              <w:rPr>
                <w:rFonts w:ascii="Lato" w:eastAsia="Arial" w:hAnsi="Lato" w:cs="Arial"/>
                <w:sz w:val="18"/>
                <w:szCs w:val="18"/>
              </w:rPr>
              <w:t>”.</w:t>
            </w:r>
          </w:p>
        </w:tc>
      </w:tr>
      <w:tr w:rsidR="00FA234D" w:rsidRPr="0037774A" w14:paraId="1724E6E8" w14:textId="28981E4F" w:rsidTr="00D50C46">
        <w:trPr>
          <w:trHeight w:val="20"/>
        </w:trPr>
        <w:tc>
          <w:tcPr>
            <w:tcW w:w="709" w:type="dxa"/>
            <w:tcBorders>
              <w:top w:val="single" w:sz="4" w:space="0" w:color="auto"/>
              <w:left w:val="single" w:sz="4" w:space="0" w:color="auto"/>
              <w:bottom w:val="single" w:sz="4" w:space="0" w:color="auto"/>
            </w:tcBorders>
            <w:shd w:val="clear" w:color="auto" w:fill="FFFFFF"/>
          </w:tcPr>
          <w:p w14:paraId="637C0C84"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8F91579" w14:textId="697B29F4"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76B97D8C" w14:textId="5A3D74FE"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Proponuję doprecyzować przepis art. 26c ust. 5 ustawy z dnia 17 maja 1989 r. - Prawo geodezyjne i kartograficzne przez wskazanie, że starosta po przeprowadzaniu postępowania administracyjnego w sprawie ustalenia gleboznawczej klasyfikacji gruntów wydaje decyzję w o ustaleniu gleboznawczej klasyfikacji gruntów lub o odmowie ustalenia gleboznawczej klasyfikacji lub o umarzeniu postępowania administracyjnego.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D5577D3"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Proponuję projektowanemu art. 26c ust. 5 ustawy z dnia 17 maja 1989 r. - Prawo geodezyjne i kartograficzne nadać brzmienie:</w:t>
            </w:r>
          </w:p>
          <w:p w14:paraId="451265B6" w14:textId="5FD629E3" w:rsidR="00FA234D" w:rsidRPr="00D50C46" w:rsidRDefault="00FA234D" w:rsidP="00314A02">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„5. Starosta po odebraniu operatu klasyfikacyjnego, o którym mowa w ust.</w:t>
            </w:r>
            <w:r w:rsidR="00314A02">
              <w:rPr>
                <w:rFonts w:ascii="Lato" w:eastAsia="Arial" w:hAnsi="Lato" w:cs="Arial"/>
                <w:sz w:val="18"/>
                <w:szCs w:val="18"/>
              </w:rPr>
              <w:t xml:space="preserve"> </w:t>
            </w:r>
            <w:r w:rsidRPr="00D50C46">
              <w:rPr>
                <w:rFonts w:ascii="Lato" w:eastAsia="Arial" w:hAnsi="Lato" w:cs="Arial"/>
                <w:sz w:val="18"/>
                <w:szCs w:val="18"/>
              </w:rPr>
              <w:t>1 pkt 1, potwierdzonego protokołem odbioru, wydaje decyzję o ustaleniu gleboznawczej klasyfikacji gruntów lub o odmowie ustalenia gleboznawczej klasyfikacji lub o umorzeniu postępowania administracyjnego. Protokół odbioru operatu klasyfikacyjnego stanowi podstawę jego przyjęcia do państwowego zasobu geodezyjnego i kartograficznego.”</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0E0E86B" w14:textId="1246710A" w:rsidR="00F04F08" w:rsidRDefault="00CD19D8" w:rsidP="00F04F0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r w:rsidR="00F04F08">
              <w:rPr>
                <w:rFonts w:ascii="Lato" w:eastAsia="Arial" w:hAnsi="Lato" w:cs="Arial"/>
                <w:sz w:val="18"/>
                <w:szCs w:val="18"/>
              </w:rPr>
              <w:t>.</w:t>
            </w:r>
          </w:p>
          <w:p w14:paraId="6ECF914A" w14:textId="075A03A3" w:rsidR="00FA234D" w:rsidRPr="0037774A" w:rsidRDefault="00FA234D" w:rsidP="00FA234D">
            <w:pPr>
              <w:pStyle w:val="Inne0"/>
              <w:shd w:val="clear" w:color="auto" w:fill="auto"/>
              <w:spacing w:before="120" w:after="120"/>
              <w:ind w:left="131" w:right="138"/>
              <w:rPr>
                <w:rFonts w:ascii="Lato" w:eastAsia="Arial" w:hAnsi="Lato" w:cs="Arial"/>
                <w:sz w:val="18"/>
                <w:szCs w:val="18"/>
              </w:rPr>
            </w:pPr>
          </w:p>
        </w:tc>
      </w:tr>
      <w:tr w:rsidR="00FA234D" w:rsidRPr="0037774A" w14:paraId="063D3F72" w14:textId="2C05C6DC" w:rsidTr="00D50C46">
        <w:trPr>
          <w:trHeight w:val="20"/>
        </w:trPr>
        <w:tc>
          <w:tcPr>
            <w:tcW w:w="709" w:type="dxa"/>
            <w:tcBorders>
              <w:top w:val="single" w:sz="4" w:space="0" w:color="auto"/>
              <w:left w:val="single" w:sz="4" w:space="0" w:color="auto"/>
              <w:bottom w:val="single" w:sz="4" w:space="0" w:color="auto"/>
            </w:tcBorders>
            <w:shd w:val="clear" w:color="auto" w:fill="FFFFFF"/>
          </w:tcPr>
          <w:p w14:paraId="7DBAFE43"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9B94216" w14:textId="35057219"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2328EF48" w14:textId="436AB772"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Proponuję zmianę kolejności w art. 26c ust. 6 pkt 3 i 4 celem zachowania logicznej sekwencji zdarzeń, polegającej na wskazaniu w pierwszej kolejności terminu rozpoczęcia prac, a następnie przewidywanego terminu zakończenia postępowania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C303805"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Proponuję projektowanemu art. 26c ust. 6 ustawy z dnia 17 maja 1989 r. - Prawo geodezyjne i kartograficzne nadać brzmienie:</w:t>
            </w:r>
          </w:p>
          <w:p w14:paraId="60E21625"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„6. Zawiadomienie, o którym mowa w ust. 1 pkt 2, zawiera informacje o:</w:t>
            </w:r>
          </w:p>
          <w:p w14:paraId="5C786CDF" w14:textId="77777777" w:rsidR="00FA234D" w:rsidRPr="00D50C46" w:rsidRDefault="00FA234D" w:rsidP="00CD19D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1)</w:t>
            </w:r>
            <w:r w:rsidRPr="00D50C46">
              <w:rPr>
                <w:rFonts w:ascii="Lato" w:eastAsia="Arial" w:hAnsi="Lato" w:cs="Arial"/>
                <w:sz w:val="18"/>
                <w:szCs w:val="18"/>
              </w:rPr>
              <w:tab/>
              <w:t>podstawie prawnej przeprowadzenia gleboznawczej klasyfikacji gruntów;</w:t>
            </w:r>
          </w:p>
          <w:p w14:paraId="12F58247" w14:textId="77777777" w:rsidR="00FA234D" w:rsidRPr="00D50C46" w:rsidRDefault="00FA234D" w:rsidP="00CD19D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2)</w:t>
            </w:r>
            <w:r w:rsidRPr="00D50C46">
              <w:rPr>
                <w:rFonts w:ascii="Lato" w:eastAsia="Arial" w:hAnsi="Lato" w:cs="Arial"/>
                <w:sz w:val="18"/>
                <w:szCs w:val="18"/>
              </w:rPr>
              <w:tab/>
              <w:t>obszarze objętym gleboznawczą klasyfikacją gruntów;</w:t>
            </w:r>
          </w:p>
          <w:p w14:paraId="6F939A68" w14:textId="77777777" w:rsidR="00FA234D" w:rsidRPr="00D50C46" w:rsidRDefault="00FA234D" w:rsidP="00CD19D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3)</w:t>
            </w:r>
            <w:r w:rsidRPr="00D50C46">
              <w:rPr>
                <w:rFonts w:ascii="Lato" w:eastAsia="Arial" w:hAnsi="Lato" w:cs="Arial"/>
                <w:sz w:val="18"/>
                <w:szCs w:val="18"/>
              </w:rPr>
              <w:tab/>
              <w:t>miejscu i terminie rozpoczęcia czynności klasyfikacyjnych w terenie;</w:t>
            </w:r>
          </w:p>
          <w:p w14:paraId="0C9785F7" w14:textId="77777777" w:rsidR="00FA234D" w:rsidRPr="00D50C46" w:rsidRDefault="00FA234D" w:rsidP="00CD19D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4)</w:t>
            </w:r>
            <w:r w:rsidRPr="00D50C46">
              <w:rPr>
                <w:rFonts w:ascii="Lato" w:eastAsia="Arial" w:hAnsi="Lato" w:cs="Arial"/>
                <w:sz w:val="18"/>
                <w:szCs w:val="18"/>
              </w:rPr>
              <w:tab/>
              <w:t>przewidywanym terminie zakończenia postępowania w sprawie ustalenia gleboznawczej klasyfikacji gruntów;</w:t>
            </w:r>
          </w:p>
          <w:p w14:paraId="2BFB03B6" w14:textId="77777777" w:rsidR="00FA234D" w:rsidRPr="00D50C46" w:rsidRDefault="00FA234D" w:rsidP="00CD19D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5)</w:t>
            </w:r>
            <w:r w:rsidRPr="00D50C46">
              <w:rPr>
                <w:rFonts w:ascii="Lato" w:eastAsia="Arial" w:hAnsi="Lato" w:cs="Arial"/>
                <w:sz w:val="18"/>
                <w:szCs w:val="18"/>
              </w:rPr>
              <w:tab/>
              <w:t>harmonogramie przeprowadzenia czynności klasyfikacyjnych w terenie;</w:t>
            </w:r>
          </w:p>
          <w:p w14:paraId="57CA32AF" w14:textId="77777777" w:rsidR="00FA234D" w:rsidRPr="00D50C46" w:rsidRDefault="00FA234D" w:rsidP="00CD19D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6)</w:t>
            </w:r>
            <w:r w:rsidRPr="00D50C46">
              <w:rPr>
                <w:rFonts w:ascii="Lato" w:eastAsia="Arial" w:hAnsi="Lato" w:cs="Arial"/>
                <w:sz w:val="18"/>
                <w:szCs w:val="18"/>
              </w:rPr>
              <w:tab/>
              <w:t>imieniu i nazwisku klasyfikatora gruntów;</w:t>
            </w:r>
          </w:p>
          <w:p w14:paraId="747053DA" w14:textId="03074E0D" w:rsidR="00FA234D" w:rsidRPr="00D50C46" w:rsidRDefault="00FA234D" w:rsidP="00CD19D8">
            <w:pPr>
              <w:pStyle w:val="Inne0"/>
              <w:shd w:val="clear" w:color="auto" w:fill="auto"/>
              <w:spacing w:before="120" w:after="120"/>
              <w:ind w:left="421" w:right="136" w:hanging="285"/>
              <w:rPr>
                <w:rFonts w:ascii="Lato" w:eastAsia="Arial" w:hAnsi="Lato" w:cs="Arial"/>
                <w:sz w:val="18"/>
                <w:szCs w:val="18"/>
              </w:rPr>
            </w:pPr>
            <w:r w:rsidRPr="00D50C46">
              <w:rPr>
                <w:rFonts w:ascii="Lato" w:eastAsia="Arial" w:hAnsi="Lato" w:cs="Arial"/>
                <w:sz w:val="18"/>
                <w:szCs w:val="18"/>
              </w:rPr>
              <w:t>7)</w:t>
            </w:r>
            <w:r w:rsidRPr="00D50C46">
              <w:rPr>
                <w:rFonts w:ascii="Lato" w:eastAsia="Arial" w:hAnsi="Lato" w:cs="Arial"/>
                <w:sz w:val="18"/>
                <w:szCs w:val="18"/>
              </w:rPr>
              <w:tab/>
              <w:t>inne informacje uznane przez organ za niezbędne, niestanowiące danych osobowych.”</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53F1607" w14:textId="62BC23A0" w:rsidR="00D863CF" w:rsidRDefault="00D863CF" w:rsidP="00F04F0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r w:rsidR="00F04F08">
              <w:rPr>
                <w:rFonts w:ascii="Lato" w:eastAsia="Arial" w:hAnsi="Lato" w:cs="Arial"/>
                <w:sz w:val="18"/>
                <w:szCs w:val="18"/>
              </w:rPr>
              <w:t>.</w:t>
            </w:r>
          </w:p>
          <w:p w14:paraId="74AAACE0" w14:textId="52B164C3" w:rsidR="00FA234D" w:rsidRPr="0037774A" w:rsidRDefault="00FA234D" w:rsidP="00FA234D">
            <w:pPr>
              <w:pStyle w:val="Inne0"/>
              <w:shd w:val="clear" w:color="auto" w:fill="auto"/>
              <w:spacing w:before="120" w:after="120"/>
              <w:ind w:left="131" w:right="138"/>
              <w:rPr>
                <w:rFonts w:ascii="Lato" w:eastAsia="Arial" w:hAnsi="Lato" w:cs="Arial"/>
                <w:sz w:val="18"/>
                <w:szCs w:val="18"/>
              </w:rPr>
            </w:pPr>
          </w:p>
        </w:tc>
      </w:tr>
      <w:tr w:rsidR="00FA234D" w:rsidRPr="0037774A" w14:paraId="2ABBA056" w14:textId="52B70E1A" w:rsidTr="00D50C46">
        <w:trPr>
          <w:trHeight w:val="20"/>
        </w:trPr>
        <w:tc>
          <w:tcPr>
            <w:tcW w:w="709" w:type="dxa"/>
            <w:tcBorders>
              <w:top w:val="single" w:sz="4" w:space="0" w:color="auto"/>
              <w:left w:val="single" w:sz="4" w:space="0" w:color="auto"/>
              <w:bottom w:val="single" w:sz="4" w:space="0" w:color="auto"/>
            </w:tcBorders>
            <w:shd w:val="clear" w:color="auto" w:fill="FFFFFF"/>
          </w:tcPr>
          <w:p w14:paraId="76B7B75A"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101E7B8" w14:textId="2CF6F79C"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3FBBA3B3"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Proponuję umożliwienie zaliczenia dłuższego niż proponowany w art. 26d ust. 2 pkt 2:okresu praktyki zawodowej z 2 lat do okresu od wejścia w życie rozporządzenia Rady Ministrów z dnia 12 września 2012 r. w sprawie gleboznawczej </w:t>
            </w:r>
            <w:r w:rsidRPr="00D50C46">
              <w:rPr>
                <w:rFonts w:ascii="Lato" w:eastAsia="Arial" w:hAnsi="Lato" w:cs="Arial"/>
                <w:sz w:val="18"/>
                <w:szCs w:val="18"/>
              </w:rPr>
              <w:lastRenderedPageBreak/>
              <w:t>klasyfikacji gruntów (Dz. U. poz. 1246). Od 2012 r. przepisy prawa w zakresie realizacji gleboznawczej klasyfikacji gruntów się nie zmieniły i wprowadzenie „okresu ostatnich 2 lat” nie znajduje w mojej ocenie logicznego uzasadnienia.</w:t>
            </w:r>
          </w:p>
          <w:p w14:paraId="1C83D2DC"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Wprowadzenie ograniczenia do 2-letniego okresu praktyki uniemożliwi uzyskanie świadectwa przez doświadczonych klasyfikatorów zatrudnionych w WBG, którzy wykonują czynności klasyfikacyjne w ramach postępowań scaleniowych, obejmujących duże powierzchnie gruntów objętych klasyfikacją. Postępowanie klasyfikacyjne stanowi jeden z etapów postępowania scaleniowego, które jest rozłożone w czasie i trwa nawet 3 lata. Wobec powyższego klasyfikatorzy zatrudnieni w Biurach wykonują prace klasyfikacyjne w odstępach co 2-3 lata. Prace klasyfikacyjne odbywają się na dużych obszarach i konieczne jest wykonanie dużej ilości odkrywek glebowych.</w:t>
            </w:r>
          </w:p>
          <w:p w14:paraId="083D0AAE" w14:textId="77777777" w:rsidR="00FA234D" w:rsidRPr="00D50C46" w:rsidRDefault="00FA234D"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Zaproponowany przepis doprowadzi do sytuacji, w której klasyfikator, który w ciągu ostatnich 2 lat wziął udział w 10 projektach ustalenia klasyfikacji i wykonał 10 odkrywek otrzyma świadectwo natomiast klasyfikator, który był upoważniony przez starostę i wykonał 3 projekty ustalenia klasyfikacji o pow. powyżej 2000 ha każdy w przeciągu ostatnich 3 lat świadectwa nie otrzyma.</w:t>
            </w:r>
          </w:p>
          <w:p w14:paraId="4123203C" w14:textId="28CF7700"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(Przykład: Na jednym z ostatnio realizowanych postępowań w sprawie ustalenia gleboznawczej klasyfikacji gruntów z urzędu na gruntach objętych postępowaniem scaleniowym dokonano 544 odkrywek glebowych.)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85A8E71"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lastRenderedPageBreak/>
              <w:t>Proponuję modyfikację projektowanego art. 26d ust. 2 pkt 2 ustawy z dnia 17 maja 1989 r. - Prawo geodezyjne i kartograficzne:</w:t>
            </w:r>
          </w:p>
          <w:p w14:paraId="7B9885F2" w14:textId="5C10E372"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 xml:space="preserve">„2) posiada udokumentowaną praktykę zawodową poświadczoną przez właściwego </w:t>
            </w:r>
            <w:r w:rsidRPr="00D50C46">
              <w:rPr>
                <w:rFonts w:ascii="Lato" w:eastAsia="Arial" w:hAnsi="Lato" w:cs="Arial"/>
                <w:sz w:val="18"/>
                <w:szCs w:val="18"/>
              </w:rPr>
              <w:lastRenderedPageBreak/>
              <w:t>klasyfikatora gruntów, obejmującą udział w wykonywaniu po wejściu w życie rozporządzenia Rady Ministrów z dnia 12 września 2012 r. w sprawie gleboznawczej klasyfikacji gruntów (Dz. U. poz. 1246), stanowiących podstawę wydania ostatecznej decyzji w przedmiocie gleboznawczej klasyfikacji gruntów co najmniej 10 projektów ustalenia gleboznawczej klasyfikacji gruntów lub co najmniej 2 projektów ustalenia gleboznawczej klasyfikacji gruntów na obszarach o łącznej powierzchni co najmniej 100 ha, stanowiących podstawę wydania ostatecznych decyzji w sprawie o ustaleniu gleboznawczej klasyfikacji gruntów;”</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FFF67E5" w14:textId="77777777" w:rsidR="00F04F08" w:rsidRDefault="00F04F08" w:rsidP="00F04F0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została uwzględniona.</w:t>
            </w:r>
          </w:p>
          <w:p w14:paraId="53A4D7AE" w14:textId="682A4934" w:rsidR="00FA234D" w:rsidRPr="0037774A" w:rsidRDefault="00FA234D" w:rsidP="00FA234D">
            <w:pPr>
              <w:pStyle w:val="Inne0"/>
              <w:shd w:val="clear" w:color="auto" w:fill="auto"/>
              <w:spacing w:before="120" w:after="120"/>
              <w:ind w:left="131" w:right="138"/>
              <w:rPr>
                <w:rFonts w:ascii="Lato" w:eastAsia="Arial" w:hAnsi="Lato" w:cs="Arial"/>
                <w:sz w:val="18"/>
                <w:szCs w:val="18"/>
              </w:rPr>
            </w:pPr>
          </w:p>
        </w:tc>
      </w:tr>
      <w:tr w:rsidR="00FA234D" w:rsidRPr="0037774A" w14:paraId="7128EE83" w14:textId="75F31F0D" w:rsidTr="00D50C46">
        <w:trPr>
          <w:trHeight w:val="20"/>
        </w:trPr>
        <w:tc>
          <w:tcPr>
            <w:tcW w:w="709" w:type="dxa"/>
            <w:tcBorders>
              <w:top w:val="single" w:sz="4" w:space="0" w:color="auto"/>
              <w:left w:val="single" w:sz="4" w:space="0" w:color="auto"/>
              <w:bottom w:val="single" w:sz="4" w:space="0" w:color="auto"/>
            </w:tcBorders>
            <w:shd w:val="clear" w:color="auto" w:fill="FFFFFF"/>
          </w:tcPr>
          <w:p w14:paraId="25AE2712"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51D9E5B" w14:textId="1985DCF0"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7C50C11A" w14:textId="10B0F125"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Proponuję wprowadzenie przepisów ustanawiających sankcje za wadliwe wykonanie operatu klasyfikacyjnego skutkującego wydaniem ostatecznej decyzji o odmowie ustalenia gleboznawczej klasyfikacji gruntów. Sankcje obejmowałyby zawieszenie świadectwa stwierdzającego posiadanie kwalifikacji w zawodzie klasyfikatora gruntów na okres od 6 miesięcy do 2 lat lub na okres do 5 lat lub dożywotnio w zależności ilości nieprawidłowo wykonanych operatów klasyfikacyjnych.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BFBD682"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Proponuję dodać w projektowanym art. 26e ustawy z dnia 17 maja 1989 r. - Prawo geodezyjne i kartograficzne po ust. 1 kolejne ustępy w brzmieniu:</w:t>
            </w:r>
          </w:p>
          <w:p w14:paraId="6B4DAD46"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„Starosta przesyła do ministra właściwego do spraw rozwoju wsi ostateczną decyzję administracyjną w sprawie gleboznawczej klasyfikacji gruntów wydaną po stwierdzeniu wadliwego wykonania operatu klasyfikacyjnego wraz z tym operatem.</w:t>
            </w:r>
          </w:p>
          <w:p w14:paraId="1DFD5848"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 xml:space="preserve">W ciągu dwóch lat od stwierdzenia wadliwego wykonania operatu klasyfikacyjnego minister </w:t>
            </w:r>
            <w:r w:rsidRPr="00D50C46">
              <w:rPr>
                <w:rFonts w:ascii="Lato" w:eastAsia="Arial" w:hAnsi="Lato" w:cs="Arial"/>
                <w:sz w:val="18"/>
                <w:szCs w:val="18"/>
              </w:rPr>
              <w:lastRenderedPageBreak/>
              <w:t>właściwy do spraw rozwoju wsi dokonuje:</w:t>
            </w:r>
          </w:p>
          <w:p w14:paraId="31A12589" w14:textId="1CA57AE0" w:rsidR="00FA234D" w:rsidRPr="00D50C46" w:rsidRDefault="00FA234D" w:rsidP="00F04F0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a)</w:t>
            </w:r>
            <w:r w:rsidRPr="00D50C46">
              <w:rPr>
                <w:rFonts w:ascii="Lato" w:eastAsia="Arial" w:hAnsi="Lato" w:cs="Arial"/>
                <w:sz w:val="18"/>
                <w:szCs w:val="18"/>
              </w:rPr>
              <w:tab/>
              <w:t>zawieszenia świadectwa stwierdzającego posiadanie kwalifikacji w zawodzie klasyfikatora gruntów na okres od 6 miesięcy do 2 lat - w przypadku takiego stwierdzenia w dwóch postępowaniach w sprawie gleboznawczej klasyfikacji gruntów,</w:t>
            </w:r>
          </w:p>
          <w:p w14:paraId="0E29CB1E" w14:textId="77777777" w:rsidR="00FA234D" w:rsidRPr="00D50C46" w:rsidRDefault="00FA234D" w:rsidP="00F04F08">
            <w:pPr>
              <w:pStyle w:val="Inne0"/>
              <w:spacing w:before="120" w:after="120"/>
              <w:ind w:left="421" w:right="136" w:hanging="285"/>
              <w:rPr>
                <w:rFonts w:ascii="Lato" w:eastAsia="Arial" w:hAnsi="Lato" w:cs="Arial"/>
                <w:sz w:val="18"/>
                <w:szCs w:val="18"/>
              </w:rPr>
            </w:pPr>
            <w:r w:rsidRPr="00D50C46">
              <w:rPr>
                <w:rFonts w:ascii="Lato" w:eastAsia="Arial" w:hAnsi="Lato" w:cs="Arial"/>
                <w:sz w:val="18"/>
                <w:szCs w:val="18"/>
              </w:rPr>
              <w:t>b)</w:t>
            </w:r>
            <w:r w:rsidRPr="00D50C46">
              <w:rPr>
                <w:rFonts w:ascii="Lato" w:eastAsia="Arial" w:hAnsi="Lato" w:cs="Arial"/>
                <w:sz w:val="18"/>
                <w:szCs w:val="18"/>
              </w:rPr>
              <w:tab/>
              <w:t>zawieszenia świadectwa stwierdzającego posiadanie kwalifikacji w zawodzie klasyfikatora gruntów na okres do 5 lat - w przypadku stwierdzenia wadliwego wykonania operatu klasyfikacyjnego w trzech postępowaniach w sprawie gleboznawczej klasyfikacji gruntów,</w:t>
            </w:r>
          </w:p>
          <w:p w14:paraId="410CFD8E" w14:textId="74620946" w:rsidR="00FA234D" w:rsidRPr="00D50C46" w:rsidRDefault="00FA234D" w:rsidP="00F04F08">
            <w:pPr>
              <w:pStyle w:val="Inne0"/>
              <w:shd w:val="clear" w:color="auto" w:fill="auto"/>
              <w:spacing w:before="120" w:after="120"/>
              <w:ind w:left="421" w:right="136" w:hanging="285"/>
              <w:rPr>
                <w:rFonts w:ascii="Lato" w:eastAsia="Arial" w:hAnsi="Lato" w:cs="Arial"/>
                <w:sz w:val="18"/>
                <w:szCs w:val="18"/>
              </w:rPr>
            </w:pPr>
            <w:r w:rsidRPr="00D50C46">
              <w:rPr>
                <w:rFonts w:ascii="Lato" w:eastAsia="Arial" w:hAnsi="Lato" w:cs="Arial"/>
                <w:sz w:val="18"/>
                <w:szCs w:val="18"/>
              </w:rPr>
              <w:t>c)</w:t>
            </w:r>
            <w:r w:rsidRPr="00D50C46">
              <w:rPr>
                <w:rFonts w:ascii="Lato" w:eastAsia="Arial" w:hAnsi="Lato" w:cs="Arial"/>
                <w:sz w:val="18"/>
                <w:szCs w:val="18"/>
              </w:rPr>
              <w:tab/>
              <w:t>cofnięcia świadectwa stwierdzającego posiadanie kwalifikacji w zawodzie klasyfikatora gruntów - w przypadku stwierdzenia wadliwego wykonania operatu klasyfikacyjnego w czterech postępowaniach w sprawie gleboznawczej klasyfikacji gruntów.</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21BF790" w14:textId="3F47F547" w:rsidR="00C818FB" w:rsidRDefault="00F04F08" w:rsidP="00F04F0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lastRenderedPageBreak/>
              <w:t>Uwaga została uwzględniona z modyfikacj</w:t>
            </w:r>
            <w:r w:rsidR="00C818FB">
              <w:rPr>
                <w:rFonts w:ascii="Lato" w:eastAsia="Arial" w:hAnsi="Lato" w:cs="Arial"/>
                <w:sz w:val="18"/>
                <w:szCs w:val="18"/>
              </w:rPr>
              <w:t>ą.</w:t>
            </w:r>
          </w:p>
          <w:p w14:paraId="7D44E53B" w14:textId="7DB067EA" w:rsidR="00C818FB" w:rsidRDefault="00C818FB" w:rsidP="00F04F0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Proponowane brzmienie:</w:t>
            </w:r>
          </w:p>
          <w:p w14:paraId="4FD406D3" w14:textId="5C1A697F" w:rsidR="00085DFD" w:rsidRPr="00085DFD" w:rsidRDefault="00085DFD" w:rsidP="00085DFD">
            <w:pPr>
              <w:pStyle w:val="Inne0"/>
              <w:shd w:val="clear" w:color="auto" w:fill="auto"/>
              <w:spacing w:before="120" w:after="120"/>
              <w:ind w:left="180" w:right="136"/>
              <w:contextualSpacing/>
              <w:rPr>
                <w:rFonts w:ascii="Lato" w:eastAsia="Arial" w:hAnsi="Lato" w:cs="Arial"/>
                <w:sz w:val="18"/>
                <w:szCs w:val="18"/>
              </w:rPr>
            </w:pPr>
            <w:r>
              <w:rPr>
                <w:rFonts w:ascii="Lato" w:eastAsia="Arial" w:hAnsi="Lato" w:cs="Arial"/>
                <w:sz w:val="18"/>
                <w:szCs w:val="18"/>
              </w:rPr>
              <w:t>„</w:t>
            </w:r>
            <w:r w:rsidRPr="00085DFD">
              <w:rPr>
                <w:rFonts w:ascii="Lato" w:eastAsia="Arial" w:hAnsi="Lato" w:cs="Arial"/>
                <w:sz w:val="18"/>
                <w:szCs w:val="18"/>
              </w:rPr>
              <w:t>2. Starosta po stwierdzeniu wadliwego wykonania operatu klasyfikacyjnego, o którym mowa w art. 26c ust. 1 pkt 1, przesyła do ministra właściwego do spraw rozwoju wsi przedmiotowy operat wraz z ostateczną decyzją administracyjną, o której mowa w art. 26c ust. 5, w terminie 30 dni od uprawomocnienia się decyzji.</w:t>
            </w:r>
          </w:p>
          <w:p w14:paraId="1416A944" w14:textId="77777777" w:rsidR="00085DFD" w:rsidRPr="00085DFD" w:rsidRDefault="00085DFD" w:rsidP="00085DFD">
            <w:pPr>
              <w:pStyle w:val="Inne0"/>
              <w:spacing w:before="120" w:after="120"/>
              <w:ind w:left="180" w:right="136"/>
              <w:contextualSpacing/>
              <w:rPr>
                <w:rFonts w:ascii="Lato" w:eastAsia="Arial" w:hAnsi="Lato" w:cs="Arial"/>
                <w:sz w:val="18"/>
                <w:szCs w:val="18"/>
              </w:rPr>
            </w:pPr>
            <w:r w:rsidRPr="00085DFD">
              <w:rPr>
                <w:rFonts w:ascii="Lato" w:eastAsia="Arial" w:hAnsi="Lato" w:cs="Arial"/>
                <w:sz w:val="18"/>
                <w:szCs w:val="18"/>
              </w:rPr>
              <w:t>3. W ciągu dwóch lat od otrzymania przez ministra właściwego do spraw rozwoju wsi operatu klasyfikacyjnego, o którym mowa w ust. 2, minister dokonuje:</w:t>
            </w:r>
          </w:p>
          <w:p w14:paraId="44685CA9" w14:textId="77777777" w:rsidR="00085DFD" w:rsidRPr="00085DFD" w:rsidRDefault="00085DFD" w:rsidP="00085DFD">
            <w:pPr>
              <w:pStyle w:val="Inne0"/>
              <w:spacing w:before="120" w:after="120"/>
              <w:ind w:left="421" w:right="136" w:hanging="241"/>
              <w:contextualSpacing/>
              <w:rPr>
                <w:rFonts w:ascii="Lato" w:eastAsia="Arial" w:hAnsi="Lato" w:cs="Arial"/>
                <w:sz w:val="18"/>
                <w:szCs w:val="18"/>
              </w:rPr>
            </w:pPr>
            <w:r w:rsidRPr="00085DFD">
              <w:rPr>
                <w:rFonts w:ascii="Lato" w:eastAsia="Arial" w:hAnsi="Lato" w:cs="Arial"/>
                <w:sz w:val="18"/>
                <w:szCs w:val="18"/>
              </w:rPr>
              <w:lastRenderedPageBreak/>
              <w:t>1)</w:t>
            </w:r>
            <w:r w:rsidRPr="00085DFD">
              <w:rPr>
                <w:rFonts w:ascii="Lato" w:eastAsia="Arial" w:hAnsi="Lato" w:cs="Arial"/>
                <w:sz w:val="18"/>
                <w:szCs w:val="18"/>
              </w:rPr>
              <w:tab/>
              <w:t>zawieszenia świadectwa stwierdzającego posiadanie kwalifikacji w zawodzie klasyfikatora gruntów na okres od 6 miesięcy do 2 lat - w przypadku stwierdzenia wystąpienia wadliwego wykonania operatu klasyfikacyjnego w dwóch postępowaniach w sprawie o ustaleniu gleboznawczej klasyfikacji gruntów;</w:t>
            </w:r>
          </w:p>
          <w:p w14:paraId="72B799C1" w14:textId="77777777" w:rsidR="00085DFD" w:rsidRPr="00085DFD" w:rsidRDefault="00085DFD" w:rsidP="00085DFD">
            <w:pPr>
              <w:pStyle w:val="Inne0"/>
              <w:spacing w:before="120" w:after="120"/>
              <w:ind w:left="421" w:right="136" w:hanging="241"/>
              <w:contextualSpacing/>
              <w:rPr>
                <w:rFonts w:ascii="Lato" w:eastAsia="Arial" w:hAnsi="Lato" w:cs="Arial"/>
                <w:sz w:val="18"/>
                <w:szCs w:val="18"/>
              </w:rPr>
            </w:pPr>
            <w:r w:rsidRPr="00085DFD">
              <w:rPr>
                <w:rFonts w:ascii="Lato" w:eastAsia="Arial" w:hAnsi="Lato" w:cs="Arial"/>
                <w:sz w:val="18"/>
                <w:szCs w:val="18"/>
              </w:rPr>
              <w:t>2)</w:t>
            </w:r>
            <w:r w:rsidRPr="00085DFD">
              <w:rPr>
                <w:rFonts w:ascii="Lato" w:eastAsia="Arial" w:hAnsi="Lato" w:cs="Arial"/>
                <w:sz w:val="18"/>
                <w:szCs w:val="18"/>
              </w:rPr>
              <w:tab/>
              <w:t>zawieszenia świadectwa stwierdzającego posiadanie kwalifikacji w zawodzie klasyfikatora gruntów na okres do 5 lat - w przypadku stwierdzenia wystąpienia wadliwego wykonania operatu klasyfikacyjnego w trzech postępowaniach w sprawie o ustaleniu gleboznawczej klasyfikacji gruntów;</w:t>
            </w:r>
          </w:p>
          <w:p w14:paraId="5D6B9D00" w14:textId="77777777" w:rsidR="00C818FB" w:rsidRDefault="00085DFD" w:rsidP="00085DFD">
            <w:pPr>
              <w:pStyle w:val="Inne0"/>
              <w:shd w:val="clear" w:color="auto" w:fill="auto"/>
              <w:spacing w:before="120" w:after="120"/>
              <w:ind w:left="421" w:right="136" w:hanging="241"/>
              <w:contextualSpacing/>
              <w:rPr>
                <w:rFonts w:ascii="Lato" w:eastAsia="Arial" w:hAnsi="Lato" w:cs="Arial"/>
                <w:sz w:val="18"/>
                <w:szCs w:val="18"/>
              </w:rPr>
            </w:pPr>
            <w:r w:rsidRPr="00085DFD">
              <w:rPr>
                <w:rFonts w:ascii="Lato" w:eastAsia="Arial" w:hAnsi="Lato" w:cs="Arial"/>
                <w:sz w:val="18"/>
                <w:szCs w:val="18"/>
              </w:rPr>
              <w:t>3)</w:t>
            </w:r>
            <w:r w:rsidRPr="00085DFD">
              <w:rPr>
                <w:rFonts w:ascii="Lato" w:eastAsia="Arial" w:hAnsi="Lato" w:cs="Arial"/>
                <w:sz w:val="18"/>
                <w:szCs w:val="18"/>
              </w:rPr>
              <w:tab/>
              <w:t>cofnięcia świadectwa stwierdzającego posiadanie kwalifikacji w zawodzie klasyfikatora gruntów - w przypadku stwierdzenia wystąpienia wadliwego wykonania operatu klasyfikacyjnego w czterech postępowaniach w sprawie o ustaleniu gleboznawczej klasyfikacji gruntów</w:t>
            </w:r>
            <w:r w:rsidR="005D059D">
              <w:rPr>
                <w:rFonts w:ascii="Lato" w:eastAsia="Arial" w:hAnsi="Lato" w:cs="Arial"/>
                <w:sz w:val="18"/>
                <w:szCs w:val="18"/>
              </w:rPr>
              <w:t>.</w:t>
            </w:r>
          </w:p>
          <w:p w14:paraId="0AFB24B2" w14:textId="77CB9FC1" w:rsidR="005D059D" w:rsidRPr="0037774A" w:rsidRDefault="005D059D" w:rsidP="00085DFD">
            <w:pPr>
              <w:pStyle w:val="Inne0"/>
              <w:shd w:val="clear" w:color="auto" w:fill="auto"/>
              <w:spacing w:before="120" w:after="120"/>
              <w:ind w:left="421" w:right="136" w:hanging="241"/>
              <w:contextualSpacing/>
              <w:rPr>
                <w:rFonts w:ascii="Lato" w:eastAsia="Arial" w:hAnsi="Lato" w:cs="Arial"/>
                <w:sz w:val="18"/>
                <w:szCs w:val="18"/>
              </w:rPr>
            </w:pPr>
            <w:r w:rsidRPr="005D059D">
              <w:rPr>
                <w:rFonts w:ascii="Lato" w:eastAsia="Arial" w:hAnsi="Lato" w:cs="Arial"/>
                <w:sz w:val="18"/>
                <w:szCs w:val="18"/>
              </w:rPr>
              <w:t>4.</w:t>
            </w:r>
            <w:r w:rsidRPr="005D059D">
              <w:rPr>
                <w:rFonts w:ascii="Lato" w:eastAsia="Arial" w:hAnsi="Lato" w:cs="Arial"/>
                <w:sz w:val="18"/>
                <w:szCs w:val="18"/>
              </w:rPr>
              <w:tab/>
              <w:t>Zawieszenie lub cofnięcie świadectwa następuje w drodze decyzji.</w:t>
            </w:r>
            <w:r>
              <w:rPr>
                <w:rFonts w:ascii="Lato" w:eastAsia="Arial" w:hAnsi="Lato" w:cs="Arial"/>
                <w:sz w:val="18"/>
                <w:szCs w:val="18"/>
              </w:rPr>
              <w:t>”</w:t>
            </w:r>
          </w:p>
        </w:tc>
      </w:tr>
      <w:tr w:rsidR="00FA234D" w:rsidRPr="0037774A" w14:paraId="302EF8DD" w14:textId="5FBB7496" w:rsidTr="00D50C46">
        <w:trPr>
          <w:trHeight w:val="20"/>
        </w:trPr>
        <w:tc>
          <w:tcPr>
            <w:tcW w:w="709" w:type="dxa"/>
            <w:tcBorders>
              <w:top w:val="single" w:sz="4" w:space="0" w:color="auto"/>
              <w:left w:val="single" w:sz="4" w:space="0" w:color="auto"/>
              <w:bottom w:val="single" w:sz="4" w:space="0" w:color="auto"/>
            </w:tcBorders>
            <w:shd w:val="clear" w:color="auto" w:fill="FFFFFF"/>
          </w:tcPr>
          <w:p w14:paraId="4A5314F2"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0575D68" w14:textId="3F799EAE"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62A74249" w14:textId="743C6D07"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 związku z zaproponowanymi przepisami w l.p. 9 konieczne jest ujawnienie wykreślenia z rejestru.</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92837D3" w14:textId="77777777" w:rsidR="00FA234D" w:rsidRPr="00D50C46" w:rsidRDefault="00FA234D" w:rsidP="00D50C46">
            <w:pPr>
              <w:pStyle w:val="Inne0"/>
              <w:spacing w:before="120" w:after="120"/>
              <w:ind w:left="136" w:right="136"/>
              <w:rPr>
                <w:rFonts w:ascii="Lato" w:eastAsia="Arial" w:hAnsi="Lato" w:cs="Arial"/>
                <w:sz w:val="18"/>
                <w:szCs w:val="18"/>
              </w:rPr>
            </w:pPr>
            <w:r w:rsidRPr="00D50C46">
              <w:rPr>
                <w:rFonts w:ascii="Lato" w:eastAsia="Arial" w:hAnsi="Lato" w:cs="Arial"/>
                <w:sz w:val="18"/>
                <w:szCs w:val="18"/>
              </w:rPr>
              <w:t>Proponuję w art. 26e w ust. 2 po pkt 4 dodać pkt 5 w brzmieniu:</w:t>
            </w:r>
          </w:p>
          <w:p w14:paraId="45A6CCC0" w14:textId="56F26CE6"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„5) cofnięcia świadectwa stwierdzającego posiadanie kwalifikacji w zawodzie klasyfikatora gruntów, o którym mowa w art. 26e ust.la pkt c.”</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4F85CA7" w14:textId="4FB79F5F" w:rsidR="005D059D" w:rsidRDefault="005D059D" w:rsidP="005D059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z modyfikacją wynikającą ze sposobu rozpatrzenia uwagi w lp. 10.</w:t>
            </w:r>
          </w:p>
          <w:p w14:paraId="67072ACA" w14:textId="188CD440" w:rsidR="005D059D" w:rsidRDefault="005D059D" w:rsidP="005D059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Proponowane brzmienie:</w:t>
            </w:r>
          </w:p>
          <w:p w14:paraId="357499FA" w14:textId="17F0FAB1" w:rsidR="00FA234D" w:rsidRPr="0037774A" w:rsidRDefault="005D059D" w:rsidP="00FA234D">
            <w:pPr>
              <w:pStyle w:val="Inne0"/>
              <w:spacing w:before="120" w:after="120"/>
              <w:ind w:left="131" w:right="138"/>
              <w:rPr>
                <w:rFonts w:ascii="Lato" w:eastAsia="Arial" w:hAnsi="Lato" w:cs="Arial"/>
                <w:sz w:val="18"/>
                <w:szCs w:val="18"/>
              </w:rPr>
            </w:pPr>
            <w:r>
              <w:rPr>
                <w:rFonts w:ascii="Lato" w:eastAsia="Arial" w:hAnsi="Lato" w:cs="Arial"/>
                <w:sz w:val="18"/>
                <w:szCs w:val="18"/>
              </w:rPr>
              <w:t>„</w:t>
            </w:r>
            <w:r w:rsidRPr="005D059D">
              <w:rPr>
                <w:rFonts w:ascii="Lato" w:eastAsia="Arial" w:hAnsi="Lato" w:cs="Arial"/>
                <w:sz w:val="18"/>
                <w:szCs w:val="18"/>
              </w:rPr>
              <w:t>5)</w:t>
            </w:r>
            <w:r>
              <w:rPr>
                <w:rFonts w:ascii="Lato" w:eastAsia="Arial" w:hAnsi="Lato" w:cs="Arial"/>
                <w:sz w:val="18"/>
                <w:szCs w:val="18"/>
              </w:rPr>
              <w:t xml:space="preserve"> </w:t>
            </w:r>
            <w:r w:rsidRPr="005D059D">
              <w:rPr>
                <w:rFonts w:ascii="Lato" w:eastAsia="Arial" w:hAnsi="Lato" w:cs="Arial"/>
                <w:sz w:val="18"/>
                <w:szCs w:val="18"/>
              </w:rPr>
              <w:t>decyzji, o której mowa w ust 4</w:t>
            </w:r>
            <w:r>
              <w:rPr>
                <w:rFonts w:ascii="Lato" w:eastAsia="Arial" w:hAnsi="Lato" w:cs="Arial"/>
                <w:sz w:val="18"/>
                <w:szCs w:val="18"/>
              </w:rPr>
              <w:t>”</w:t>
            </w:r>
          </w:p>
        </w:tc>
      </w:tr>
      <w:tr w:rsidR="00FA234D" w:rsidRPr="0037774A" w14:paraId="023A6BA5" w14:textId="5543CC7C" w:rsidTr="00D50C46">
        <w:trPr>
          <w:trHeight w:val="20"/>
        </w:trPr>
        <w:tc>
          <w:tcPr>
            <w:tcW w:w="709" w:type="dxa"/>
            <w:tcBorders>
              <w:top w:val="single" w:sz="4" w:space="0" w:color="auto"/>
              <w:left w:val="single" w:sz="4" w:space="0" w:color="auto"/>
              <w:bottom w:val="single" w:sz="4" w:space="0" w:color="auto"/>
            </w:tcBorders>
            <w:shd w:val="clear" w:color="auto" w:fill="FFFFFF"/>
          </w:tcPr>
          <w:p w14:paraId="150E081C" w14:textId="77777777" w:rsidR="00FA234D" w:rsidRPr="0037774A" w:rsidRDefault="00FA234D" w:rsidP="00FA234D">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659DB22" w14:textId="37C95B98" w:rsidR="00FA234D"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Rolnictwa i Rozwoju Wsi</w:t>
            </w:r>
          </w:p>
        </w:tc>
        <w:tc>
          <w:tcPr>
            <w:tcW w:w="4536" w:type="dxa"/>
            <w:tcBorders>
              <w:top w:val="single" w:sz="4" w:space="0" w:color="auto"/>
              <w:left w:val="single" w:sz="4" w:space="0" w:color="auto"/>
              <w:bottom w:val="single" w:sz="4" w:space="0" w:color="auto"/>
            </w:tcBorders>
            <w:shd w:val="clear" w:color="auto" w:fill="FFFFFF"/>
          </w:tcPr>
          <w:p w14:paraId="503893B2" w14:textId="4AB24E54"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 związku z zaproponowanymi przepisami w l.p. 9 konieczne jest ujawnienie zawieszenia w rejestrze.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5870688" w14:textId="119CDFFB" w:rsidR="00FA234D" w:rsidRPr="00D50C46" w:rsidRDefault="00FA234D"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Proponuję dodać w art. 26e po ust. 2 kolejny ustęp w brzmieniu: „Informację o zawieszeniu świadectwa stwierdzającego posiadanie kwalifikacji w zawodzie klasyfikatora, wpisuje się do rejestru klasyfikatorów gruntów, o którym mowa w ust.1.”</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B3AB916" w14:textId="77777777" w:rsidR="00FA234D" w:rsidRDefault="00BF3525" w:rsidP="00FA234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z modyfikacją.</w:t>
            </w:r>
          </w:p>
          <w:p w14:paraId="56CC4659" w14:textId="1BB21ACB" w:rsidR="00BF3525" w:rsidRDefault="00BF3525" w:rsidP="00BF352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Proponowane brzmienie dodawanego w art. 26e ust. 5:</w:t>
            </w:r>
          </w:p>
          <w:p w14:paraId="25088186" w14:textId="305918F2" w:rsidR="00BF3525" w:rsidRPr="0037774A" w:rsidRDefault="00BF3525" w:rsidP="00BF352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t>
            </w:r>
            <w:r w:rsidRPr="00BF3525">
              <w:rPr>
                <w:rFonts w:ascii="Lato" w:eastAsia="Arial" w:hAnsi="Lato" w:cs="Arial"/>
                <w:sz w:val="18"/>
                <w:szCs w:val="18"/>
              </w:rPr>
              <w:t>5.</w:t>
            </w:r>
            <w:r>
              <w:rPr>
                <w:rFonts w:ascii="Lato" w:eastAsia="Arial" w:hAnsi="Lato" w:cs="Arial"/>
                <w:sz w:val="18"/>
                <w:szCs w:val="18"/>
              </w:rPr>
              <w:t xml:space="preserve"> </w:t>
            </w:r>
            <w:r w:rsidRPr="00BF3525">
              <w:rPr>
                <w:rFonts w:ascii="Lato" w:eastAsia="Arial" w:hAnsi="Lato" w:cs="Arial"/>
                <w:sz w:val="18"/>
                <w:szCs w:val="18"/>
              </w:rPr>
              <w:t>Informację o zawieszeniu świadectwa zamieszcza się w rejestrze, o którym mowa w ust. 1, na podstawie ostatecznej decyzji, o której mowa w ust. 4.</w:t>
            </w:r>
            <w:r>
              <w:rPr>
                <w:rFonts w:ascii="Lato" w:eastAsia="Arial" w:hAnsi="Lato" w:cs="Arial"/>
                <w:sz w:val="18"/>
                <w:szCs w:val="18"/>
              </w:rPr>
              <w:t>”</w:t>
            </w:r>
          </w:p>
        </w:tc>
      </w:tr>
      <w:tr w:rsidR="00A1261B" w:rsidRPr="0037774A" w14:paraId="4EDBF947" w14:textId="525DA84D" w:rsidTr="00D50C46">
        <w:trPr>
          <w:trHeight w:val="20"/>
        </w:trPr>
        <w:tc>
          <w:tcPr>
            <w:tcW w:w="709" w:type="dxa"/>
            <w:tcBorders>
              <w:top w:val="single" w:sz="4" w:space="0" w:color="auto"/>
              <w:left w:val="single" w:sz="4" w:space="0" w:color="auto"/>
              <w:bottom w:val="single" w:sz="4" w:space="0" w:color="auto"/>
            </w:tcBorders>
            <w:shd w:val="clear" w:color="auto" w:fill="FFFFFF"/>
          </w:tcPr>
          <w:p w14:paraId="16404AD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B841943" w14:textId="11165783" w:rsidR="00A1261B" w:rsidRPr="00D50C46" w:rsidRDefault="00FA234D"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Nauki i Szkolnictwa Wyższego</w:t>
            </w:r>
          </w:p>
        </w:tc>
        <w:tc>
          <w:tcPr>
            <w:tcW w:w="4536" w:type="dxa"/>
            <w:tcBorders>
              <w:top w:val="single" w:sz="4" w:space="0" w:color="auto"/>
              <w:left w:val="single" w:sz="4" w:space="0" w:color="auto"/>
              <w:bottom w:val="single" w:sz="4" w:space="0" w:color="auto"/>
            </w:tcBorders>
            <w:shd w:val="clear" w:color="auto" w:fill="FFFFFF"/>
          </w:tcPr>
          <w:p w14:paraId="216C658B" w14:textId="77777777" w:rsidR="00FA234D" w:rsidRPr="00D50C46" w:rsidRDefault="00FA234D"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i/>
                <w:iCs/>
                <w:sz w:val="18"/>
                <w:szCs w:val="18"/>
              </w:rPr>
              <w:t>W</w:t>
            </w:r>
            <w:r w:rsidRPr="00D50C46">
              <w:rPr>
                <w:rFonts w:ascii="Lato" w:eastAsia="Arial" w:hAnsi="Lato" w:cs="Arial"/>
                <w:sz w:val="18"/>
                <w:szCs w:val="18"/>
              </w:rPr>
              <w:t xml:space="preserve"> projektowanym art. 26d ust. 2 pkt 1 ustawy z dnia 17 maja 1989 r. - </w:t>
            </w:r>
            <w:r w:rsidRPr="00D50C46">
              <w:rPr>
                <w:rFonts w:ascii="Lato" w:eastAsia="Arial" w:hAnsi="Lato" w:cs="Arial"/>
                <w:i/>
                <w:iCs/>
                <w:sz w:val="18"/>
                <w:szCs w:val="18"/>
              </w:rPr>
              <w:t>Prawo geodezyjne i kartograficzne</w:t>
            </w:r>
            <w:r w:rsidRPr="00D50C46">
              <w:rPr>
                <w:rFonts w:ascii="Lato" w:eastAsia="Arial" w:hAnsi="Lato" w:cs="Arial"/>
                <w:sz w:val="18"/>
                <w:szCs w:val="18"/>
              </w:rPr>
              <w:t xml:space="preserve"> (Dz. U. z 2024 r. poz. 1151, z </w:t>
            </w:r>
            <w:proofErr w:type="spellStart"/>
            <w:r w:rsidRPr="00D50C46">
              <w:rPr>
                <w:rFonts w:ascii="Lato" w:eastAsia="Arial" w:hAnsi="Lato" w:cs="Arial"/>
                <w:sz w:val="18"/>
                <w:szCs w:val="18"/>
              </w:rPr>
              <w:t>późn</w:t>
            </w:r>
            <w:proofErr w:type="spellEnd"/>
            <w:r w:rsidRPr="00D50C46">
              <w:rPr>
                <w:rFonts w:ascii="Lato" w:eastAsia="Arial" w:hAnsi="Lato" w:cs="Arial"/>
                <w:sz w:val="18"/>
                <w:szCs w:val="18"/>
              </w:rPr>
              <w:t xml:space="preserve">. zm.), zwanej dalej „ustawą </w:t>
            </w:r>
            <w:proofErr w:type="spellStart"/>
            <w:r w:rsidRPr="00D50C46">
              <w:rPr>
                <w:rFonts w:ascii="Lato" w:eastAsia="Arial" w:hAnsi="Lato" w:cs="Arial"/>
                <w:sz w:val="18"/>
                <w:szCs w:val="18"/>
              </w:rPr>
              <w:t>PGiK</w:t>
            </w:r>
            <w:proofErr w:type="spellEnd"/>
            <w:r w:rsidRPr="00D50C46">
              <w:rPr>
                <w:rFonts w:ascii="Lato" w:eastAsia="Arial" w:hAnsi="Lato" w:cs="Arial"/>
                <w:sz w:val="18"/>
                <w:szCs w:val="18"/>
              </w:rPr>
              <w:t xml:space="preserve">”, uwzględniono uwagę Ministra Nauki i Szkolnictwa Wyższego zgłoszoną w ramach poprzedniej tury uzgodnień, jednak znalazł się tam drobny błąd redakcyjny, wymagający korekty - obecnie przepis brzmi </w:t>
            </w:r>
            <w:r w:rsidRPr="00D50C46">
              <w:rPr>
                <w:rFonts w:ascii="Lato" w:eastAsia="Arial" w:hAnsi="Lato" w:cs="Arial"/>
                <w:sz w:val="18"/>
                <w:szCs w:val="18"/>
              </w:rPr>
              <w:lastRenderedPageBreak/>
              <w:t>bowiem:</w:t>
            </w:r>
          </w:p>
          <w:p w14:paraId="5680445C" w14:textId="77777777" w:rsidR="00FA234D" w:rsidRPr="00D50C46" w:rsidRDefault="00FA234D" w:rsidP="00D50C46">
            <w:pPr>
              <w:pStyle w:val="Teksttreci0"/>
              <w:spacing w:before="120" w:after="120"/>
              <w:ind w:left="138" w:right="274"/>
              <w:rPr>
                <w:rFonts w:ascii="Lato" w:eastAsia="Arial" w:hAnsi="Lato" w:cs="Arial"/>
                <w:sz w:val="18"/>
                <w:szCs w:val="18"/>
              </w:rPr>
            </w:pPr>
            <w:r w:rsidRPr="00D50C46">
              <w:rPr>
                <w:rFonts w:ascii="Lato" w:eastAsia="Arial" w:hAnsi="Lato" w:cs="Arial"/>
                <w:i/>
                <w:iCs/>
                <w:sz w:val="18"/>
                <w:szCs w:val="18"/>
              </w:rPr>
              <w:t>1) posiada świadectwo ukończenia studiów podyplomowych lub kursów w zakresie gleboznawstwa, gleboznawczej klasyfikacji gruntów i kartografii gleb lub dyplom ukończenia studiów w zakresie gleboznawstwo;</w:t>
            </w:r>
          </w:p>
          <w:p w14:paraId="55C9F32F" w14:textId="219778AA" w:rsidR="00A1261B" w:rsidRPr="00D50C46" w:rsidRDefault="00FA234D" w:rsidP="00D50C46">
            <w:pPr>
              <w:pStyle w:val="Teksttreci0"/>
              <w:spacing w:before="120" w:after="120"/>
              <w:ind w:left="138" w:right="274"/>
              <w:rPr>
                <w:rFonts w:ascii="Lato" w:eastAsia="Arial" w:hAnsi="Lato" w:cs="Arial"/>
                <w:sz w:val="18"/>
                <w:szCs w:val="18"/>
              </w:rPr>
            </w:pPr>
            <w:r w:rsidRPr="00D50C46">
              <w:rPr>
                <w:rFonts w:ascii="Lato" w:eastAsia="Arial" w:hAnsi="Lato" w:cs="Arial"/>
                <w:sz w:val="18"/>
                <w:szCs w:val="18"/>
              </w:rPr>
              <w:t xml:space="preserve">(ostatni wyraz </w:t>
            </w:r>
            <w:r w:rsidRPr="00D50C46">
              <w:rPr>
                <w:rFonts w:ascii="Lato" w:eastAsia="Arial" w:hAnsi="Lato" w:cs="Arial"/>
                <w:i/>
                <w:iCs/>
                <w:sz w:val="18"/>
                <w:szCs w:val="18"/>
              </w:rPr>
              <w:t>gleboznawstwo</w:t>
            </w:r>
            <w:r w:rsidRPr="00D50C46">
              <w:rPr>
                <w:rFonts w:ascii="Lato" w:eastAsia="Arial" w:hAnsi="Lato" w:cs="Arial"/>
                <w:sz w:val="18"/>
                <w:szCs w:val="18"/>
              </w:rPr>
              <w:t xml:space="preserve"> należy poprawić na </w:t>
            </w:r>
            <w:r w:rsidRPr="00D50C46">
              <w:rPr>
                <w:rFonts w:ascii="Lato" w:eastAsia="Arial" w:hAnsi="Lato" w:cs="Arial"/>
                <w:i/>
                <w:iCs/>
                <w:sz w:val="18"/>
                <w:szCs w:val="18"/>
              </w:rPr>
              <w:t>gleboznawstwa</w:t>
            </w:r>
            <w:r w:rsidRPr="00D50C46">
              <w:rPr>
                <w:rFonts w:ascii="Lato" w:eastAsia="Arial" w:hAnsi="Lato" w:cs="Arial"/>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F8335BB" w14:textId="77777777"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E0E7BC5" w14:textId="6F22E633" w:rsidR="00A1261B" w:rsidRPr="0037774A" w:rsidRDefault="00BF3525"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BA0201" w:rsidRPr="0037774A" w14:paraId="1E7A6A1B" w14:textId="3CAF20B0" w:rsidTr="00D50C46">
        <w:trPr>
          <w:trHeight w:val="20"/>
        </w:trPr>
        <w:tc>
          <w:tcPr>
            <w:tcW w:w="709" w:type="dxa"/>
            <w:tcBorders>
              <w:top w:val="single" w:sz="4" w:space="0" w:color="auto"/>
              <w:left w:val="single" w:sz="4" w:space="0" w:color="auto"/>
              <w:bottom w:val="single" w:sz="4" w:space="0" w:color="auto"/>
            </w:tcBorders>
            <w:shd w:val="clear" w:color="auto" w:fill="FFFFFF"/>
          </w:tcPr>
          <w:p w14:paraId="67F6F1BB"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7A48414" w14:textId="54495E1D"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Nauki i Szkolnictwa Wyższego</w:t>
            </w:r>
          </w:p>
        </w:tc>
        <w:tc>
          <w:tcPr>
            <w:tcW w:w="4536" w:type="dxa"/>
            <w:tcBorders>
              <w:top w:val="single" w:sz="4" w:space="0" w:color="auto"/>
              <w:left w:val="single" w:sz="4" w:space="0" w:color="auto"/>
              <w:bottom w:val="single" w:sz="4" w:space="0" w:color="auto"/>
            </w:tcBorders>
            <w:shd w:val="clear" w:color="auto" w:fill="FFFFFF"/>
          </w:tcPr>
          <w:p w14:paraId="248ACEAA" w14:textId="77777777" w:rsidR="00BA0201" w:rsidRPr="00C6358F" w:rsidRDefault="00BA0201" w:rsidP="00D50C46">
            <w:pPr>
              <w:pStyle w:val="Teksttreci0"/>
              <w:spacing w:before="120" w:after="120"/>
              <w:ind w:left="130" w:right="274"/>
              <w:rPr>
                <w:rFonts w:ascii="Lato" w:eastAsia="Arial" w:hAnsi="Lato" w:cs="Arial"/>
                <w:sz w:val="18"/>
                <w:szCs w:val="18"/>
              </w:rPr>
            </w:pPr>
            <w:r w:rsidRPr="00D50C46">
              <w:rPr>
                <w:rFonts w:ascii="Lato" w:eastAsia="Arial" w:hAnsi="Lato" w:cs="Arial"/>
                <w:sz w:val="18"/>
                <w:szCs w:val="18"/>
              </w:rPr>
              <w:t xml:space="preserve">Projektodawca nie uwzględnił zgłoszonej poprzednio uwagi Ministra Nauki i Szkolnictwa Wyższego do proponowanego brzmienia art. 44 ust. 1 pkt 3 ustawy </w:t>
            </w:r>
            <w:proofErr w:type="spellStart"/>
            <w:r w:rsidRPr="00D50C46">
              <w:rPr>
                <w:rFonts w:ascii="Lato" w:eastAsia="Arial" w:hAnsi="Lato" w:cs="Arial"/>
                <w:sz w:val="18"/>
                <w:szCs w:val="18"/>
              </w:rPr>
              <w:t>PGiK</w:t>
            </w:r>
            <w:proofErr w:type="spellEnd"/>
            <w:r w:rsidRPr="00D50C46">
              <w:rPr>
                <w:rFonts w:ascii="Lato" w:eastAsia="Arial" w:hAnsi="Lato" w:cs="Arial"/>
                <w:sz w:val="18"/>
                <w:szCs w:val="18"/>
              </w:rPr>
              <w:t xml:space="preserve">, określającego wymagania kwalifikacyjne dla uzyskania uprawnień zawodowych w dziedzinie geodezji i kartografii. W przepisie tym wskazano: </w:t>
            </w:r>
            <w:r w:rsidRPr="00D50C46">
              <w:rPr>
                <w:rFonts w:ascii="Lato" w:eastAsia="Arial" w:hAnsi="Lato" w:cs="Arial"/>
                <w:i/>
                <w:iCs/>
                <w:sz w:val="18"/>
                <w:szCs w:val="18"/>
              </w:rPr>
              <w:t>posiadają wykształcenie geodezyjne: wyższe, średnie lub średnie branżowe</w:t>
            </w:r>
            <w:r w:rsidRPr="00D50C46">
              <w:rPr>
                <w:rFonts w:ascii="Lato" w:eastAsia="Arial" w:hAnsi="Lato" w:cs="Arial"/>
                <w:sz w:val="18"/>
                <w:szCs w:val="18"/>
              </w:rPr>
              <w:t xml:space="preserve">. Minister Nauki i Szkolnictwa Wyższego podnosił, iż ustawa z dnia 20 lipca 2018 r. - </w:t>
            </w:r>
            <w:r w:rsidRPr="00D50C46">
              <w:rPr>
                <w:rFonts w:ascii="Lato" w:eastAsia="Arial" w:hAnsi="Lato" w:cs="Arial"/>
                <w:i/>
                <w:iCs/>
                <w:sz w:val="18"/>
                <w:szCs w:val="18"/>
              </w:rPr>
              <w:t>Prawo o szkolnictwie wyższym i nauce</w:t>
            </w:r>
            <w:r w:rsidRPr="00D50C46">
              <w:rPr>
                <w:rFonts w:ascii="Lato" w:eastAsia="Arial" w:hAnsi="Lato" w:cs="Arial"/>
                <w:sz w:val="18"/>
                <w:szCs w:val="18"/>
              </w:rPr>
              <w:t xml:space="preserve"> (Dz. U. z 2024 r. poz. 1571, z </w:t>
            </w:r>
            <w:proofErr w:type="spellStart"/>
            <w:r w:rsidRPr="00D50C46">
              <w:rPr>
                <w:rFonts w:ascii="Lato" w:eastAsia="Arial" w:hAnsi="Lato" w:cs="Arial"/>
                <w:sz w:val="18"/>
                <w:szCs w:val="18"/>
              </w:rPr>
              <w:t>późn</w:t>
            </w:r>
            <w:proofErr w:type="spellEnd"/>
            <w:r w:rsidRPr="00D50C46">
              <w:rPr>
                <w:rFonts w:ascii="Lato" w:eastAsia="Arial" w:hAnsi="Lato" w:cs="Arial"/>
                <w:sz w:val="18"/>
                <w:szCs w:val="18"/>
              </w:rPr>
              <w:t xml:space="preserve">. zm.), zwana dalej „ustawą PSWN”, jak i wydane na jej podstawie akty wykonawcze, nie posługują się pojęciem wykształcenia wyższego w odniesieniu do jego rodzajów (np. ekonomicznego, technicznego, czy geodezyjnego), jak również w przepisach tych nie występuje określenie tzw. </w:t>
            </w:r>
            <w:r w:rsidRPr="00D50C46">
              <w:rPr>
                <w:rFonts w:ascii="Lato" w:eastAsia="Arial" w:hAnsi="Lato" w:cs="Arial"/>
                <w:i/>
                <w:iCs/>
                <w:sz w:val="18"/>
                <w:szCs w:val="18"/>
              </w:rPr>
              <w:t>specjalności</w:t>
            </w:r>
            <w:r w:rsidRPr="00D50C46">
              <w:rPr>
                <w:rFonts w:ascii="Lato" w:eastAsia="Arial" w:hAnsi="Lato" w:cs="Arial"/>
                <w:sz w:val="18"/>
                <w:szCs w:val="18"/>
              </w:rPr>
              <w:t xml:space="preserve">. W piśmie z dnia 22 czerwca 2025 r. Minister Nauki i Szkolnictwa Wyższego wskazał szeroką argumentację dot. tej uwagi, konkludując, iż proponuje się przeredagowanie brzmienia art. 44 ust. 1 pkt 3 ustawy </w:t>
            </w:r>
            <w:proofErr w:type="spellStart"/>
            <w:r w:rsidRPr="00D50C46">
              <w:rPr>
                <w:rFonts w:ascii="Lato" w:eastAsia="Arial" w:hAnsi="Lato" w:cs="Arial"/>
                <w:sz w:val="18"/>
                <w:szCs w:val="18"/>
              </w:rPr>
              <w:t>PGiK</w:t>
            </w:r>
            <w:proofErr w:type="spellEnd"/>
            <w:r w:rsidRPr="00D50C46">
              <w:rPr>
                <w:rFonts w:ascii="Lato" w:eastAsia="Arial" w:hAnsi="Lato" w:cs="Arial"/>
                <w:sz w:val="18"/>
                <w:szCs w:val="18"/>
              </w:rPr>
              <w:t xml:space="preserve"> w taki sposób, aby wymogi kwalifikacyjne odnosiły się do posiadania wykształcenia wyższego uzyskanego po ukończeniu studiów w określonym zakresie (np. w zakresie geodezji). Projektodawca uzasadnił odrzucenie uwagi w następujący sposób: </w:t>
            </w:r>
            <w:r w:rsidRPr="00D50C46">
              <w:rPr>
                <w:rFonts w:ascii="Lato" w:eastAsia="Arial" w:hAnsi="Lato" w:cs="Arial"/>
                <w:i/>
                <w:iCs/>
                <w:sz w:val="18"/>
                <w:szCs w:val="18"/>
              </w:rPr>
              <w:t xml:space="preserve">W zakresie art. 44 ust. 1 pkt 3 ustawy </w:t>
            </w:r>
            <w:proofErr w:type="spellStart"/>
            <w:r w:rsidRPr="00D50C46">
              <w:rPr>
                <w:rFonts w:ascii="Lato" w:eastAsia="Arial" w:hAnsi="Lato" w:cs="Arial"/>
                <w:i/>
                <w:iCs/>
                <w:sz w:val="18"/>
                <w:szCs w:val="18"/>
              </w:rPr>
              <w:t>PGiK</w:t>
            </w:r>
            <w:proofErr w:type="spellEnd"/>
            <w:r w:rsidRPr="00D50C46">
              <w:rPr>
                <w:rFonts w:ascii="Lato" w:eastAsia="Arial" w:hAnsi="Lato" w:cs="Arial"/>
                <w:i/>
                <w:iCs/>
                <w:sz w:val="18"/>
                <w:szCs w:val="18"/>
              </w:rPr>
              <w:t xml:space="preserve"> uwaga nie została uwzględniona. Obowiązujące przepisy prawa dopuszczają możliwość ubiegania się o uprawnienia zawodowe w dziedzinie geodezji i kartografii w zakresach, o których mowa w art. 43 pkt 1, 2, 4 i 5 ustawy </w:t>
            </w:r>
            <w:proofErr w:type="spellStart"/>
            <w:r w:rsidRPr="00D50C46">
              <w:rPr>
                <w:rFonts w:ascii="Lato" w:eastAsia="Arial" w:hAnsi="Lato" w:cs="Arial"/>
                <w:i/>
                <w:iCs/>
                <w:sz w:val="18"/>
                <w:szCs w:val="18"/>
              </w:rPr>
              <w:t>PGiK</w:t>
            </w:r>
            <w:proofErr w:type="spellEnd"/>
            <w:r w:rsidRPr="00D50C46">
              <w:rPr>
                <w:rFonts w:ascii="Lato" w:eastAsia="Arial" w:hAnsi="Lato" w:cs="Arial"/>
                <w:i/>
                <w:iCs/>
                <w:sz w:val="18"/>
                <w:szCs w:val="18"/>
              </w:rPr>
              <w:t xml:space="preserve">, w przypadku posiadania przez kandydata średniego lub średniego branżowego wykształcenia geodezyjnego. Proponowane przeredagowanie brzmienia przepisu w taki sposób, aby wymogi kwalifikacyjne odnosiły się do posiadania wykształcenia wyższego uzyskanego po ukończeniu studiów w określonym zakresie (np. w </w:t>
            </w:r>
            <w:r w:rsidRPr="00D50C46">
              <w:rPr>
                <w:rFonts w:ascii="Lato" w:eastAsia="Arial" w:hAnsi="Lato" w:cs="Arial"/>
                <w:i/>
                <w:iCs/>
                <w:sz w:val="18"/>
                <w:szCs w:val="18"/>
              </w:rPr>
              <w:lastRenderedPageBreak/>
              <w:t>zakresie geodezji) - spowoduje wyeliminowanie możliwości ubiegania się o uprawnienia przez osoby z wykształceniem średnim.”</w:t>
            </w:r>
          </w:p>
          <w:p w14:paraId="7C271CA2" w14:textId="77777777" w:rsidR="00BA0201" w:rsidRPr="00C6358F" w:rsidRDefault="00BA0201" w:rsidP="00D50C46">
            <w:pPr>
              <w:pStyle w:val="Teksttreci0"/>
              <w:spacing w:before="120" w:after="120"/>
              <w:ind w:left="130" w:right="274"/>
              <w:rPr>
                <w:rFonts w:ascii="Lato" w:eastAsia="Arial" w:hAnsi="Lato" w:cs="Arial"/>
                <w:sz w:val="18"/>
                <w:szCs w:val="18"/>
              </w:rPr>
            </w:pPr>
            <w:r w:rsidRPr="00C6358F">
              <w:rPr>
                <w:rFonts w:ascii="Lato" w:eastAsia="Arial" w:hAnsi="Lato" w:cs="Arial"/>
                <w:sz w:val="18"/>
                <w:szCs w:val="18"/>
              </w:rPr>
              <w:t>W mojej ocenie projektodawca błędnie odczytał intencję Ministra Nauki i Szkolnictwa Wyższego, gdyż uwaga dotyczyła jedynie sposobu ujęcia tej części przepisu, która odnosiła się do wykształcenia wyższego, nie wkraczała natomiast w merytoryczną jego treść, tj. w uprawnienia osób z wykształceniem średnim i średnim branżowym.</w:t>
            </w:r>
          </w:p>
          <w:p w14:paraId="03825AA2" w14:textId="77777777" w:rsidR="00BA0201" w:rsidRPr="00C6358F" w:rsidRDefault="00BA0201" w:rsidP="00D50C46">
            <w:pPr>
              <w:pStyle w:val="Teksttreci0"/>
              <w:spacing w:before="120" w:after="120"/>
              <w:ind w:left="130" w:right="274"/>
              <w:rPr>
                <w:rFonts w:ascii="Lato" w:eastAsia="Arial" w:hAnsi="Lato" w:cs="Arial"/>
                <w:sz w:val="18"/>
                <w:szCs w:val="18"/>
              </w:rPr>
            </w:pPr>
            <w:r w:rsidRPr="00C6358F">
              <w:rPr>
                <w:rFonts w:ascii="Lato" w:eastAsia="Arial" w:hAnsi="Lato" w:cs="Arial"/>
                <w:sz w:val="18"/>
                <w:szCs w:val="18"/>
              </w:rPr>
              <w:t>Podtrzymuję zatem uwagę i proponuję następujące brzmienie przepisu:</w:t>
            </w:r>
          </w:p>
          <w:p w14:paraId="3ADB9BFE" w14:textId="77777777" w:rsidR="00BA0201" w:rsidRPr="00D50C46" w:rsidRDefault="00BA0201" w:rsidP="00D50C46">
            <w:pPr>
              <w:pStyle w:val="Teksttreci0"/>
              <w:spacing w:before="120" w:after="120"/>
              <w:ind w:left="130" w:right="274"/>
              <w:rPr>
                <w:rFonts w:ascii="Lato" w:eastAsia="Arial" w:hAnsi="Lato" w:cs="Arial"/>
                <w:i/>
                <w:iCs/>
                <w:sz w:val="18"/>
                <w:szCs w:val="18"/>
              </w:rPr>
            </w:pPr>
            <w:r w:rsidRPr="00D50C46">
              <w:rPr>
                <w:rFonts w:ascii="Lato" w:eastAsia="Arial" w:hAnsi="Lato" w:cs="Arial"/>
                <w:i/>
                <w:iCs/>
                <w:sz w:val="18"/>
                <w:szCs w:val="18"/>
              </w:rPr>
              <w:t>3) posiadają wykształcenie wyższe uzyskane po ukończeniu studiów w zakresie geodezji lub wykształcenie geodezyjne: średnie lub średnie branżowe;”</w:t>
            </w:r>
          </w:p>
          <w:p w14:paraId="4D6BB161" w14:textId="07930B94" w:rsidR="00BA0201" w:rsidRPr="00D50C46" w:rsidRDefault="00BA0201" w:rsidP="00D50C46">
            <w:pPr>
              <w:pStyle w:val="Teksttreci0"/>
              <w:spacing w:before="120" w:after="120"/>
              <w:ind w:left="130" w:right="274"/>
              <w:rPr>
                <w:rFonts w:ascii="Lato" w:eastAsia="Arial" w:hAnsi="Lato" w:cs="Arial"/>
                <w:sz w:val="18"/>
                <w:szCs w:val="18"/>
              </w:rPr>
            </w:pPr>
            <w:r w:rsidRPr="00D50C46">
              <w:rPr>
                <w:rFonts w:ascii="Lato" w:eastAsia="Arial" w:hAnsi="Lato" w:cs="Arial"/>
                <w:i/>
                <w:iCs/>
                <w:sz w:val="18"/>
                <w:szCs w:val="18"/>
              </w:rPr>
              <w:t>(ewentualnie zamiast geodezyjne - wpisać w zakresie geodezji).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80C655" w14:textId="77777777"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585DDF9" w14:textId="01DDC46A" w:rsidR="00BA0201" w:rsidRPr="0037774A" w:rsidRDefault="00C6358F"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BA0201" w:rsidRPr="0037774A" w14:paraId="5145066C" w14:textId="1BA171BA" w:rsidTr="00D50C46">
        <w:trPr>
          <w:trHeight w:val="20"/>
        </w:trPr>
        <w:tc>
          <w:tcPr>
            <w:tcW w:w="709" w:type="dxa"/>
            <w:tcBorders>
              <w:top w:val="single" w:sz="4" w:space="0" w:color="auto"/>
              <w:left w:val="single" w:sz="4" w:space="0" w:color="auto"/>
              <w:bottom w:val="single" w:sz="4" w:space="0" w:color="auto"/>
            </w:tcBorders>
            <w:shd w:val="clear" w:color="auto" w:fill="FFFFFF"/>
          </w:tcPr>
          <w:p w14:paraId="59455836"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455F79E" w14:textId="1DAC5455"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Nauki i Szkolnictwa Wyższego</w:t>
            </w:r>
          </w:p>
        </w:tc>
        <w:tc>
          <w:tcPr>
            <w:tcW w:w="4536" w:type="dxa"/>
            <w:tcBorders>
              <w:top w:val="single" w:sz="4" w:space="0" w:color="auto"/>
              <w:left w:val="single" w:sz="4" w:space="0" w:color="auto"/>
              <w:bottom w:val="single" w:sz="4" w:space="0" w:color="auto"/>
            </w:tcBorders>
            <w:shd w:val="clear" w:color="auto" w:fill="FFFFFF"/>
          </w:tcPr>
          <w:p w14:paraId="010946BD" w14:textId="3678396A"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W projektowanych art. 44 ust. 3 i art. 44a ust. 3 ustawy </w:t>
            </w:r>
            <w:proofErr w:type="spellStart"/>
            <w:r w:rsidRPr="00D50C46">
              <w:rPr>
                <w:rFonts w:ascii="Lato" w:eastAsia="Arial" w:hAnsi="Lato" w:cs="Arial"/>
                <w:sz w:val="18"/>
                <w:szCs w:val="18"/>
              </w:rPr>
              <w:t>PGiK</w:t>
            </w:r>
            <w:proofErr w:type="spellEnd"/>
            <w:r w:rsidRPr="00D50C46">
              <w:rPr>
                <w:rFonts w:ascii="Lato" w:eastAsia="Arial" w:hAnsi="Lato" w:cs="Arial"/>
                <w:sz w:val="18"/>
                <w:szCs w:val="18"/>
              </w:rPr>
              <w:t xml:space="preserve"> jest mowa o tytule naukowym profesora - należy wskazać, iż prawidłowo powinno być tytule profesora, zgodnie z art. 177 ust. 1 pkt 2 ustawy PSWN</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BEB6812" w14:textId="70008DF9" w:rsidR="00BA0201" w:rsidRPr="00D50C46" w:rsidRDefault="00BA0201" w:rsidP="00D50C46">
            <w:pPr>
              <w:spacing w:before="120" w:after="120"/>
              <w:ind w:left="136" w:right="128"/>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B949F00" w14:textId="0BDD9926" w:rsidR="00BA0201" w:rsidRPr="0037774A" w:rsidRDefault="00573CA7"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BA0201" w:rsidRPr="0037774A" w14:paraId="43B48A50" w14:textId="48D558FF" w:rsidTr="00174018">
        <w:trPr>
          <w:trHeight w:val="20"/>
        </w:trPr>
        <w:tc>
          <w:tcPr>
            <w:tcW w:w="709" w:type="dxa"/>
            <w:tcBorders>
              <w:top w:val="single" w:sz="4" w:space="0" w:color="auto"/>
              <w:left w:val="single" w:sz="4" w:space="0" w:color="auto"/>
              <w:bottom w:val="single" w:sz="4" w:space="0" w:color="auto"/>
            </w:tcBorders>
            <w:shd w:val="clear" w:color="auto" w:fill="FFFFFF"/>
          </w:tcPr>
          <w:p w14:paraId="48744F0C"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1095E72" w14:textId="772BF387"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Nauki i Szkolnictwa Wyższego</w:t>
            </w:r>
          </w:p>
        </w:tc>
        <w:tc>
          <w:tcPr>
            <w:tcW w:w="4536" w:type="dxa"/>
            <w:tcBorders>
              <w:top w:val="single" w:sz="4" w:space="0" w:color="auto"/>
              <w:left w:val="single" w:sz="4" w:space="0" w:color="auto"/>
              <w:bottom w:val="single" w:sz="4" w:space="0" w:color="auto"/>
            </w:tcBorders>
            <w:shd w:val="clear" w:color="auto" w:fill="FFFFFF"/>
          </w:tcPr>
          <w:p w14:paraId="4F790225" w14:textId="6B73AB0E"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W obowiązującej ustawie </w:t>
            </w:r>
            <w:proofErr w:type="spellStart"/>
            <w:r w:rsidRPr="00D50C46">
              <w:rPr>
                <w:rFonts w:ascii="Lato" w:eastAsia="Arial" w:hAnsi="Lato" w:cs="Arial"/>
                <w:sz w:val="18"/>
                <w:szCs w:val="18"/>
              </w:rPr>
              <w:t>PGiK</w:t>
            </w:r>
            <w:proofErr w:type="spellEnd"/>
            <w:r w:rsidRPr="00D50C46">
              <w:rPr>
                <w:rFonts w:ascii="Lato" w:eastAsia="Arial" w:hAnsi="Lato" w:cs="Arial"/>
                <w:sz w:val="18"/>
                <w:szCs w:val="18"/>
              </w:rPr>
              <w:t xml:space="preserve"> oraz w niektórych projektowanych obecnie przepisach nowelizujących tę ustawę jest mowa o dziedzinie geodezji i kartografii. Należy zauważyć, iż zgodnie z obowiązującym rozporządzeniem Ministra Edukacji i Nauki z dnia 11 października 2022 r. w sprawie dziedzin nauki i dyscyplin naukowych oraz dyscyplin artystycznych (Dz. U. poz. 2022 oraz z 2023 r. poz. 1958) nie występuje dziedzina nauki o nazwie geodezja i kartografia. W związku z powyższym, proponuję rozważenie rozszerzenia zakresu nowelizacji o zmianę przepisów, w których występuje sformułowanie niezgodne ze sformułowaniem systemowym celem zastąpienia go innym sformułowaniem, np. w obszarze nauk geodezyjnych, zgodnie z projektowanym nowym brzmieniem art. 44 ust. 3 i art. 44a ust. 3 ustawy </w:t>
            </w:r>
            <w:proofErr w:type="spellStart"/>
            <w:r w:rsidRPr="00D50C46">
              <w:rPr>
                <w:rFonts w:ascii="Lato" w:eastAsia="Arial" w:hAnsi="Lato" w:cs="Arial"/>
                <w:sz w:val="18"/>
                <w:szCs w:val="18"/>
              </w:rPr>
              <w:t>PGiK</w:t>
            </w:r>
            <w:proofErr w:type="spellEnd"/>
            <w:r w:rsidRPr="00D50C46">
              <w:rPr>
                <w:rFonts w:ascii="Lato" w:eastAsia="Arial" w:hAnsi="Lato" w:cs="Arial"/>
                <w:sz w:val="18"/>
                <w:szCs w:val="18"/>
              </w:rPr>
              <w:t xml:space="preserve"> albo w obszarze geodezji i kartografii. Proponowana zmiana mogłaby zostać dokonana w jednym przepisie zbiorczym.</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0543143" w14:textId="6F939843"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0718EC59" w14:textId="13895038" w:rsidR="00573CA7" w:rsidRDefault="00573CA7" w:rsidP="00BA0201">
            <w:pPr>
              <w:pStyle w:val="Inne0"/>
              <w:spacing w:before="120" w:after="120"/>
              <w:ind w:left="138" w:right="274"/>
              <w:rPr>
                <w:rFonts w:ascii="Lato" w:eastAsia="Arial" w:hAnsi="Lato" w:cs="Arial"/>
                <w:sz w:val="18"/>
                <w:szCs w:val="18"/>
              </w:rPr>
            </w:pPr>
            <w:r>
              <w:rPr>
                <w:rFonts w:ascii="Lato" w:eastAsia="Arial" w:hAnsi="Lato" w:cs="Arial"/>
                <w:sz w:val="18"/>
                <w:szCs w:val="18"/>
              </w:rPr>
              <w:t>Uwaga została uwzględniona</w:t>
            </w:r>
            <w:r w:rsidR="00174018">
              <w:rPr>
                <w:rFonts w:ascii="Lato" w:eastAsia="Arial" w:hAnsi="Lato" w:cs="Arial"/>
                <w:sz w:val="18"/>
                <w:szCs w:val="18"/>
              </w:rPr>
              <w:t xml:space="preserve"> w części</w:t>
            </w:r>
            <w:r>
              <w:rPr>
                <w:rFonts w:ascii="Lato" w:eastAsia="Arial" w:hAnsi="Lato" w:cs="Arial"/>
                <w:sz w:val="18"/>
                <w:szCs w:val="18"/>
              </w:rPr>
              <w:t xml:space="preserve">. </w:t>
            </w:r>
          </w:p>
          <w:p w14:paraId="6B643A50" w14:textId="77777777" w:rsidR="003260F1" w:rsidRDefault="00573CA7" w:rsidP="00BA0201">
            <w:pPr>
              <w:pStyle w:val="Inne0"/>
              <w:spacing w:before="120" w:after="120"/>
              <w:ind w:left="138" w:right="274"/>
              <w:rPr>
                <w:rFonts w:ascii="Lato" w:eastAsia="Arial" w:hAnsi="Lato" w:cs="Arial"/>
                <w:sz w:val="18"/>
                <w:szCs w:val="18"/>
              </w:rPr>
            </w:pPr>
            <w:r>
              <w:rPr>
                <w:rFonts w:ascii="Lato" w:eastAsia="Arial" w:hAnsi="Lato" w:cs="Arial"/>
                <w:sz w:val="18"/>
                <w:szCs w:val="18"/>
              </w:rPr>
              <w:t>Należy wskazać, że określenie „</w:t>
            </w:r>
            <w:r w:rsidRPr="00573CA7">
              <w:rPr>
                <w:rFonts w:ascii="Lato" w:eastAsia="Arial" w:hAnsi="Lato" w:cs="Arial"/>
                <w:sz w:val="18"/>
                <w:szCs w:val="18"/>
              </w:rPr>
              <w:t>w dziedzinie geodezji i kartografii</w:t>
            </w:r>
            <w:r>
              <w:rPr>
                <w:rFonts w:ascii="Lato" w:eastAsia="Arial" w:hAnsi="Lato" w:cs="Arial"/>
                <w:sz w:val="18"/>
                <w:szCs w:val="18"/>
              </w:rPr>
              <w:t>” używane jest w ustawie z dnia 17 maja 1989 r. – Prawo geodezyjne i kartograficzne jako nazwa własna nadawanych uprawnień zawodowych</w:t>
            </w:r>
            <w:r w:rsidR="00174018">
              <w:rPr>
                <w:rFonts w:ascii="Lato" w:eastAsia="Arial" w:hAnsi="Lato" w:cs="Arial"/>
                <w:sz w:val="18"/>
                <w:szCs w:val="18"/>
              </w:rPr>
              <w:t xml:space="preserve"> i w tym zakresie nie podlega zmianie</w:t>
            </w:r>
            <w:r>
              <w:rPr>
                <w:rFonts w:ascii="Lato" w:eastAsia="Arial" w:hAnsi="Lato" w:cs="Arial"/>
                <w:sz w:val="18"/>
                <w:szCs w:val="18"/>
              </w:rPr>
              <w:t>.</w:t>
            </w:r>
            <w:r w:rsidR="00174018">
              <w:rPr>
                <w:rFonts w:ascii="Lato" w:eastAsia="Arial" w:hAnsi="Lato" w:cs="Arial"/>
                <w:sz w:val="18"/>
                <w:szCs w:val="18"/>
              </w:rPr>
              <w:t xml:space="preserve"> </w:t>
            </w:r>
          </w:p>
          <w:p w14:paraId="095CE97D" w14:textId="54B55AE2" w:rsidR="00573CA7" w:rsidRDefault="003260F1" w:rsidP="00BA0201">
            <w:pPr>
              <w:pStyle w:val="Inne0"/>
              <w:spacing w:before="120" w:after="120"/>
              <w:ind w:left="138" w:right="274"/>
              <w:rPr>
                <w:rFonts w:ascii="Lato" w:eastAsia="Arial" w:hAnsi="Lato" w:cs="Arial"/>
                <w:sz w:val="18"/>
                <w:szCs w:val="18"/>
              </w:rPr>
            </w:pPr>
            <w:r>
              <w:rPr>
                <w:rFonts w:ascii="Lato" w:eastAsia="Arial" w:hAnsi="Lato" w:cs="Arial"/>
                <w:sz w:val="18"/>
                <w:szCs w:val="18"/>
              </w:rPr>
              <w:t>Odnośnie jednak p</w:t>
            </w:r>
            <w:r w:rsidR="00174018">
              <w:rPr>
                <w:rFonts w:ascii="Lato" w:eastAsia="Arial" w:hAnsi="Lato" w:cs="Arial"/>
                <w:sz w:val="18"/>
                <w:szCs w:val="18"/>
              </w:rPr>
              <w:t>ozostał</w:t>
            </w:r>
            <w:r>
              <w:rPr>
                <w:rFonts w:ascii="Lato" w:eastAsia="Arial" w:hAnsi="Lato" w:cs="Arial"/>
                <w:sz w:val="18"/>
                <w:szCs w:val="18"/>
              </w:rPr>
              <w:t>ych</w:t>
            </w:r>
            <w:r w:rsidR="00174018">
              <w:rPr>
                <w:rFonts w:ascii="Lato" w:eastAsia="Arial" w:hAnsi="Lato" w:cs="Arial"/>
                <w:sz w:val="18"/>
                <w:szCs w:val="18"/>
              </w:rPr>
              <w:t xml:space="preserve"> odniesie</w:t>
            </w:r>
            <w:r>
              <w:rPr>
                <w:rFonts w:ascii="Lato" w:eastAsia="Arial" w:hAnsi="Lato" w:cs="Arial"/>
                <w:sz w:val="18"/>
                <w:szCs w:val="18"/>
              </w:rPr>
              <w:t>ń</w:t>
            </w:r>
            <w:r w:rsidR="00174018">
              <w:rPr>
                <w:rFonts w:ascii="Lato" w:eastAsia="Arial" w:hAnsi="Lato" w:cs="Arial"/>
                <w:sz w:val="18"/>
                <w:szCs w:val="18"/>
              </w:rPr>
              <w:t xml:space="preserve">, </w:t>
            </w:r>
            <w:r>
              <w:rPr>
                <w:rFonts w:ascii="Lato" w:eastAsia="Arial" w:hAnsi="Lato" w:cs="Arial"/>
                <w:sz w:val="18"/>
                <w:szCs w:val="18"/>
              </w:rPr>
              <w:t>odwołujących</w:t>
            </w:r>
            <w:r w:rsidR="00174018">
              <w:rPr>
                <w:rFonts w:ascii="Lato" w:eastAsia="Arial" w:hAnsi="Lato" w:cs="Arial"/>
                <w:sz w:val="18"/>
                <w:szCs w:val="18"/>
              </w:rPr>
              <w:t xml:space="preserve"> się bezpośrednio do geodezji i kartografii jako dziedziny nauki</w:t>
            </w:r>
            <w:r>
              <w:rPr>
                <w:rFonts w:ascii="Lato" w:eastAsia="Arial" w:hAnsi="Lato" w:cs="Arial"/>
                <w:sz w:val="18"/>
                <w:szCs w:val="18"/>
              </w:rPr>
              <w:t xml:space="preserve"> (</w:t>
            </w:r>
            <w:r w:rsidR="00174018">
              <w:rPr>
                <w:rFonts w:ascii="Lato" w:eastAsia="Arial" w:hAnsi="Lato" w:cs="Arial"/>
                <w:sz w:val="18"/>
                <w:szCs w:val="18"/>
              </w:rPr>
              <w:t>art. 44 ust. 1 pkt 5, art. 44a ust. 2 pkt 5</w:t>
            </w:r>
            <w:r>
              <w:rPr>
                <w:rFonts w:ascii="Lato" w:eastAsia="Arial" w:hAnsi="Lato" w:cs="Arial"/>
                <w:sz w:val="18"/>
                <w:szCs w:val="18"/>
              </w:rPr>
              <w:t>, art. 45a ust. 2 pkt 2 ww. ustawy) – projektodawca dokonał korekty brzmienia przepisów.</w:t>
            </w:r>
          </w:p>
          <w:p w14:paraId="3BC40554" w14:textId="638217CD" w:rsidR="00573CA7" w:rsidRPr="0037774A" w:rsidRDefault="00573CA7" w:rsidP="00BA0201">
            <w:pPr>
              <w:pStyle w:val="Inne0"/>
              <w:spacing w:before="120" w:after="120"/>
              <w:ind w:left="138" w:right="274"/>
              <w:rPr>
                <w:rFonts w:ascii="Lato" w:eastAsia="Arial" w:hAnsi="Lato" w:cs="Arial"/>
                <w:sz w:val="18"/>
                <w:szCs w:val="18"/>
              </w:rPr>
            </w:pPr>
          </w:p>
        </w:tc>
      </w:tr>
      <w:tr w:rsidR="00BA0201" w:rsidRPr="0037774A" w14:paraId="0BDDF108" w14:textId="6A0D476C" w:rsidTr="00D50C46">
        <w:trPr>
          <w:trHeight w:val="20"/>
        </w:trPr>
        <w:tc>
          <w:tcPr>
            <w:tcW w:w="709" w:type="dxa"/>
            <w:tcBorders>
              <w:top w:val="single" w:sz="4" w:space="0" w:color="auto"/>
              <w:left w:val="single" w:sz="4" w:space="0" w:color="auto"/>
              <w:bottom w:val="single" w:sz="4" w:space="0" w:color="auto"/>
            </w:tcBorders>
            <w:shd w:val="clear" w:color="auto" w:fill="FFFFFF"/>
          </w:tcPr>
          <w:p w14:paraId="002B086A"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DEE8CD3" w14:textId="6C2A7A27"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Nauki i Szkolnictwa Wyższego</w:t>
            </w:r>
          </w:p>
        </w:tc>
        <w:tc>
          <w:tcPr>
            <w:tcW w:w="4536" w:type="dxa"/>
            <w:tcBorders>
              <w:top w:val="single" w:sz="4" w:space="0" w:color="auto"/>
              <w:left w:val="single" w:sz="4" w:space="0" w:color="auto"/>
              <w:bottom w:val="single" w:sz="4" w:space="0" w:color="auto"/>
            </w:tcBorders>
            <w:shd w:val="clear" w:color="auto" w:fill="FFFFFF"/>
          </w:tcPr>
          <w:p w14:paraId="2EBB90D2" w14:textId="77777777"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W dodawanych ust. 1a w art. 46h, ust. 1a w art. 46i oraz w dodawanym zdaniu drugim w ust. 1 art. 46j ustawy </w:t>
            </w:r>
            <w:proofErr w:type="spellStart"/>
            <w:r w:rsidRPr="00D50C46">
              <w:rPr>
                <w:rFonts w:ascii="Lato" w:eastAsia="Arial" w:hAnsi="Lato" w:cs="Arial"/>
                <w:sz w:val="18"/>
                <w:szCs w:val="18"/>
              </w:rPr>
              <w:t>PGiK</w:t>
            </w:r>
            <w:proofErr w:type="spellEnd"/>
            <w:r w:rsidRPr="00D50C46">
              <w:rPr>
                <w:rFonts w:ascii="Lato" w:eastAsia="Arial" w:hAnsi="Lato" w:cs="Arial"/>
                <w:sz w:val="18"/>
                <w:szCs w:val="18"/>
              </w:rPr>
              <w:t xml:space="preserve"> jest mowa o wykształceniu prawniczym. Należy zauważyć, że zgodnie z ustawą PSWN uczelnia prowadzi studia na określonym kierunku, poziomie i profilu (art. 53 ust. 1 PSWN). Dla każdego kierunku, poziomu i profilu studiów uczelnia samodzielnie określa program studiów, obejmujący opis zakładanych efektów uczenia się w kategoriach wiedzy, umiejętności i kompetencji społecznych oraz opis procesu kształcenia prowadzącego do osiągnięcia tych efektów (art. 67 ust. 1 pkt 1 i 2 PSWN). Absolwent studiów otrzymuje dyplom ukończenia studiów na określonym kierunku i profilu potwierdzający uzyskanie wykształcenia wyższego i odpowiedniego tytułu zawodowego, który zależy od poziomu ukończonych studiów (art. 77 ust. 1 ustawy PSWN). Należy wskazać, że uczelnie zgodnie z posiadaną autonomią programową samodzielnie opracowują programy studiów i określają nazwy prowadzonych kierunków studiów, z wyjątkiem nazw kierunków ujętych w § 8 rozporządzenia Ministra Nauki i Szkolnictwa Wyższego z dnia 27 września 2018 r. w sprawie studiów (Dz. U. z 2023 r. poz. 2787, z </w:t>
            </w:r>
            <w:proofErr w:type="spellStart"/>
            <w:r w:rsidRPr="00D50C46">
              <w:rPr>
                <w:rFonts w:ascii="Lato" w:eastAsia="Arial" w:hAnsi="Lato" w:cs="Arial"/>
                <w:sz w:val="18"/>
                <w:szCs w:val="18"/>
              </w:rPr>
              <w:t>późn</w:t>
            </w:r>
            <w:proofErr w:type="spellEnd"/>
            <w:r w:rsidRPr="00D50C46">
              <w:rPr>
                <w:rFonts w:ascii="Lato" w:eastAsia="Arial" w:hAnsi="Lato" w:cs="Arial"/>
                <w:sz w:val="18"/>
                <w:szCs w:val="18"/>
              </w:rPr>
              <w:t>. zm.). Zgodnie z § 8 ust. 1 pkt 7 tego rozporządzenia kierunek prawo jest prowadzony jako jednolite studia magisterskie. Jak wskazano powyżej uczelnie mają swobodę w określaniu nazw kierunków studiów, kształcenie jest prowadzone w określonym zakresie wynikającym z programu studiów przyjętego dla danego kierunku, poziomu i profilu, a w związku z tym poza jednolitymi studiami magisterskimi na kierunku prawo uczelnie mogą też prowadzić studia pierwszego i drugiego stopnia w zakresie prawa, np. prawo służb mundurowych, prawo medyczne, prawo finansowe i skarbowość, kryminologia prawnicza, prawo w biznesie.</w:t>
            </w:r>
          </w:p>
          <w:p w14:paraId="139D249E" w14:textId="6881A350"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W związku z powyższym proponuję rozważenie określenia wymogów kwalifikacyjnych dotyczących wykształcenia w taki sposób, aby odnosiły się one, w zależności od intencji projektodawcy, do posiadania wykształcenia wyższego uzyskanego w wyniku ukończenia studiów na kierunku prawo albo uzyskanego w wyniku ukończenia studiów w zakresie prawa albo obejmowały obydwa te </w:t>
            </w:r>
            <w:r w:rsidRPr="00D50C46">
              <w:rPr>
                <w:rFonts w:ascii="Lato" w:eastAsia="Arial" w:hAnsi="Lato" w:cs="Arial"/>
                <w:sz w:val="18"/>
                <w:szCs w:val="18"/>
              </w:rPr>
              <w:lastRenderedPageBreak/>
              <w:t>przypadki.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E927875" w14:textId="7D616879"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A79E742" w14:textId="78D3C8C2" w:rsidR="00BA0201" w:rsidRPr="0037774A" w:rsidRDefault="0078029D" w:rsidP="0078029D">
            <w:pPr>
              <w:pStyle w:val="Inne0"/>
              <w:shd w:val="clear" w:color="auto" w:fill="auto"/>
              <w:spacing w:before="120" w:after="120"/>
              <w:ind w:left="138"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13F2AD0C" w14:textId="51A98D77" w:rsidTr="00D50C46">
        <w:trPr>
          <w:trHeight w:val="20"/>
        </w:trPr>
        <w:tc>
          <w:tcPr>
            <w:tcW w:w="709" w:type="dxa"/>
            <w:tcBorders>
              <w:top w:val="single" w:sz="4" w:space="0" w:color="auto"/>
              <w:left w:val="single" w:sz="4" w:space="0" w:color="auto"/>
              <w:bottom w:val="single" w:sz="4" w:space="0" w:color="auto"/>
            </w:tcBorders>
            <w:shd w:val="clear" w:color="auto" w:fill="FFFFFF"/>
          </w:tcPr>
          <w:p w14:paraId="78571CC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0F74A11" w14:textId="508253FA" w:rsidR="00A1261B"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Klimatu i Środowiska</w:t>
            </w:r>
          </w:p>
        </w:tc>
        <w:tc>
          <w:tcPr>
            <w:tcW w:w="4536" w:type="dxa"/>
            <w:tcBorders>
              <w:top w:val="single" w:sz="4" w:space="0" w:color="auto"/>
              <w:left w:val="single" w:sz="4" w:space="0" w:color="auto"/>
              <w:bottom w:val="single" w:sz="4" w:space="0" w:color="auto"/>
            </w:tcBorders>
            <w:shd w:val="clear" w:color="auto" w:fill="FFFFFF"/>
          </w:tcPr>
          <w:p w14:paraId="293698A0"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podtrzymuję uwagę umieszoną pod </w:t>
            </w:r>
            <w:proofErr w:type="spellStart"/>
            <w:r w:rsidRPr="00D50C46">
              <w:rPr>
                <w:rFonts w:ascii="Lato" w:eastAsia="Arial" w:hAnsi="Lato" w:cs="Arial"/>
                <w:sz w:val="18"/>
                <w:szCs w:val="18"/>
              </w:rPr>
              <w:t>Ip</w:t>
            </w:r>
            <w:proofErr w:type="spellEnd"/>
            <w:r w:rsidRPr="00D50C46">
              <w:rPr>
                <w:rFonts w:ascii="Lato" w:eastAsia="Arial" w:hAnsi="Lato" w:cs="Arial"/>
                <w:sz w:val="18"/>
                <w:szCs w:val="18"/>
              </w:rPr>
              <w:t>. 11 Tabeli uwag ze stanowiskiem - uzgodnienia międzyresortowe, w zakresie dodania w art. 20 ustawy z dnia 17 maja 1989 r. - Prawo geodezyjne i kartograficzne nowych ust. 3c i 3d w brzmieniu:</w:t>
            </w:r>
          </w:p>
          <w:p w14:paraId="2E89EE4B"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„3c. Zmiany w ewidencji gruntów i budynków lasu na inny użytek gruntowy, dokonuje się w uzgodnieniu z dyrektorem regionalnej dyrekcji Lasów Państwowych.</w:t>
            </w:r>
          </w:p>
          <w:p w14:paraId="7C87879D"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3d. Uzgodnienie, o którym mowa w ust. 3c, następuje w terminie 14 dni od dnia otrzymania wniosku przez dyrektora regionalnej dyrekcji Lasów Państwowych. W przypadku braku uzgodnienia w tym terminie zmianę uznaje się za uzgodnioną.”</w:t>
            </w:r>
          </w:p>
          <w:p w14:paraId="766A801A"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Zmiana w proponowanym brzmieniu umożliwiłaby dyrektorowi regionalnej dyrekcji Lasów Państwowych (</w:t>
            </w:r>
            <w:proofErr w:type="spellStart"/>
            <w:r w:rsidRPr="00D50C46">
              <w:rPr>
                <w:rFonts w:ascii="Lato" w:eastAsia="Arial" w:hAnsi="Lato" w:cs="Arial"/>
                <w:sz w:val="18"/>
                <w:szCs w:val="18"/>
              </w:rPr>
              <w:t>rdLP</w:t>
            </w:r>
            <w:proofErr w:type="spellEnd"/>
            <w:r w:rsidRPr="00D50C46">
              <w:rPr>
                <w:rFonts w:ascii="Lato" w:eastAsia="Arial" w:hAnsi="Lato" w:cs="Arial"/>
                <w:sz w:val="18"/>
                <w:szCs w:val="18"/>
              </w:rPr>
              <w:t>), jako organowi ustawowo powołanemu do ochrony gruntów leśnych, realne i skuteczne uczestnictwo w postępowaniach, których przedmiotem jest zmiana w ewidencji gruntów i budynków lasu na inny użytek. Tego rodzaju zmiana ewidencyjna skutkować bowiem może także zmianą sposobu użytkowania gruntu leśnego, z pominięciem przepisów o ochronie gruntów rolnych i leśnych.</w:t>
            </w:r>
          </w:p>
          <w:p w14:paraId="6173A560" w14:textId="77777777" w:rsidR="00A1261B"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Podkreślenia wymaga, że zmiana użytku leśnego na nieleśny, jak pokazuje dotychczasowa praktyka, nie następuje wyłącznie w oparciu o wcześniej wydaną przez dyrektora </w:t>
            </w:r>
            <w:proofErr w:type="spellStart"/>
            <w:r w:rsidRPr="00D50C46">
              <w:rPr>
                <w:rFonts w:ascii="Lato" w:eastAsia="Arial" w:hAnsi="Lato" w:cs="Arial"/>
                <w:sz w:val="18"/>
                <w:szCs w:val="18"/>
              </w:rPr>
              <w:t>rdLP</w:t>
            </w:r>
            <w:proofErr w:type="spellEnd"/>
            <w:r w:rsidRPr="00D50C46">
              <w:rPr>
                <w:rFonts w:ascii="Lato" w:eastAsia="Arial" w:hAnsi="Lato" w:cs="Arial"/>
                <w:sz w:val="18"/>
                <w:szCs w:val="18"/>
              </w:rPr>
              <w:t xml:space="preserve"> decyzję zezwalającą na wyłączenie gruntów z produkcji leśnej. Do zmiany użytku leśnego na nieleśny dochodzi również pomimo tego, że decyzja, o której mowa w art. 11 ust. 1 ustawy z dnia 3 lutego 1995 r. o ochronie gruntów rolnych i leśnych (dalej: </w:t>
            </w:r>
            <w:proofErr w:type="spellStart"/>
            <w:r w:rsidRPr="00D50C46">
              <w:rPr>
                <w:rFonts w:ascii="Lato" w:eastAsia="Arial" w:hAnsi="Lato" w:cs="Arial"/>
                <w:sz w:val="18"/>
                <w:szCs w:val="18"/>
              </w:rPr>
              <w:t>u.o.g.r.l</w:t>
            </w:r>
            <w:proofErr w:type="spellEnd"/>
            <w:r w:rsidRPr="00D50C46">
              <w:rPr>
                <w:rFonts w:ascii="Lato" w:eastAsia="Arial" w:hAnsi="Lato" w:cs="Arial"/>
                <w:sz w:val="18"/>
                <w:szCs w:val="18"/>
              </w:rPr>
              <w:t xml:space="preserve">.) nie była wydana. Dochodzi tym samym do obejścia przepisów ww. ustawy oraz pominięcia dyrektora </w:t>
            </w:r>
            <w:proofErr w:type="spellStart"/>
            <w:r w:rsidRPr="00D50C46">
              <w:rPr>
                <w:rFonts w:ascii="Lato" w:eastAsia="Arial" w:hAnsi="Lato" w:cs="Arial"/>
                <w:sz w:val="18"/>
                <w:szCs w:val="18"/>
              </w:rPr>
              <w:t>rdLP</w:t>
            </w:r>
            <w:proofErr w:type="spellEnd"/>
            <w:r w:rsidRPr="00D50C46">
              <w:rPr>
                <w:rFonts w:ascii="Lato" w:eastAsia="Arial" w:hAnsi="Lato" w:cs="Arial"/>
                <w:sz w:val="18"/>
                <w:szCs w:val="18"/>
              </w:rPr>
              <w:t xml:space="preserve"> jako organu mającego wpływ na zmianę użytku. Tym samym wielokrotnie okazuje się, na etapie procedury uzgadniania decyzji o warunkach zabudowy, że pomimo, iż grunt w ewidencji gruntów nie jest oznaczony jako użytek </w:t>
            </w:r>
            <w:proofErr w:type="spellStart"/>
            <w:r w:rsidRPr="00D50C46">
              <w:rPr>
                <w:rFonts w:ascii="Lato" w:eastAsia="Arial" w:hAnsi="Lato" w:cs="Arial"/>
                <w:sz w:val="18"/>
                <w:szCs w:val="18"/>
              </w:rPr>
              <w:t>Ls</w:t>
            </w:r>
            <w:proofErr w:type="spellEnd"/>
            <w:r w:rsidRPr="00D50C46">
              <w:rPr>
                <w:rFonts w:ascii="Lato" w:eastAsia="Arial" w:hAnsi="Lato" w:cs="Arial"/>
                <w:sz w:val="18"/>
                <w:szCs w:val="18"/>
              </w:rPr>
              <w:t xml:space="preserve">, to spełnia przesłanki uznania go za las, o których mowa w art. 3 ustawy z dnia 23 września 1991 r. o </w:t>
            </w:r>
            <w:r w:rsidRPr="00D50C46">
              <w:rPr>
                <w:rFonts w:ascii="Lato" w:eastAsia="Arial" w:hAnsi="Lato" w:cs="Arial"/>
                <w:sz w:val="18"/>
                <w:szCs w:val="18"/>
              </w:rPr>
              <w:lastRenderedPageBreak/>
              <w:t xml:space="preserve">lasach (dalej: </w:t>
            </w:r>
            <w:proofErr w:type="spellStart"/>
            <w:r w:rsidRPr="00D50C46">
              <w:rPr>
                <w:rFonts w:ascii="Lato" w:eastAsia="Arial" w:hAnsi="Lato" w:cs="Arial"/>
                <w:sz w:val="18"/>
                <w:szCs w:val="18"/>
              </w:rPr>
              <w:t>u.o.l</w:t>
            </w:r>
            <w:proofErr w:type="spellEnd"/>
            <w:r w:rsidRPr="00D50C46">
              <w:rPr>
                <w:rFonts w:ascii="Lato" w:eastAsia="Arial" w:hAnsi="Lato" w:cs="Arial"/>
                <w:sz w:val="18"/>
                <w:szCs w:val="18"/>
              </w:rPr>
              <w:t>.).</w:t>
            </w:r>
          </w:p>
          <w:p w14:paraId="060AD4D4"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Podejmowane przez dyrektora </w:t>
            </w:r>
            <w:proofErr w:type="spellStart"/>
            <w:r w:rsidRPr="00D50C46">
              <w:rPr>
                <w:rFonts w:ascii="Lato" w:eastAsia="Arial" w:hAnsi="Lato" w:cs="Arial"/>
                <w:sz w:val="18"/>
                <w:szCs w:val="18"/>
              </w:rPr>
              <w:t>rdLP</w:t>
            </w:r>
            <w:proofErr w:type="spellEnd"/>
            <w:r w:rsidRPr="00D50C46">
              <w:rPr>
                <w:rFonts w:ascii="Lato" w:eastAsia="Arial" w:hAnsi="Lato" w:cs="Arial"/>
                <w:sz w:val="18"/>
                <w:szCs w:val="18"/>
              </w:rPr>
              <w:t xml:space="preserve"> próby przywrócenia użytku leśnego w ewidencji nie przynoszą rezultatu, tym bardziej, że dyrektorowi </w:t>
            </w:r>
            <w:proofErr w:type="spellStart"/>
            <w:r w:rsidRPr="00D50C46">
              <w:rPr>
                <w:rFonts w:ascii="Lato" w:eastAsia="Arial" w:hAnsi="Lato" w:cs="Arial"/>
                <w:sz w:val="18"/>
                <w:szCs w:val="18"/>
              </w:rPr>
              <w:t>rdLP</w:t>
            </w:r>
            <w:proofErr w:type="spellEnd"/>
            <w:r w:rsidRPr="00D50C46">
              <w:rPr>
                <w:rFonts w:ascii="Lato" w:eastAsia="Arial" w:hAnsi="Lato" w:cs="Arial"/>
                <w:sz w:val="18"/>
                <w:szCs w:val="18"/>
              </w:rPr>
              <w:t xml:space="preserve"> nie przysługuje status strony postępowania. Proponowane przyznanie kompetencji dyrektorowi </w:t>
            </w:r>
            <w:proofErr w:type="spellStart"/>
            <w:r w:rsidRPr="00D50C46">
              <w:rPr>
                <w:rFonts w:ascii="Lato" w:eastAsia="Arial" w:hAnsi="Lato" w:cs="Arial"/>
                <w:sz w:val="18"/>
                <w:szCs w:val="18"/>
              </w:rPr>
              <w:t>rdLP</w:t>
            </w:r>
            <w:proofErr w:type="spellEnd"/>
            <w:r w:rsidRPr="00D50C46">
              <w:rPr>
                <w:rFonts w:ascii="Lato" w:eastAsia="Arial" w:hAnsi="Lato" w:cs="Arial"/>
                <w:sz w:val="18"/>
                <w:szCs w:val="18"/>
              </w:rPr>
              <w:t xml:space="preserve"> do każdorazowego uzgadniania zmiany użytku leśnego na nieleśny na etapie dokonywania wpisów w ewidencji gruntów pozwoliłoby na uszczelnienie systemu i należytą ochronę gruntów leśnych.</w:t>
            </w:r>
          </w:p>
          <w:p w14:paraId="69E1574C" w14:textId="68938CF9"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Niezależnie od powyższego, przepis ten pozwoli dyrektorowi </w:t>
            </w:r>
            <w:proofErr w:type="spellStart"/>
            <w:r w:rsidRPr="00D50C46">
              <w:rPr>
                <w:rFonts w:ascii="Lato" w:eastAsia="Arial" w:hAnsi="Lato" w:cs="Arial"/>
                <w:sz w:val="18"/>
                <w:szCs w:val="18"/>
              </w:rPr>
              <w:t>rdLP</w:t>
            </w:r>
            <w:proofErr w:type="spellEnd"/>
            <w:r w:rsidRPr="00D50C46">
              <w:rPr>
                <w:rFonts w:ascii="Lato" w:eastAsia="Arial" w:hAnsi="Lato" w:cs="Arial"/>
                <w:sz w:val="18"/>
                <w:szCs w:val="18"/>
              </w:rPr>
              <w:t xml:space="preserve"> wpływać na dokonywane zmiany lasu na inny użytek przy modernizacji prowadzonej na podstawie art. 24a ustawy z dnia 17 maja 1989 r. - Prawo geodezyjne i kartograficzne.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4DEF8BF" w14:textId="255A8602"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947F759" w14:textId="77777777" w:rsidR="00A1261B" w:rsidRDefault="00AC0F24" w:rsidP="00AC0F24">
            <w:pPr>
              <w:pStyle w:val="Inne0"/>
              <w:shd w:val="clear" w:color="auto" w:fill="auto"/>
              <w:spacing w:before="120" w:after="120"/>
              <w:ind w:left="138"/>
              <w:rPr>
                <w:rFonts w:ascii="Lato" w:eastAsia="Arial" w:hAnsi="Lato" w:cs="Arial"/>
                <w:sz w:val="18"/>
                <w:szCs w:val="18"/>
              </w:rPr>
            </w:pPr>
            <w:r>
              <w:rPr>
                <w:rFonts w:ascii="Lato" w:eastAsia="Arial" w:hAnsi="Lato" w:cs="Arial"/>
                <w:sz w:val="18"/>
                <w:szCs w:val="18"/>
              </w:rPr>
              <w:t>Uwaga została uwzględniona</w:t>
            </w:r>
            <w:r w:rsidR="00213C38">
              <w:rPr>
                <w:rFonts w:ascii="Lato" w:eastAsia="Arial" w:hAnsi="Lato" w:cs="Arial"/>
                <w:sz w:val="18"/>
                <w:szCs w:val="18"/>
              </w:rPr>
              <w:t xml:space="preserve"> z modyfikacją</w:t>
            </w:r>
            <w:r>
              <w:rPr>
                <w:rFonts w:ascii="Lato" w:eastAsia="Arial" w:hAnsi="Lato" w:cs="Arial"/>
                <w:sz w:val="18"/>
                <w:szCs w:val="18"/>
              </w:rPr>
              <w:t>.</w:t>
            </w:r>
          </w:p>
          <w:p w14:paraId="15FD9854" w14:textId="77777777" w:rsidR="00213C38" w:rsidRDefault="00213C38" w:rsidP="00AC0F24">
            <w:pPr>
              <w:pStyle w:val="Inne0"/>
              <w:shd w:val="clear" w:color="auto" w:fill="auto"/>
              <w:spacing w:before="120" w:after="120"/>
              <w:ind w:left="138"/>
              <w:rPr>
                <w:rFonts w:ascii="Lato" w:eastAsia="Arial" w:hAnsi="Lato" w:cs="Arial"/>
                <w:sz w:val="18"/>
                <w:szCs w:val="18"/>
              </w:rPr>
            </w:pPr>
            <w:r>
              <w:rPr>
                <w:rFonts w:ascii="Lato" w:eastAsia="Arial" w:hAnsi="Lato" w:cs="Arial"/>
                <w:sz w:val="18"/>
                <w:szCs w:val="18"/>
              </w:rPr>
              <w:t>Proponowane brzmienie przepisu art. 24 ust. 2d:</w:t>
            </w:r>
          </w:p>
          <w:p w14:paraId="70A4FACD" w14:textId="380331CA" w:rsidR="00213C38" w:rsidRPr="0037774A" w:rsidRDefault="00213C38" w:rsidP="00AC0F24">
            <w:pPr>
              <w:pStyle w:val="Inne0"/>
              <w:shd w:val="clear" w:color="auto" w:fill="auto"/>
              <w:spacing w:before="120" w:after="120"/>
              <w:ind w:left="138"/>
              <w:rPr>
                <w:rFonts w:ascii="Lato" w:eastAsia="Arial" w:hAnsi="Lato" w:cs="Arial"/>
                <w:sz w:val="18"/>
                <w:szCs w:val="18"/>
              </w:rPr>
            </w:pPr>
            <w:r>
              <w:rPr>
                <w:rFonts w:ascii="Lato" w:eastAsia="Arial" w:hAnsi="Lato" w:cs="Arial"/>
                <w:sz w:val="18"/>
                <w:szCs w:val="18"/>
              </w:rPr>
              <w:t>„</w:t>
            </w:r>
            <w:r w:rsidRPr="00213C38">
              <w:rPr>
                <w:rFonts w:ascii="Lato" w:eastAsia="Arial" w:hAnsi="Lato" w:cs="Arial"/>
                <w:sz w:val="18"/>
                <w:szCs w:val="18"/>
              </w:rPr>
              <w:t>2d. Aktualizacja informacji zawartych w ewidencji gruntów i budynków, dotycząca  w zmiany lasu na inny użytek gruntowy, dokonywana jest w uzgodnieniu z dyrektorem regionalnej dyrekcji Lasów Państwowych. Dyrektor regionalnej dyrekcji Lasów Państwowych, nie później niż w terminie 14 dni od dnia otrzymania wniosku o uzgodnienie, może wnieść sprzeciw wobec zmiany informacji zawartych w ewidencji gruntów i budynków. Brak wniesienia sprzeciwu w tym terminie uznaje się za równoznaczne z uzgodnieniem zmiany.”</w:t>
            </w:r>
          </w:p>
        </w:tc>
      </w:tr>
      <w:tr w:rsidR="00A1261B" w:rsidRPr="0037774A" w14:paraId="247A3981" w14:textId="04366BE2" w:rsidTr="00D50C46">
        <w:trPr>
          <w:trHeight w:val="20"/>
        </w:trPr>
        <w:tc>
          <w:tcPr>
            <w:tcW w:w="709" w:type="dxa"/>
            <w:tcBorders>
              <w:top w:val="single" w:sz="4" w:space="0" w:color="auto"/>
              <w:left w:val="single" w:sz="4" w:space="0" w:color="auto"/>
              <w:bottom w:val="single" w:sz="4" w:space="0" w:color="auto"/>
            </w:tcBorders>
            <w:shd w:val="clear" w:color="auto" w:fill="FFFFFF"/>
          </w:tcPr>
          <w:p w14:paraId="5FE5553D"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C03E19E" w14:textId="48F7C09C" w:rsidR="00A1261B"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7AAAA7A2" w14:textId="09A2F5F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W związku z propozycją, aby klasyfikatorem gruntów mogła być osoba, która uzyska świadectwo stwierdzające posiadanie kwalifikacji w zawodzie klasyfikatora gruntów wydane przez ministra właściwego do spraw rozwoju wsi, zasadne jest wskazanie w OSR:</w:t>
            </w:r>
          </w:p>
          <w:p w14:paraId="7FEDF041" w14:textId="77777777" w:rsidR="00BA0201" w:rsidRPr="00D50C46" w:rsidRDefault="00BA0201" w:rsidP="00D50C46">
            <w:pPr>
              <w:pStyle w:val="Inne0"/>
              <w:spacing w:before="120" w:after="120"/>
              <w:ind w:left="414" w:right="274" w:hanging="276"/>
              <w:rPr>
                <w:rFonts w:ascii="Lato" w:eastAsia="Arial" w:hAnsi="Lato" w:cs="Arial"/>
                <w:sz w:val="18"/>
                <w:szCs w:val="18"/>
              </w:rPr>
            </w:pPr>
            <w:r w:rsidRPr="00D50C46">
              <w:rPr>
                <w:rFonts w:ascii="Lato" w:eastAsia="Arial" w:hAnsi="Lato" w:cs="Arial"/>
                <w:sz w:val="18"/>
                <w:szCs w:val="18"/>
              </w:rPr>
              <w:t>a.</w:t>
            </w:r>
            <w:r w:rsidRPr="00D50C46">
              <w:rPr>
                <w:rFonts w:ascii="Lato" w:eastAsia="Arial" w:hAnsi="Lato" w:cs="Arial"/>
                <w:sz w:val="18"/>
                <w:szCs w:val="18"/>
              </w:rPr>
              <w:tab/>
              <w:t>liczby osób obecnie wykonujących zawód, które ubiegać się będą o świadectwo;</w:t>
            </w:r>
          </w:p>
          <w:p w14:paraId="6626D7EF" w14:textId="77777777" w:rsidR="00BA0201" w:rsidRPr="00D50C46" w:rsidRDefault="00BA0201" w:rsidP="00D50C46">
            <w:pPr>
              <w:pStyle w:val="Inne0"/>
              <w:spacing w:before="120" w:after="120"/>
              <w:ind w:left="414" w:right="274" w:hanging="276"/>
              <w:rPr>
                <w:rFonts w:ascii="Lato" w:eastAsia="Arial" w:hAnsi="Lato" w:cs="Arial"/>
                <w:sz w:val="18"/>
                <w:szCs w:val="18"/>
              </w:rPr>
            </w:pPr>
            <w:r w:rsidRPr="00D50C46">
              <w:rPr>
                <w:rFonts w:ascii="Lato" w:eastAsia="Arial" w:hAnsi="Lato" w:cs="Arial"/>
                <w:sz w:val="18"/>
                <w:szCs w:val="18"/>
              </w:rPr>
              <w:t>b.</w:t>
            </w:r>
            <w:r w:rsidRPr="00D50C46">
              <w:rPr>
                <w:rFonts w:ascii="Lato" w:eastAsia="Arial" w:hAnsi="Lato" w:cs="Arial"/>
                <w:sz w:val="18"/>
                <w:szCs w:val="18"/>
              </w:rPr>
              <w:tab/>
              <w:t>skali osób rocznie starających się o uprawnienia;</w:t>
            </w:r>
          </w:p>
          <w:p w14:paraId="7B36E26F" w14:textId="77777777" w:rsidR="00BA0201" w:rsidRPr="00D50C46" w:rsidRDefault="00BA0201" w:rsidP="00D50C46">
            <w:pPr>
              <w:pStyle w:val="Inne0"/>
              <w:spacing w:before="120" w:after="120"/>
              <w:ind w:left="414" w:right="274" w:hanging="276"/>
              <w:rPr>
                <w:rFonts w:ascii="Lato" w:eastAsia="Arial" w:hAnsi="Lato" w:cs="Arial"/>
                <w:sz w:val="18"/>
                <w:szCs w:val="18"/>
              </w:rPr>
            </w:pPr>
            <w:r w:rsidRPr="00D50C46">
              <w:rPr>
                <w:rFonts w:ascii="Lato" w:eastAsia="Arial" w:hAnsi="Lato" w:cs="Arial"/>
                <w:sz w:val="18"/>
                <w:szCs w:val="18"/>
              </w:rPr>
              <w:t>c.</w:t>
            </w:r>
            <w:r w:rsidRPr="00D50C46">
              <w:rPr>
                <w:rFonts w:ascii="Lato" w:eastAsia="Arial" w:hAnsi="Lato" w:cs="Arial"/>
                <w:sz w:val="18"/>
                <w:szCs w:val="18"/>
              </w:rPr>
              <w:tab/>
              <w:t>informacji o odpłatności bądź braku odpłatności za wydanie świadectwa;</w:t>
            </w:r>
          </w:p>
          <w:p w14:paraId="3BF37025" w14:textId="0399AAC6" w:rsidR="00A1261B" w:rsidRPr="00D50C46" w:rsidRDefault="00BA0201" w:rsidP="00D50C46">
            <w:pPr>
              <w:pStyle w:val="Inne0"/>
              <w:shd w:val="clear" w:color="auto" w:fill="auto"/>
              <w:spacing w:before="120" w:after="120"/>
              <w:ind w:left="414" w:right="274" w:hanging="276"/>
              <w:rPr>
                <w:rFonts w:ascii="Lato" w:eastAsia="Arial" w:hAnsi="Lato" w:cs="Arial"/>
                <w:sz w:val="18"/>
                <w:szCs w:val="18"/>
              </w:rPr>
            </w:pPr>
            <w:r w:rsidRPr="00D50C46">
              <w:rPr>
                <w:rFonts w:ascii="Lato" w:eastAsia="Arial" w:hAnsi="Lato" w:cs="Arial"/>
                <w:sz w:val="18"/>
                <w:szCs w:val="18"/>
              </w:rPr>
              <w:t>d.</w:t>
            </w:r>
            <w:r w:rsidRPr="00D50C46">
              <w:rPr>
                <w:rFonts w:ascii="Lato" w:eastAsia="Arial" w:hAnsi="Lato" w:cs="Arial"/>
                <w:sz w:val="18"/>
                <w:szCs w:val="18"/>
              </w:rPr>
              <w:tab/>
              <w:t>informacji o wpływie nowych zadań (wydawanie świadectw stwierdzających posiadanie kwalifikacji w zawodzie klasyfikatora gruntów; założenie i prowadzenie rejestru osób, którym wydano świadectwo) na obciążenie pracą w Ministerstwie Rolnictwa i Rozwoju Wsi (tj. ew. zapotrzebowanie na nowe etaty).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5221E20" w14:textId="77777777"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6D575AC" w14:textId="4EA8D430" w:rsidR="00A1261B" w:rsidRPr="0037774A" w:rsidRDefault="00213C38"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4695230D" w14:textId="361026A5" w:rsidTr="00B92892">
        <w:trPr>
          <w:trHeight w:val="20"/>
        </w:trPr>
        <w:tc>
          <w:tcPr>
            <w:tcW w:w="709" w:type="dxa"/>
            <w:tcBorders>
              <w:top w:val="single" w:sz="4" w:space="0" w:color="auto"/>
              <w:left w:val="single" w:sz="4" w:space="0" w:color="auto"/>
              <w:bottom w:val="single" w:sz="4" w:space="0" w:color="auto"/>
            </w:tcBorders>
            <w:shd w:val="clear" w:color="auto" w:fill="FFFFFF"/>
          </w:tcPr>
          <w:p w14:paraId="7FFCDDEE"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2DAEC06" w14:textId="3F5B0B9E" w:rsidR="00A1261B"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439D5FB2" w14:textId="75ED8763" w:rsidR="00A1261B"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 zakresie dodatkowego zatrudnienia w Głównym Urzędzie Geodezji i Kartografii (5 osób), konieczne jest przedstawienie w pkt 6 OSR analizy pracochłonności uzasadniającej skalę zwiększenia zatrudnienia.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76D0E61" w14:textId="1214B4B5"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24A755A5" w14:textId="1A02BB77" w:rsidR="00A1261B" w:rsidRPr="0037774A" w:rsidRDefault="00B92892"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46DE753A" w14:textId="428D5C47" w:rsidTr="00D50C46">
        <w:trPr>
          <w:trHeight w:val="20"/>
        </w:trPr>
        <w:tc>
          <w:tcPr>
            <w:tcW w:w="709" w:type="dxa"/>
            <w:tcBorders>
              <w:top w:val="single" w:sz="4" w:space="0" w:color="auto"/>
              <w:left w:val="single" w:sz="4" w:space="0" w:color="auto"/>
              <w:bottom w:val="single" w:sz="4" w:space="0" w:color="auto"/>
            </w:tcBorders>
            <w:shd w:val="clear" w:color="auto" w:fill="FFFFFF"/>
          </w:tcPr>
          <w:p w14:paraId="626E907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6A866BD" w14:textId="0909750D" w:rsidR="00A1261B"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 xml:space="preserve">Koordynator Oceny Skutków </w:t>
            </w:r>
            <w:r w:rsidRPr="00D50C46">
              <w:rPr>
                <w:rFonts w:ascii="Lato" w:eastAsia="Arial" w:hAnsi="Lato" w:cs="Arial"/>
                <w:sz w:val="18"/>
                <w:szCs w:val="18"/>
              </w:rPr>
              <w:lastRenderedPageBreak/>
              <w:t>Regulacji</w:t>
            </w:r>
          </w:p>
        </w:tc>
        <w:tc>
          <w:tcPr>
            <w:tcW w:w="4536" w:type="dxa"/>
            <w:tcBorders>
              <w:top w:val="single" w:sz="4" w:space="0" w:color="auto"/>
              <w:left w:val="single" w:sz="4" w:space="0" w:color="auto"/>
              <w:bottom w:val="single" w:sz="4" w:space="0" w:color="auto"/>
            </w:tcBorders>
            <w:shd w:val="clear" w:color="auto" w:fill="FFFFFF"/>
          </w:tcPr>
          <w:p w14:paraId="457A4E21" w14:textId="618D56D5" w:rsidR="00A1261B"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lastRenderedPageBreak/>
              <w:t xml:space="preserve">Skutki rezygnacji z wydawania przez Głównego Geodetę Kraju dziennika praktyki zawodowej, należy w tabeli w pkt 6 OSR wykazać poprzez </w:t>
            </w:r>
            <w:r w:rsidRPr="00D50C46">
              <w:rPr>
                <w:rFonts w:ascii="Lato" w:eastAsia="Arial" w:hAnsi="Lato" w:cs="Arial"/>
                <w:sz w:val="18"/>
                <w:szCs w:val="18"/>
              </w:rPr>
              <w:lastRenderedPageBreak/>
              <w:t>zmniejszenie wpływów z tytułu wydawania dziennika praktyk oraz zmniejszenie kosztów związanych z ich wydawaniem. Zasadne jest również wyjaśnienie kwoty 0,019 mln zł (działania matematyczne).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014304B" w14:textId="653E0692"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F6D58BE" w14:textId="77777777" w:rsidR="00A1261B" w:rsidRDefault="00376D2D" w:rsidP="0071113B">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4419F89E" w14:textId="4A18E382" w:rsidR="00376D2D" w:rsidRPr="0037774A" w:rsidRDefault="00376D2D" w:rsidP="0071113B">
            <w:pPr>
              <w:pStyle w:val="Inne0"/>
              <w:shd w:val="clear" w:color="auto" w:fill="auto"/>
              <w:spacing w:before="120" w:after="120"/>
              <w:ind w:left="131" w:right="138"/>
              <w:rPr>
                <w:rFonts w:ascii="Lato" w:eastAsia="Arial" w:hAnsi="Lato" w:cs="Arial"/>
                <w:sz w:val="18"/>
                <w:szCs w:val="18"/>
              </w:rPr>
            </w:pPr>
          </w:p>
        </w:tc>
      </w:tr>
      <w:tr w:rsidR="00BA0201" w:rsidRPr="0037774A" w14:paraId="3CAFBAB5" w14:textId="3363A3A9" w:rsidTr="00D50C46">
        <w:trPr>
          <w:trHeight w:val="20"/>
        </w:trPr>
        <w:tc>
          <w:tcPr>
            <w:tcW w:w="709" w:type="dxa"/>
            <w:tcBorders>
              <w:top w:val="single" w:sz="4" w:space="0" w:color="auto"/>
              <w:left w:val="single" w:sz="4" w:space="0" w:color="auto"/>
              <w:bottom w:val="single" w:sz="4" w:space="0" w:color="auto"/>
            </w:tcBorders>
            <w:shd w:val="clear" w:color="auto" w:fill="FFFFFF"/>
          </w:tcPr>
          <w:p w14:paraId="5F440983"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02DBF74" w14:textId="73BD17DD"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0616AF51" w14:textId="21276EAE"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 tabeli w pkt 7 OSR należy ująć skutki wprowadzenia wynagrodzeń dla rzeczników dyscyplinarnych oraz członków komisji dyscyplinarnych. Metodykę szacunków w tym zakresie warto szerzej opisać w pkt 6 OSR, tak aby możliwe było pełne odtworzenie kalkulacji.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F5078AA" w14:textId="6B17968E"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28699BE" w14:textId="7A276431" w:rsidR="00BA0201" w:rsidRDefault="00620F1D"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Należy wskazać, że m</w:t>
            </w:r>
            <w:r w:rsidRPr="00D50C46">
              <w:rPr>
                <w:rFonts w:ascii="Lato" w:eastAsia="Arial" w:hAnsi="Lato" w:cs="Arial"/>
                <w:sz w:val="18"/>
                <w:szCs w:val="18"/>
              </w:rPr>
              <w:t>etodykę szacunków w zakresie skutk</w:t>
            </w:r>
            <w:r>
              <w:rPr>
                <w:rFonts w:ascii="Lato" w:eastAsia="Arial" w:hAnsi="Lato" w:cs="Arial"/>
                <w:sz w:val="18"/>
                <w:szCs w:val="18"/>
              </w:rPr>
              <w:t>ów</w:t>
            </w:r>
            <w:r w:rsidRPr="00D50C46">
              <w:rPr>
                <w:rFonts w:ascii="Lato" w:eastAsia="Arial" w:hAnsi="Lato" w:cs="Arial"/>
                <w:sz w:val="18"/>
                <w:szCs w:val="18"/>
              </w:rPr>
              <w:t xml:space="preserve"> wprowadzenia wynagrodzeń dla rzeczników dyscyplinarnych oraz członków komisji dyscyplinarnych </w:t>
            </w:r>
            <w:r>
              <w:rPr>
                <w:rFonts w:ascii="Lato" w:eastAsia="Arial" w:hAnsi="Lato" w:cs="Arial"/>
                <w:sz w:val="18"/>
                <w:szCs w:val="18"/>
              </w:rPr>
              <w:t xml:space="preserve">została szczegółowo opisana w </w:t>
            </w:r>
            <w:proofErr w:type="spellStart"/>
            <w:r>
              <w:rPr>
                <w:rFonts w:ascii="Lato" w:eastAsia="Arial" w:hAnsi="Lato" w:cs="Arial"/>
                <w:sz w:val="18"/>
                <w:szCs w:val="18"/>
              </w:rPr>
              <w:t>ppkt</w:t>
            </w:r>
            <w:proofErr w:type="spellEnd"/>
            <w:r>
              <w:rPr>
                <w:rFonts w:ascii="Lato" w:eastAsia="Arial" w:hAnsi="Lato" w:cs="Arial"/>
                <w:sz w:val="18"/>
                <w:szCs w:val="18"/>
              </w:rPr>
              <w:t xml:space="preserve"> 5 d</w:t>
            </w:r>
            <w:r w:rsidRPr="00620F1D">
              <w:rPr>
                <w:rFonts w:ascii="Lato" w:eastAsia="Arial" w:hAnsi="Lato" w:cs="Arial"/>
                <w:sz w:val="18"/>
                <w:szCs w:val="18"/>
              </w:rPr>
              <w:t>odatkow</w:t>
            </w:r>
            <w:r>
              <w:rPr>
                <w:rFonts w:ascii="Lato" w:eastAsia="Arial" w:hAnsi="Lato" w:cs="Arial"/>
                <w:sz w:val="18"/>
                <w:szCs w:val="18"/>
              </w:rPr>
              <w:t>ych</w:t>
            </w:r>
            <w:r w:rsidRPr="00620F1D">
              <w:rPr>
                <w:rFonts w:ascii="Lato" w:eastAsia="Arial" w:hAnsi="Lato" w:cs="Arial"/>
                <w:sz w:val="18"/>
                <w:szCs w:val="18"/>
              </w:rPr>
              <w:t xml:space="preserve"> informacj</w:t>
            </w:r>
            <w:r>
              <w:rPr>
                <w:rFonts w:ascii="Lato" w:eastAsia="Arial" w:hAnsi="Lato" w:cs="Arial"/>
                <w:sz w:val="18"/>
                <w:szCs w:val="18"/>
              </w:rPr>
              <w:t xml:space="preserve">i zawartych </w:t>
            </w:r>
            <w:r w:rsidRPr="00D50C46">
              <w:rPr>
                <w:rFonts w:ascii="Lato" w:eastAsia="Arial" w:hAnsi="Lato" w:cs="Arial"/>
                <w:sz w:val="18"/>
                <w:szCs w:val="18"/>
              </w:rPr>
              <w:t>w pkt 6 OSR</w:t>
            </w:r>
            <w:r>
              <w:rPr>
                <w:rFonts w:ascii="Lato" w:eastAsia="Arial" w:hAnsi="Lato" w:cs="Arial"/>
                <w:sz w:val="18"/>
                <w:szCs w:val="18"/>
              </w:rPr>
              <w:t>.</w:t>
            </w:r>
          </w:p>
          <w:p w14:paraId="108A5134" w14:textId="7C69483C" w:rsidR="00620F1D" w:rsidRPr="00C7378A" w:rsidRDefault="00620F1D" w:rsidP="0075252C">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Odnośnie ich ujęcia w pkt 7 OSR należy wskazać, że </w:t>
            </w:r>
            <w:r w:rsidR="0075252C">
              <w:rPr>
                <w:rFonts w:ascii="Lato" w:eastAsia="Arial" w:hAnsi="Lato" w:cs="Arial"/>
                <w:sz w:val="18"/>
                <w:szCs w:val="18"/>
              </w:rPr>
              <w:t>osoby posiadające uprawnienia zawodowe w dziedzinie geodezji i kartografii, wobec których będzie przeprowadzane postępowanie dyscyplinarne nie będą ponosiły pełnych kosztów pracy komisji dyscyplinarnych, o czym stanowi art. 46u ust. 2a-2c ustawy – Prawo geodezyjne i kartograficzne. Już obecnie, zgodnie z obowiązującym przepisem art. 46u ust. 2 ww. ustawy, w</w:t>
            </w:r>
            <w:r w:rsidR="0075252C" w:rsidRPr="0075252C">
              <w:rPr>
                <w:rFonts w:ascii="Lato" w:eastAsia="Arial" w:hAnsi="Lato" w:cs="Arial"/>
                <w:sz w:val="18"/>
                <w:szCs w:val="18"/>
              </w:rPr>
              <w:t xml:space="preserve"> razie ukarania koszty postępowania dyscyplinarnego ponosi obwiniony. </w:t>
            </w:r>
            <w:r w:rsidR="0075252C">
              <w:rPr>
                <w:rFonts w:ascii="Lato" w:eastAsia="Arial" w:hAnsi="Lato" w:cs="Arial"/>
                <w:sz w:val="18"/>
                <w:szCs w:val="18"/>
              </w:rPr>
              <w:t>Projekt ustawy nie zmienia nic w powyższym zakresie. Powyższa informacja zostanie zamieszczona w OSR.</w:t>
            </w:r>
          </w:p>
        </w:tc>
      </w:tr>
      <w:tr w:rsidR="00BA0201" w:rsidRPr="0037774A" w14:paraId="12C41CF4" w14:textId="255A0452" w:rsidTr="00D50C46">
        <w:trPr>
          <w:trHeight w:val="20"/>
        </w:trPr>
        <w:tc>
          <w:tcPr>
            <w:tcW w:w="709" w:type="dxa"/>
            <w:tcBorders>
              <w:top w:val="single" w:sz="4" w:space="0" w:color="auto"/>
              <w:left w:val="single" w:sz="4" w:space="0" w:color="auto"/>
              <w:bottom w:val="single" w:sz="4" w:space="0" w:color="auto"/>
            </w:tcBorders>
            <w:shd w:val="clear" w:color="auto" w:fill="FFFFFF"/>
          </w:tcPr>
          <w:p w14:paraId="3C9A7D0F"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DBC70FC" w14:textId="384961A9"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1147206F" w14:textId="2ED6D92B"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Zasadne jest wskazanie w OSR wpływu określenia katalogu prac zastrzeżonych do osobistego wykonywania przez osoby posiadające uprawnienia zawodowe w dziedzinie geodezji i kartografii na dostępność oraz ceny tych usług (wraz ze wskazaniem zakresu tej zmiany w praktyce, tj. jakie obecnie wykonywane prace geodezyjne będą zastrzeżone, a jakie nie będą).</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0B3EE3B" w14:textId="53AC219D"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9647BC2" w14:textId="3C453374" w:rsidR="00BA0201" w:rsidRPr="00BC7438" w:rsidRDefault="0075252C" w:rsidP="0075252C">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Wprowadzenie </w:t>
            </w:r>
            <w:r w:rsidRPr="0075252C">
              <w:rPr>
                <w:rFonts w:ascii="Lato" w:eastAsia="Arial" w:hAnsi="Lato" w:cs="Arial"/>
                <w:sz w:val="18"/>
                <w:szCs w:val="18"/>
              </w:rPr>
              <w:t>katalogu prac zastrzeżonych do osobistego wykonywania przez osoby posiadające uprawnienia zawodowe w dziedzinie geodezji i kartografii</w:t>
            </w:r>
            <w:r w:rsidR="00A564C5">
              <w:rPr>
                <w:rFonts w:ascii="Lato" w:eastAsia="Arial" w:hAnsi="Lato" w:cs="Arial"/>
                <w:sz w:val="18"/>
                <w:szCs w:val="18"/>
              </w:rPr>
              <w:t xml:space="preserve"> nie</w:t>
            </w:r>
            <w:r w:rsidRPr="0075252C">
              <w:rPr>
                <w:rFonts w:ascii="Lato" w:eastAsia="Arial" w:hAnsi="Lato" w:cs="Arial"/>
                <w:sz w:val="18"/>
                <w:szCs w:val="18"/>
              </w:rPr>
              <w:t xml:space="preserve"> </w:t>
            </w:r>
            <w:r>
              <w:rPr>
                <w:rFonts w:ascii="Lato" w:eastAsia="Arial" w:hAnsi="Lato" w:cs="Arial"/>
                <w:sz w:val="18"/>
                <w:szCs w:val="18"/>
              </w:rPr>
              <w:t xml:space="preserve">wpłynie </w:t>
            </w:r>
            <w:r w:rsidR="00A564C5">
              <w:rPr>
                <w:rFonts w:ascii="Lato" w:eastAsia="Arial" w:hAnsi="Lato" w:cs="Arial"/>
                <w:sz w:val="18"/>
                <w:szCs w:val="18"/>
              </w:rPr>
              <w:t xml:space="preserve">ani </w:t>
            </w:r>
            <w:r w:rsidRPr="0075252C">
              <w:rPr>
                <w:rFonts w:ascii="Lato" w:eastAsia="Arial" w:hAnsi="Lato" w:cs="Arial"/>
                <w:sz w:val="18"/>
                <w:szCs w:val="18"/>
              </w:rPr>
              <w:t xml:space="preserve">na dostępność </w:t>
            </w:r>
            <w:r w:rsidR="00A564C5">
              <w:rPr>
                <w:rFonts w:ascii="Lato" w:eastAsia="Arial" w:hAnsi="Lato" w:cs="Arial"/>
                <w:sz w:val="18"/>
                <w:szCs w:val="18"/>
              </w:rPr>
              <w:t>ani na</w:t>
            </w:r>
            <w:r w:rsidRPr="0075252C">
              <w:rPr>
                <w:rFonts w:ascii="Lato" w:eastAsia="Arial" w:hAnsi="Lato" w:cs="Arial"/>
                <w:sz w:val="18"/>
                <w:szCs w:val="18"/>
              </w:rPr>
              <w:t xml:space="preserve"> ceny tych usług</w:t>
            </w:r>
            <w:r>
              <w:rPr>
                <w:rFonts w:ascii="Lato" w:eastAsia="Arial" w:hAnsi="Lato" w:cs="Arial"/>
                <w:sz w:val="18"/>
                <w:szCs w:val="18"/>
              </w:rPr>
              <w:t xml:space="preserve">, bowiem jak </w:t>
            </w:r>
            <w:r w:rsidR="00A564C5">
              <w:rPr>
                <w:rFonts w:ascii="Lato" w:eastAsia="Arial" w:hAnsi="Lato" w:cs="Arial"/>
                <w:sz w:val="18"/>
                <w:szCs w:val="18"/>
              </w:rPr>
              <w:t xml:space="preserve">szczegółowo </w:t>
            </w:r>
            <w:r>
              <w:rPr>
                <w:rFonts w:ascii="Lato" w:eastAsia="Arial" w:hAnsi="Lato" w:cs="Arial"/>
                <w:sz w:val="18"/>
                <w:szCs w:val="18"/>
              </w:rPr>
              <w:t>wskazano w uzasadnieniu do projektu ustawy</w:t>
            </w:r>
            <w:r>
              <w:t xml:space="preserve"> </w:t>
            </w:r>
            <w:r w:rsidRPr="0075252C">
              <w:rPr>
                <w:rFonts w:ascii="Lato" w:eastAsia="Arial" w:hAnsi="Lato" w:cs="Arial"/>
                <w:sz w:val="18"/>
                <w:szCs w:val="18"/>
              </w:rPr>
              <w:t>dla czynności i prac geodezyjnych z</w:t>
            </w:r>
            <w:r>
              <w:rPr>
                <w:rFonts w:ascii="Lato" w:eastAsia="Arial" w:hAnsi="Lato" w:cs="Arial"/>
                <w:sz w:val="18"/>
                <w:szCs w:val="18"/>
              </w:rPr>
              <w:t>awartych w</w:t>
            </w:r>
            <w:r w:rsidRPr="0075252C">
              <w:rPr>
                <w:rFonts w:ascii="Lato" w:eastAsia="Arial" w:hAnsi="Lato" w:cs="Arial"/>
                <w:sz w:val="18"/>
                <w:szCs w:val="18"/>
              </w:rPr>
              <w:t xml:space="preserve"> projektowanym art. 42 ust. 2 pkt 1 ustawy</w:t>
            </w:r>
            <w:r>
              <w:rPr>
                <w:rFonts w:ascii="Lato" w:eastAsia="Arial" w:hAnsi="Lato" w:cs="Arial"/>
                <w:sz w:val="18"/>
                <w:szCs w:val="18"/>
              </w:rPr>
              <w:t xml:space="preserve"> -</w:t>
            </w:r>
            <w:r w:rsidR="00A564C5">
              <w:rPr>
                <w:rFonts w:ascii="Lato" w:eastAsia="Arial" w:hAnsi="Lato" w:cs="Arial"/>
                <w:sz w:val="18"/>
                <w:szCs w:val="18"/>
              </w:rPr>
              <w:t xml:space="preserve"> </w:t>
            </w:r>
            <w:r w:rsidRPr="0075252C">
              <w:rPr>
                <w:rFonts w:ascii="Lato" w:eastAsia="Arial" w:hAnsi="Lato" w:cs="Arial"/>
                <w:sz w:val="18"/>
                <w:szCs w:val="18"/>
              </w:rPr>
              <w:t>obowiązujące przepisy prawa</w:t>
            </w:r>
            <w:r w:rsidR="00A564C5">
              <w:rPr>
                <w:rFonts w:ascii="Lato" w:eastAsia="Arial" w:hAnsi="Lato" w:cs="Arial"/>
                <w:sz w:val="18"/>
                <w:szCs w:val="18"/>
              </w:rPr>
              <w:t xml:space="preserve"> (innych ustaw i rozporządzeń)</w:t>
            </w:r>
            <w:r w:rsidRPr="0075252C">
              <w:rPr>
                <w:rFonts w:ascii="Lato" w:eastAsia="Arial" w:hAnsi="Lato" w:cs="Arial"/>
                <w:sz w:val="18"/>
                <w:szCs w:val="18"/>
              </w:rPr>
              <w:t xml:space="preserve"> już teraz nakładają obowiązek posiadania uprawnień zawodowych</w:t>
            </w:r>
            <w:r w:rsidR="00A564C5">
              <w:rPr>
                <w:rFonts w:ascii="Lato" w:eastAsia="Arial" w:hAnsi="Lato" w:cs="Arial"/>
                <w:sz w:val="18"/>
                <w:szCs w:val="18"/>
              </w:rPr>
              <w:t xml:space="preserve"> do ich wykonywania</w:t>
            </w:r>
            <w:r>
              <w:rPr>
                <w:rFonts w:ascii="Lato" w:eastAsia="Arial" w:hAnsi="Lato" w:cs="Arial"/>
                <w:sz w:val="18"/>
                <w:szCs w:val="18"/>
              </w:rPr>
              <w:t>.</w:t>
            </w:r>
          </w:p>
        </w:tc>
      </w:tr>
      <w:tr w:rsidR="00BA0201" w:rsidRPr="0037774A" w14:paraId="4C5348DE" w14:textId="6EEC7D44" w:rsidTr="004C030E">
        <w:trPr>
          <w:trHeight w:val="20"/>
        </w:trPr>
        <w:tc>
          <w:tcPr>
            <w:tcW w:w="709" w:type="dxa"/>
            <w:tcBorders>
              <w:top w:val="single" w:sz="4" w:space="0" w:color="auto"/>
              <w:left w:val="single" w:sz="4" w:space="0" w:color="auto"/>
              <w:bottom w:val="single" w:sz="4" w:space="0" w:color="auto"/>
            </w:tcBorders>
            <w:shd w:val="clear" w:color="auto" w:fill="FFFFFF"/>
          </w:tcPr>
          <w:p w14:paraId="08976C00"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416E7AF" w14:textId="72346B48"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6DC2FA71" w14:textId="523A62C6"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Warto wskazać w OSR informację, czy zmiany dotyczące zintegrowanego systemu informacji o nieruchomościach i przekazywania elektronicznych dokumentów (przekazywanie elektronicznych wypisów aktów notarialnych zamiast papierowych) wymagać będą kosztów dostosowawczych systemów bądź wyjaśnić, dlaczego zmiana nie generuje dodatkowych kosztów.</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C0EA108" w14:textId="0ACF1BED"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018E97F6" w14:textId="289ACA3F" w:rsidR="00BA0201" w:rsidRPr="0037774A" w:rsidRDefault="00C90E86"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BA0201" w:rsidRPr="0037774A" w14:paraId="1BA16A40" w14:textId="56686E64" w:rsidTr="00D50C46">
        <w:trPr>
          <w:trHeight w:val="20"/>
        </w:trPr>
        <w:tc>
          <w:tcPr>
            <w:tcW w:w="709" w:type="dxa"/>
            <w:tcBorders>
              <w:top w:val="single" w:sz="4" w:space="0" w:color="auto"/>
              <w:left w:val="single" w:sz="4" w:space="0" w:color="auto"/>
              <w:bottom w:val="single" w:sz="4" w:space="0" w:color="auto"/>
            </w:tcBorders>
            <w:shd w:val="clear" w:color="auto" w:fill="FFFFFF"/>
          </w:tcPr>
          <w:p w14:paraId="321F5C71"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82A3530" w14:textId="60048FA8"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 xml:space="preserve">Koordynator Oceny Skutków </w:t>
            </w:r>
            <w:r w:rsidRPr="00D50C46">
              <w:rPr>
                <w:rFonts w:ascii="Lato" w:eastAsia="Arial" w:hAnsi="Lato" w:cs="Arial"/>
                <w:sz w:val="18"/>
                <w:szCs w:val="18"/>
              </w:rPr>
              <w:lastRenderedPageBreak/>
              <w:t>Regulacji</w:t>
            </w:r>
          </w:p>
        </w:tc>
        <w:tc>
          <w:tcPr>
            <w:tcW w:w="4536" w:type="dxa"/>
            <w:tcBorders>
              <w:top w:val="single" w:sz="4" w:space="0" w:color="auto"/>
              <w:left w:val="single" w:sz="4" w:space="0" w:color="auto"/>
              <w:bottom w:val="single" w:sz="4" w:space="0" w:color="auto"/>
            </w:tcBorders>
            <w:shd w:val="clear" w:color="auto" w:fill="FFFFFF"/>
          </w:tcPr>
          <w:p w14:paraId="06475FFD" w14:textId="6088F1A9"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lastRenderedPageBreak/>
              <w:t xml:space="preserve">Warto także wskazać w OSR, czy stworzenie możliwości automatycznej aktualizacji centralnego rejestru osób posiadających uprawnienia zawodowe </w:t>
            </w:r>
            <w:r w:rsidRPr="00D50C46">
              <w:rPr>
                <w:rFonts w:ascii="Lato" w:eastAsia="Arial" w:hAnsi="Lato" w:cs="Arial"/>
                <w:sz w:val="18"/>
                <w:szCs w:val="18"/>
              </w:rPr>
              <w:lastRenderedPageBreak/>
              <w:t>w dziedzinie geodezji i kartografii w oparciu o dane uprzednio zaktualizowane w rejestrze PESEL wymagać będzie kosztów dostosowawczych.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B3A0F99" w14:textId="77777777"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F5FCABE" w14:textId="0FE46DBD" w:rsidR="00BA0201" w:rsidRPr="0037774A" w:rsidRDefault="001165FF"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BA0201" w:rsidRPr="0037774A" w14:paraId="259E5B31" w14:textId="18F1CD38" w:rsidTr="00FF507F">
        <w:trPr>
          <w:trHeight w:val="20"/>
        </w:trPr>
        <w:tc>
          <w:tcPr>
            <w:tcW w:w="709" w:type="dxa"/>
            <w:tcBorders>
              <w:top w:val="single" w:sz="4" w:space="0" w:color="auto"/>
              <w:left w:val="single" w:sz="4" w:space="0" w:color="auto"/>
              <w:bottom w:val="single" w:sz="4" w:space="0" w:color="auto"/>
            </w:tcBorders>
            <w:shd w:val="clear" w:color="auto" w:fill="FFFFFF"/>
          </w:tcPr>
          <w:p w14:paraId="1A75C7EF"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383D585" w14:textId="7C035F17"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63A323E9" w14:textId="26708B66"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 zakresie zwolnienia z opłat danych analogowych materiałów kartograficznych przeznaczonych dla osób niewidomych i słabowidzących, warto wskazać w OSR, dlaczego nie oszacowano skutków z tego tytułu, wskazując na skalę zjawiska.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4A57E43" w14:textId="6E001FB0"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23E33AD6" w14:textId="3F51FD6C" w:rsidR="00FF507F" w:rsidRDefault="00FF507F"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 uzupełniono OSR.</w:t>
            </w:r>
          </w:p>
          <w:p w14:paraId="0F5A89EE" w14:textId="131EE927" w:rsidR="00BA0201" w:rsidRPr="0037774A" w:rsidRDefault="00B92892" w:rsidP="00BA0201">
            <w:pPr>
              <w:pStyle w:val="Inne0"/>
              <w:shd w:val="clear" w:color="auto" w:fill="auto"/>
              <w:spacing w:before="120" w:after="120"/>
              <w:ind w:left="131" w:right="138"/>
              <w:rPr>
                <w:rFonts w:ascii="Lato" w:eastAsia="Arial" w:hAnsi="Lato" w:cs="Arial"/>
                <w:sz w:val="18"/>
                <w:szCs w:val="18"/>
              </w:rPr>
            </w:pPr>
            <w:r w:rsidRPr="00B92892">
              <w:rPr>
                <w:rFonts w:ascii="Lato" w:eastAsia="Arial" w:hAnsi="Lato" w:cs="Arial"/>
                <w:sz w:val="18"/>
                <w:szCs w:val="18"/>
              </w:rPr>
              <w:t>W zakresie zwolnienia z opłat za udostepnienie analogowych materiałów kartograficznych przeznaczonych dla osób niewidomych i słabowidzących zrezygnowano z szacowania skutków finansowych z tego tytułu, ponieważ proponowana zmiana nie będzie miała zauważalnego wpływu na prowadzenie państwowego zasobu geodezyjnego i kartograficznego. W okresie ostatnich pięciu lat (2021-25) podmioty dla których projektowany przepis przewiduje zwolnienie z opłat, złożyły łącznie trzy wnioski, których wpływy z realizacji wyniosły 3 150,10 zł. Powyższa skala zjawiska pozwala stwierdzić że nowelizowany przepis nie będzie miał negatywnego wpływu na budżet państwa, da natomiast możliwości wykorzystania opracowanych i zgromadzonych w zasobie danych, przez środowisko osób z niepełnosprawnością widzenia, dla których materiały te zostały opracowane.</w:t>
            </w:r>
          </w:p>
        </w:tc>
      </w:tr>
      <w:tr w:rsidR="00BA0201" w:rsidRPr="0037774A" w14:paraId="71D743ED" w14:textId="1F6A25DC" w:rsidTr="00D50C46">
        <w:trPr>
          <w:trHeight w:val="20"/>
        </w:trPr>
        <w:tc>
          <w:tcPr>
            <w:tcW w:w="709" w:type="dxa"/>
            <w:tcBorders>
              <w:top w:val="single" w:sz="4" w:space="0" w:color="auto"/>
              <w:left w:val="single" w:sz="4" w:space="0" w:color="auto"/>
              <w:bottom w:val="single" w:sz="4" w:space="0" w:color="auto"/>
            </w:tcBorders>
            <w:shd w:val="clear" w:color="auto" w:fill="FFFFFF"/>
          </w:tcPr>
          <w:p w14:paraId="471D1C86"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2DC2396" w14:textId="2863E4ED"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124E0258" w14:textId="70935594"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 zakresie skutków rezygnacji z odpłatności za udostępnianie zbiorów danych bazy danych ewidencji gruntów i budynków dotyczących punktów granicznych oraz konturów użytków gruntowych, wykazać należy także oszczędności po stronie podmiotów płacących te opłaty.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5BC9D12" w14:textId="2FB57A41"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63B3DD1" w14:textId="17D2AD6B" w:rsidR="00BA0201" w:rsidRPr="0037774A" w:rsidRDefault="003B61F5"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w pkt 7 OSR.</w:t>
            </w:r>
          </w:p>
        </w:tc>
      </w:tr>
      <w:tr w:rsidR="00BA0201" w:rsidRPr="0037774A" w14:paraId="7281276E" w14:textId="69BF4D0C" w:rsidTr="00D50C46">
        <w:trPr>
          <w:trHeight w:val="20"/>
        </w:trPr>
        <w:tc>
          <w:tcPr>
            <w:tcW w:w="709" w:type="dxa"/>
            <w:tcBorders>
              <w:top w:val="single" w:sz="4" w:space="0" w:color="auto"/>
              <w:left w:val="single" w:sz="4" w:space="0" w:color="auto"/>
              <w:bottom w:val="single" w:sz="4" w:space="0" w:color="auto"/>
            </w:tcBorders>
            <w:shd w:val="clear" w:color="auto" w:fill="FFFFFF"/>
          </w:tcPr>
          <w:p w14:paraId="6A55CDD0"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78C581FF" w14:textId="1B521D69"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4C1900E2" w14:textId="5C85659A"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Warto odnieść się w OSR także do skutków wprowadzenia opłaty za wysłanie pod wskazany adres wypisów z rejestrów, kartotek i wykazów oraz wyrysów z mapy ewidencyjnej wraz ze wskazaniem skali zjawiska.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43B1A5" w14:textId="551690E4"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AFBA231" w14:textId="03F74B09" w:rsidR="00BA0201" w:rsidRPr="0037774A" w:rsidRDefault="00393C9C" w:rsidP="00BA020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w pkt 6 OSR.</w:t>
            </w:r>
          </w:p>
        </w:tc>
      </w:tr>
      <w:tr w:rsidR="00BA0201" w:rsidRPr="0037774A" w14:paraId="188D9306" w14:textId="528A3406" w:rsidTr="00D50C46">
        <w:trPr>
          <w:trHeight w:val="20"/>
        </w:trPr>
        <w:tc>
          <w:tcPr>
            <w:tcW w:w="709" w:type="dxa"/>
            <w:tcBorders>
              <w:top w:val="single" w:sz="4" w:space="0" w:color="auto"/>
              <w:left w:val="single" w:sz="4" w:space="0" w:color="auto"/>
              <w:bottom w:val="single" w:sz="4" w:space="0" w:color="auto"/>
            </w:tcBorders>
            <w:shd w:val="clear" w:color="auto" w:fill="FFFFFF"/>
          </w:tcPr>
          <w:p w14:paraId="5FD28A04" w14:textId="77777777" w:rsidR="00BA0201" w:rsidRPr="0037774A" w:rsidRDefault="00BA0201" w:rsidP="00BA0201">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B059A64" w14:textId="383EF94C" w:rsidR="00BA0201"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Koordynator Oceny Skutków Regulacji</w:t>
            </w:r>
          </w:p>
        </w:tc>
        <w:tc>
          <w:tcPr>
            <w:tcW w:w="4536" w:type="dxa"/>
            <w:tcBorders>
              <w:top w:val="single" w:sz="4" w:space="0" w:color="auto"/>
              <w:left w:val="single" w:sz="4" w:space="0" w:color="auto"/>
              <w:bottom w:val="single" w:sz="4" w:space="0" w:color="auto"/>
            </w:tcBorders>
            <w:shd w:val="clear" w:color="auto" w:fill="FFFFFF"/>
          </w:tcPr>
          <w:p w14:paraId="1100A721" w14:textId="4095C95D"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Konieczne jest szersze przedstawienie zmian w obciążeniach regulacyjnych w pkt 8 OSR. Np. warto wskazać na nowe obowiązki nakładane na Głównego Geodetę Kraju w zakresie sporządzania czteroletniego planu strategicznego, rocznych planów operacyjnych oraz sprawozdań z tych dokumentów, czy wyrażanie opinii o kandydatach na geodetę województwa, opinii o kandydacie na geodetę powiatowego, po uzyskaniu opinii wojewódzkiego inspektora nadzoru geodezyjnego i kartograficznego. Warto także przedstawić zmiany </w:t>
            </w:r>
            <w:r w:rsidRPr="00D50C46">
              <w:rPr>
                <w:rFonts w:ascii="Lato" w:eastAsia="Arial" w:hAnsi="Lato" w:cs="Arial"/>
                <w:sz w:val="18"/>
                <w:szCs w:val="18"/>
              </w:rPr>
              <w:lastRenderedPageBreak/>
              <w:t>wpływające na liczbę dokumentów (np. nowe obowiązki wydania decyzji).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1184453" w14:textId="31EC4CD7" w:rsidR="00BA0201" w:rsidRPr="00D50C46" w:rsidRDefault="00BA0201"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AFABEB2" w14:textId="2B15B0A8" w:rsidR="00BA0201" w:rsidRPr="0037774A" w:rsidRDefault="00544108" w:rsidP="00BA0201">
            <w:pPr>
              <w:pStyle w:val="Inne0"/>
              <w:spacing w:before="120" w:after="120"/>
              <w:ind w:left="131" w:right="138"/>
              <w:rPr>
                <w:rFonts w:ascii="Lato" w:eastAsia="Arial" w:hAnsi="Lato" w:cs="Arial"/>
                <w:sz w:val="18"/>
                <w:szCs w:val="18"/>
              </w:rPr>
            </w:pPr>
            <w:r>
              <w:rPr>
                <w:rFonts w:ascii="Lato" w:eastAsia="Arial" w:hAnsi="Lato" w:cs="Arial"/>
                <w:sz w:val="18"/>
                <w:szCs w:val="18"/>
              </w:rPr>
              <w:t>Uwaga została uwzględniona w p</w:t>
            </w:r>
            <w:r w:rsidR="00CD0432">
              <w:rPr>
                <w:rFonts w:ascii="Lato" w:eastAsia="Arial" w:hAnsi="Lato" w:cs="Arial"/>
                <w:sz w:val="18"/>
                <w:szCs w:val="18"/>
              </w:rPr>
              <w:t>kt 8 OSR</w:t>
            </w:r>
            <w:r>
              <w:rPr>
                <w:rFonts w:ascii="Lato" w:eastAsia="Arial" w:hAnsi="Lato" w:cs="Arial"/>
                <w:sz w:val="18"/>
                <w:szCs w:val="18"/>
              </w:rPr>
              <w:t>.</w:t>
            </w:r>
          </w:p>
        </w:tc>
      </w:tr>
      <w:tr w:rsidR="00A1261B" w:rsidRPr="0037774A" w14:paraId="307C08D0" w14:textId="20727773" w:rsidTr="00D50C46">
        <w:trPr>
          <w:trHeight w:val="20"/>
        </w:trPr>
        <w:tc>
          <w:tcPr>
            <w:tcW w:w="709" w:type="dxa"/>
            <w:tcBorders>
              <w:top w:val="single" w:sz="4" w:space="0" w:color="auto"/>
              <w:left w:val="single" w:sz="4" w:space="0" w:color="auto"/>
              <w:bottom w:val="single" w:sz="4" w:space="0" w:color="auto"/>
            </w:tcBorders>
            <w:shd w:val="clear" w:color="auto" w:fill="FFFFFF"/>
          </w:tcPr>
          <w:p w14:paraId="0A4E0528"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E2876F1" w14:textId="4B9AEBC4" w:rsidR="00A1261B"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Aktywów Państwowych</w:t>
            </w:r>
          </w:p>
        </w:tc>
        <w:tc>
          <w:tcPr>
            <w:tcW w:w="4536" w:type="dxa"/>
            <w:tcBorders>
              <w:top w:val="single" w:sz="4" w:space="0" w:color="auto"/>
              <w:left w:val="single" w:sz="4" w:space="0" w:color="auto"/>
              <w:bottom w:val="single" w:sz="4" w:space="0" w:color="auto"/>
            </w:tcBorders>
            <w:shd w:val="clear" w:color="auto" w:fill="FFFFFF"/>
          </w:tcPr>
          <w:p w14:paraId="7349606C"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Wnoszę o uwzględnienie uwag zgłoszonych przez Ministerstwo Aktywów Państwowych do projektu ustawy w brzmieniu z dnia 2 czerwca 2025 r., w którym zawarto regulacje określające co zawiera decyzja ustalająca teren zamknięty oraz jak określić ministra właściwego do ustalenia lub zniesienia terenu zamkniętego. Do projektu z dnia 2 czerwca 2025 r. zgłoszono uwagi, których przyjęcie pozwoliłoby na precyzyjne określenie organu właściwego do ustalenia terenu zamkniętego. Odstąpienie od wprowadzania w projekcie zmian dotyczących uregulowania zagadnienia ustanawiania i znoszenia terenów zamkniętych w związku z uwagami Ministra Obrony Narodowej, utrwala istniejącą nieprecyzyjność w zakresie określania właściwości ministra do ustalenia/zniesienia w drodze decyzji terenu zamkniętego, a także do zmiany decyzji ustalającej teren zamknięty przez organ, który już nie istnieje i nie ma jego następcy prawnego.</w:t>
            </w:r>
          </w:p>
          <w:p w14:paraId="61050C70"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Problem z określeniem właściwości ministra do ustalenia terenu zamkniętego na podstawie ustawy - Prawo geodezyjne i kartograficzne dostrzega również Prezes Rady Ministrów, który w swoich rozstrzygnięciach z 2021 r. i 2024 r. wskazuje Ministra Aktywów Państwowych jako organ właściwy do rozpatrzenia wniosków MESKO S.A. i ZM Tarnów S.A. o ustalenie terenu zamkniętego lub zmianę decyzji ustalającej teren zamknięty, i że wynika to nie z właściwości ministra ale z jego kompetencji, które wydają się w powyższym kontekście - pojęciem szerszym od wąsko rozumianego na gruncie prawa administracyjnego pojęcia „właściwości”. Ponadto, w mojej ocenie, nie można zgodzić się ze stanowiskiem Ministra Obrony Narodowej, że „dotychczasowe doświadczenia wskazują, że przepisy dotyczące terenów zamkniętych, które są ujęte w ustawie - Prawo geodezyjne i kartograficzne, w aktualnym kształcie są spójne i przejrzyste”, ponieważ przeczą temu ww. rozstrzygnięcia Prezesa Rady Ministrów. Dodatkowo argumentem przeciw ww. stanowisku Ministra Obrony Narodowej jest fakt, że Minister Obrony Narodowej odsyła Ministrowi Aktywów </w:t>
            </w:r>
            <w:r w:rsidRPr="00D50C46">
              <w:rPr>
                <w:rFonts w:ascii="Lato" w:eastAsia="Arial" w:hAnsi="Lato" w:cs="Arial"/>
                <w:sz w:val="18"/>
                <w:szCs w:val="18"/>
              </w:rPr>
              <w:lastRenderedPageBreak/>
              <w:t>Państwowych wszystkie wnioski o ustalenie terenu zamkniętego składane przez spółki zbrojeniowe, powołując się na brak swojej właściwości wynikającej z ww. rozstrzygnięć Prezesa Rady Ministrów</w:t>
            </w:r>
          </w:p>
          <w:p w14:paraId="4F02F66E"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ostatnio wniosek ZM DEZAMET S.A. Zaznaczyć należy, że Minister Obrony Narodowej jest jedynym organem, który nakłada na spółki, w tym spółki zbrojeniowe obowiązek realizacji zadań na rzecz Sił Zbrojnych, o których mowa w art. 648 ustawy o obronie Ojczyzny oraz nałożył na wybrane spółki zbrojeniowe obowiązek realizacji zadań, o których mowa w art. 600 ust. 2 ustawy z dnia 11 marca 2022 r. o obronie Ojczyzny. Należy wskazać, że Minister Obrony Narodowej nałożył na ZM DEZAMET S.A. obowiązek realizacji zadań, o których mowa w art. 600 ust. 2 pkt 1 dotyczących produkcji lub naprawy wyrobów, wykonywanie usług oraz prac wdrożeniowych i ekspertyz niezbędnych do zabezpieczenia potrzeb obronnych państwa, a także zadań z art. 648 pkt 1 i 2 dotyczących wykonywania produkcji, napraw lub świadczenia usług na rzecz Sił Zbrojnych w warunkach zagrożenia bezpieczeństwa państwa lub w czasie wojny oraz utrzymywania w czasie pokoju mocy produkcyjnych, naprawczych lub usługowych niezbędnych do realizacji zadań, o których mowa w art. 648 pkt 1. Mimo tego nie uznał się za organ właściwy do ustalenia terenu zamkniętego ze względu na obronność i bezpieczeństwo, wskazanego przez ZM DEZAMET S.A. i przekazał ten wniosek Ministrowi Aktywów Państwowych.</w:t>
            </w:r>
          </w:p>
          <w:p w14:paraId="3FB4B274"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Nie znajduje również uzasadnienia stanowisko Ministra Obrony Narodowej zgodnie z którym „uwzględnienie w decyzji o ustaleniu terenu zamkniętego, która jest dokumentem jawnym, informacji o kategorii terenu zamkniętego, skutkować będzie pośrednim ujawnieniem informacji o terenach zamkniętych, na których występują obiekty oznaczone klauzulą tajności. Rozwiązanie to może ułatwić identyfikację obiektów szczególnie ważnych dla bezpieczeństwa i obronności państwa. Natomiast obecnie funkcjonujące rozwiązanie prawne nie wprowadza takiego ryzyka, gdyż informacja o klauzulach obiektów znajdujących się na terenach zamkniętych nie jest umieszczana w decyzji o ustaleniu terenu </w:t>
            </w:r>
            <w:r w:rsidRPr="00D50C46">
              <w:rPr>
                <w:rFonts w:ascii="Lato" w:eastAsia="Arial" w:hAnsi="Lato" w:cs="Arial"/>
                <w:sz w:val="18"/>
                <w:szCs w:val="18"/>
              </w:rPr>
              <w:lastRenderedPageBreak/>
              <w:t xml:space="preserve">zamkniętego, lecz przesyłana jest odrębną korespondencją”. Wskazać należy, że Minister Gospodarki (obecnie </w:t>
            </w:r>
            <w:proofErr w:type="spellStart"/>
            <w:r w:rsidRPr="00D50C46">
              <w:rPr>
                <w:rFonts w:ascii="Lato" w:eastAsia="Arial" w:hAnsi="Lato" w:cs="Arial"/>
                <w:sz w:val="18"/>
                <w:szCs w:val="18"/>
              </w:rPr>
              <w:t>MRiT</w:t>
            </w:r>
            <w:proofErr w:type="spellEnd"/>
            <w:r w:rsidRPr="00D50C46">
              <w:rPr>
                <w:rFonts w:ascii="Lato" w:eastAsia="Arial" w:hAnsi="Lato" w:cs="Arial"/>
                <w:sz w:val="18"/>
                <w:szCs w:val="18"/>
              </w:rPr>
              <w:t>), a także Minister Aktywów Państwowych w swoich jawnych decyzjach ustalających teren zamknięty, nadali klauzulę niejawności informacjom o obiektach lub ich wyodrębnionych częściach znajdującym się na terenach zamkniętych, przy czym Minister Gospodarki nadał klauzulę „poufne” a Minister Aktywów Państwowych „zastrzeżone”, co nie doprowadziło do identyfikacji obiektów szczególnie ważnych dla bezpieczeństwa lub obronności państwa, ponieważ w decyzjach i załącznikach do nich nie wskazano informacji pozwalających zidentyfikować jakikolwiek obiekt oraz nie wyszczególniono obiektów znajdujących się na terenach zamkniętych.</w:t>
            </w:r>
          </w:p>
          <w:p w14:paraId="2167EA39" w14:textId="122ED37A" w:rsidR="00A1261B"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Dodatkowo w uwagach do projektu z 2 czerwca 2025 r. Minister Aktywów Państwowych postulował zmianę art. 614 ustawy z dnia 11 marca 2022 r. o obronie Ojczyzny, polegającą na doprecyzowaniu właściwości ministra do wnioskowania do Rady Ministrów o uznanie obiektu za szczególnie ważny dla bezpieczeństwa lub obronności państwa - nieprecyzyjność tego przepisu była źródłem negatywnego sporu kompetencyjnego między Ministrem Aktywów Państwowych i Ministrem Rozwoju i Technologii (</w:t>
            </w:r>
            <w:proofErr w:type="spellStart"/>
            <w:r w:rsidRPr="00D50C46">
              <w:rPr>
                <w:rFonts w:ascii="Lato" w:eastAsia="Arial" w:hAnsi="Lato" w:cs="Arial"/>
                <w:sz w:val="18"/>
                <w:szCs w:val="18"/>
              </w:rPr>
              <w:t>MRiT</w:t>
            </w:r>
            <w:proofErr w:type="spellEnd"/>
            <w:r w:rsidRPr="00D50C46">
              <w:rPr>
                <w:rFonts w:ascii="Lato" w:eastAsia="Arial" w:hAnsi="Lato" w:cs="Arial"/>
                <w:sz w:val="18"/>
                <w:szCs w:val="18"/>
              </w:rPr>
              <w:t xml:space="preserve">) i dotyczyła wskazania organu właściwego dla obiektów szczególnie ważnych będących obecnie we właściwości </w:t>
            </w:r>
            <w:proofErr w:type="spellStart"/>
            <w:r w:rsidRPr="00D50C46">
              <w:rPr>
                <w:rFonts w:ascii="Lato" w:eastAsia="Arial" w:hAnsi="Lato" w:cs="Arial"/>
                <w:sz w:val="18"/>
                <w:szCs w:val="18"/>
              </w:rPr>
              <w:t>MRiT</w:t>
            </w:r>
            <w:proofErr w:type="spellEnd"/>
            <w:r w:rsidRPr="00D50C46">
              <w:rPr>
                <w:rFonts w:ascii="Lato" w:eastAsia="Arial" w:hAnsi="Lato" w:cs="Arial"/>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914B20" w14:textId="6AAE2F24"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176C4BD" w14:textId="6F0B3FEB" w:rsidR="007D4A6D" w:rsidRDefault="007D4A6D"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nie została uwzględniona. </w:t>
            </w:r>
          </w:p>
          <w:p w14:paraId="2DF71D49" w14:textId="4AA74942" w:rsidR="002335BA" w:rsidRDefault="007D4A6D"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Jak wskazano w odpowiedzi na zgłoszoną uwagę projektodawca odstąpił od wprowadzania w projekcie ustawy zmian dotyczących t</w:t>
            </w:r>
            <w:r w:rsidRPr="008846F4">
              <w:rPr>
                <w:rFonts w:ascii="Lato" w:eastAsia="Arial" w:hAnsi="Lato" w:cs="Arial"/>
                <w:sz w:val="18"/>
                <w:szCs w:val="18"/>
              </w:rPr>
              <w:t>erenów zamkniętych</w:t>
            </w:r>
            <w:r>
              <w:rPr>
                <w:rFonts w:ascii="Lato" w:eastAsia="Arial" w:hAnsi="Lato" w:cs="Arial"/>
                <w:sz w:val="18"/>
                <w:szCs w:val="18"/>
              </w:rPr>
              <w:t xml:space="preserve">. </w:t>
            </w:r>
            <w:r w:rsidR="002335BA">
              <w:rPr>
                <w:rFonts w:ascii="Lato" w:eastAsia="Arial" w:hAnsi="Lato" w:cs="Arial"/>
                <w:sz w:val="18"/>
                <w:szCs w:val="18"/>
              </w:rPr>
              <w:t xml:space="preserve">Ustawa – Prawo geodezyjne i kartograficzne </w:t>
            </w:r>
            <w:r w:rsidR="002335BA" w:rsidRPr="002335BA">
              <w:rPr>
                <w:rFonts w:ascii="Lato" w:eastAsia="Arial" w:hAnsi="Lato" w:cs="Arial"/>
                <w:sz w:val="18"/>
                <w:szCs w:val="18"/>
              </w:rPr>
              <w:t>nie jest aktem prawnym, w którym powin</w:t>
            </w:r>
            <w:r w:rsidR="00F5145D">
              <w:rPr>
                <w:rFonts w:ascii="Lato" w:eastAsia="Arial" w:hAnsi="Lato" w:cs="Arial"/>
                <w:sz w:val="18"/>
                <w:szCs w:val="18"/>
              </w:rPr>
              <w:t>ien</w:t>
            </w:r>
            <w:r w:rsidR="002335BA" w:rsidRPr="002335BA">
              <w:rPr>
                <w:rFonts w:ascii="Lato" w:eastAsia="Arial" w:hAnsi="Lato" w:cs="Arial"/>
                <w:sz w:val="18"/>
                <w:szCs w:val="18"/>
              </w:rPr>
              <w:t xml:space="preserve"> zostać </w:t>
            </w:r>
            <w:r w:rsidR="002335BA">
              <w:rPr>
                <w:rFonts w:ascii="Lato" w:eastAsia="Arial" w:hAnsi="Lato" w:cs="Arial"/>
                <w:sz w:val="18"/>
                <w:szCs w:val="18"/>
              </w:rPr>
              <w:t>uregulowan</w:t>
            </w:r>
            <w:r w:rsidR="00F5145D">
              <w:rPr>
                <w:rFonts w:ascii="Lato" w:eastAsia="Arial" w:hAnsi="Lato" w:cs="Arial"/>
                <w:sz w:val="18"/>
                <w:szCs w:val="18"/>
              </w:rPr>
              <w:t>y</w:t>
            </w:r>
            <w:r w:rsidR="002335BA">
              <w:rPr>
                <w:rFonts w:ascii="Lato" w:eastAsia="Arial" w:hAnsi="Lato" w:cs="Arial"/>
                <w:sz w:val="18"/>
                <w:szCs w:val="18"/>
              </w:rPr>
              <w:t xml:space="preserve"> </w:t>
            </w:r>
            <w:r w:rsidR="002335BA" w:rsidRPr="002335BA">
              <w:rPr>
                <w:rFonts w:ascii="Lato" w:eastAsia="Arial" w:hAnsi="Lato" w:cs="Arial"/>
                <w:sz w:val="18"/>
                <w:szCs w:val="18"/>
              </w:rPr>
              <w:t xml:space="preserve">zakres kompetencji </w:t>
            </w:r>
            <w:r w:rsidR="00F5145D">
              <w:rPr>
                <w:rFonts w:ascii="Lato" w:eastAsia="Arial" w:hAnsi="Lato" w:cs="Arial"/>
                <w:sz w:val="18"/>
                <w:szCs w:val="18"/>
              </w:rPr>
              <w:t xml:space="preserve">poszczególnych </w:t>
            </w:r>
            <w:r w:rsidR="002335BA">
              <w:rPr>
                <w:rFonts w:ascii="Lato" w:eastAsia="Arial" w:hAnsi="Lato" w:cs="Arial"/>
                <w:sz w:val="18"/>
                <w:szCs w:val="18"/>
              </w:rPr>
              <w:t>organ</w:t>
            </w:r>
            <w:r w:rsidR="00F5145D">
              <w:rPr>
                <w:rFonts w:ascii="Lato" w:eastAsia="Arial" w:hAnsi="Lato" w:cs="Arial"/>
                <w:sz w:val="18"/>
                <w:szCs w:val="18"/>
              </w:rPr>
              <w:t xml:space="preserve">ów odpowiedzialnych za </w:t>
            </w:r>
            <w:r w:rsidR="00F5145D" w:rsidRPr="00F5145D">
              <w:rPr>
                <w:rFonts w:ascii="Lato" w:eastAsia="Arial" w:hAnsi="Lato" w:cs="Arial"/>
                <w:sz w:val="18"/>
                <w:szCs w:val="18"/>
              </w:rPr>
              <w:t>tereny o charakterze zastrzeżonym ze względu na obronność i bezpieczeństwo państwa</w:t>
            </w:r>
            <w:r w:rsidR="002335BA" w:rsidRPr="002335BA">
              <w:rPr>
                <w:rFonts w:ascii="Lato" w:eastAsia="Arial" w:hAnsi="Lato" w:cs="Arial"/>
                <w:sz w:val="18"/>
                <w:szCs w:val="18"/>
              </w:rPr>
              <w:t>.</w:t>
            </w:r>
            <w:r w:rsidR="00F5145D">
              <w:rPr>
                <w:rFonts w:ascii="Lato" w:eastAsia="Arial" w:hAnsi="Lato" w:cs="Arial"/>
                <w:sz w:val="18"/>
                <w:szCs w:val="18"/>
              </w:rPr>
              <w:t xml:space="preserve"> </w:t>
            </w:r>
            <w:r w:rsidR="002335BA" w:rsidRPr="002335BA">
              <w:rPr>
                <w:rFonts w:ascii="Lato" w:eastAsia="Arial" w:hAnsi="Lato" w:cs="Arial"/>
                <w:sz w:val="18"/>
                <w:szCs w:val="18"/>
              </w:rPr>
              <w:t xml:space="preserve">Nie jest </w:t>
            </w:r>
            <w:r w:rsidR="00F5145D">
              <w:rPr>
                <w:rFonts w:ascii="Lato" w:eastAsia="Arial" w:hAnsi="Lato" w:cs="Arial"/>
                <w:sz w:val="18"/>
                <w:szCs w:val="18"/>
              </w:rPr>
              <w:t xml:space="preserve">bowiem </w:t>
            </w:r>
            <w:r w:rsidR="002335BA" w:rsidRPr="002335BA">
              <w:rPr>
                <w:rFonts w:ascii="Lato" w:eastAsia="Arial" w:hAnsi="Lato" w:cs="Arial"/>
                <w:sz w:val="18"/>
                <w:szCs w:val="18"/>
              </w:rPr>
              <w:t xml:space="preserve">zadaniem Ministra </w:t>
            </w:r>
            <w:r w:rsidR="00F5145D">
              <w:rPr>
                <w:rFonts w:ascii="Lato" w:eastAsia="Arial" w:hAnsi="Lato" w:cs="Arial"/>
                <w:sz w:val="18"/>
                <w:szCs w:val="18"/>
              </w:rPr>
              <w:t>Finansów i Gospodarki</w:t>
            </w:r>
            <w:r w:rsidR="002335BA" w:rsidRPr="002335BA">
              <w:rPr>
                <w:rFonts w:ascii="Lato" w:eastAsia="Arial" w:hAnsi="Lato" w:cs="Arial"/>
                <w:sz w:val="18"/>
                <w:szCs w:val="18"/>
              </w:rPr>
              <w:t xml:space="preserve"> regulowanie kwestii</w:t>
            </w:r>
            <w:r w:rsidR="00F5145D">
              <w:rPr>
                <w:rFonts w:ascii="Lato" w:eastAsia="Arial" w:hAnsi="Lato" w:cs="Arial"/>
                <w:sz w:val="18"/>
                <w:szCs w:val="18"/>
              </w:rPr>
              <w:t>, które leżą w zakresie poszczególnych Służb i Ministrów</w:t>
            </w:r>
            <w:r w:rsidR="002335BA" w:rsidRPr="002335BA">
              <w:rPr>
                <w:rFonts w:ascii="Lato" w:eastAsia="Arial" w:hAnsi="Lato" w:cs="Arial"/>
                <w:sz w:val="18"/>
                <w:szCs w:val="18"/>
              </w:rPr>
              <w:t xml:space="preserve">. Kwestie te powinny zostać jednoznacznie określone w przepisach </w:t>
            </w:r>
            <w:r w:rsidR="00F5145D">
              <w:rPr>
                <w:rFonts w:ascii="Lato" w:eastAsia="Arial" w:hAnsi="Lato" w:cs="Arial"/>
                <w:sz w:val="18"/>
                <w:szCs w:val="18"/>
              </w:rPr>
              <w:t xml:space="preserve">szczególnych </w:t>
            </w:r>
            <w:r w:rsidR="002335BA" w:rsidRPr="002335BA">
              <w:rPr>
                <w:rFonts w:ascii="Lato" w:eastAsia="Arial" w:hAnsi="Lato" w:cs="Arial"/>
                <w:sz w:val="18"/>
                <w:szCs w:val="18"/>
              </w:rPr>
              <w:t>regulujących sprawy bezpieczeństwa i obronności państwa.</w:t>
            </w:r>
            <w:r w:rsidR="00F5145D">
              <w:rPr>
                <w:rFonts w:ascii="Lato" w:eastAsia="Arial" w:hAnsi="Lato" w:cs="Arial"/>
                <w:sz w:val="18"/>
                <w:szCs w:val="18"/>
              </w:rPr>
              <w:t xml:space="preserve"> </w:t>
            </w:r>
          </w:p>
          <w:p w14:paraId="625D46E0" w14:textId="394BE16C" w:rsidR="00A1261B" w:rsidRPr="0037774A" w:rsidRDefault="00F5145D" w:rsidP="00F5145D">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związku z powyższym odnośnie wniosku o zmianę </w:t>
            </w:r>
            <w:r w:rsidR="002335BA" w:rsidRPr="002335BA">
              <w:rPr>
                <w:rFonts w:ascii="Lato" w:eastAsia="Arial" w:hAnsi="Lato" w:cs="Arial"/>
                <w:sz w:val="18"/>
                <w:szCs w:val="18"/>
              </w:rPr>
              <w:t>art. 614 ustawy z dnia 11 marca 2022 r. o obronie Ojczyzny</w:t>
            </w:r>
            <w:r>
              <w:rPr>
                <w:rFonts w:ascii="Lato" w:eastAsia="Arial" w:hAnsi="Lato" w:cs="Arial"/>
                <w:sz w:val="18"/>
                <w:szCs w:val="18"/>
              </w:rPr>
              <w:t xml:space="preserve"> – należy wyjaśnić, że przedmiotowy wniosek leży poza zakresem przedmiotowym projektu ustawy.</w:t>
            </w:r>
            <w:r w:rsidR="007D4A6D">
              <w:rPr>
                <w:rFonts w:ascii="Lato" w:eastAsia="Arial" w:hAnsi="Lato" w:cs="Arial"/>
                <w:sz w:val="18"/>
                <w:szCs w:val="18"/>
              </w:rPr>
              <w:t xml:space="preserve"> </w:t>
            </w:r>
          </w:p>
        </w:tc>
      </w:tr>
      <w:tr w:rsidR="00A1261B" w:rsidRPr="0037774A" w14:paraId="27DDD878" w14:textId="2F74DFE2" w:rsidTr="00D50C46">
        <w:trPr>
          <w:trHeight w:val="20"/>
        </w:trPr>
        <w:tc>
          <w:tcPr>
            <w:tcW w:w="709" w:type="dxa"/>
            <w:tcBorders>
              <w:top w:val="single" w:sz="4" w:space="0" w:color="auto"/>
              <w:left w:val="single" w:sz="4" w:space="0" w:color="auto"/>
              <w:bottom w:val="single" w:sz="4" w:space="0" w:color="auto"/>
            </w:tcBorders>
            <w:shd w:val="clear" w:color="auto" w:fill="FFFFFF"/>
          </w:tcPr>
          <w:p w14:paraId="216AF220"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ED771F2" w14:textId="33828B80" w:rsidR="00A1261B"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Aktywów Państwowych</w:t>
            </w:r>
          </w:p>
        </w:tc>
        <w:tc>
          <w:tcPr>
            <w:tcW w:w="4536" w:type="dxa"/>
            <w:tcBorders>
              <w:top w:val="single" w:sz="4" w:space="0" w:color="auto"/>
              <w:left w:val="single" w:sz="4" w:space="0" w:color="auto"/>
              <w:bottom w:val="single" w:sz="4" w:space="0" w:color="auto"/>
            </w:tcBorders>
            <w:shd w:val="clear" w:color="auto" w:fill="FFFFFF"/>
          </w:tcPr>
          <w:p w14:paraId="0B2A9282"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W art. 1 pkt 15 lit. f oraz pkt 75 lit. e projektu ustawy o zmianie ustawy - Prawo geodezyjne i kartograficzne oraz ustawy o infrastrukturze informacji przestrzennej (UD60) (wersja z dnia 31 grudnia 2025 r.) przepisy art. 12 ust. 2d oraz ust. 14 załącznika do ustawy - Prawo geodezyjne i kartograficzne otrzymały brzmienie, które nie jest w pełni zgodne z wyrokiem Trybunału Sprawiedliwości Unii Europejskiej (sprawa C-545/17 Pawlak) z dnia 27 marca 2019r., który zakwestionował jako sprzeczny z prawem unijnym przepis Kodeksu postępowania cywilnego uznający za równoznaczne z wniesieniem pisma procesowego do danego sądu złożenie takiego pisma w placówce pocztowej tylko jednego </w:t>
            </w:r>
            <w:r w:rsidRPr="00D50C46">
              <w:rPr>
                <w:rFonts w:ascii="Lato" w:eastAsia="Arial" w:hAnsi="Lato" w:cs="Arial"/>
                <w:sz w:val="18"/>
                <w:szCs w:val="18"/>
              </w:rPr>
              <w:lastRenderedPageBreak/>
              <w:t>operatora pocztowego, tj. operatora wyznaczonego do świadczenia usługi powszechnej. Wyrok w sprawie C-545/17 Pawlak skutkował koniecznością zniesienia w prawie krajowym uprzywilejowanej pozycji operatora wyznaczonego w kwestii tzw. „mocy dokumentu urzędowego”.</w:t>
            </w:r>
          </w:p>
          <w:p w14:paraId="7B4347D6"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Zaproponowane w projekcie zmiany wskazują na placówkę operatora pocztowego, jednakże w części przepisu uwzględniającego podmioty na terenie Unii Europejskiej nie wyłączają terenu Rzeczypospolitej Polskiej, który to jest uwzględniony w pierwszej części proponowanych przepisów „(...) w polskiej placówce pocztowej operatora pocztowego w rozumieniu art. 3 pkt 12 ustawy z dnia 23 listopada 2012 r. - Prawo pocztowe (...)” oraz „(..) polską placówkę pocztową operatora pocztowego w rozumieniu art. 3 pkt 12 ustawy z dnia 23 listopada 2012 r. - Prawo pocztowe (.)”.</w:t>
            </w:r>
          </w:p>
          <w:p w14:paraId="1D51D2A4" w14:textId="77777777" w:rsidR="00A1261B"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Tym samym proponuję następującą zmianę brzmienia przepisów:</w:t>
            </w:r>
          </w:p>
          <w:p w14:paraId="30724A7A"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1)</w:t>
            </w:r>
            <w:r w:rsidRPr="00D50C46">
              <w:rPr>
                <w:rFonts w:ascii="Lato" w:eastAsia="Arial" w:hAnsi="Lato" w:cs="Arial"/>
                <w:sz w:val="18"/>
                <w:szCs w:val="18"/>
              </w:rPr>
              <w:tab/>
              <w:t>art. 12 ust. 2d ustawy (art. 1 pkt 15 lit. f projektu):</w:t>
            </w:r>
          </w:p>
          <w:p w14:paraId="2B9FF6F9"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„2d. Wydłużenie, o którym mowa w ust. 2c pkt 2, nie może być dłuższe niż dwa lata, licząc od dnia dokonania uzupełnienia zgłoszenia tych prac. Za dzień dokonania uzupełnienia zgłoszenia prac rozumie się dzień złożenia do organu Służby Geodezyjnej i Kartograficznej uzupełnienia zgłoszenia prac lub dzień nadania uzupełnienia zgłoszenia prac w polskiej placówce pocztowej operatora pocztowego w rozumieniu art. 3 pkt 12 ustawy z dnia 23 listopada 2012 r. - Prawo pocztowe (Dz. U. z 2025 r. poz. 366, 820 i 1456) lub w placówce podmiotu zajmującego się doręczaniem korespondencji na terytorium innego niż Rzeczpospolita Polska państwa członkowskiego Unii Europejskiej.”</w:t>
            </w:r>
          </w:p>
          <w:p w14:paraId="32D28154"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2)</w:t>
            </w:r>
            <w:r w:rsidRPr="00D50C46">
              <w:rPr>
                <w:rFonts w:ascii="Lato" w:eastAsia="Arial" w:hAnsi="Lato" w:cs="Arial"/>
                <w:sz w:val="18"/>
                <w:szCs w:val="18"/>
              </w:rPr>
              <w:tab/>
              <w:t>ust. 14 załącznika do ustawy (art. 1 pkt 75 lit. e projektu):</w:t>
            </w:r>
          </w:p>
          <w:p w14:paraId="4A3B0CDB" w14:textId="50B8494F" w:rsidR="00BA0201" w:rsidRPr="00D50C46" w:rsidRDefault="00BA0201"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„14. Opłata za wysłanie materiałów zasobu, a także wypisów z rejestrów, kartotek i wykazów oraz wyrysów z mapy ewidencyjnej, pod wskazany adres jest równa opłacie za przesyłkę poleconą zgodnie z obowiązującym w dniu wystawienia Dokumentu </w:t>
            </w:r>
            <w:r w:rsidRPr="00D50C46">
              <w:rPr>
                <w:rFonts w:ascii="Lato" w:eastAsia="Arial" w:hAnsi="Lato" w:cs="Arial"/>
                <w:sz w:val="18"/>
                <w:szCs w:val="18"/>
              </w:rPr>
              <w:lastRenderedPageBreak/>
              <w:t>Obliczenia Opłaty cennikiem usług pocztowych ogłoszonym przez polską placówkę pocztową operatora pocztowego w rozumieniu art. 3 pkt 12 ustawy z dnia 23 listopada 2012 r. - Prawo pocztowe lub placówkę podmiotu zajmującego się doręczaniem korespondencji na terytorium innego niż Rzeczpospolita Polska państwa członkowskiego Unii Europejskiej.”.</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6691363" w14:textId="7C6DCAAD"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1BDB925" w14:textId="35B11356" w:rsidR="00A1261B" w:rsidRPr="0037774A" w:rsidRDefault="002F5E05"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0ADC1B3B" w14:textId="56748453" w:rsidTr="0027125F">
        <w:trPr>
          <w:trHeight w:val="20"/>
        </w:trPr>
        <w:tc>
          <w:tcPr>
            <w:tcW w:w="709" w:type="dxa"/>
            <w:tcBorders>
              <w:top w:val="single" w:sz="4" w:space="0" w:color="auto"/>
              <w:left w:val="single" w:sz="4" w:space="0" w:color="auto"/>
              <w:bottom w:val="single" w:sz="4" w:space="0" w:color="auto"/>
            </w:tcBorders>
            <w:shd w:val="clear" w:color="auto" w:fill="FFFFFF"/>
          </w:tcPr>
          <w:p w14:paraId="04C6310A"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253FE03" w14:textId="0759ED5A" w:rsidR="00A1261B" w:rsidRPr="00D50C46" w:rsidRDefault="00BA0201"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4D545F56" w14:textId="0817577D"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Podtrzymuję uwagę zgłoszoną w czerwcu 2025 r. do art. 1 pkt 36 projektu ustawy</w:t>
            </w:r>
          </w:p>
          <w:p w14:paraId="38DA39B7"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(obecnie art. 1 pkt 34), odnośnie do art. 39 ust. 2 ustawy z dnia 17 maja 1989 r. - Prawo geodezyjne i kartograficzne (Dz. U. z 2024 r. poz. 1151, z </w:t>
            </w:r>
            <w:proofErr w:type="spellStart"/>
            <w:r w:rsidRPr="00D50C46">
              <w:rPr>
                <w:rFonts w:ascii="Lato" w:eastAsia="Arial" w:hAnsi="Lato" w:cs="Arial"/>
                <w:sz w:val="18"/>
                <w:szCs w:val="18"/>
              </w:rPr>
              <w:t>późn</w:t>
            </w:r>
            <w:proofErr w:type="spellEnd"/>
            <w:r w:rsidRPr="00D50C46">
              <w:rPr>
                <w:rFonts w:ascii="Lato" w:eastAsia="Arial" w:hAnsi="Lato" w:cs="Arial"/>
                <w:sz w:val="18"/>
                <w:szCs w:val="18"/>
              </w:rPr>
              <w:t>. zm.), ujętą w tabeli uwag pod nr 119.</w:t>
            </w:r>
          </w:p>
          <w:p w14:paraId="26E4E24C"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Przedstawione wyjaśnienia do ww. uwagi nie odnoszą się do jej treści.</w:t>
            </w:r>
          </w:p>
          <w:p w14:paraId="35CA35A8" w14:textId="77777777" w:rsidR="00BA0201" w:rsidRPr="00D50C46" w:rsidRDefault="00BA0201"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Przedmiotowa uwaga dotyczy wznowienia zniszczonych znaków granicznych, które były uprzednio stabilizowane na podstawie:</w:t>
            </w:r>
          </w:p>
          <w:p w14:paraId="297942C7" w14:textId="77777777" w:rsidR="00BA0201" w:rsidRPr="00D50C46" w:rsidRDefault="00BA0201" w:rsidP="002F5E05">
            <w:pPr>
              <w:pStyle w:val="Inne0"/>
              <w:ind w:left="556" w:right="272" w:hanging="420"/>
              <w:rPr>
                <w:rFonts w:ascii="Lato" w:eastAsia="Arial" w:hAnsi="Lato" w:cs="Arial"/>
                <w:sz w:val="18"/>
                <w:szCs w:val="18"/>
              </w:rPr>
            </w:pPr>
            <w:r w:rsidRPr="00D50C46">
              <w:rPr>
                <w:rFonts w:ascii="Lato" w:eastAsia="Arial" w:hAnsi="Lato" w:cs="Arial"/>
                <w:sz w:val="18"/>
                <w:szCs w:val="18"/>
              </w:rPr>
              <w:t>1)</w:t>
            </w:r>
            <w:r w:rsidRPr="00D50C46">
              <w:rPr>
                <w:rFonts w:ascii="Lato" w:eastAsia="Arial" w:hAnsi="Lato" w:cs="Arial"/>
                <w:sz w:val="18"/>
                <w:szCs w:val="18"/>
              </w:rPr>
              <w:tab/>
              <w:t>postępowania w sprawie scalenia i wymiany gruntów;</w:t>
            </w:r>
          </w:p>
          <w:p w14:paraId="2C03907B" w14:textId="77777777" w:rsidR="00BA0201" w:rsidRPr="00D50C46" w:rsidRDefault="00BA0201" w:rsidP="002F5E05">
            <w:pPr>
              <w:pStyle w:val="Inne0"/>
              <w:ind w:left="556" w:right="272" w:hanging="420"/>
              <w:rPr>
                <w:rFonts w:ascii="Lato" w:eastAsia="Arial" w:hAnsi="Lato" w:cs="Arial"/>
                <w:sz w:val="18"/>
                <w:szCs w:val="18"/>
              </w:rPr>
            </w:pPr>
            <w:r w:rsidRPr="00D50C46">
              <w:rPr>
                <w:rFonts w:ascii="Lato" w:eastAsia="Arial" w:hAnsi="Lato" w:cs="Arial"/>
                <w:sz w:val="18"/>
                <w:szCs w:val="18"/>
              </w:rPr>
              <w:t>2)</w:t>
            </w:r>
            <w:r w:rsidRPr="00D50C46">
              <w:rPr>
                <w:rFonts w:ascii="Lato" w:eastAsia="Arial" w:hAnsi="Lato" w:cs="Arial"/>
                <w:sz w:val="18"/>
                <w:szCs w:val="18"/>
              </w:rPr>
              <w:tab/>
              <w:t>postępowania w sprawie scalenia i podziału nieruchomości;</w:t>
            </w:r>
          </w:p>
          <w:p w14:paraId="1FCA7D67" w14:textId="77777777" w:rsidR="00BA0201" w:rsidRPr="00D50C46" w:rsidRDefault="00BA0201" w:rsidP="002F5E05">
            <w:pPr>
              <w:pStyle w:val="Inne0"/>
              <w:ind w:left="556" w:right="272" w:hanging="420"/>
              <w:rPr>
                <w:rFonts w:ascii="Lato" w:eastAsia="Arial" w:hAnsi="Lato" w:cs="Arial"/>
                <w:sz w:val="18"/>
                <w:szCs w:val="18"/>
              </w:rPr>
            </w:pPr>
            <w:r w:rsidRPr="00D50C46">
              <w:rPr>
                <w:rFonts w:ascii="Lato" w:eastAsia="Arial" w:hAnsi="Lato" w:cs="Arial"/>
                <w:sz w:val="18"/>
                <w:szCs w:val="18"/>
              </w:rPr>
              <w:t>3)</w:t>
            </w:r>
            <w:r w:rsidRPr="00D50C46">
              <w:rPr>
                <w:rFonts w:ascii="Lato" w:eastAsia="Arial" w:hAnsi="Lato" w:cs="Arial"/>
                <w:sz w:val="18"/>
                <w:szCs w:val="18"/>
              </w:rPr>
              <w:tab/>
              <w:t>postępowania sądowego lub administracyjnego, dla których niezbędne było sporządzenie dokumentacji geodezyjnej przyjętej do państwowego zasobu geodezyjnego i kartograficznego;</w:t>
            </w:r>
          </w:p>
          <w:p w14:paraId="36398D2B" w14:textId="77777777" w:rsidR="00BA0201" w:rsidRPr="00D50C46" w:rsidRDefault="00BA0201" w:rsidP="002F5E05">
            <w:pPr>
              <w:pStyle w:val="Inne0"/>
              <w:ind w:left="556" w:right="272" w:hanging="420"/>
              <w:rPr>
                <w:rFonts w:ascii="Lato" w:eastAsia="Arial" w:hAnsi="Lato" w:cs="Arial"/>
                <w:sz w:val="18"/>
                <w:szCs w:val="18"/>
              </w:rPr>
            </w:pPr>
            <w:r w:rsidRPr="00D50C46">
              <w:rPr>
                <w:rFonts w:ascii="Lato" w:eastAsia="Arial" w:hAnsi="Lato" w:cs="Arial"/>
                <w:sz w:val="18"/>
                <w:szCs w:val="18"/>
              </w:rPr>
              <w:t>4)</w:t>
            </w:r>
            <w:r w:rsidRPr="00D50C46">
              <w:rPr>
                <w:rFonts w:ascii="Lato" w:eastAsia="Arial" w:hAnsi="Lato" w:cs="Arial"/>
                <w:sz w:val="18"/>
                <w:szCs w:val="18"/>
              </w:rPr>
              <w:tab/>
              <w:t>postępowania w sprawie podziału nieruchomości;</w:t>
            </w:r>
          </w:p>
          <w:p w14:paraId="58E97FAA" w14:textId="77777777" w:rsidR="00BA0201" w:rsidRPr="00D50C46" w:rsidRDefault="00BA0201" w:rsidP="002F5E05">
            <w:pPr>
              <w:pStyle w:val="Inne0"/>
              <w:ind w:left="556" w:right="272" w:hanging="420"/>
              <w:rPr>
                <w:rFonts w:ascii="Lato" w:eastAsia="Arial" w:hAnsi="Lato" w:cs="Arial"/>
                <w:sz w:val="18"/>
                <w:szCs w:val="18"/>
              </w:rPr>
            </w:pPr>
            <w:r w:rsidRPr="00D50C46">
              <w:rPr>
                <w:rFonts w:ascii="Lato" w:eastAsia="Arial" w:hAnsi="Lato" w:cs="Arial"/>
                <w:sz w:val="18"/>
                <w:szCs w:val="18"/>
              </w:rPr>
              <w:t>5)</w:t>
            </w:r>
            <w:r w:rsidRPr="00D50C46">
              <w:rPr>
                <w:rFonts w:ascii="Lato" w:eastAsia="Arial" w:hAnsi="Lato" w:cs="Arial"/>
                <w:sz w:val="18"/>
                <w:szCs w:val="18"/>
              </w:rPr>
              <w:tab/>
              <w:t>ustalenia przebiegu granic działek ewidencyjnych, o którym mowa w przepisach wydanych na podstawie art. 26 ust. 2 ustawy;</w:t>
            </w:r>
          </w:p>
          <w:p w14:paraId="37A3C8CA" w14:textId="77777777" w:rsidR="00A1261B" w:rsidRPr="00D50C46" w:rsidRDefault="00BA0201" w:rsidP="002F5E05">
            <w:pPr>
              <w:pStyle w:val="Inne0"/>
              <w:shd w:val="clear" w:color="auto" w:fill="auto"/>
              <w:ind w:left="556" w:right="272" w:hanging="420"/>
              <w:rPr>
                <w:rFonts w:ascii="Lato" w:eastAsia="Arial" w:hAnsi="Lato" w:cs="Arial"/>
                <w:sz w:val="18"/>
                <w:szCs w:val="18"/>
              </w:rPr>
            </w:pPr>
            <w:r w:rsidRPr="00D50C46">
              <w:rPr>
                <w:rFonts w:ascii="Lato" w:eastAsia="Arial" w:hAnsi="Lato" w:cs="Arial"/>
                <w:sz w:val="18"/>
                <w:szCs w:val="18"/>
              </w:rPr>
              <w:t>6)</w:t>
            </w:r>
            <w:r w:rsidRPr="00D50C46">
              <w:rPr>
                <w:rFonts w:ascii="Lato" w:eastAsia="Arial" w:hAnsi="Lato" w:cs="Arial"/>
                <w:sz w:val="18"/>
                <w:szCs w:val="18"/>
              </w:rPr>
              <w:tab/>
              <w:t>założenia, na podstawie poprzednio obowiązujących przepisów, katastru nieruchomości i ewidencji gruntów i budynków.</w:t>
            </w:r>
          </w:p>
          <w:p w14:paraId="78DAA28A" w14:textId="77777777" w:rsidR="00BA0201" w:rsidRPr="00D50C46" w:rsidRDefault="00BA0201" w:rsidP="00D50C46">
            <w:pPr>
              <w:pStyle w:val="Inne0"/>
              <w:shd w:val="clear" w:color="auto" w:fill="auto"/>
              <w:spacing w:before="120" w:after="120"/>
              <w:ind w:left="130" w:right="274" w:firstLine="8"/>
              <w:rPr>
                <w:rFonts w:ascii="Lato" w:eastAsia="Arial" w:hAnsi="Lato" w:cs="Arial"/>
                <w:sz w:val="18"/>
                <w:szCs w:val="18"/>
              </w:rPr>
            </w:pPr>
            <w:r w:rsidRPr="00D50C46">
              <w:rPr>
                <w:rFonts w:ascii="Lato" w:eastAsia="Arial" w:hAnsi="Lato" w:cs="Arial"/>
                <w:sz w:val="18"/>
                <w:szCs w:val="18"/>
              </w:rPr>
              <w:t xml:space="preserve">Natomiast w przekazanym wyjaśnieniu wskazano m.in., że: „Ponadto stabilizacja punktu granicznego znakiem granicznym ma jedynie na celu fizyczne utrwalenie położenia punktu w terenie. Wystąpienie sporu na etapie stabilizacji punktów granicznych nie powoduje zmiany położenia tych punktów w ewidencji gruntów i budynków ani nie </w:t>
            </w:r>
            <w:r w:rsidRPr="00D50C46">
              <w:rPr>
                <w:rFonts w:ascii="Lato" w:eastAsia="Arial" w:hAnsi="Lato" w:cs="Arial"/>
                <w:sz w:val="18"/>
                <w:szCs w:val="18"/>
              </w:rPr>
              <w:lastRenderedPageBreak/>
              <w:t>wywołuje innych zmian w tym rejestrze”, co nie jest zgodne z treścią projektu ustawy.</w:t>
            </w:r>
          </w:p>
          <w:p w14:paraId="60EA3A91" w14:textId="77777777" w:rsidR="00BA0201" w:rsidRPr="00D50C46" w:rsidRDefault="00BA0201" w:rsidP="00D50C46">
            <w:pPr>
              <w:pStyle w:val="Inne0"/>
              <w:spacing w:before="120" w:after="120"/>
              <w:ind w:left="130" w:right="274" w:firstLine="8"/>
              <w:rPr>
                <w:rFonts w:ascii="Lato" w:eastAsia="Arial" w:hAnsi="Lato" w:cs="Arial"/>
                <w:sz w:val="18"/>
                <w:szCs w:val="18"/>
              </w:rPr>
            </w:pPr>
            <w:r w:rsidRPr="00D50C46">
              <w:rPr>
                <w:rFonts w:ascii="Lato" w:eastAsia="Arial" w:hAnsi="Lato" w:cs="Arial"/>
                <w:sz w:val="18"/>
                <w:szCs w:val="18"/>
              </w:rPr>
              <w:t xml:space="preserve">Z treści projektowanego art. 39 ust. 2 wynika, że „Spór co do położenia wznawianych znaków granicznych wstrzymuje stabilizację spornych punktów granicznych. Sporne punkty podlegają tymczasowemu utrwaleniu i pomiarowi. Rozstrzygnięcie sporu może nastąpić w postępowaniu rozgraniczeniowym, z wyłączeniem przypadków określonych w ust. 1 pkt 1, w których rozstrzygniecie sporu następuje przed sądem powszechnym w trybie postępowania nieprocesowego. Informację o sporze zamieszcza się w protokole, o którym mowa w ust. 11”. Przepis ten dotyczy zatem punktów granicznych, których położenie zostało uprzednio jednoznacznie określone i które były </w:t>
            </w:r>
            <w:proofErr w:type="spellStart"/>
            <w:r w:rsidRPr="00D50C46">
              <w:rPr>
                <w:rFonts w:ascii="Lato" w:eastAsia="Arial" w:hAnsi="Lato" w:cs="Arial"/>
                <w:sz w:val="18"/>
                <w:szCs w:val="18"/>
              </w:rPr>
              <w:t>zastabilizowane</w:t>
            </w:r>
            <w:proofErr w:type="spellEnd"/>
            <w:r w:rsidRPr="00D50C46">
              <w:rPr>
                <w:rFonts w:ascii="Lato" w:eastAsia="Arial" w:hAnsi="Lato" w:cs="Arial"/>
                <w:sz w:val="18"/>
                <w:szCs w:val="18"/>
              </w:rPr>
              <w:t xml:space="preserve"> na podstawie dokumentów z postępowań wymienionych w pkt 1-6 powyżej. W odniesieniu do punktów „spornych” zakazano ich trwałej stabilizacji, nie mogą więc jednoznacznie określać przebiegu granic i stanowić podstawy do przeprowadzenia postępowania administracyjnego. Istota sporu granicznego dotyczy położenia punktów granicznych, a nie rodzaju wznawianych znaków granicznych. W celu rozstrzygnięcia sporu Projektodawca odsyła strony do postępowania rozgraniczeniowego, które ma na celu właśnie określenie położenia punktów granicznych. Nie można zatem mówić, że nie powoduje to niepewności odnośnie do przebiegu granic.</w:t>
            </w:r>
          </w:p>
          <w:p w14:paraId="14D5BCEC" w14:textId="77777777" w:rsidR="00BA0201" w:rsidRPr="00D50C46" w:rsidRDefault="00BA0201" w:rsidP="00D50C46">
            <w:pPr>
              <w:pStyle w:val="Inne0"/>
              <w:spacing w:before="120" w:after="120"/>
              <w:ind w:left="130" w:right="274" w:firstLine="8"/>
              <w:rPr>
                <w:rFonts w:ascii="Lato" w:eastAsia="Arial" w:hAnsi="Lato" w:cs="Arial"/>
                <w:sz w:val="18"/>
                <w:szCs w:val="18"/>
              </w:rPr>
            </w:pPr>
            <w:r w:rsidRPr="00D50C46">
              <w:rPr>
                <w:rFonts w:ascii="Lato" w:eastAsia="Arial" w:hAnsi="Lato" w:cs="Arial"/>
                <w:sz w:val="18"/>
                <w:szCs w:val="18"/>
              </w:rPr>
              <w:t>Należy podkreślić, że koszty dodatkowych postępowań rozgraniczeniowych w skali całego kraju, które będzie musiał ponieść Skarb Państwa, mogą wynieść nawet kilkadziesiąt milionów złotych rocznie. Brak wprowadzenia postulowanych zmian znacznie utrudni nie tylko zarządzanie drogami krajowymi, ale wszystkimi kategoriami dróg publicznych.</w:t>
            </w:r>
          </w:p>
          <w:p w14:paraId="66BD60F4" w14:textId="77777777" w:rsidR="00BA0201" w:rsidRPr="00D50C46" w:rsidRDefault="00BA0201" w:rsidP="00D50C46">
            <w:pPr>
              <w:pStyle w:val="Inne0"/>
              <w:spacing w:before="120" w:after="120"/>
              <w:ind w:left="130" w:right="274" w:firstLine="8"/>
              <w:rPr>
                <w:rFonts w:ascii="Lato" w:eastAsia="Arial" w:hAnsi="Lato" w:cs="Arial"/>
                <w:sz w:val="18"/>
                <w:szCs w:val="18"/>
              </w:rPr>
            </w:pPr>
            <w:r w:rsidRPr="00D50C46">
              <w:rPr>
                <w:rFonts w:ascii="Lato" w:eastAsia="Arial" w:hAnsi="Lato" w:cs="Arial"/>
                <w:sz w:val="18"/>
                <w:szCs w:val="18"/>
              </w:rPr>
              <w:t>Wobec powyższego proponuję następujące brzmienie art. 39 ust. 2</w:t>
            </w:r>
          </w:p>
          <w:p w14:paraId="2B448777" w14:textId="0A3D6BD4" w:rsidR="00BA0201" w:rsidRPr="00D50C46" w:rsidRDefault="00BA0201" w:rsidP="00D50C46">
            <w:pPr>
              <w:pStyle w:val="Inne0"/>
              <w:shd w:val="clear" w:color="auto" w:fill="auto"/>
              <w:spacing w:before="120" w:after="120"/>
              <w:ind w:left="130" w:right="274" w:firstLine="8"/>
              <w:rPr>
                <w:rFonts w:ascii="Lato" w:eastAsia="Arial" w:hAnsi="Lato" w:cs="Arial"/>
                <w:i/>
                <w:iCs/>
                <w:sz w:val="18"/>
                <w:szCs w:val="18"/>
              </w:rPr>
            </w:pPr>
            <w:r w:rsidRPr="00D50C46">
              <w:rPr>
                <w:rFonts w:ascii="Lato" w:eastAsia="Arial" w:hAnsi="Lato" w:cs="Arial"/>
                <w:i/>
                <w:iCs/>
                <w:sz w:val="18"/>
                <w:szCs w:val="18"/>
              </w:rPr>
              <w:t xml:space="preserve">„2. Spór co do położenia wznawianych znaków </w:t>
            </w:r>
            <w:r w:rsidRPr="00D50C46">
              <w:rPr>
                <w:rFonts w:ascii="Lato" w:eastAsia="Arial" w:hAnsi="Lato" w:cs="Arial"/>
                <w:b/>
                <w:bCs/>
                <w:i/>
                <w:iCs/>
                <w:sz w:val="18"/>
                <w:szCs w:val="18"/>
              </w:rPr>
              <w:t>granicznych nie wstrzymuje stabilizacji spornych punktów granicznych</w:t>
            </w:r>
            <w:r w:rsidRPr="00D50C46">
              <w:rPr>
                <w:rFonts w:ascii="Lato" w:eastAsia="Arial" w:hAnsi="Lato" w:cs="Arial"/>
                <w:i/>
                <w:iCs/>
                <w:sz w:val="18"/>
                <w:szCs w:val="18"/>
              </w:rPr>
              <w:t xml:space="preserve">. Rozstrzygnięcie sporu może nastąpić w postępowaniu rozgraniczeniowym, z wyłączeniem przypadków określonych w ust. 1 pkt 1, </w:t>
            </w:r>
            <w:r w:rsidRPr="00D50C46">
              <w:rPr>
                <w:rFonts w:ascii="Lato" w:eastAsia="Arial" w:hAnsi="Lato" w:cs="Arial"/>
                <w:i/>
                <w:iCs/>
                <w:sz w:val="18"/>
                <w:szCs w:val="18"/>
              </w:rPr>
              <w:lastRenderedPageBreak/>
              <w:t>w których rozstrzygniecie sporu następuje przed sądem powszechnym. Informację o sporze zamieszcza się w protokole, o którym mowa w ust. 11.”.</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F0DB9EB" w14:textId="77777777" w:rsidR="00A1261B" w:rsidRPr="00D50C46" w:rsidRDefault="00A1261B"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76756B4E" w14:textId="41488CFB" w:rsidR="00FF507F" w:rsidRDefault="00FF507F" w:rsidP="00FF507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01561A1C" w14:textId="373F7224" w:rsidR="00FF507F" w:rsidRDefault="00FF507F" w:rsidP="00FF507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Projektodawca podtrzymuje stanowisko, że </w:t>
            </w:r>
            <w:r w:rsidRPr="00FF507F">
              <w:rPr>
                <w:rFonts w:ascii="Lato" w:eastAsia="Arial" w:hAnsi="Lato" w:cs="Arial"/>
                <w:sz w:val="18"/>
                <w:szCs w:val="18"/>
              </w:rPr>
              <w:t xml:space="preserve">w przypadku sporu </w:t>
            </w:r>
            <w:r>
              <w:rPr>
                <w:rFonts w:ascii="Lato" w:eastAsia="Arial" w:hAnsi="Lato" w:cs="Arial"/>
                <w:sz w:val="18"/>
                <w:szCs w:val="18"/>
              </w:rPr>
              <w:t xml:space="preserve">granicznego </w:t>
            </w:r>
            <w:r w:rsidRPr="00FF507F">
              <w:rPr>
                <w:rFonts w:ascii="Lato" w:eastAsia="Arial" w:hAnsi="Lato" w:cs="Arial"/>
                <w:sz w:val="18"/>
                <w:szCs w:val="18"/>
              </w:rPr>
              <w:t>stabilizacj</w:t>
            </w:r>
            <w:r>
              <w:rPr>
                <w:rFonts w:ascii="Lato" w:eastAsia="Arial" w:hAnsi="Lato" w:cs="Arial"/>
                <w:sz w:val="18"/>
                <w:szCs w:val="18"/>
              </w:rPr>
              <w:t>a punktów granicznych powinna zostać wstrzymana</w:t>
            </w:r>
            <w:r w:rsidRPr="00FF507F">
              <w:rPr>
                <w:rFonts w:ascii="Lato" w:eastAsia="Arial" w:hAnsi="Lato" w:cs="Arial"/>
                <w:sz w:val="18"/>
                <w:szCs w:val="18"/>
              </w:rPr>
              <w:t>.</w:t>
            </w:r>
            <w:r>
              <w:rPr>
                <w:rFonts w:ascii="Lato" w:eastAsia="Arial" w:hAnsi="Lato" w:cs="Arial"/>
                <w:sz w:val="18"/>
                <w:szCs w:val="18"/>
              </w:rPr>
              <w:t xml:space="preserve"> Nie można oznaczać w terenie znakami granicznymi położenia punktów</w:t>
            </w:r>
            <w:r w:rsidR="0027125F">
              <w:rPr>
                <w:rFonts w:ascii="Lato" w:eastAsia="Arial" w:hAnsi="Lato" w:cs="Arial"/>
                <w:sz w:val="18"/>
                <w:szCs w:val="18"/>
              </w:rPr>
              <w:t xml:space="preserve"> granicznych</w:t>
            </w:r>
            <w:r>
              <w:rPr>
                <w:rFonts w:ascii="Lato" w:eastAsia="Arial" w:hAnsi="Lato" w:cs="Arial"/>
                <w:sz w:val="18"/>
                <w:szCs w:val="18"/>
              </w:rPr>
              <w:t xml:space="preserve">, </w:t>
            </w:r>
            <w:r w:rsidR="0027125F">
              <w:rPr>
                <w:rFonts w:ascii="Lato" w:eastAsia="Arial" w:hAnsi="Lato" w:cs="Arial"/>
                <w:sz w:val="18"/>
                <w:szCs w:val="18"/>
              </w:rPr>
              <w:t xml:space="preserve">co do którego położenia nie zgadzają się </w:t>
            </w:r>
            <w:r>
              <w:rPr>
                <w:rFonts w:ascii="Lato" w:eastAsia="Arial" w:hAnsi="Lato" w:cs="Arial"/>
                <w:sz w:val="18"/>
                <w:szCs w:val="18"/>
              </w:rPr>
              <w:t>właściciel</w:t>
            </w:r>
            <w:r w:rsidR="0027125F">
              <w:rPr>
                <w:rFonts w:ascii="Lato" w:eastAsia="Arial" w:hAnsi="Lato" w:cs="Arial"/>
                <w:sz w:val="18"/>
                <w:szCs w:val="18"/>
              </w:rPr>
              <w:t>e</w:t>
            </w:r>
            <w:r>
              <w:rPr>
                <w:rFonts w:ascii="Lato" w:eastAsia="Arial" w:hAnsi="Lato" w:cs="Arial"/>
                <w:sz w:val="18"/>
                <w:szCs w:val="18"/>
              </w:rPr>
              <w:t xml:space="preserve"> sąsiednich nieruchomości. Należy wskazać, że zgodnie z art. 152 Kodeksu Cywilnego - w</w:t>
            </w:r>
            <w:r w:rsidRPr="00FF507F">
              <w:rPr>
                <w:rFonts w:ascii="Lato" w:eastAsia="Arial" w:hAnsi="Lato" w:cs="Arial"/>
                <w:sz w:val="18"/>
                <w:szCs w:val="18"/>
              </w:rPr>
              <w:t>łaściciele gruntów sąsiadujących obowiązani są do współdziałania przy utrzymywaniu stałych znaków granicznych.</w:t>
            </w:r>
            <w:r>
              <w:rPr>
                <w:rFonts w:ascii="Lato" w:eastAsia="Arial" w:hAnsi="Lato" w:cs="Arial"/>
                <w:sz w:val="18"/>
                <w:szCs w:val="18"/>
              </w:rPr>
              <w:t xml:space="preserve"> W przypadku zatem sporu między właścicielami  </w:t>
            </w:r>
            <w:r w:rsidRPr="00FF507F">
              <w:rPr>
                <w:rFonts w:ascii="Lato" w:eastAsia="Arial" w:hAnsi="Lato" w:cs="Arial"/>
                <w:sz w:val="18"/>
                <w:szCs w:val="18"/>
              </w:rPr>
              <w:t>gruntów sąsiadujących</w:t>
            </w:r>
            <w:r>
              <w:rPr>
                <w:rFonts w:ascii="Lato" w:eastAsia="Arial" w:hAnsi="Lato" w:cs="Arial"/>
                <w:sz w:val="18"/>
                <w:szCs w:val="18"/>
              </w:rPr>
              <w:t xml:space="preserve"> nie może dojść do stabilizacji tych punktów, będzie to bowiem sprzeczne z przepisami Kodeksu Cywilnego. </w:t>
            </w:r>
          </w:p>
          <w:p w14:paraId="0A1E93E1" w14:textId="3670584F" w:rsidR="0027125F" w:rsidRDefault="0027125F" w:rsidP="00FF507F">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Ponadto, odnosząc się do uwagi, że </w:t>
            </w:r>
            <w:r w:rsidRPr="0027125F">
              <w:rPr>
                <w:rFonts w:ascii="Lato" w:eastAsia="Arial" w:hAnsi="Lato" w:cs="Arial"/>
                <w:i/>
                <w:iCs/>
                <w:sz w:val="18"/>
                <w:szCs w:val="18"/>
              </w:rPr>
              <w:t>koszty dodatkowych postępowań rozgraniczeniowych w skali całego kraju, które będzie musiał ponieść Skarb Państwa, mogą wynieść nawet kilkadziesiąt milionów złotych rocznie</w:t>
            </w:r>
            <w:r>
              <w:rPr>
                <w:rFonts w:ascii="Lato" w:eastAsia="Arial" w:hAnsi="Lato" w:cs="Arial"/>
                <w:sz w:val="18"/>
                <w:szCs w:val="18"/>
              </w:rPr>
              <w:t xml:space="preserve"> – należy zauważyć, że przedmiotowy przepis art. 39 ustawy – Prawo geodezyjne i kartograficzne nie dotyczy przeprowadzania postępowań administracyjnych w zakresie rozgraniczania nieruchomości, które uregulowane są w przepisach art. 29-37 ww. ustawy. Projektowana zmiana zawarta w art. 39 ustawy nie wpływa w żaden sposób na obowiązki stron i organów wynikające regulacji obowiązujących w przedmiotowym zakresie.</w:t>
            </w:r>
            <w:r w:rsidR="00AF0669">
              <w:rPr>
                <w:rFonts w:ascii="Lato" w:eastAsia="Arial" w:hAnsi="Lato" w:cs="Arial"/>
                <w:sz w:val="18"/>
                <w:szCs w:val="18"/>
              </w:rPr>
              <w:t xml:space="preserve"> Wprowadzenie postulowanej przez Ministerstwo Infrastruktury zmiany nie spowoduje, że dla przedmiotowych punktów granicznych zniknie spór granicznych i nie będą przeprowadzane postępowania w sprawie rozgraniczenia nieruchomości.</w:t>
            </w:r>
          </w:p>
          <w:p w14:paraId="4F0553B8" w14:textId="1C71A549" w:rsidR="00A1261B" w:rsidRPr="0037774A" w:rsidRDefault="0027125F" w:rsidP="00AF0669">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Mając na względzie powyższe nie można zgodzić się z zarzutem, że b</w:t>
            </w:r>
            <w:r w:rsidRPr="0027125F">
              <w:rPr>
                <w:rFonts w:ascii="Lato" w:eastAsia="Arial" w:hAnsi="Lato" w:cs="Arial"/>
                <w:sz w:val="18"/>
                <w:szCs w:val="18"/>
              </w:rPr>
              <w:t>rak wprowadzenia postulowanych zmian znacznie utrudni nie tylko zarządzanie drogami krajowymi, ale wszystkimi kategoriami dróg publicznych.</w:t>
            </w:r>
            <w:r>
              <w:rPr>
                <w:rFonts w:ascii="Lato" w:eastAsia="Arial" w:hAnsi="Lato" w:cs="Arial"/>
                <w:sz w:val="18"/>
                <w:szCs w:val="18"/>
              </w:rPr>
              <w:t xml:space="preserve"> </w:t>
            </w:r>
          </w:p>
        </w:tc>
      </w:tr>
      <w:tr w:rsidR="00343B58" w:rsidRPr="0037774A" w14:paraId="65A9E3AD" w14:textId="1A69A572" w:rsidTr="00D50C46">
        <w:trPr>
          <w:trHeight w:val="20"/>
        </w:trPr>
        <w:tc>
          <w:tcPr>
            <w:tcW w:w="709" w:type="dxa"/>
            <w:tcBorders>
              <w:top w:val="single" w:sz="4" w:space="0" w:color="auto"/>
              <w:left w:val="single" w:sz="4" w:space="0" w:color="auto"/>
              <w:bottom w:val="single" w:sz="4" w:space="0" w:color="auto"/>
            </w:tcBorders>
            <w:shd w:val="clear" w:color="auto" w:fill="FFFFFF"/>
          </w:tcPr>
          <w:p w14:paraId="24DB4684" w14:textId="77777777" w:rsidR="00343B58" w:rsidRPr="0037774A" w:rsidRDefault="00343B58" w:rsidP="00343B58">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B2D0036" w14:textId="42361279" w:rsidR="00343B58" w:rsidRPr="00D50C46" w:rsidRDefault="00343B58"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31A69899" w14:textId="77777777" w:rsidR="00343B58" w:rsidRPr="00D50C46" w:rsidRDefault="00343B58"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Podtrzymuję uwagę ujętą w pkt 120 w tabeli uwag, dotyczącą rozszerzenia zwolnienia z opłaty za wypis i wyrysy z operatu ewidencyjnego podmiotów wykonujących prawa właścicielskie Skarbu Państwa uprawnionych, w szczególności Państwowe Gospodarstwo Wodne Wody Polskie (PGW WP). Jednak proponuję poniższy sposób uwzględnienia przedmiotowej uwagi.</w:t>
            </w:r>
          </w:p>
          <w:p w14:paraId="1B4B8708" w14:textId="77777777" w:rsidR="00343B58" w:rsidRPr="00D50C46" w:rsidRDefault="00343B58"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1) Art. 40b ust. 2 pkt 4 otrzymuje brzmienie:</w:t>
            </w:r>
          </w:p>
          <w:p w14:paraId="3B87FC19" w14:textId="77777777" w:rsidR="00343B58" w:rsidRPr="00D50C46" w:rsidRDefault="00343B58" w:rsidP="00D50C46">
            <w:pPr>
              <w:pStyle w:val="Inne0"/>
              <w:spacing w:before="120" w:after="120"/>
              <w:ind w:left="138" w:right="274"/>
              <w:rPr>
                <w:rFonts w:ascii="Lato" w:eastAsia="Arial" w:hAnsi="Lato" w:cs="Arial"/>
                <w:i/>
                <w:iCs/>
                <w:sz w:val="18"/>
                <w:szCs w:val="18"/>
              </w:rPr>
            </w:pPr>
            <w:r w:rsidRPr="00D50C46">
              <w:rPr>
                <w:rFonts w:ascii="Lato" w:eastAsia="Arial" w:hAnsi="Lato" w:cs="Arial"/>
                <w:i/>
                <w:iCs/>
                <w:sz w:val="18"/>
                <w:szCs w:val="18"/>
              </w:rPr>
              <w:t xml:space="preserve">„4) organów administracji rządowej i jednostek samorządu terytorialnego </w:t>
            </w:r>
            <w:r w:rsidRPr="00D50C46">
              <w:rPr>
                <w:rFonts w:ascii="Lato" w:eastAsia="Arial" w:hAnsi="Lato" w:cs="Arial"/>
                <w:b/>
                <w:bCs/>
                <w:i/>
                <w:iCs/>
                <w:sz w:val="18"/>
                <w:szCs w:val="18"/>
              </w:rPr>
              <w:t>oraz państwowych osób prawnych</w:t>
            </w:r>
            <w:r w:rsidRPr="00D50C46">
              <w:rPr>
                <w:rFonts w:ascii="Lato" w:eastAsia="Arial" w:hAnsi="Lato" w:cs="Arial"/>
                <w:i/>
                <w:iCs/>
                <w:sz w:val="18"/>
                <w:szCs w:val="18"/>
              </w:rPr>
              <w:t>, w związku z ich działaniami mającymi na celu:”;</w:t>
            </w:r>
          </w:p>
          <w:p w14:paraId="6ADF1BC7" w14:textId="77777777" w:rsidR="00343B58" w:rsidRPr="00D50C46" w:rsidRDefault="00343B58"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2) Art. 40b ust. 2 pkt 4 lit. a otrzymuje brzmienie:</w:t>
            </w:r>
          </w:p>
          <w:p w14:paraId="0C399330" w14:textId="77777777" w:rsidR="00343B58" w:rsidRPr="00D50C46" w:rsidRDefault="00343B58" w:rsidP="00D50C46">
            <w:pPr>
              <w:pStyle w:val="Inne0"/>
              <w:spacing w:before="120" w:after="120"/>
              <w:ind w:left="138" w:right="274"/>
              <w:rPr>
                <w:rFonts w:ascii="Lato" w:eastAsia="Arial" w:hAnsi="Lato" w:cs="Arial"/>
                <w:i/>
                <w:iCs/>
                <w:sz w:val="18"/>
                <w:szCs w:val="18"/>
              </w:rPr>
            </w:pPr>
            <w:r w:rsidRPr="00D50C46">
              <w:rPr>
                <w:rFonts w:ascii="Lato" w:eastAsia="Arial" w:hAnsi="Lato" w:cs="Arial"/>
                <w:i/>
                <w:iCs/>
                <w:sz w:val="18"/>
                <w:szCs w:val="18"/>
              </w:rPr>
              <w:t xml:space="preserve">„a) ujawnienie prawa do nieruchomości Skarbu Państwa lub jednostki samorządu terytorialnego w księdze wieczystej </w:t>
            </w:r>
            <w:r w:rsidRPr="00D50C46">
              <w:rPr>
                <w:rFonts w:ascii="Lato" w:eastAsia="Arial" w:hAnsi="Lato" w:cs="Arial"/>
                <w:b/>
                <w:bCs/>
                <w:i/>
                <w:iCs/>
                <w:sz w:val="18"/>
                <w:szCs w:val="18"/>
              </w:rPr>
              <w:t>oraz reprezentacji tych praw</w:t>
            </w:r>
            <w:r w:rsidRPr="00D50C46">
              <w:rPr>
                <w:rFonts w:ascii="Lato" w:eastAsia="Arial" w:hAnsi="Lato" w:cs="Arial"/>
                <w:i/>
                <w:iCs/>
                <w:sz w:val="18"/>
                <w:szCs w:val="18"/>
              </w:rPr>
              <w:t>,”.</w:t>
            </w:r>
          </w:p>
          <w:p w14:paraId="01EC68BB" w14:textId="77777777" w:rsidR="00343B58" w:rsidRPr="00D50C46" w:rsidRDefault="00343B58"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Mimo stanowiska Wnioskodawcy, że przedmiotowa propozycja spowoduje obniżenie wpływów z tytułu opłat związanych z prowadzeniem państwowego zasobu geodezyjnego i kartograficznego, należy wskazać, że na podstawie obecnie obowiązujących przepisów, co do zasady, wszystkie organy wykonujące zadania z zakresu administracji publicznej są zwolnione z przedmiotowej opłaty (w tym sądy, organy administracji rządowej i jednostki samorządu terytorialnego). Tym samym już obecnie obowiązujące zwolnienia prowadzą do zmniejszenia wpływów z tej opłaty. Jednak mając na uwadze, że przedmiotowy katalog podmiotów jest niepełny, gdyż nie uwzględnia innych organów ze sfery podmiotów wykonujących zadania z zakresu administracji rządowej, niezbędne jest jego uzupełnienie. Ponadto konieczność realizacji nowych inwestycji pozwalających na lepsze zabezpieczenie przed powodzią, konieczność naprawy i rozbudowy istniejących urządzeń wymaga sprawnego i możliwie szybkiego pozyskiwania gruntów pod ich realizację. Natomiast nabywanie nieruchomości na potrzeby inwestycji przeciwpowodziowych wymaga uprzedniego </w:t>
            </w:r>
            <w:r w:rsidRPr="00D50C46">
              <w:rPr>
                <w:rFonts w:ascii="Lato" w:eastAsia="Arial" w:hAnsi="Lato" w:cs="Arial"/>
                <w:sz w:val="18"/>
                <w:szCs w:val="18"/>
              </w:rPr>
              <w:lastRenderedPageBreak/>
              <w:t>uzyskania wypisów z ewidencji gruntów i budynków, co zbytecznie podwyższa koszty inwestycji po stronie Skarbu Państwa (reprezentowanego przez PGW WP). W wielu przypadkach środki na realizacje inwestycji zapewniane są z budżetu państwa w ramach przyznawanych dotacji celowych. Tym samym ponoszenie kosztów przez PGW WP na rzecz realizacji inwestycji doprowadza do zbytecznego przekazywania do budżetu państwa środków uzyskanych z budżetu państwa.</w:t>
            </w:r>
          </w:p>
          <w:p w14:paraId="008EC8A6" w14:textId="77777777" w:rsidR="00343B58" w:rsidRPr="00D50C46" w:rsidRDefault="00343B58"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Należy także podkreślić, że inwestycje realizowane przez PGW WP o charakterze przeciwpowodziowym albo retencyjnym nie są realizowane w interesie własnym, ale w interesie ogółu obywateli i bezpieczeństwa Państwa. Proponowane rozwiązanie pozwoli na ograniczenie kosztów podejmowanych działań zarówno w sytuacjach kryzysowych, jak i w normalnym funkcjonowaniu.</w:t>
            </w:r>
          </w:p>
          <w:p w14:paraId="586DCB51" w14:textId="20F1493F" w:rsidR="00343B58" w:rsidRPr="00D50C46" w:rsidRDefault="00343B58"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Z danych ustalonych przez PGW WP wynika, że potwierdzenie lub ustalenie reprezentacji Skarbu Państwa dotyczy jeszcze około 200 tys. działek, co może zwiększyć koszty PGW WP w tym zakresie o około 30 mln zł (przyjmując średnio za 1 wypis kwotę 150 zł x 199 619). W związku z powyższym wprowadzenie przedmiotowych zmian należy uznać za zasadne.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71DC902" w14:textId="77777777" w:rsidR="00343B58" w:rsidRPr="00D50C46" w:rsidRDefault="00343B58"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5B80AFC" w14:textId="77777777" w:rsidR="002F5E05" w:rsidRDefault="002F5E05" w:rsidP="002F5E0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D04B693" w14:textId="096AFB39" w:rsidR="00C206B9" w:rsidRDefault="00C206B9" w:rsidP="002F5E0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Przede wszystkim j</w:t>
            </w:r>
            <w:r w:rsidR="002F5E05">
              <w:rPr>
                <w:rFonts w:ascii="Lato" w:eastAsia="Arial" w:hAnsi="Lato" w:cs="Arial"/>
                <w:sz w:val="18"/>
                <w:szCs w:val="18"/>
              </w:rPr>
              <w:t>ak wskazano w odpowiedzi na zgłoszoną uwagę –</w:t>
            </w:r>
            <w:r>
              <w:rPr>
                <w:rFonts w:ascii="Lato" w:eastAsia="Arial" w:hAnsi="Lato" w:cs="Arial"/>
                <w:sz w:val="18"/>
                <w:szCs w:val="18"/>
              </w:rPr>
              <w:t xml:space="preserve"> </w:t>
            </w:r>
            <w:r w:rsidR="002F5E05">
              <w:rPr>
                <w:rFonts w:ascii="Lato" w:eastAsia="Arial" w:hAnsi="Lato" w:cs="Arial"/>
                <w:sz w:val="18"/>
                <w:szCs w:val="18"/>
              </w:rPr>
              <w:t>p</w:t>
            </w:r>
            <w:r w:rsidR="002F5E05" w:rsidRPr="00EE1940">
              <w:rPr>
                <w:rFonts w:ascii="Lato" w:eastAsia="Arial" w:hAnsi="Lato" w:cs="Arial"/>
                <w:sz w:val="18"/>
                <w:szCs w:val="18"/>
              </w:rPr>
              <w:t xml:space="preserve">ropozycja </w:t>
            </w:r>
            <w:r w:rsidR="002F5E05">
              <w:rPr>
                <w:rFonts w:ascii="Lato" w:eastAsia="Arial" w:hAnsi="Lato" w:cs="Arial"/>
                <w:sz w:val="18"/>
                <w:szCs w:val="18"/>
              </w:rPr>
              <w:t xml:space="preserve">zmiany Ministerstwa Infrastruktury </w:t>
            </w:r>
            <w:r w:rsidR="002F5E05" w:rsidRPr="00EE1940">
              <w:rPr>
                <w:rFonts w:ascii="Lato" w:eastAsia="Arial" w:hAnsi="Lato" w:cs="Arial"/>
                <w:sz w:val="18"/>
                <w:szCs w:val="18"/>
              </w:rPr>
              <w:t>wykracza poza przedmiot regulacji</w:t>
            </w:r>
            <w:r w:rsidR="002F5E05">
              <w:rPr>
                <w:rFonts w:ascii="Lato" w:eastAsia="Arial" w:hAnsi="Lato" w:cs="Arial"/>
                <w:sz w:val="18"/>
                <w:szCs w:val="18"/>
              </w:rPr>
              <w:t xml:space="preserve"> projektu ustawy. </w:t>
            </w:r>
            <w:r>
              <w:rPr>
                <w:rFonts w:ascii="Lato" w:eastAsia="Arial" w:hAnsi="Lato" w:cs="Arial"/>
                <w:sz w:val="18"/>
                <w:szCs w:val="18"/>
              </w:rPr>
              <w:t xml:space="preserve">Projektodawca nie wprowadza w projekcie ustawy żadnych zwolnień w art. 40b ustawy – Prawo geodezyjne i kartograficzne w zakresie odpłatności za sporządzanie </w:t>
            </w:r>
            <w:r w:rsidRPr="00C206B9">
              <w:rPr>
                <w:rFonts w:ascii="Lato" w:eastAsia="Arial" w:hAnsi="Lato" w:cs="Arial"/>
                <w:sz w:val="18"/>
                <w:szCs w:val="18"/>
              </w:rPr>
              <w:t>wypis</w:t>
            </w:r>
            <w:r>
              <w:rPr>
                <w:rFonts w:ascii="Lato" w:eastAsia="Arial" w:hAnsi="Lato" w:cs="Arial"/>
                <w:sz w:val="18"/>
                <w:szCs w:val="18"/>
              </w:rPr>
              <w:t>ów</w:t>
            </w:r>
            <w:r w:rsidRPr="00C206B9">
              <w:rPr>
                <w:rFonts w:ascii="Lato" w:eastAsia="Arial" w:hAnsi="Lato" w:cs="Arial"/>
                <w:sz w:val="18"/>
                <w:szCs w:val="18"/>
              </w:rPr>
              <w:t xml:space="preserve"> i wyrys</w:t>
            </w:r>
            <w:r>
              <w:rPr>
                <w:rFonts w:ascii="Lato" w:eastAsia="Arial" w:hAnsi="Lato" w:cs="Arial"/>
                <w:sz w:val="18"/>
                <w:szCs w:val="18"/>
              </w:rPr>
              <w:t>ów</w:t>
            </w:r>
            <w:r w:rsidRPr="00C206B9">
              <w:rPr>
                <w:rFonts w:ascii="Lato" w:eastAsia="Arial" w:hAnsi="Lato" w:cs="Arial"/>
                <w:sz w:val="18"/>
                <w:szCs w:val="18"/>
              </w:rPr>
              <w:t xml:space="preserve"> z operatu ewidencyjnego</w:t>
            </w:r>
            <w:r>
              <w:rPr>
                <w:rFonts w:ascii="Lato" w:eastAsia="Arial" w:hAnsi="Lato" w:cs="Arial"/>
                <w:sz w:val="18"/>
                <w:szCs w:val="18"/>
              </w:rPr>
              <w:t>.</w:t>
            </w:r>
          </w:p>
          <w:p w14:paraId="3AA5E257" w14:textId="4EBE6902" w:rsidR="00343B58" w:rsidRDefault="002F5E05" w:rsidP="00312230">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Ponadto proponowana zmiana </w:t>
            </w:r>
            <w:r w:rsidRPr="00EE1940">
              <w:rPr>
                <w:rFonts w:ascii="Lato" w:eastAsia="Arial" w:hAnsi="Lato" w:cs="Arial"/>
                <w:sz w:val="18"/>
                <w:szCs w:val="18"/>
              </w:rPr>
              <w:t>spowoduje obniżenie wpływów z tytułu opłat zw</w:t>
            </w:r>
            <w:r>
              <w:rPr>
                <w:rFonts w:ascii="Lato" w:eastAsia="Arial" w:hAnsi="Lato" w:cs="Arial"/>
                <w:sz w:val="18"/>
                <w:szCs w:val="18"/>
              </w:rPr>
              <w:t>iązanych</w:t>
            </w:r>
            <w:r w:rsidRPr="00EE1940">
              <w:rPr>
                <w:rFonts w:ascii="Lato" w:eastAsia="Arial" w:hAnsi="Lato" w:cs="Arial"/>
                <w:sz w:val="18"/>
                <w:szCs w:val="18"/>
              </w:rPr>
              <w:t xml:space="preserve"> z prowadzeniem p</w:t>
            </w:r>
            <w:r>
              <w:rPr>
                <w:rFonts w:ascii="Lato" w:eastAsia="Arial" w:hAnsi="Lato" w:cs="Arial"/>
                <w:sz w:val="18"/>
                <w:szCs w:val="18"/>
              </w:rPr>
              <w:t xml:space="preserve">aństwowego zasobu geodezyjnego i kartograficznego, które to skutki </w:t>
            </w:r>
            <w:r w:rsidR="00C206B9">
              <w:rPr>
                <w:rFonts w:ascii="Lato" w:eastAsia="Arial" w:hAnsi="Lato" w:cs="Arial"/>
                <w:sz w:val="18"/>
                <w:szCs w:val="18"/>
              </w:rPr>
              <w:t xml:space="preserve">dla budżetów jednostek samorządu terytorialnego </w:t>
            </w:r>
            <w:r>
              <w:rPr>
                <w:rFonts w:ascii="Lato" w:eastAsia="Arial" w:hAnsi="Lato" w:cs="Arial"/>
                <w:sz w:val="18"/>
                <w:szCs w:val="18"/>
              </w:rPr>
              <w:t>będą znaczące.</w:t>
            </w:r>
            <w:r w:rsidR="00C206B9">
              <w:rPr>
                <w:rFonts w:ascii="Lato" w:eastAsia="Arial" w:hAnsi="Lato" w:cs="Arial"/>
                <w:sz w:val="18"/>
                <w:szCs w:val="18"/>
              </w:rPr>
              <w:t xml:space="preserve"> </w:t>
            </w:r>
            <w:r>
              <w:rPr>
                <w:rFonts w:ascii="Lato" w:eastAsia="Arial" w:hAnsi="Lato" w:cs="Arial"/>
                <w:sz w:val="18"/>
                <w:szCs w:val="18"/>
              </w:rPr>
              <w:t>Jak wskazano w uzasadnieniu uwagi</w:t>
            </w:r>
            <w:r w:rsidR="00312230">
              <w:rPr>
                <w:rFonts w:ascii="Lato" w:eastAsia="Arial" w:hAnsi="Lato" w:cs="Arial"/>
                <w:sz w:val="18"/>
                <w:szCs w:val="18"/>
              </w:rPr>
              <w:t>,</w:t>
            </w:r>
            <w:r>
              <w:rPr>
                <w:rFonts w:ascii="Lato" w:eastAsia="Arial" w:hAnsi="Lato" w:cs="Arial"/>
                <w:sz w:val="18"/>
                <w:szCs w:val="18"/>
              </w:rPr>
              <w:t xml:space="preserve"> z</w:t>
            </w:r>
            <w:r w:rsidRPr="002F5E05">
              <w:rPr>
                <w:rFonts w:ascii="Lato" w:eastAsia="Arial" w:hAnsi="Lato" w:cs="Arial"/>
                <w:sz w:val="18"/>
                <w:szCs w:val="18"/>
              </w:rPr>
              <w:t xml:space="preserve"> danych ustalonych przez PGW WP wynika, </w:t>
            </w:r>
            <w:r w:rsidR="00C206B9">
              <w:rPr>
                <w:rFonts w:ascii="Lato" w:eastAsia="Arial" w:hAnsi="Lato" w:cs="Arial"/>
                <w:sz w:val="18"/>
                <w:szCs w:val="18"/>
              </w:rPr>
              <w:t xml:space="preserve">ubytki we wpływach z tytułu pobierania </w:t>
            </w:r>
            <w:r w:rsidR="00C206B9" w:rsidRPr="00312230">
              <w:rPr>
                <w:rFonts w:ascii="Lato" w:eastAsia="Arial" w:hAnsi="Lato" w:cs="Arial"/>
                <w:sz w:val="18"/>
                <w:szCs w:val="18"/>
              </w:rPr>
              <w:t>wypis</w:t>
            </w:r>
            <w:r w:rsidR="00C206B9">
              <w:rPr>
                <w:rFonts w:ascii="Lato" w:eastAsia="Arial" w:hAnsi="Lato" w:cs="Arial"/>
                <w:sz w:val="18"/>
                <w:szCs w:val="18"/>
              </w:rPr>
              <w:t>ów</w:t>
            </w:r>
            <w:r w:rsidR="00C206B9" w:rsidRPr="00312230">
              <w:rPr>
                <w:rFonts w:ascii="Lato" w:eastAsia="Arial" w:hAnsi="Lato" w:cs="Arial"/>
                <w:sz w:val="18"/>
                <w:szCs w:val="18"/>
              </w:rPr>
              <w:t xml:space="preserve"> i wyrys</w:t>
            </w:r>
            <w:r w:rsidR="00C206B9">
              <w:rPr>
                <w:rFonts w:ascii="Lato" w:eastAsia="Arial" w:hAnsi="Lato" w:cs="Arial"/>
                <w:sz w:val="18"/>
                <w:szCs w:val="18"/>
              </w:rPr>
              <w:t>ów</w:t>
            </w:r>
            <w:r w:rsidR="00C206B9" w:rsidRPr="00312230">
              <w:rPr>
                <w:rFonts w:ascii="Lato" w:eastAsia="Arial" w:hAnsi="Lato" w:cs="Arial"/>
                <w:sz w:val="18"/>
                <w:szCs w:val="18"/>
              </w:rPr>
              <w:t xml:space="preserve"> z operatu ewidencyjnego</w:t>
            </w:r>
            <w:r w:rsidR="00C206B9">
              <w:rPr>
                <w:rFonts w:ascii="Lato" w:eastAsia="Arial" w:hAnsi="Lato" w:cs="Arial"/>
                <w:sz w:val="18"/>
                <w:szCs w:val="18"/>
              </w:rPr>
              <w:t xml:space="preserve"> z tytułu </w:t>
            </w:r>
            <w:r w:rsidR="00C206B9" w:rsidRPr="002F5E05">
              <w:rPr>
                <w:rFonts w:ascii="Lato" w:eastAsia="Arial" w:hAnsi="Lato" w:cs="Arial"/>
                <w:sz w:val="18"/>
                <w:szCs w:val="18"/>
              </w:rPr>
              <w:t xml:space="preserve">reprezentacji Skarbu Państwa </w:t>
            </w:r>
            <w:r w:rsidR="00C206B9">
              <w:rPr>
                <w:rFonts w:ascii="Lato" w:eastAsia="Arial" w:hAnsi="Lato" w:cs="Arial"/>
                <w:sz w:val="18"/>
                <w:szCs w:val="18"/>
              </w:rPr>
              <w:t xml:space="preserve">dla </w:t>
            </w:r>
            <w:r w:rsidR="00312230">
              <w:rPr>
                <w:rFonts w:ascii="Lato" w:eastAsia="Arial" w:hAnsi="Lato" w:cs="Arial"/>
                <w:sz w:val="18"/>
                <w:szCs w:val="18"/>
              </w:rPr>
              <w:t xml:space="preserve">samego </w:t>
            </w:r>
            <w:r w:rsidRPr="002F5E05">
              <w:rPr>
                <w:rFonts w:ascii="Lato" w:eastAsia="Arial" w:hAnsi="Lato" w:cs="Arial"/>
                <w:sz w:val="18"/>
                <w:szCs w:val="18"/>
              </w:rPr>
              <w:t xml:space="preserve">PGW WP </w:t>
            </w:r>
            <w:r w:rsidR="00C206B9">
              <w:rPr>
                <w:rFonts w:ascii="Lato" w:eastAsia="Arial" w:hAnsi="Lato" w:cs="Arial"/>
                <w:sz w:val="18"/>
                <w:szCs w:val="18"/>
              </w:rPr>
              <w:t xml:space="preserve">są znaczące i </w:t>
            </w:r>
            <w:r w:rsidR="00312230">
              <w:rPr>
                <w:rFonts w:ascii="Lato" w:eastAsia="Arial" w:hAnsi="Lato" w:cs="Arial"/>
                <w:sz w:val="18"/>
                <w:szCs w:val="18"/>
              </w:rPr>
              <w:t xml:space="preserve">wynoszą </w:t>
            </w:r>
            <w:r w:rsidRPr="002F5E05">
              <w:rPr>
                <w:rFonts w:ascii="Lato" w:eastAsia="Arial" w:hAnsi="Lato" w:cs="Arial"/>
                <w:sz w:val="18"/>
                <w:szCs w:val="18"/>
              </w:rPr>
              <w:t xml:space="preserve">około 30 mln zł </w:t>
            </w:r>
            <w:r w:rsidR="00312230">
              <w:rPr>
                <w:rFonts w:ascii="Lato" w:eastAsia="Arial" w:hAnsi="Lato" w:cs="Arial"/>
                <w:sz w:val="18"/>
                <w:szCs w:val="18"/>
              </w:rPr>
              <w:t xml:space="preserve">w skali kraju. Należy jednak wskazać, że </w:t>
            </w:r>
            <w:r w:rsidR="00312230" w:rsidRPr="002F5E05">
              <w:rPr>
                <w:rFonts w:ascii="Lato" w:eastAsia="Arial" w:hAnsi="Lato" w:cs="Arial"/>
                <w:sz w:val="18"/>
                <w:szCs w:val="18"/>
              </w:rPr>
              <w:t>PGW WP</w:t>
            </w:r>
            <w:r w:rsidR="00312230">
              <w:rPr>
                <w:rFonts w:ascii="Lato" w:eastAsia="Arial" w:hAnsi="Lato" w:cs="Arial"/>
                <w:sz w:val="18"/>
                <w:szCs w:val="18"/>
              </w:rPr>
              <w:t xml:space="preserve"> nie jest jedynym podmiotem, który zostanie objęty przedmiotowym zwolnieniem wynikającym z proponowanego przepisu</w:t>
            </w:r>
            <w:r w:rsidR="00C206B9">
              <w:rPr>
                <w:rFonts w:ascii="Lato" w:eastAsia="Arial" w:hAnsi="Lato" w:cs="Arial"/>
                <w:sz w:val="18"/>
                <w:szCs w:val="18"/>
              </w:rPr>
              <w:t xml:space="preserve"> – przepis miałby objąć wszystkie </w:t>
            </w:r>
            <w:r w:rsidR="00C206B9" w:rsidRPr="00C206B9">
              <w:rPr>
                <w:rFonts w:ascii="Lato" w:eastAsia="Arial" w:hAnsi="Lato" w:cs="Arial"/>
                <w:sz w:val="18"/>
                <w:szCs w:val="18"/>
              </w:rPr>
              <w:t>państwow</w:t>
            </w:r>
            <w:r w:rsidR="00C206B9">
              <w:rPr>
                <w:rFonts w:ascii="Lato" w:eastAsia="Arial" w:hAnsi="Lato" w:cs="Arial"/>
                <w:sz w:val="18"/>
                <w:szCs w:val="18"/>
              </w:rPr>
              <w:t>e</w:t>
            </w:r>
            <w:r w:rsidR="00C206B9" w:rsidRPr="00C206B9">
              <w:rPr>
                <w:rFonts w:ascii="Lato" w:eastAsia="Arial" w:hAnsi="Lato" w:cs="Arial"/>
                <w:sz w:val="18"/>
                <w:szCs w:val="18"/>
              </w:rPr>
              <w:t xml:space="preserve"> os</w:t>
            </w:r>
            <w:r w:rsidR="00C206B9">
              <w:rPr>
                <w:rFonts w:ascii="Lato" w:eastAsia="Arial" w:hAnsi="Lato" w:cs="Arial"/>
                <w:sz w:val="18"/>
                <w:szCs w:val="18"/>
              </w:rPr>
              <w:t>o</w:t>
            </w:r>
            <w:r w:rsidR="00C206B9" w:rsidRPr="00C206B9">
              <w:rPr>
                <w:rFonts w:ascii="Lato" w:eastAsia="Arial" w:hAnsi="Lato" w:cs="Arial"/>
                <w:sz w:val="18"/>
                <w:szCs w:val="18"/>
              </w:rPr>
              <w:t>b</w:t>
            </w:r>
            <w:r w:rsidR="00C206B9">
              <w:rPr>
                <w:rFonts w:ascii="Lato" w:eastAsia="Arial" w:hAnsi="Lato" w:cs="Arial"/>
                <w:sz w:val="18"/>
                <w:szCs w:val="18"/>
              </w:rPr>
              <w:t>y</w:t>
            </w:r>
            <w:r w:rsidR="00C206B9" w:rsidRPr="00C206B9">
              <w:rPr>
                <w:rFonts w:ascii="Lato" w:eastAsia="Arial" w:hAnsi="Lato" w:cs="Arial"/>
                <w:sz w:val="18"/>
                <w:szCs w:val="18"/>
              </w:rPr>
              <w:t xml:space="preserve"> prawn</w:t>
            </w:r>
            <w:r w:rsidR="00C206B9">
              <w:rPr>
                <w:rFonts w:ascii="Lato" w:eastAsia="Arial" w:hAnsi="Lato" w:cs="Arial"/>
                <w:sz w:val="18"/>
                <w:szCs w:val="18"/>
              </w:rPr>
              <w:t>e</w:t>
            </w:r>
            <w:r w:rsidR="00312230">
              <w:rPr>
                <w:rFonts w:ascii="Lato" w:eastAsia="Arial" w:hAnsi="Lato" w:cs="Arial"/>
                <w:sz w:val="18"/>
                <w:szCs w:val="18"/>
              </w:rPr>
              <w:t xml:space="preserve">. </w:t>
            </w:r>
            <w:r w:rsidR="00C206B9">
              <w:rPr>
                <w:rFonts w:ascii="Lato" w:eastAsia="Arial" w:hAnsi="Lato" w:cs="Arial"/>
                <w:sz w:val="18"/>
                <w:szCs w:val="18"/>
              </w:rPr>
              <w:t xml:space="preserve">Skutki przedmiotowego zwolnienia na budżety powiatów </w:t>
            </w:r>
            <w:r w:rsidR="00312230">
              <w:rPr>
                <w:rFonts w:ascii="Lato" w:eastAsia="Arial" w:hAnsi="Lato" w:cs="Arial"/>
                <w:sz w:val="18"/>
                <w:szCs w:val="18"/>
              </w:rPr>
              <w:t xml:space="preserve">nie zostało </w:t>
            </w:r>
            <w:r w:rsidR="00C206B9">
              <w:rPr>
                <w:rFonts w:ascii="Lato" w:eastAsia="Arial" w:hAnsi="Lato" w:cs="Arial"/>
                <w:sz w:val="18"/>
                <w:szCs w:val="18"/>
              </w:rPr>
              <w:t xml:space="preserve">jednak </w:t>
            </w:r>
            <w:r w:rsidR="00312230">
              <w:rPr>
                <w:rFonts w:ascii="Lato" w:eastAsia="Arial" w:hAnsi="Lato" w:cs="Arial"/>
                <w:sz w:val="18"/>
                <w:szCs w:val="18"/>
              </w:rPr>
              <w:t xml:space="preserve">oszacowane przez Ministerstwo Infrastruktury. </w:t>
            </w:r>
          </w:p>
          <w:p w14:paraId="61FCB398" w14:textId="4BB7A4D5" w:rsidR="00312230" w:rsidRPr="0037774A" w:rsidRDefault="00312230" w:rsidP="00312230">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Mając na względzie powyższe</w:t>
            </w:r>
            <w:r w:rsidR="00C206B9">
              <w:rPr>
                <w:rFonts w:ascii="Lato" w:eastAsia="Arial" w:hAnsi="Lato" w:cs="Arial"/>
                <w:sz w:val="18"/>
                <w:szCs w:val="18"/>
              </w:rPr>
              <w:t xml:space="preserve"> uwaga Ministerstwa Infrastruktury nie może zostać uwzględniona.</w:t>
            </w:r>
          </w:p>
        </w:tc>
      </w:tr>
      <w:tr w:rsidR="00343B58" w:rsidRPr="0037774A" w14:paraId="5BEC24D2" w14:textId="3682BC5D" w:rsidTr="00D50C46">
        <w:trPr>
          <w:trHeight w:val="20"/>
        </w:trPr>
        <w:tc>
          <w:tcPr>
            <w:tcW w:w="709" w:type="dxa"/>
            <w:tcBorders>
              <w:top w:val="single" w:sz="4" w:space="0" w:color="auto"/>
              <w:left w:val="single" w:sz="4" w:space="0" w:color="auto"/>
              <w:bottom w:val="single" w:sz="4" w:space="0" w:color="auto"/>
            </w:tcBorders>
            <w:shd w:val="clear" w:color="auto" w:fill="FFFFFF"/>
          </w:tcPr>
          <w:p w14:paraId="41904B66" w14:textId="77777777" w:rsidR="00343B58" w:rsidRPr="0037774A" w:rsidRDefault="00343B58" w:rsidP="00343B58">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7A962F1" w14:textId="2F6F95C2" w:rsidR="00343B58" w:rsidRPr="00D50C46" w:rsidRDefault="00343B58"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0072A084" w14:textId="5D4C9E2B" w:rsidR="00343B58" w:rsidRPr="00D50C46" w:rsidRDefault="00343B58"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Zgodnie z art. 23 ust. 3 i 7 ustawy z dnia 17 maja 1989 r. - Prawo geodezyjne i kartograficzne organy administracji publicznej przekazują właściwemu staroście określone dokumenty w celu wpisania danych z tych dokumentów do ewidencji gruntów i budynków oraz do rejestru cen nieruchomości w zakresie wynikającym z tej ewidencji lub rejestru.</w:t>
            </w:r>
          </w:p>
          <w:p w14:paraId="18459E0E" w14:textId="30DA9AC4" w:rsidR="00343B58" w:rsidRPr="00D50C46" w:rsidRDefault="00343B58"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 xml:space="preserve">Proponuję uzupełnienie listy decyzji przekazywanych starostom na podstawie tego przepisu o decyzje dotyczące ustalenia charakteru wód, gdyż z tych decyzji wynika ustalenie lub zmiana sposobu użytkowania gruntów pod tymi wodami. W art. 23 ust. 3 ustawy - Prawo geodezyjne i kartograficzne są wymienione w szczególności decyzje o: zatwierdzeniu gleboznawczej klasyfikacji gruntu, zmianie sposobu użytkowania gruntu, ustaleniu linii brzegu, których </w:t>
            </w:r>
            <w:r w:rsidRPr="00D50C46">
              <w:rPr>
                <w:rFonts w:ascii="Lato" w:eastAsia="Arial" w:hAnsi="Lato" w:cs="Arial"/>
                <w:sz w:val="18"/>
                <w:szCs w:val="18"/>
              </w:rPr>
              <w:lastRenderedPageBreak/>
              <w:t xml:space="preserve">obowiązek przekazania starostom spoczywa na organie wydającym te decyzje. Decyzja o ustaleniu charakteru wód wydana w trybie art. 219 ustawy z dnia 20 lipca 2017 r. - Prawo wodne (Dz.U. z 2025 r. poz. 960, z </w:t>
            </w:r>
            <w:proofErr w:type="spellStart"/>
            <w:r w:rsidRPr="00D50C46">
              <w:rPr>
                <w:rFonts w:ascii="Lato" w:eastAsia="Arial" w:hAnsi="Lato" w:cs="Arial"/>
                <w:sz w:val="18"/>
                <w:szCs w:val="18"/>
              </w:rPr>
              <w:t>późn</w:t>
            </w:r>
            <w:proofErr w:type="spellEnd"/>
            <w:r w:rsidRPr="00D50C46">
              <w:rPr>
                <w:rFonts w:ascii="Lato" w:eastAsia="Arial" w:hAnsi="Lato" w:cs="Arial"/>
                <w:sz w:val="18"/>
                <w:szCs w:val="18"/>
              </w:rPr>
              <w:t>. zm.) ma analogiczny skutek jak ww. decyzje. Na podstawie decyzji o ustaleniu charakteru wód starostowie mają obowiązek aktualizacji danych ewidencyjnych w zakresie sposobu użytkowania.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1CD4525" w14:textId="77777777" w:rsidR="00343B58" w:rsidRPr="00D50C46" w:rsidRDefault="00343B58"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0811613" w14:textId="73A15A6E" w:rsidR="00CA5D57" w:rsidRPr="0037774A" w:rsidRDefault="00CA5D57" w:rsidP="00CA5D57">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343B58" w:rsidRPr="0037774A" w14:paraId="288C3B63" w14:textId="0338AC06" w:rsidTr="00D50C46">
        <w:trPr>
          <w:trHeight w:val="20"/>
        </w:trPr>
        <w:tc>
          <w:tcPr>
            <w:tcW w:w="709" w:type="dxa"/>
            <w:tcBorders>
              <w:top w:val="single" w:sz="4" w:space="0" w:color="auto"/>
              <w:left w:val="single" w:sz="4" w:space="0" w:color="auto"/>
              <w:bottom w:val="single" w:sz="4" w:space="0" w:color="auto"/>
            </w:tcBorders>
            <w:shd w:val="clear" w:color="auto" w:fill="FFFFFF"/>
          </w:tcPr>
          <w:p w14:paraId="0EADE2F6" w14:textId="77777777" w:rsidR="00343B58" w:rsidRPr="0037774A" w:rsidRDefault="00343B58" w:rsidP="00343B58">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FE8AE5D" w14:textId="66D0F93C" w:rsidR="00343B58" w:rsidRPr="00D50C46" w:rsidRDefault="00343B58"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4AAB36AD" w14:textId="2F766A52" w:rsidR="00343B58" w:rsidRPr="00D50C46" w:rsidRDefault="00343B58"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Art. 4a projektu ustawy przewiduje, że Minister Obrony Narodowej jest uprawniony do nakładania ograniczeń w upublicznianiu w usługach sieciowych oraz portalach internetowych danych gromadzonych przez organy Służby Geodezyjnej i Kartograficznej. Ograniczenie dostępu do ww. danych może znacząco utrudnić realizację zadań ustawowych przez Polską Agencję Żeglugi Powietrznej (PAŻP).</w:t>
            </w:r>
          </w:p>
          <w:p w14:paraId="255D5C26" w14:textId="77777777" w:rsidR="00343B58" w:rsidRPr="00D50C46" w:rsidRDefault="00343B58"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Wobec powyższego, w celu zagwarantowania niezakłóconego dostępu PAŻP i innych podmiotów infrastruktury krytycznej do niezbędnych danych geodezyjnych i kartograficznych proponuję następujące brzmienie przepisu art. 4a ust. 3 ustawy Prawo geodezyjne i kartograficzne, który zawiera wyłączenia od ograniczeń w udostępnianiu danych państwowego zasobu geodezyjnego i kartograficznego:</w:t>
            </w:r>
          </w:p>
          <w:p w14:paraId="5C760C10" w14:textId="09A4D45B" w:rsidR="00343B58" w:rsidRPr="00D50C46" w:rsidRDefault="00343B58" w:rsidP="00D50C46">
            <w:pPr>
              <w:pStyle w:val="Inne0"/>
              <w:shd w:val="clear" w:color="auto" w:fill="auto"/>
              <w:spacing w:before="120" w:after="120"/>
              <w:ind w:left="138" w:right="274"/>
              <w:rPr>
                <w:rFonts w:ascii="Lato" w:eastAsia="Arial" w:hAnsi="Lato" w:cs="Arial"/>
                <w:i/>
                <w:iCs/>
                <w:sz w:val="18"/>
                <w:szCs w:val="18"/>
              </w:rPr>
            </w:pPr>
            <w:r w:rsidRPr="00D50C46">
              <w:rPr>
                <w:rFonts w:ascii="Lato" w:eastAsia="Arial" w:hAnsi="Lato" w:cs="Arial"/>
                <w:i/>
                <w:iCs/>
                <w:sz w:val="18"/>
                <w:szCs w:val="18"/>
              </w:rPr>
              <w:t xml:space="preserve">„3. Ograniczenia w upublicznianiu danych, o których mowa w ust. 1, nie obejmują udostępniania danych państwowego zasobu geodezyjnego i kartograficznego na podstawie wniosku, zgłoszenia prac geodezyjnych lub jego uzupełnienia oraz w przypadku prac realizowanych na zlecenie Służby Geodezyjnej i Kartograficznej, </w:t>
            </w:r>
            <w:r w:rsidRPr="00D50C46">
              <w:rPr>
                <w:rFonts w:ascii="Lato" w:eastAsia="Arial" w:hAnsi="Lato" w:cs="Arial"/>
                <w:b/>
                <w:bCs/>
                <w:i/>
                <w:iCs/>
                <w:sz w:val="18"/>
                <w:szCs w:val="18"/>
              </w:rPr>
              <w:t>jak również udostępniania ww. danych podmiotom infrastruktury krytycznej państwa</w:t>
            </w:r>
            <w:r w:rsidRPr="00D50C46">
              <w:rPr>
                <w:rFonts w:ascii="Lato" w:eastAsia="Arial" w:hAnsi="Lato" w:cs="Arial"/>
                <w:i/>
                <w:iCs/>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7B99954" w14:textId="0CC224BE" w:rsidR="00343B58" w:rsidRPr="00D50C46" w:rsidRDefault="00343B58"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768119B" w14:textId="77777777" w:rsidR="00343B58" w:rsidRDefault="007443D6" w:rsidP="00343B5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Wyjaśnienie.</w:t>
            </w:r>
          </w:p>
          <w:p w14:paraId="302C22D8" w14:textId="488935F7" w:rsidR="007443D6" w:rsidRPr="0037774A" w:rsidRDefault="007443D6" w:rsidP="009C6AF4">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Zgodnie z projektowanym art. 4a ust. 3 ustawy – Prawo geodezyjne i kartograficzne o</w:t>
            </w:r>
            <w:r w:rsidRPr="007443D6">
              <w:rPr>
                <w:rFonts w:ascii="Lato" w:eastAsia="Arial" w:hAnsi="Lato" w:cs="Arial"/>
                <w:sz w:val="18"/>
                <w:szCs w:val="18"/>
              </w:rPr>
              <w:t>graniczenia w upublicznianiu danych nie obejmują udostępniania danych państwowego zasobu geodezyjnego i kartograficznego na podstawie wniosku, zgłoszenia prac geodezyjnych lub jego uzupełnienia oraz w przypadku prac realizowanych na zlecenie Służby Geodezyjnej i Kartograficznej</w:t>
            </w:r>
            <w:r>
              <w:rPr>
                <w:rFonts w:ascii="Lato" w:eastAsia="Arial" w:hAnsi="Lato" w:cs="Arial"/>
                <w:sz w:val="18"/>
                <w:szCs w:val="18"/>
              </w:rPr>
              <w:t>. Na podstawie powyższego</w:t>
            </w:r>
            <w:r w:rsidR="009C6AF4">
              <w:rPr>
                <w:rFonts w:ascii="Lato" w:eastAsia="Arial" w:hAnsi="Lato" w:cs="Arial"/>
                <w:sz w:val="18"/>
                <w:szCs w:val="18"/>
              </w:rPr>
              <w:t xml:space="preserve"> będą udostępniane wszystkim podmiotom (również</w:t>
            </w:r>
            <w:r w:rsidR="009C6AF4">
              <w:t xml:space="preserve"> </w:t>
            </w:r>
            <w:r w:rsidR="009C6AF4" w:rsidRPr="009C6AF4">
              <w:rPr>
                <w:rFonts w:ascii="Lato" w:eastAsia="Arial" w:hAnsi="Lato" w:cs="Arial"/>
                <w:sz w:val="18"/>
                <w:szCs w:val="18"/>
              </w:rPr>
              <w:t>podmiotom infrastruktury krytycznej państwa</w:t>
            </w:r>
            <w:r w:rsidR="009C6AF4">
              <w:rPr>
                <w:rFonts w:ascii="Lato" w:eastAsia="Arial" w:hAnsi="Lato" w:cs="Arial"/>
                <w:sz w:val="18"/>
                <w:szCs w:val="18"/>
              </w:rPr>
              <w:t>) pełne</w:t>
            </w:r>
            <w:r>
              <w:rPr>
                <w:rFonts w:ascii="Lato" w:eastAsia="Arial" w:hAnsi="Lato" w:cs="Arial"/>
                <w:sz w:val="18"/>
                <w:szCs w:val="18"/>
              </w:rPr>
              <w:t xml:space="preserve"> </w:t>
            </w:r>
            <w:r w:rsidR="009C6AF4">
              <w:rPr>
                <w:rFonts w:ascii="Lato" w:eastAsia="Arial" w:hAnsi="Lato" w:cs="Arial"/>
                <w:sz w:val="18"/>
                <w:szCs w:val="18"/>
              </w:rPr>
              <w:t xml:space="preserve">dane zgromadzone w państwowym zasobie geodezyjnym i kartograficznym, których upublicznianie w usługach sieciowych było ograniczone. Ograniczanie będzie następowało wyłącznie w usługach sieciowych publikowanych w </w:t>
            </w:r>
            <w:proofErr w:type="spellStart"/>
            <w:r w:rsidR="009C6AF4">
              <w:rPr>
                <w:rFonts w:ascii="Lato" w:eastAsia="Arial" w:hAnsi="Lato" w:cs="Arial"/>
                <w:sz w:val="18"/>
                <w:szCs w:val="18"/>
              </w:rPr>
              <w:t>internecie</w:t>
            </w:r>
            <w:proofErr w:type="spellEnd"/>
            <w:r w:rsidR="009C6AF4">
              <w:rPr>
                <w:rFonts w:ascii="Lato" w:eastAsia="Arial" w:hAnsi="Lato" w:cs="Arial"/>
                <w:sz w:val="18"/>
                <w:szCs w:val="18"/>
              </w:rPr>
              <w:t>.</w:t>
            </w:r>
          </w:p>
        </w:tc>
      </w:tr>
      <w:tr w:rsidR="00343B58" w:rsidRPr="0037774A" w14:paraId="663026C2" w14:textId="284188F2" w:rsidTr="00D50C46">
        <w:trPr>
          <w:trHeight w:val="20"/>
        </w:trPr>
        <w:tc>
          <w:tcPr>
            <w:tcW w:w="709" w:type="dxa"/>
            <w:tcBorders>
              <w:top w:val="single" w:sz="4" w:space="0" w:color="auto"/>
              <w:left w:val="single" w:sz="4" w:space="0" w:color="auto"/>
              <w:bottom w:val="single" w:sz="4" w:space="0" w:color="auto"/>
            </w:tcBorders>
            <w:shd w:val="clear" w:color="auto" w:fill="FFFFFF"/>
          </w:tcPr>
          <w:p w14:paraId="26CF0794" w14:textId="77777777" w:rsidR="00343B58" w:rsidRPr="0037774A" w:rsidRDefault="00343B58" w:rsidP="00343B58">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F627E99" w14:textId="79F650C1" w:rsidR="00343B58" w:rsidRPr="00D50C46" w:rsidRDefault="00343B58"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1DA5F223" w14:textId="50F58637" w:rsidR="00343B58" w:rsidRPr="00D50C46" w:rsidRDefault="00343B58"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Ponadto poniżej przekazuję wątpliwości PAŻP w zakresie skutków wprowadzenia przepisu art. 4a do ustawy z dnia 17 maja 1989 r. - Prawo geodezyjne i kartograficzne:</w:t>
            </w:r>
          </w:p>
          <w:p w14:paraId="7AF281D1" w14:textId="77777777" w:rsidR="00343B58" w:rsidRPr="00D50C46" w:rsidRDefault="00343B58" w:rsidP="00D50C46">
            <w:pPr>
              <w:pStyle w:val="Inne0"/>
              <w:spacing w:before="120" w:after="120"/>
              <w:ind w:left="138" w:right="274"/>
              <w:rPr>
                <w:rFonts w:ascii="Lato" w:eastAsia="Arial" w:hAnsi="Lato" w:cs="Arial"/>
                <w:sz w:val="18"/>
                <w:szCs w:val="18"/>
              </w:rPr>
            </w:pPr>
            <w:r w:rsidRPr="00D50C46">
              <w:rPr>
                <w:rFonts w:ascii="Lato" w:eastAsia="Arial" w:hAnsi="Lato" w:cs="Arial"/>
                <w:sz w:val="18"/>
                <w:szCs w:val="18"/>
              </w:rPr>
              <w:t xml:space="preserve">1) Czy ww. regulacja wyłączy PAŻP, jako podmiotowi infrastruktury krytycznej, możliwość przetwarzania i udostępniania podmiotom trzecim pobranych od właściwych organów Służby </w:t>
            </w:r>
            <w:r w:rsidRPr="00D50C46">
              <w:rPr>
                <w:rFonts w:ascii="Lato" w:eastAsia="Arial" w:hAnsi="Lato" w:cs="Arial"/>
                <w:sz w:val="18"/>
                <w:szCs w:val="18"/>
              </w:rPr>
              <w:lastRenderedPageBreak/>
              <w:t>Geodezyjnej i Kartograficznej danych dot. terenów, które decyzją Ministra Obrony Narodowej zostaną objęte ograniczeniem upubliczniania danych (np. lotnisk użytku publicznego)? Co w przypadku danych, które zostały w ten sposób udostępnione przed wejściem w życie proponowanej regulacji?</w:t>
            </w:r>
          </w:p>
          <w:p w14:paraId="309F9883" w14:textId="446B1E92" w:rsidR="00343B58" w:rsidRPr="00D50C46" w:rsidRDefault="00343B58"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2) Czy wykaz obiektów i obszarów, w stosunku do których Minister Obrony Narodowej nałożył lub zniósł ograniczenia w upublicznianiu danych, o którym mowa w proponowanej treści przepisu art. 4a ust. 6 ustawy Prawo geodezyjne i kartograficzne, zostanie przekazany do wiadomości podmiotom infrastruktury krytycznej, w tym PAŻP, w celu uniknięcia udostępniania danych, które dotyczą obiektów i obszarów objętych ograniczeniem?</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AAA6D7" w14:textId="05F49B3A" w:rsidR="00343B58" w:rsidRPr="00D50C46" w:rsidRDefault="00343B58" w:rsidP="00D50C46">
            <w:pPr>
              <w:pStyle w:val="Inne0"/>
              <w:shd w:val="clear" w:color="auto" w:fill="auto"/>
              <w:spacing w:before="120" w:after="120"/>
              <w:ind w:left="136"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4CB9400" w14:textId="62B3B38E" w:rsidR="00822D4D" w:rsidRDefault="00822D4D" w:rsidP="00822D4D">
            <w:pPr>
              <w:pStyle w:val="Inne0"/>
              <w:numPr>
                <w:ilvl w:val="0"/>
                <w:numId w:val="48"/>
              </w:numPr>
              <w:shd w:val="clear" w:color="auto" w:fill="auto"/>
              <w:spacing w:before="120" w:after="120"/>
              <w:ind w:right="138"/>
              <w:rPr>
                <w:rFonts w:ascii="Lato" w:eastAsia="Arial" w:hAnsi="Lato" w:cs="Arial"/>
                <w:sz w:val="18"/>
                <w:szCs w:val="18"/>
              </w:rPr>
            </w:pPr>
            <w:r>
              <w:rPr>
                <w:rFonts w:ascii="Lato" w:eastAsia="Arial" w:hAnsi="Lato" w:cs="Arial"/>
                <w:sz w:val="18"/>
                <w:szCs w:val="18"/>
              </w:rPr>
              <w:t xml:space="preserve">Projekt ustawy nie ogranicza </w:t>
            </w:r>
            <w:r w:rsidRPr="00822D4D">
              <w:rPr>
                <w:rFonts w:ascii="Lato" w:eastAsia="Arial" w:hAnsi="Lato" w:cs="Arial"/>
                <w:sz w:val="18"/>
                <w:szCs w:val="18"/>
              </w:rPr>
              <w:t>możliwoś</w:t>
            </w:r>
            <w:r>
              <w:rPr>
                <w:rFonts w:ascii="Lato" w:eastAsia="Arial" w:hAnsi="Lato" w:cs="Arial"/>
                <w:sz w:val="18"/>
                <w:szCs w:val="18"/>
              </w:rPr>
              <w:t>ci</w:t>
            </w:r>
            <w:r w:rsidRPr="00822D4D">
              <w:rPr>
                <w:rFonts w:ascii="Lato" w:eastAsia="Arial" w:hAnsi="Lato" w:cs="Arial"/>
                <w:sz w:val="18"/>
                <w:szCs w:val="18"/>
              </w:rPr>
              <w:t xml:space="preserve"> przetwarzania i udostępniania podmiotom trzecim pobranych od właściwych organów Służby Geodezyjnej i Kartograficznej danych dot. terenów, które decyzją </w:t>
            </w:r>
            <w:r w:rsidR="00B34BB9">
              <w:rPr>
                <w:rFonts w:ascii="Lato" w:eastAsia="Arial" w:hAnsi="Lato" w:cs="Arial"/>
                <w:sz w:val="18"/>
                <w:szCs w:val="18"/>
              </w:rPr>
              <w:t>odpowiedniego podmiotu</w:t>
            </w:r>
            <w:r w:rsidRPr="00822D4D">
              <w:rPr>
                <w:rFonts w:ascii="Lato" w:eastAsia="Arial" w:hAnsi="Lato" w:cs="Arial"/>
                <w:sz w:val="18"/>
                <w:szCs w:val="18"/>
              </w:rPr>
              <w:t xml:space="preserve"> zostaną objęte ograniczeniem upubliczniania danych</w:t>
            </w:r>
            <w:r>
              <w:rPr>
                <w:rFonts w:ascii="Lato" w:eastAsia="Arial" w:hAnsi="Lato" w:cs="Arial"/>
                <w:sz w:val="18"/>
                <w:szCs w:val="18"/>
              </w:rPr>
              <w:t xml:space="preserve">, w tym </w:t>
            </w:r>
            <w:r w:rsidRPr="00822D4D">
              <w:rPr>
                <w:rFonts w:ascii="Lato" w:eastAsia="Arial" w:hAnsi="Lato" w:cs="Arial"/>
                <w:sz w:val="18"/>
                <w:szCs w:val="18"/>
              </w:rPr>
              <w:t>danych, które zostały w ten sposób udostępnione przed wejściem w życie proponowanej regulacji</w:t>
            </w:r>
            <w:r>
              <w:rPr>
                <w:rFonts w:ascii="Lato" w:eastAsia="Arial" w:hAnsi="Lato" w:cs="Arial"/>
                <w:sz w:val="18"/>
                <w:szCs w:val="18"/>
              </w:rPr>
              <w:t xml:space="preserve">. </w:t>
            </w:r>
            <w:r>
              <w:rPr>
                <w:rFonts w:ascii="Lato" w:eastAsia="Arial" w:hAnsi="Lato" w:cs="Arial"/>
                <w:sz w:val="18"/>
                <w:szCs w:val="18"/>
              </w:rPr>
              <w:lastRenderedPageBreak/>
              <w:t xml:space="preserve">Należy jednak wskazać, że zgodnie z art. 4a ust. 10 ustawy – Prawo geodezyjne i kartograficzne - </w:t>
            </w:r>
            <w:r w:rsidRPr="00822D4D">
              <w:rPr>
                <w:rFonts w:ascii="Lato" w:eastAsia="Arial" w:hAnsi="Lato" w:cs="Arial"/>
                <w:sz w:val="18"/>
                <w:szCs w:val="18"/>
              </w:rPr>
              <w:t>Minister Obrony Narodowej, w porozumieniu z ministrem właściwym do spraw budownictwa, planowania i zagospodarowania przestrzennego oraz mieszkalnictwa, określi, w drodze rozporządzenia standardy dotyczące ograniczenia w upublicznianiu danych zawartych w bazach danych</w:t>
            </w:r>
            <w:r>
              <w:rPr>
                <w:rFonts w:ascii="Lato" w:eastAsia="Arial" w:hAnsi="Lato" w:cs="Arial"/>
                <w:sz w:val="18"/>
                <w:szCs w:val="18"/>
              </w:rPr>
              <w:t>. Nie wyklucza się, że przedmiotowe rozporządzenie wprowadzi szczegółowe regulacje w przedmiotowym zakresie.</w:t>
            </w:r>
          </w:p>
          <w:p w14:paraId="752F7989" w14:textId="115A7E2A" w:rsidR="00343B58" w:rsidRPr="0037774A" w:rsidRDefault="00822D4D" w:rsidP="00822D4D">
            <w:pPr>
              <w:pStyle w:val="Inne0"/>
              <w:numPr>
                <w:ilvl w:val="0"/>
                <w:numId w:val="48"/>
              </w:numPr>
              <w:shd w:val="clear" w:color="auto" w:fill="auto"/>
              <w:spacing w:before="120" w:after="120"/>
              <w:ind w:right="138"/>
              <w:rPr>
                <w:rFonts w:ascii="Lato" w:eastAsia="Arial" w:hAnsi="Lato" w:cs="Arial"/>
                <w:sz w:val="18"/>
                <w:szCs w:val="18"/>
              </w:rPr>
            </w:pPr>
            <w:r>
              <w:rPr>
                <w:rFonts w:ascii="Lato" w:eastAsia="Arial" w:hAnsi="Lato" w:cs="Arial"/>
                <w:sz w:val="18"/>
                <w:szCs w:val="18"/>
              </w:rPr>
              <w:t xml:space="preserve">Wykaz </w:t>
            </w:r>
            <w:r w:rsidRPr="00822D4D">
              <w:rPr>
                <w:rFonts w:ascii="Lato" w:eastAsia="Arial" w:hAnsi="Lato" w:cs="Arial"/>
                <w:sz w:val="18"/>
                <w:szCs w:val="18"/>
              </w:rPr>
              <w:t>obiektów i obszarów, w stosunku do których nałoż</w:t>
            </w:r>
            <w:r w:rsidR="00B34BB9">
              <w:rPr>
                <w:rFonts w:ascii="Lato" w:eastAsia="Arial" w:hAnsi="Lato" w:cs="Arial"/>
                <w:sz w:val="18"/>
                <w:szCs w:val="18"/>
              </w:rPr>
              <w:t>one zostaną</w:t>
            </w:r>
            <w:r w:rsidRPr="00822D4D">
              <w:rPr>
                <w:rFonts w:ascii="Lato" w:eastAsia="Arial" w:hAnsi="Lato" w:cs="Arial"/>
                <w:sz w:val="18"/>
                <w:szCs w:val="18"/>
              </w:rPr>
              <w:t xml:space="preserve"> lub zni</w:t>
            </w:r>
            <w:r w:rsidR="00B34BB9">
              <w:rPr>
                <w:rFonts w:ascii="Lato" w:eastAsia="Arial" w:hAnsi="Lato" w:cs="Arial"/>
                <w:sz w:val="18"/>
                <w:szCs w:val="18"/>
              </w:rPr>
              <w:t>esione</w:t>
            </w:r>
            <w:r w:rsidRPr="00822D4D">
              <w:rPr>
                <w:rFonts w:ascii="Lato" w:eastAsia="Arial" w:hAnsi="Lato" w:cs="Arial"/>
                <w:sz w:val="18"/>
                <w:szCs w:val="18"/>
              </w:rPr>
              <w:t xml:space="preserve"> ograniczenia w upublicznianiu danych</w:t>
            </w:r>
            <w:r w:rsidR="00B34BB9">
              <w:rPr>
                <w:rFonts w:ascii="Lato" w:eastAsia="Arial" w:hAnsi="Lato" w:cs="Arial"/>
                <w:sz w:val="18"/>
                <w:szCs w:val="18"/>
              </w:rPr>
              <w:t>,</w:t>
            </w:r>
            <w:r>
              <w:rPr>
                <w:rFonts w:ascii="Lato" w:eastAsia="Arial" w:hAnsi="Lato" w:cs="Arial"/>
                <w:sz w:val="18"/>
                <w:szCs w:val="18"/>
              </w:rPr>
              <w:t xml:space="preserve"> będzie prowadzony przez </w:t>
            </w:r>
            <w:r w:rsidR="00B34BB9">
              <w:rPr>
                <w:rFonts w:ascii="Lato" w:eastAsia="Arial" w:hAnsi="Lato" w:cs="Arial"/>
                <w:sz w:val="18"/>
                <w:szCs w:val="18"/>
              </w:rPr>
              <w:t>Głównego Geodetę Kraju</w:t>
            </w:r>
            <w:r>
              <w:rPr>
                <w:rFonts w:ascii="Lato" w:eastAsia="Arial" w:hAnsi="Lato" w:cs="Arial"/>
                <w:sz w:val="18"/>
                <w:szCs w:val="18"/>
              </w:rPr>
              <w:t xml:space="preserve">. </w:t>
            </w:r>
            <w:r w:rsidR="00825C36">
              <w:rPr>
                <w:rFonts w:ascii="Lato" w:eastAsia="Arial" w:hAnsi="Lato" w:cs="Arial"/>
                <w:sz w:val="18"/>
                <w:szCs w:val="18"/>
              </w:rPr>
              <w:t>Projektodawca u</w:t>
            </w:r>
            <w:r>
              <w:rPr>
                <w:rFonts w:ascii="Lato" w:eastAsia="Arial" w:hAnsi="Lato" w:cs="Arial"/>
                <w:sz w:val="18"/>
                <w:szCs w:val="18"/>
              </w:rPr>
              <w:t>zupełni</w:t>
            </w:r>
            <w:r w:rsidR="00825C36">
              <w:rPr>
                <w:rFonts w:ascii="Lato" w:eastAsia="Arial" w:hAnsi="Lato" w:cs="Arial"/>
                <w:sz w:val="18"/>
                <w:szCs w:val="18"/>
              </w:rPr>
              <w:t>ł</w:t>
            </w:r>
            <w:r>
              <w:rPr>
                <w:rFonts w:ascii="Lato" w:eastAsia="Arial" w:hAnsi="Lato" w:cs="Arial"/>
                <w:sz w:val="18"/>
                <w:szCs w:val="18"/>
              </w:rPr>
              <w:t xml:space="preserve"> projekt ustawy o przepisy dotyczące udostępnienia informacji zawartych w wykazie</w:t>
            </w:r>
            <w:r w:rsidR="00825C36">
              <w:rPr>
                <w:rFonts w:ascii="Lato" w:eastAsia="Arial" w:hAnsi="Lato" w:cs="Arial"/>
                <w:sz w:val="18"/>
                <w:szCs w:val="18"/>
              </w:rPr>
              <w:t xml:space="preserve"> przez </w:t>
            </w:r>
            <w:r w:rsidR="00B34BB9">
              <w:rPr>
                <w:rFonts w:ascii="Lato" w:eastAsia="Arial" w:hAnsi="Lato" w:cs="Arial"/>
                <w:sz w:val="18"/>
                <w:szCs w:val="18"/>
              </w:rPr>
              <w:t>ten organ</w:t>
            </w:r>
            <w:r>
              <w:rPr>
                <w:rFonts w:ascii="Lato" w:eastAsia="Arial" w:hAnsi="Lato" w:cs="Arial"/>
                <w:sz w:val="18"/>
                <w:szCs w:val="18"/>
              </w:rPr>
              <w:t>.</w:t>
            </w:r>
          </w:p>
        </w:tc>
      </w:tr>
      <w:tr w:rsidR="00343B58" w:rsidRPr="0037774A" w14:paraId="223B1EE2" w14:textId="395683DE" w:rsidTr="00D50C46">
        <w:trPr>
          <w:trHeight w:val="20"/>
        </w:trPr>
        <w:tc>
          <w:tcPr>
            <w:tcW w:w="709" w:type="dxa"/>
            <w:tcBorders>
              <w:top w:val="single" w:sz="4" w:space="0" w:color="auto"/>
              <w:left w:val="single" w:sz="4" w:space="0" w:color="auto"/>
              <w:bottom w:val="single" w:sz="4" w:space="0" w:color="auto"/>
            </w:tcBorders>
            <w:shd w:val="clear" w:color="auto" w:fill="FFFFFF"/>
          </w:tcPr>
          <w:p w14:paraId="604BCA6C" w14:textId="77777777" w:rsidR="00343B58" w:rsidRPr="0037774A" w:rsidRDefault="00343B58" w:rsidP="00343B58">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6A18B4B" w14:textId="7984F3C5" w:rsidR="00343B58" w:rsidRPr="00D50C46" w:rsidRDefault="00343B58"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798027CA" w14:textId="77777777" w:rsidR="00343B58" w:rsidRPr="00D50C46" w:rsidRDefault="00343B58" w:rsidP="00D50C46">
            <w:pPr>
              <w:pStyle w:val="Inne0"/>
              <w:spacing w:before="120" w:after="120"/>
              <w:ind w:left="138" w:right="274"/>
              <w:rPr>
                <w:rFonts w:ascii="Lato" w:eastAsia="Arial" w:hAnsi="Lato" w:cs="Arial"/>
                <w:b/>
                <w:bCs/>
                <w:sz w:val="18"/>
                <w:szCs w:val="18"/>
              </w:rPr>
            </w:pPr>
            <w:r w:rsidRPr="00D50C46">
              <w:rPr>
                <w:rFonts w:ascii="Lato" w:eastAsia="Arial" w:hAnsi="Lato" w:cs="Arial"/>
                <w:b/>
                <w:bCs/>
                <w:sz w:val="18"/>
                <w:szCs w:val="18"/>
              </w:rPr>
              <w:t>Art. 1 pkt. 1 lit e) projektu ustawy:</w:t>
            </w:r>
          </w:p>
          <w:p w14:paraId="0E6991F8" w14:textId="44836845" w:rsidR="00343B58" w:rsidRPr="00D50C46" w:rsidRDefault="00343B58" w:rsidP="00D50C46">
            <w:pPr>
              <w:pStyle w:val="Inne0"/>
              <w:shd w:val="clear" w:color="auto" w:fill="auto"/>
              <w:spacing w:before="120" w:after="120"/>
              <w:ind w:left="138" w:right="274"/>
              <w:rPr>
                <w:rFonts w:ascii="Lato" w:eastAsia="Arial" w:hAnsi="Lato" w:cs="Arial"/>
                <w:sz w:val="18"/>
                <w:szCs w:val="18"/>
              </w:rPr>
            </w:pPr>
            <w:r w:rsidRPr="00D50C46">
              <w:rPr>
                <w:rFonts w:ascii="Lato" w:eastAsia="Arial" w:hAnsi="Lato" w:cs="Arial"/>
                <w:sz w:val="18"/>
                <w:szCs w:val="18"/>
              </w:rPr>
              <w:t>Doszczegółowienie treści zapisu w art. 2 pkt. 20.</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31182C8" w14:textId="41520A8A" w:rsidR="00343B58" w:rsidRPr="00D50C46" w:rsidRDefault="00343B58" w:rsidP="00D50C46">
            <w:pPr>
              <w:pStyle w:val="Inne0"/>
              <w:shd w:val="clear" w:color="auto" w:fill="auto"/>
              <w:spacing w:before="120" w:after="120"/>
              <w:ind w:left="136" w:right="136"/>
              <w:rPr>
                <w:rFonts w:ascii="Lato" w:eastAsia="Arial" w:hAnsi="Lato" w:cs="Arial"/>
                <w:sz w:val="18"/>
                <w:szCs w:val="18"/>
              </w:rPr>
            </w:pPr>
            <w:r w:rsidRPr="00D50C46">
              <w:rPr>
                <w:rFonts w:ascii="Lato" w:eastAsia="Arial" w:hAnsi="Lato" w:cs="Arial"/>
                <w:sz w:val="18"/>
                <w:szCs w:val="18"/>
              </w:rPr>
              <w:t>„20) Znakach granicznych - rozumie się przez to znaki naziemne i podziemne, wykonane z trwałego materiału umieszczone w punktach granicznych lub trwały element zagospodarowania terenu znajdujący się w tym punkcie;”.</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570C4F3" w14:textId="77777777" w:rsidR="00C31862" w:rsidRDefault="00CE023E" w:rsidP="00343B5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Należy wskazać, że Ministerstwo Infrastruktury nie przekazało uzasadnienia zgłoszonej uwagi, w związku z czym nie jest możliwe wyjaśnienie powodu wprowadzanej zmiany.</w:t>
            </w:r>
            <w:r w:rsidR="00C31862">
              <w:rPr>
                <w:rFonts w:ascii="Lato" w:eastAsia="Arial" w:hAnsi="Lato" w:cs="Arial"/>
                <w:sz w:val="18"/>
                <w:szCs w:val="18"/>
              </w:rPr>
              <w:t xml:space="preserve"> </w:t>
            </w:r>
          </w:p>
          <w:p w14:paraId="470DA24E" w14:textId="0A0AFD81" w:rsidR="00343B58" w:rsidRPr="0037774A" w:rsidRDefault="00C31862" w:rsidP="00C31862">
            <w:pPr>
              <w:pStyle w:val="Inne0"/>
              <w:spacing w:before="120" w:after="120"/>
              <w:ind w:left="131" w:right="138"/>
              <w:rPr>
                <w:rFonts w:ascii="Lato" w:eastAsia="Arial" w:hAnsi="Lato" w:cs="Arial"/>
                <w:sz w:val="18"/>
                <w:szCs w:val="18"/>
              </w:rPr>
            </w:pPr>
            <w:r>
              <w:rPr>
                <w:rFonts w:ascii="Lato" w:eastAsia="Arial" w:hAnsi="Lato" w:cs="Arial"/>
                <w:sz w:val="18"/>
                <w:szCs w:val="18"/>
              </w:rPr>
              <w:t>W opinii projektodawcy zgłoszone doszczegółowienie jest niezasadne. Należy wyjaśnić, że przedmiotowa definicja w obecnym brzmieniu jest jednoznaczna, funkcjonuje bowiem w porządku prawnym od 1999 r. (w § 2 pkt 4 r</w:t>
            </w:r>
            <w:r w:rsidRPr="00C31862">
              <w:rPr>
                <w:rFonts w:ascii="Lato" w:eastAsia="Arial" w:hAnsi="Lato" w:cs="Arial"/>
                <w:sz w:val="18"/>
                <w:szCs w:val="18"/>
              </w:rPr>
              <w:t>ozporządzeni</w:t>
            </w:r>
            <w:r>
              <w:rPr>
                <w:rFonts w:ascii="Lato" w:eastAsia="Arial" w:hAnsi="Lato" w:cs="Arial"/>
                <w:sz w:val="18"/>
                <w:szCs w:val="18"/>
              </w:rPr>
              <w:t>a</w:t>
            </w:r>
            <w:r w:rsidRPr="00C31862">
              <w:rPr>
                <w:rFonts w:ascii="Lato" w:eastAsia="Arial" w:hAnsi="Lato" w:cs="Arial"/>
                <w:sz w:val="18"/>
                <w:szCs w:val="18"/>
              </w:rPr>
              <w:t xml:space="preserve"> Ministrów Spraw Wewnętrznych i Administracji oraz Rolnictwa i Gospodarki Żywnościowej z dnia 14 kwietnia 1999 r. w sprawie rozgraniczania nieruchomości)</w:t>
            </w:r>
            <w:r>
              <w:rPr>
                <w:rFonts w:ascii="Lato" w:eastAsia="Arial" w:hAnsi="Lato" w:cs="Arial"/>
                <w:sz w:val="18"/>
                <w:szCs w:val="18"/>
              </w:rPr>
              <w:t>.</w:t>
            </w:r>
          </w:p>
        </w:tc>
      </w:tr>
      <w:tr w:rsidR="00D50C46" w:rsidRPr="0037774A" w14:paraId="70A4FB8C" w14:textId="71186F30" w:rsidTr="00D50C46">
        <w:trPr>
          <w:trHeight w:val="20"/>
        </w:trPr>
        <w:tc>
          <w:tcPr>
            <w:tcW w:w="709" w:type="dxa"/>
            <w:tcBorders>
              <w:top w:val="single" w:sz="4" w:space="0" w:color="auto"/>
              <w:left w:val="single" w:sz="4" w:space="0" w:color="auto"/>
              <w:bottom w:val="single" w:sz="4" w:space="0" w:color="auto"/>
            </w:tcBorders>
            <w:shd w:val="clear" w:color="auto" w:fill="FFFFFF"/>
          </w:tcPr>
          <w:p w14:paraId="511C825E" w14:textId="77777777" w:rsidR="00D50C46" w:rsidRPr="0037774A" w:rsidRDefault="00D50C46" w:rsidP="00D50C46">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DC227D0" w14:textId="2397CC98" w:rsidR="00D50C46" w:rsidRPr="00D50C46" w:rsidRDefault="00D50C46"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2C7E4455" w14:textId="1D4A9132" w:rsidR="00D50C46" w:rsidRPr="00D50C46" w:rsidRDefault="00D50C46" w:rsidP="00D50C46">
            <w:pPr>
              <w:pStyle w:val="Inne0"/>
              <w:shd w:val="clear" w:color="auto" w:fill="auto"/>
              <w:spacing w:before="120" w:after="120"/>
              <w:ind w:left="130" w:right="274" w:firstLine="8"/>
              <w:rPr>
                <w:rFonts w:ascii="Lato" w:eastAsia="Arial" w:hAnsi="Lato" w:cs="Arial"/>
                <w:sz w:val="18"/>
                <w:szCs w:val="18"/>
              </w:rPr>
            </w:pPr>
            <w:r w:rsidRPr="00D50C46">
              <w:rPr>
                <w:rFonts w:ascii="Lato" w:hAnsi="Lato"/>
                <w:b/>
                <w:bCs/>
                <w:sz w:val="18"/>
                <w:szCs w:val="18"/>
              </w:rPr>
              <w:t>Art. 1 pkt. 3 projektu ustawy:</w:t>
            </w:r>
            <w:r w:rsidRPr="00D50C46">
              <w:rPr>
                <w:rFonts w:ascii="Lato" w:hAnsi="Lato"/>
                <w:sz w:val="18"/>
                <w:szCs w:val="18"/>
              </w:rPr>
              <w:t xml:space="preserve"> Uwzględnienie w art. 4a ust. 5 katalogu organów, do których Minister Obrony Narodowej będzie przekazywał informacje o wydanych decyzjach o których mowa w art. 4a ust. 1 i 4, tj. decyzjach dotyczących nałożenia lub zniesienia ograniczeń w upublicznianiu w usługach sieciowych oraz portalach internetowych danych zawartych w bazach danych, o których mowa w art. 4 ust. 1a pkt 3, 8, 11 i 12, również organów, które ustalają tereny zamknięte, tak aby posiadały one wiedzę o ewentualnych ograniczeniach.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3104EB1" w14:textId="50B0F50B" w:rsidR="00D50C46" w:rsidRPr="00D50C46" w:rsidRDefault="00D50C46" w:rsidP="00D50C46">
            <w:pPr>
              <w:pStyle w:val="Inne0"/>
              <w:shd w:val="clear" w:color="auto" w:fill="auto"/>
              <w:spacing w:before="120" w:after="120"/>
              <w:ind w:left="136" w:right="136"/>
              <w:rPr>
                <w:rFonts w:ascii="Lato" w:eastAsia="Arial" w:hAnsi="Lato" w:cs="Arial"/>
                <w:sz w:val="18"/>
                <w:szCs w:val="18"/>
              </w:rPr>
            </w:pPr>
            <w:r w:rsidRPr="00D50C46">
              <w:rPr>
                <w:rFonts w:ascii="Lato" w:hAnsi="Lato"/>
                <w:sz w:val="18"/>
                <w:szCs w:val="18"/>
              </w:rPr>
              <w:t>„5. Minister Obrony Narodowej przekazuje niezwłocznie decyzje, o których mowa w ust. 1 i 4, do Głównego Geodety Kraju oraz właściwych organów Służby Geodezyjnej i Kartograficznej, odpowiedzialnych za prowadzenie baz danych, o których mowa w art. 4 ust. 1a pkt 3, 8, 11 i 12. W przypadku obszarów wskazanych w ust. 1 pkt. 2 Minister Obrony Narodowej przekazuje niezwłocznie informacje o wydanych decyzjach, o których mowa w zdaniu poprzedzającym, również do właściwych ministrów i kierowników urzędów centralnych, przez których zostały ustalone przedmiotowe tereny zamknięte.”.</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16E7102" w14:textId="0C5230C2" w:rsidR="00D50C46" w:rsidRPr="0037774A" w:rsidRDefault="009C0989" w:rsidP="00D50C4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r w:rsidR="00B34BB9">
              <w:rPr>
                <w:rFonts w:ascii="Lato" w:eastAsia="Arial" w:hAnsi="Lato" w:cs="Arial"/>
                <w:sz w:val="18"/>
                <w:szCs w:val="18"/>
              </w:rPr>
              <w:t xml:space="preserve"> z modyfikacją wynikającą z innych zgłoszonych uwag</w:t>
            </w:r>
          </w:p>
        </w:tc>
      </w:tr>
      <w:tr w:rsidR="00D50C46" w:rsidRPr="0037774A" w14:paraId="3A2AD1B5" w14:textId="14F23B36" w:rsidTr="00D50C46">
        <w:trPr>
          <w:trHeight w:val="20"/>
        </w:trPr>
        <w:tc>
          <w:tcPr>
            <w:tcW w:w="709" w:type="dxa"/>
            <w:tcBorders>
              <w:top w:val="single" w:sz="4" w:space="0" w:color="auto"/>
              <w:left w:val="single" w:sz="4" w:space="0" w:color="auto"/>
              <w:bottom w:val="single" w:sz="4" w:space="0" w:color="auto"/>
            </w:tcBorders>
            <w:shd w:val="clear" w:color="auto" w:fill="FFFFFF"/>
          </w:tcPr>
          <w:p w14:paraId="045322F3" w14:textId="77777777" w:rsidR="00D50C46" w:rsidRPr="0037774A" w:rsidRDefault="00D50C46" w:rsidP="00D50C46">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7065C6" w14:textId="1190B798" w:rsidR="00D50C46" w:rsidRPr="00D50C46" w:rsidRDefault="00D50C46"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 xml:space="preserve">Minister </w:t>
            </w:r>
            <w:r w:rsidRPr="00D50C46">
              <w:rPr>
                <w:rFonts w:ascii="Lato" w:eastAsia="Arial" w:hAnsi="Lato" w:cs="Arial"/>
                <w:sz w:val="18"/>
                <w:szCs w:val="18"/>
              </w:rPr>
              <w:lastRenderedPageBreak/>
              <w:t>Infrastruktury</w:t>
            </w:r>
          </w:p>
        </w:tc>
        <w:tc>
          <w:tcPr>
            <w:tcW w:w="4536" w:type="dxa"/>
            <w:tcBorders>
              <w:top w:val="single" w:sz="4" w:space="0" w:color="auto"/>
              <w:left w:val="single" w:sz="4" w:space="0" w:color="auto"/>
              <w:bottom w:val="single" w:sz="4" w:space="0" w:color="auto"/>
            </w:tcBorders>
            <w:shd w:val="clear" w:color="auto" w:fill="FFFFFF"/>
          </w:tcPr>
          <w:p w14:paraId="2545BF7D" w14:textId="77777777" w:rsidR="00D50C46" w:rsidRPr="00D50C46" w:rsidRDefault="00D50C46" w:rsidP="00D50C46">
            <w:pPr>
              <w:pStyle w:val="Inne0"/>
              <w:shd w:val="clear" w:color="auto" w:fill="auto"/>
              <w:spacing w:before="120" w:after="120"/>
              <w:ind w:left="130" w:right="274" w:firstLine="8"/>
              <w:rPr>
                <w:rFonts w:ascii="Lato" w:hAnsi="Lato"/>
                <w:b/>
                <w:bCs/>
                <w:sz w:val="18"/>
                <w:szCs w:val="18"/>
              </w:rPr>
            </w:pPr>
            <w:r w:rsidRPr="00D50C46">
              <w:rPr>
                <w:rFonts w:ascii="Lato" w:hAnsi="Lato"/>
                <w:b/>
                <w:bCs/>
                <w:sz w:val="18"/>
                <w:szCs w:val="18"/>
              </w:rPr>
              <w:lastRenderedPageBreak/>
              <w:t>Art. 1 pkt. 11 projektu ustawy:</w:t>
            </w:r>
          </w:p>
          <w:p w14:paraId="66FD17D2" w14:textId="7FCFD8A0" w:rsidR="00D50C46" w:rsidRPr="00D50C46" w:rsidRDefault="00D50C46" w:rsidP="00D50C46">
            <w:pPr>
              <w:pStyle w:val="Inne0"/>
              <w:shd w:val="clear" w:color="auto" w:fill="auto"/>
              <w:spacing w:before="120" w:after="120"/>
              <w:ind w:left="130" w:right="274" w:firstLine="8"/>
              <w:rPr>
                <w:rFonts w:ascii="Lato" w:eastAsia="Arial" w:hAnsi="Lato" w:cs="Arial"/>
                <w:sz w:val="18"/>
                <w:szCs w:val="18"/>
              </w:rPr>
            </w:pPr>
            <w:r w:rsidRPr="00D50C46">
              <w:rPr>
                <w:rFonts w:ascii="Lato" w:hAnsi="Lato"/>
                <w:sz w:val="18"/>
                <w:szCs w:val="18"/>
              </w:rPr>
              <w:lastRenderedPageBreak/>
              <w:t>Zmiana numeru punktu w propozycji zmian art. 7d. Poprawa omyłki. Ostatnim istniejącym punktem aktualnej ustawy jest punkt nr 7.</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687CAA7" w14:textId="60DCB53B" w:rsidR="00D50C46" w:rsidRPr="00D50C46" w:rsidRDefault="00D50C46" w:rsidP="00D50C46">
            <w:pPr>
              <w:pStyle w:val="Inne0"/>
              <w:shd w:val="clear" w:color="auto" w:fill="auto"/>
              <w:spacing w:before="120" w:after="120"/>
              <w:ind w:left="136" w:right="136"/>
              <w:rPr>
                <w:rFonts w:ascii="Lato" w:eastAsia="Arial" w:hAnsi="Lato" w:cs="Arial"/>
                <w:sz w:val="18"/>
                <w:szCs w:val="18"/>
              </w:rPr>
            </w:pPr>
            <w:r w:rsidRPr="00D50C46">
              <w:rPr>
                <w:rFonts w:ascii="Lato" w:hAnsi="Lato"/>
                <w:sz w:val="18"/>
                <w:szCs w:val="18"/>
              </w:rPr>
              <w:lastRenderedPageBreak/>
              <w:t xml:space="preserve">„w pkt 7 kropkę zastępuje się średnikiem i </w:t>
            </w:r>
            <w:r w:rsidRPr="00D50C46">
              <w:rPr>
                <w:rFonts w:ascii="Lato" w:hAnsi="Lato"/>
                <w:sz w:val="18"/>
                <w:szCs w:val="18"/>
              </w:rPr>
              <w:lastRenderedPageBreak/>
              <w:t>dodaje się pkt 8 i 9 w brzmieniu:”.</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BD64628" w14:textId="04131F09" w:rsidR="00D50C46" w:rsidRPr="0037774A" w:rsidRDefault="009C0989" w:rsidP="00D50C46">
            <w:pPr>
              <w:pStyle w:val="Inne0"/>
              <w:spacing w:before="120" w:after="120"/>
              <w:ind w:left="131" w:right="138"/>
              <w:rPr>
                <w:rFonts w:ascii="Lato" w:eastAsia="Arial" w:hAnsi="Lato" w:cs="Arial"/>
                <w:sz w:val="18"/>
                <w:szCs w:val="18"/>
              </w:rPr>
            </w:pPr>
            <w:r>
              <w:rPr>
                <w:rFonts w:ascii="Lato" w:eastAsia="Arial" w:hAnsi="Lato" w:cs="Arial"/>
                <w:sz w:val="18"/>
                <w:szCs w:val="18"/>
              </w:rPr>
              <w:lastRenderedPageBreak/>
              <w:t>Uwaga została uwzględniona</w:t>
            </w:r>
          </w:p>
        </w:tc>
      </w:tr>
      <w:tr w:rsidR="00D50C46" w:rsidRPr="0037774A" w14:paraId="0A4B6D6F" w14:textId="564E4791" w:rsidTr="00D50C46">
        <w:trPr>
          <w:trHeight w:val="20"/>
        </w:trPr>
        <w:tc>
          <w:tcPr>
            <w:tcW w:w="709" w:type="dxa"/>
            <w:tcBorders>
              <w:top w:val="single" w:sz="4" w:space="0" w:color="auto"/>
              <w:left w:val="single" w:sz="4" w:space="0" w:color="auto"/>
              <w:bottom w:val="single" w:sz="4" w:space="0" w:color="auto"/>
            </w:tcBorders>
            <w:shd w:val="clear" w:color="auto" w:fill="FFFFFF"/>
          </w:tcPr>
          <w:p w14:paraId="17BBD536" w14:textId="77777777" w:rsidR="00D50C46" w:rsidRPr="0037774A" w:rsidRDefault="00D50C46" w:rsidP="00D50C46">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BEF44E6" w14:textId="77DFEF0F" w:rsidR="00D50C46" w:rsidRPr="00D50C46" w:rsidRDefault="00D50C46"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48051B95" w14:textId="77777777" w:rsidR="00D50C46" w:rsidRPr="00D50C46" w:rsidRDefault="00D50C46" w:rsidP="00D50C46">
            <w:pPr>
              <w:pStyle w:val="Inne0"/>
              <w:shd w:val="clear" w:color="auto" w:fill="auto"/>
              <w:spacing w:before="120" w:after="120"/>
              <w:ind w:left="130" w:right="274" w:firstLine="8"/>
              <w:rPr>
                <w:rFonts w:ascii="Lato" w:hAnsi="Lato"/>
                <w:sz w:val="18"/>
                <w:szCs w:val="18"/>
              </w:rPr>
            </w:pPr>
            <w:r w:rsidRPr="00D50C46">
              <w:rPr>
                <w:rFonts w:ascii="Lato" w:hAnsi="Lato"/>
                <w:sz w:val="18"/>
                <w:szCs w:val="18"/>
              </w:rPr>
              <w:t>Art. 1 pkt. 14 projektu ustawy:</w:t>
            </w:r>
          </w:p>
          <w:p w14:paraId="4532DB95" w14:textId="06FFFC39" w:rsidR="00D50C46" w:rsidRPr="00D50C46" w:rsidRDefault="00D50C46" w:rsidP="00D50C46">
            <w:pPr>
              <w:pStyle w:val="Inne0"/>
              <w:shd w:val="clear" w:color="auto" w:fill="auto"/>
              <w:spacing w:before="120" w:after="120"/>
              <w:ind w:left="130" w:right="274" w:firstLine="8"/>
              <w:rPr>
                <w:rFonts w:ascii="Lato" w:eastAsia="Arial" w:hAnsi="Lato" w:cs="Arial"/>
                <w:sz w:val="18"/>
                <w:szCs w:val="18"/>
              </w:rPr>
            </w:pPr>
            <w:r w:rsidRPr="00D50C46">
              <w:rPr>
                <w:rFonts w:ascii="Lato" w:hAnsi="Lato"/>
                <w:sz w:val="18"/>
                <w:szCs w:val="18"/>
              </w:rPr>
              <w:t>Zmiana treści zapisu w art. 11 ust. 3 pkt. 3. Doprowadzenie do zgodności z propozycją zapisów art. 42 ust. 2. Wydaje się, że pozostawienie zapisu bez zmian m</w:t>
            </w:r>
            <w:r w:rsidRPr="00D50C46">
              <w:rPr>
                <w:rFonts w:ascii="Lato" w:eastAsia="Arial" w:hAnsi="Lato" w:cs="Arial"/>
                <w:sz w:val="18"/>
                <w:szCs w:val="18"/>
              </w:rPr>
              <w:t xml:space="preserve">oże </w:t>
            </w:r>
            <w:r w:rsidRPr="00D50C46">
              <w:rPr>
                <w:rFonts w:ascii="Lato" w:hAnsi="Lato"/>
                <w:sz w:val="18"/>
                <w:szCs w:val="18"/>
              </w:rPr>
              <w:t>umożliwić osobom bez odpowiedniej wiedzy określanie przebiegu granic.</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B1ECD87" w14:textId="49BFBCEF" w:rsidR="00D50C46" w:rsidRPr="00D50C46" w:rsidRDefault="00D50C46" w:rsidP="00D50C46">
            <w:pPr>
              <w:pStyle w:val="Inne0"/>
              <w:shd w:val="clear" w:color="auto" w:fill="auto"/>
              <w:spacing w:before="120" w:after="120"/>
              <w:ind w:left="136" w:right="136"/>
              <w:rPr>
                <w:rFonts w:ascii="Lato" w:eastAsia="Arial" w:hAnsi="Lato" w:cs="Arial"/>
                <w:sz w:val="18"/>
                <w:szCs w:val="18"/>
              </w:rPr>
            </w:pPr>
            <w:r w:rsidRPr="00D50C46">
              <w:rPr>
                <w:rFonts w:ascii="Lato" w:hAnsi="Lato"/>
                <w:sz w:val="18"/>
                <w:szCs w:val="18"/>
              </w:rPr>
              <w:t>„3) bezpośredni nadzór w terenie nad czynnościami określania w terenie położenia punktów granicznych i przebiegu granic działek ewidencyjnych oraz stabilizacji i tymczasowego utrwalania punktów granicznych;</w:t>
            </w:r>
            <w:r w:rsidRPr="00D50C46">
              <w:rPr>
                <w:rFonts w:ascii="Lato" w:eastAsia="Arial" w:hAnsi="Lato" w:cs="Arial"/>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1D6C2AC" w14:textId="2EFF56ED" w:rsidR="00D50C46" w:rsidRDefault="009C0989" w:rsidP="00D50C4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Wyjaśnienie</w:t>
            </w:r>
          </w:p>
          <w:p w14:paraId="141C7A1E" w14:textId="2A5CCCC1" w:rsidR="009C0989" w:rsidRPr="0037774A" w:rsidRDefault="009C0989" w:rsidP="00D50C4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Czynności </w:t>
            </w:r>
            <w:r w:rsidRPr="00D50C46">
              <w:rPr>
                <w:rFonts w:ascii="Lato" w:hAnsi="Lato"/>
                <w:sz w:val="18"/>
                <w:szCs w:val="18"/>
              </w:rPr>
              <w:t>określania w terenie położenia punktów granicznych i przebiegu granic działek ewidencyjnych</w:t>
            </w:r>
            <w:r>
              <w:rPr>
                <w:rFonts w:ascii="Lato" w:hAnsi="Lato"/>
                <w:sz w:val="18"/>
                <w:szCs w:val="18"/>
              </w:rPr>
              <w:t xml:space="preserve"> zgodnie z projektowanym przepisem art. 42 ust. 2 pkt 1 ustawy – Prawo geodezyjne i kartograficzne wymaga ich </w:t>
            </w:r>
            <w:r w:rsidRPr="009C0989">
              <w:rPr>
                <w:rFonts w:ascii="Lato" w:hAnsi="Lato"/>
                <w:sz w:val="18"/>
                <w:szCs w:val="18"/>
              </w:rPr>
              <w:t>osobistego wykonywania przez osoby posiadające uprawnienia zawodowe w dziedzinie geodezji i kartografii</w:t>
            </w:r>
            <w:r>
              <w:rPr>
                <w:rFonts w:ascii="Lato" w:hAnsi="Lato"/>
                <w:sz w:val="18"/>
                <w:szCs w:val="18"/>
              </w:rPr>
              <w:t>. Nie są to zatem czynności, o których mowa w art. 11 ust. 3 ustawy – Prawo geodezyjne i kartograficzne i nie jest możliwe ich wykonywanie przez inne osoby (nawet pod nadzorem osoby posiadającej uprawnienia zawodowe).</w:t>
            </w:r>
          </w:p>
        </w:tc>
      </w:tr>
      <w:tr w:rsidR="00D50C46" w:rsidRPr="0037774A" w14:paraId="6F07C386" w14:textId="23858EB7" w:rsidTr="00D50C46">
        <w:trPr>
          <w:trHeight w:val="20"/>
        </w:trPr>
        <w:tc>
          <w:tcPr>
            <w:tcW w:w="709" w:type="dxa"/>
            <w:tcBorders>
              <w:top w:val="single" w:sz="4" w:space="0" w:color="auto"/>
              <w:left w:val="single" w:sz="4" w:space="0" w:color="auto"/>
              <w:bottom w:val="single" w:sz="4" w:space="0" w:color="auto"/>
            </w:tcBorders>
            <w:shd w:val="clear" w:color="auto" w:fill="FFFFFF"/>
          </w:tcPr>
          <w:p w14:paraId="0AB1E969" w14:textId="77777777" w:rsidR="00D50C46" w:rsidRPr="0037774A" w:rsidRDefault="00D50C46" w:rsidP="00D50C46">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6540974" w14:textId="64E31AC8" w:rsidR="00D50C46" w:rsidRPr="00D50C46" w:rsidRDefault="00D50C46"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582B5C08" w14:textId="77777777" w:rsidR="00D50C46" w:rsidRPr="00D50C46" w:rsidRDefault="00D50C46" w:rsidP="00D50C46">
            <w:pPr>
              <w:pStyle w:val="Inne0"/>
              <w:shd w:val="clear" w:color="auto" w:fill="auto"/>
              <w:spacing w:before="120" w:after="120"/>
              <w:ind w:left="130" w:firstLine="8"/>
              <w:rPr>
                <w:rFonts w:ascii="Lato" w:hAnsi="Lato"/>
                <w:sz w:val="18"/>
                <w:szCs w:val="18"/>
              </w:rPr>
            </w:pPr>
            <w:r w:rsidRPr="00D50C46">
              <w:rPr>
                <w:rFonts w:ascii="Lato" w:hAnsi="Lato"/>
                <w:b/>
                <w:bCs/>
                <w:sz w:val="18"/>
                <w:szCs w:val="18"/>
              </w:rPr>
              <w:t>Art. 1 pkt. 11 projektu ustawy:</w:t>
            </w:r>
          </w:p>
          <w:p w14:paraId="12767740" w14:textId="77777777" w:rsidR="00D50C46" w:rsidRPr="00D50C46" w:rsidRDefault="00D50C46" w:rsidP="00D50C46">
            <w:pPr>
              <w:pStyle w:val="Inne0"/>
              <w:shd w:val="clear" w:color="auto" w:fill="auto"/>
              <w:spacing w:before="120" w:after="120"/>
              <w:ind w:left="130" w:firstLine="8"/>
              <w:rPr>
                <w:rFonts w:ascii="Lato" w:hAnsi="Lato"/>
                <w:sz w:val="18"/>
                <w:szCs w:val="18"/>
              </w:rPr>
            </w:pPr>
            <w:r w:rsidRPr="00D50C46">
              <w:rPr>
                <w:rFonts w:ascii="Lato" w:hAnsi="Lato"/>
                <w:sz w:val="18"/>
                <w:szCs w:val="18"/>
              </w:rPr>
              <w:t>Zmiana treści zapisu w art. 11 ust. 5.</w:t>
            </w:r>
          </w:p>
          <w:p w14:paraId="65C98BA5" w14:textId="77777777" w:rsidR="00D50C46" w:rsidRPr="00D50C46" w:rsidRDefault="00D50C46" w:rsidP="00D50C46">
            <w:pPr>
              <w:pStyle w:val="Inne0"/>
              <w:shd w:val="clear" w:color="auto" w:fill="auto"/>
              <w:spacing w:before="120" w:after="120"/>
              <w:ind w:left="130" w:firstLine="8"/>
              <w:rPr>
                <w:rFonts w:ascii="Lato" w:hAnsi="Lato"/>
                <w:sz w:val="18"/>
                <w:szCs w:val="18"/>
              </w:rPr>
            </w:pPr>
            <w:r w:rsidRPr="00D50C46">
              <w:rPr>
                <w:rFonts w:ascii="Lato" w:hAnsi="Lato"/>
                <w:sz w:val="18"/>
                <w:szCs w:val="18"/>
              </w:rPr>
              <w:t xml:space="preserve">Prace geodezyjne wykonują również inni urzędnicy pracujący w </w:t>
            </w:r>
            <w:proofErr w:type="spellStart"/>
            <w:r w:rsidRPr="00D50C46">
              <w:rPr>
                <w:rFonts w:ascii="Lato" w:hAnsi="Lato"/>
                <w:sz w:val="18"/>
                <w:szCs w:val="18"/>
              </w:rPr>
              <w:t>ODGiK</w:t>
            </w:r>
            <w:proofErr w:type="spellEnd"/>
            <w:r w:rsidRPr="00D50C46">
              <w:rPr>
                <w:rFonts w:ascii="Lato" w:hAnsi="Lato"/>
                <w:sz w:val="18"/>
                <w:szCs w:val="18"/>
              </w:rPr>
              <w:t>, nie tylko kierownicy oraz osoby związane z weryfikacją.</w:t>
            </w:r>
          </w:p>
          <w:p w14:paraId="40FB9CB4" w14:textId="02E9B7F5" w:rsidR="00D50C46" w:rsidRPr="00D50C46" w:rsidRDefault="00D50C46" w:rsidP="00D50C46">
            <w:pPr>
              <w:pStyle w:val="Inne0"/>
              <w:shd w:val="clear" w:color="auto" w:fill="auto"/>
              <w:spacing w:before="120" w:after="120"/>
              <w:ind w:left="130" w:right="274" w:firstLine="8"/>
              <w:rPr>
                <w:rFonts w:ascii="Lato" w:eastAsia="Arial" w:hAnsi="Lato" w:cs="Arial"/>
                <w:sz w:val="18"/>
                <w:szCs w:val="18"/>
              </w:rPr>
            </w:pPr>
            <w:r w:rsidRPr="00D50C46">
              <w:rPr>
                <w:rFonts w:ascii="Lato" w:hAnsi="Lato"/>
                <w:sz w:val="18"/>
                <w:szCs w:val="18"/>
              </w:rPr>
              <w:t>Do rozważenia umożliwienie urzędnikom wykonywania prac geodezyjnych poza właściwym terenowo zakresem działania urzędu, z którym są związani jakąkolwiek umową.</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FB77F02" w14:textId="23879CAC" w:rsidR="00D50C46" w:rsidRPr="00D50C46" w:rsidRDefault="00D50C46" w:rsidP="009C0989">
            <w:pPr>
              <w:pStyle w:val="Inne0"/>
              <w:shd w:val="clear" w:color="auto" w:fill="auto"/>
              <w:spacing w:before="120" w:after="120"/>
              <w:ind w:left="136"/>
              <w:rPr>
                <w:rFonts w:ascii="Lato" w:eastAsia="Arial" w:hAnsi="Lato" w:cs="Arial"/>
                <w:sz w:val="18"/>
                <w:szCs w:val="18"/>
              </w:rPr>
            </w:pPr>
            <w:r w:rsidRPr="00D50C46">
              <w:rPr>
                <w:rFonts w:ascii="Lato" w:hAnsi="Lato"/>
                <w:sz w:val="18"/>
                <w:szCs w:val="18"/>
              </w:rPr>
              <w:t>„5. Nie mogą wykonywać prac geodezyjnych lub prac kartograficznych, ani sprawować nad nimi nadzoru, osoby posiadające uprawnienia zawodowe w dziedzinie geodezji i kartografii, o których mowa w art.</w:t>
            </w:r>
            <w:r w:rsidR="009C0989">
              <w:rPr>
                <w:rFonts w:ascii="Lato" w:hAnsi="Lato"/>
                <w:sz w:val="18"/>
                <w:szCs w:val="18"/>
              </w:rPr>
              <w:t xml:space="preserve"> </w:t>
            </w:r>
            <w:r w:rsidRPr="00D50C46">
              <w:rPr>
                <w:rFonts w:ascii="Lato" w:hAnsi="Lato"/>
                <w:sz w:val="18"/>
                <w:szCs w:val="18"/>
              </w:rPr>
              <w:t>43, które w ramach obowiązków służbowych realizują zadania organów Służby Geodezyjnej i Kartograficznej, zatrudnione w urzędach obsługujących te organy.</w:t>
            </w:r>
            <w:r w:rsidRPr="00D50C46">
              <w:rPr>
                <w:rFonts w:ascii="Lato" w:eastAsia="Arial" w:hAnsi="Lato" w:cs="Arial"/>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AC4ACE3" w14:textId="77777777" w:rsidR="00D50C46" w:rsidRDefault="009C0989" w:rsidP="00D50C4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55C0D6B3" w14:textId="3E5FDE94" w:rsidR="009C0989" w:rsidRPr="0037774A" w:rsidRDefault="009C0989" w:rsidP="00D50C4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Nie przewiduje się objęcia</w:t>
            </w:r>
            <w:r w:rsidR="00DE792E">
              <w:rPr>
                <w:rFonts w:ascii="Lato" w:eastAsia="Arial" w:hAnsi="Lato" w:cs="Arial"/>
                <w:sz w:val="18"/>
                <w:szCs w:val="18"/>
              </w:rPr>
              <w:t xml:space="preserve"> przedmiotowym zakazem wszystkich pracowników zatrudnionych w </w:t>
            </w:r>
            <w:r w:rsidR="00DE792E" w:rsidRPr="00D50C46">
              <w:rPr>
                <w:rFonts w:ascii="Lato" w:hAnsi="Lato"/>
                <w:sz w:val="18"/>
                <w:szCs w:val="18"/>
              </w:rPr>
              <w:t>urzędach obsługujących organ</w:t>
            </w:r>
            <w:r w:rsidR="00DE792E">
              <w:rPr>
                <w:rFonts w:ascii="Lato" w:hAnsi="Lato"/>
                <w:sz w:val="18"/>
                <w:szCs w:val="18"/>
              </w:rPr>
              <w:t>y</w:t>
            </w:r>
            <w:r w:rsidR="00DE792E" w:rsidRPr="00D50C46">
              <w:rPr>
                <w:rFonts w:ascii="Lato" w:hAnsi="Lato"/>
                <w:sz w:val="18"/>
                <w:szCs w:val="18"/>
              </w:rPr>
              <w:t xml:space="preserve"> Służby Geodezyjnej i Kartograficznej</w:t>
            </w:r>
            <w:r w:rsidR="00DE792E">
              <w:rPr>
                <w:rFonts w:ascii="Lato" w:hAnsi="Lato"/>
                <w:sz w:val="18"/>
                <w:szCs w:val="18"/>
              </w:rPr>
              <w:t>.</w:t>
            </w:r>
          </w:p>
        </w:tc>
      </w:tr>
      <w:tr w:rsidR="00D50C46" w:rsidRPr="0037774A" w14:paraId="41D8B681" w14:textId="61F97129" w:rsidTr="00D50C46">
        <w:trPr>
          <w:trHeight w:val="20"/>
        </w:trPr>
        <w:tc>
          <w:tcPr>
            <w:tcW w:w="709" w:type="dxa"/>
            <w:tcBorders>
              <w:top w:val="single" w:sz="4" w:space="0" w:color="auto"/>
              <w:left w:val="single" w:sz="4" w:space="0" w:color="auto"/>
              <w:bottom w:val="single" w:sz="4" w:space="0" w:color="auto"/>
            </w:tcBorders>
            <w:shd w:val="clear" w:color="auto" w:fill="FFFFFF"/>
          </w:tcPr>
          <w:p w14:paraId="17E4DF26" w14:textId="77777777" w:rsidR="00D50C46" w:rsidRPr="0037774A" w:rsidRDefault="00D50C46" w:rsidP="00D50C46">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25164D5" w14:textId="77874458" w:rsidR="00D50C46" w:rsidRPr="00D50C46" w:rsidRDefault="00D50C46" w:rsidP="00D50C46">
            <w:pPr>
              <w:pStyle w:val="Inne0"/>
              <w:shd w:val="clear" w:color="auto" w:fill="auto"/>
              <w:spacing w:before="120" w:after="120"/>
              <w:ind w:left="140"/>
              <w:rPr>
                <w:rFonts w:ascii="Lato" w:eastAsia="Arial" w:hAnsi="Lato" w:cs="Arial"/>
                <w:sz w:val="18"/>
                <w:szCs w:val="18"/>
              </w:rPr>
            </w:pPr>
            <w:r w:rsidRPr="00D50C46">
              <w:rPr>
                <w:rFonts w:ascii="Lato" w:eastAsia="Arial" w:hAnsi="Lato" w:cs="Arial"/>
                <w:sz w:val="18"/>
                <w:szCs w:val="18"/>
              </w:rPr>
              <w:t>Minister Infrastruktury</w:t>
            </w:r>
          </w:p>
        </w:tc>
        <w:tc>
          <w:tcPr>
            <w:tcW w:w="4536" w:type="dxa"/>
            <w:tcBorders>
              <w:top w:val="single" w:sz="4" w:space="0" w:color="auto"/>
              <w:left w:val="single" w:sz="4" w:space="0" w:color="auto"/>
              <w:bottom w:val="single" w:sz="4" w:space="0" w:color="auto"/>
            </w:tcBorders>
            <w:shd w:val="clear" w:color="auto" w:fill="FFFFFF"/>
          </w:tcPr>
          <w:p w14:paraId="5144CAD0" w14:textId="77777777" w:rsidR="00D50C46" w:rsidRPr="00D50C46" w:rsidRDefault="00D50C46" w:rsidP="00D50C46">
            <w:pPr>
              <w:pStyle w:val="Inne0"/>
              <w:shd w:val="clear" w:color="auto" w:fill="auto"/>
              <w:spacing w:before="120" w:after="120"/>
              <w:ind w:left="130" w:firstLine="8"/>
              <w:rPr>
                <w:rFonts w:ascii="Lato" w:hAnsi="Lato"/>
                <w:sz w:val="18"/>
                <w:szCs w:val="18"/>
              </w:rPr>
            </w:pPr>
            <w:r w:rsidRPr="00D50C46">
              <w:rPr>
                <w:rFonts w:ascii="Lato" w:hAnsi="Lato"/>
                <w:b/>
                <w:bCs/>
                <w:sz w:val="18"/>
                <w:szCs w:val="18"/>
              </w:rPr>
              <w:t>Art. 1 pkt. 11 projektu ustawy:</w:t>
            </w:r>
          </w:p>
          <w:p w14:paraId="57255FD5" w14:textId="77777777" w:rsidR="00D50C46" w:rsidRPr="00D50C46" w:rsidRDefault="00D50C46" w:rsidP="00D50C46">
            <w:pPr>
              <w:pStyle w:val="Inne0"/>
              <w:shd w:val="clear" w:color="auto" w:fill="auto"/>
              <w:spacing w:before="120" w:after="120"/>
              <w:ind w:left="130" w:firstLine="8"/>
              <w:rPr>
                <w:rFonts w:ascii="Lato" w:hAnsi="Lato"/>
                <w:sz w:val="18"/>
                <w:szCs w:val="18"/>
              </w:rPr>
            </w:pPr>
            <w:r w:rsidRPr="00D50C46">
              <w:rPr>
                <w:rFonts w:ascii="Lato" w:hAnsi="Lato"/>
                <w:sz w:val="18"/>
                <w:szCs w:val="18"/>
              </w:rPr>
              <w:t>Zmiana treści zapisu w art. 11 ust. 6 pkt. 2.</w:t>
            </w:r>
          </w:p>
          <w:p w14:paraId="479629C7" w14:textId="4FDA5927" w:rsidR="00D50C46" w:rsidRPr="00D50C46" w:rsidRDefault="00D50C46" w:rsidP="00D50C46">
            <w:pPr>
              <w:pStyle w:val="Inne0"/>
              <w:shd w:val="clear" w:color="auto" w:fill="auto"/>
              <w:spacing w:before="120" w:after="120"/>
              <w:ind w:left="130" w:right="274" w:firstLine="8"/>
              <w:rPr>
                <w:rFonts w:ascii="Lato" w:eastAsia="Arial" w:hAnsi="Lato" w:cs="Arial"/>
                <w:sz w:val="18"/>
                <w:szCs w:val="18"/>
              </w:rPr>
            </w:pPr>
            <w:r w:rsidRPr="00D50C46">
              <w:rPr>
                <w:rFonts w:ascii="Lato" w:hAnsi="Lato"/>
                <w:sz w:val="18"/>
                <w:szCs w:val="18"/>
              </w:rPr>
              <w:t>W przypadku pozostawienia zapisu bez zmian może zaistnieć sytuacja, w której praca przełożonego (biegłego) będzie weryfikowana przez podwładnego (weryfikatora).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6CD8E6F" w14:textId="069B00CB" w:rsidR="00D50C46" w:rsidRPr="00D50C46" w:rsidRDefault="00D50C46" w:rsidP="00D50C46">
            <w:pPr>
              <w:pStyle w:val="Inne0"/>
              <w:shd w:val="clear" w:color="auto" w:fill="auto"/>
              <w:spacing w:before="120" w:after="120"/>
              <w:ind w:left="136" w:right="136"/>
              <w:rPr>
                <w:rFonts w:ascii="Lato" w:eastAsia="Arial" w:hAnsi="Lato" w:cs="Arial"/>
                <w:sz w:val="18"/>
                <w:szCs w:val="18"/>
              </w:rPr>
            </w:pPr>
            <w:r w:rsidRPr="00D50C46">
              <w:rPr>
                <w:rFonts w:ascii="Lato" w:hAnsi="Lato"/>
                <w:sz w:val="18"/>
                <w:szCs w:val="18"/>
              </w:rPr>
              <w:t xml:space="preserve">„2) w ramach postępowania sądowego przez osoby pełniące funkcje biegłego sądowego poza zakresem terenowym działania urzędu, w którym jest zatrudniony.” </w:t>
            </w:r>
            <w:r w:rsidRPr="00D50C46">
              <w:rPr>
                <w:rFonts w:ascii="Lato" w:eastAsia="Arial" w:hAnsi="Lato" w:cs="Arial"/>
                <w:sz w:val="18"/>
                <w:szCs w:val="18"/>
              </w:rPr>
              <w:t>.</w:t>
            </w: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8A37CC" w14:textId="3CEAD2DC" w:rsidR="00DE792E" w:rsidRDefault="00DE792E" w:rsidP="00DE792E">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 z modyfikacją.</w:t>
            </w:r>
          </w:p>
          <w:p w14:paraId="2615C6D6" w14:textId="0E08713E" w:rsidR="00DE792E" w:rsidRDefault="00DE792E" w:rsidP="00DE792E">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Wprowadzono zakaz wykonywania prac geodezyjnych lub prac kartograficznych </w:t>
            </w:r>
            <w:r w:rsidRPr="00DE792E">
              <w:rPr>
                <w:rFonts w:ascii="Lato" w:eastAsia="Arial" w:hAnsi="Lato" w:cs="Arial"/>
                <w:sz w:val="18"/>
                <w:szCs w:val="18"/>
              </w:rPr>
              <w:t>w ramach postępowania sądowego, w przypadku jeżeli podlegają</w:t>
            </w:r>
            <w:r>
              <w:rPr>
                <w:rFonts w:ascii="Lato" w:eastAsia="Arial" w:hAnsi="Lato" w:cs="Arial"/>
                <w:sz w:val="18"/>
                <w:szCs w:val="18"/>
              </w:rPr>
              <w:t xml:space="preserve"> one</w:t>
            </w:r>
            <w:r w:rsidRPr="00DE792E">
              <w:rPr>
                <w:rFonts w:ascii="Lato" w:eastAsia="Arial" w:hAnsi="Lato" w:cs="Arial"/>
                <w:sz w:val="18"/>
                <w:szCs w:val="18"/>
              </w:rPr>
              <w:t xml:space="preserve"> zgłoszeniu do organu Służby Geodezyjnej i Kartograficznej, u którego pracuje </w:t>
            </w:r>
            <w:r>
              <w:rPr>
                <w:rFonts w:ascii="Lato" w:eastAsia="Arial" w:hAnsi="Lato" w:cs="Arial"/>
                <w:sz w:val="18"/>
                <w:szCs w:val="18"/>
              </w:rPr>
              <w:t>dana osoba</w:t>
            </w:r>
            <w:r w:rsidRPr="00DE792E">
              <w:rPr>
                <w:rFonts w:ascii="Lato" w:eastAsia="Arial" w:hAnsi="Lato" w:cs="Arial"/>
                <w:sz w:val="18"/>
                <w:szCs w:val="18"/>
              </w:rPr>
              <w:t>.</w:t>
            </w:r>
            <w:r>
              <w:rPr>
                <w:rFonts w:ascii="Lato" w:eastAsia="Arial" w:hAnsi="Lato" w:cs="Arial"/>
                <w:sz w:val="18"/>
                <w:szCs w:val="18"/>
              </w:rPr>
              <w:t xml:space="preserve"> Jeżeli prace nie podlegają obowiązkowi zgłoszenia, ich wyniki nie trafiają do tego organu i nie podlegają </w:t>
            </w:r>
            <w:r w:rsidRPr="00DE792E">
              <w:rPr>
                <w:rFonts w:ascii="Lato" w:eastAsia="Arial" w:hAnsi="Lato" w:cs="Arial"/>
                <w:sz w:val="18"/>
                <w:szCs w:val="18"/>
              </w:rPr>
              <w:t>weryfikacji i przyjęciu do zasobu</w:t>
            </w:r>
            <w:r>
              <w:rPr>
                <w:rFonts w:ascii="Lato" w:eastAsia="Arial" w:hAnsi="Lato" w:cs="Arial"/>
                <w:sz w:val="18"/>
                <w:szCs w:val="18"/>
              </w:rPr>
              <w:t>.</w:t>
            </w:r>
          </w:p>
          <w:p w14:paraId="39770D75" w14:textId="6309AEEE" w:rsidR="00D50C46" w:rsidRPr="0037774A" w:rsidRDefault="00D50C46" w:rsidP="00D50C46">
            <w:pPr>
              <w:pStyle w:val="Inne0"/>
              <w:shd w:val="clear" w:color="auto" w:fill="auto"/>
              <w:spacing w:before="120" w:after="120"/>
              <w:ind w:left="131" w:right="138"/>
              <w:rPr>
                <w:rFonts w:ascii="Lato" w:eastAsia="Arial" w:hAnsi="Lato" w:cs="Arial"/>
                <w:sz w:val="18"/>
                <w:szCs w:val="18"/>
              </w:rPr>
            </w:pPr>
          </w:p>
        </w:tc>
      </w:tr>
      <w:tr w:rsidR="00A1261B" w:rsidRPr="0037774A" w14:paraId="75EFAD10" w14:textId="274C19FF" w:rsidTr="00A1261B">
        <w:trPr>
          <w:trHeight w:val="20"/>
        </w:trPr>
        <w:tc>
          <w:tcPr>
            <w:tcW w:w="709" w:type="dxa"/>
            <w:tcBorders>
              <w:top w:val="single" w:sz="4" w:space="0" w:color="auto"/>
              <w:left w:val="single" w:sz="4" w:space="0" w:color="auto"/>
              <w:bottom w:val="single" w:sz="4" w:space="0" w:color="auto"/>
            </w:tcBorders>
            <w:shd w:val="clear" w:color="auto" w:fill="FFFFFF"/>
          </w:tcPr>
          <w:p w14:paraId="31DE5A0A"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A31100B" w14:textId="7E6FDF11" w:rsidR="00A1261B" w:rsidRPr="0037774A" w:rsidRDefault="009D7D31" w:rsidP="0037774A">
            <w:pPr>
              <w:pStyle w:val="Inne0"/>
              <w:shd w:val="clear" w:color="auto" w:fill="auto"/>
              <w:spacing w:before="120" w:after="120"/>
              <w:ind w:left="140"/>
              <w:rPr>
                <w:rFonts w:ascii="Lato" w:eastAsia="Arial" w:hAnsi="Lato" w:cs="Arial"/>
                <w:sz w:val="18"/>
                <w:szCs w:val="18"/>
              </w:rPr>
            </w:pPr>
            <w:r>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5A3BF252" w14:textId="77777777" w:rsidR="009D7D31" w:rsidRDefault="00D50C46" w:rsidP="009D7D31">
            <w:pPr>
              <w:pStyle w:val="Inne0"/>
              <w:spacing w:before="120" w:after="120"/>
              <w:ind w:left="138" w:right="274"/>
              <w:rPr>
                <w:rFonts w:ascii="Lato" w:hAnsi="Lato"/>
                <w:sz w:val="18"/>
                <w:szCs w:val="18"/>
              </w:rPr>
            </w:pPr>
            <w:r w:rsidRPr="00D50C46">
              <w:rPr>
                <w:rFonts w:ascii="Lato" w:eastAsia="Arial" w:hAnsi="Lato" w:cs="Arial"/>
                <w:sz w:val="18"/>
                <w:szCs w:val="18"/>
              </w:rPr>
              <w:t>RCL podtrzymuje uwagę odnoszącą się do art. 1 pkt 1 lit. d projektu ustawy (uwagę nr 3),</w:t>
            </w:r>
            <w:r w:rsidR="009D7D31">
              <w:rPr>
                <w:rFonts w:ascii="Lato" w:eastAsia="Arial" w:hAnsi="Lato" w:cs="Arial"/>
                <w:sz w:val="18"/>
                <w:szCs w:val="18"/>
              </w:rPr>
              <w:t xml:space="preserve"> </w:t>
            </w:r>
            <w:r w:rsidRPr="00D50C46">
              <w:rPr>
                <w:rFonts w:ascii="Lato" w:eastAsia="Arial" w:hAnsi="Lato" w:cs="Arial"/>
                <w:sz w:val="18"/>
                <w:szCs w:val="18"/>
              </w:rPr>
              <w:t>że w art. 2 pkt 12 ustawy z dnia 17 maja 1989 r. – Prawo geodezyjne i kartograficzne,</w:t>
            </w:r>
            <w:r w:rsidR="009D7D31">
              <w:rPr>
                <w:rFonts w:ascii="Lato" w:eastAsia="Arial" w:hAnsi="Lato" w:cs="Arial"/>
                <w:sz w:val="18"/>
                <w:szCs w:val="18"/>
              </w:rPr>
              <w:t xml:space="preserve"> </w:t>
            </w:r>
            <w:r w:rsidRPr="00D50C46">
              <w:rPr>
                <w:rFonts w:ascii="Lato" w:eastAsia="Arial" w:hAnsi="Lato" w:cs="Arial"/>
                <w:sz w:val="18"/>
                <w:szCs w:val="18"/>
              </w:rPr>
              <w:t xml:space="preserve">zwanej dalej „zmienianą ustawą”, w zaproponowanym brzmieniu definicji </w:t>
            </w:r>
            <w:r w:rsidRPr="009D7D31">
              <w:rPr>
                <w:rFonts w:ascii="Lato" w:eastAsia="Arial" w:hAnsi="Lato" w:cs="Arial"/>
                <w:sz w:val="18"/>
                <w:szCs w:val="18"/>
              </w:rPr>
              <w:t>gleboznawczej</w:t>
            </w:r>
            <w:r w:rsidR="009D7D31" w:rsidRPr="009D7D31">
              <w:rPr>
                <w:rFonts w:ascii="Lato" w:eastAsia="Arial" w:hAnsi="Lato" w:cs="Arial"/>
                <w:sz w:val="18"/>
                <w:szCs w:val="18"/>
              </w:rPr>
              <w:t xml:space="preserve"> </w:t>
            </w:r>
            <w:r w:rsidRPr="009D7D31">
              <w:rPr>
                <w:rFonts w:ascii="Lato" w:eastAsia="Arial" w:hAnsi="Lato" w:cs="Arial"/>
                <w:sz w:val="18"/>
                <w:szCs w:val="18"/>
              </w:rPr>
              <w:t xml:space="preserve">klasyfikacji gruntów rozumianej jako podział gruntów rolnych na klasy </w:t>
            </w:r>
            <w:r w:rsidRPr="009D7D31">
              <w:rPr>
                <w:rFonts w:ascii="Lato" w:eastAsia="Arial" w:hAnsi="Lato" w:cs="Arial"/>
                <w:sz w:val="18"/>
                <w:szCs w:val="18"/>
              </w:rPr>
              <w:lastRenderedPageBreak/>
              <w:t>bonitacyjne</w:t>
            </w:r>
            <w:r w:rsidR="009D7D31" w:rsidRPr="009D7D31">
              <w:rPr>
                <w:rFonts w:ascii="Lato" w:eastAsia="Arial" w:hAnsi="Lato" w:cs="Arial"/>
                <w:sz w:val="18"/>
                <w:szCs w:val="18"/>
              </w:rPr>
              <w:t xml:space="preserve"> </w:t>
            </w:r>
            <w:r w:rsidRPr="009D7D31">
              <w:rPr>
                <w:rFonts w:ascii="Lato" w:eastAsia="Arial" w:hAnsi="Lato" w:cs="Arial"/>
                <w:sz w:val="18"/>
                <w:szCs w:val="18"/>
              </w:rPr>
              <w:t>ze względu na wartość produkcyjną gleb, ustaloną na podstawie ich cech morfologicznych,</w:t>
            </w:r>
            <w:r w:rsidR="009D7D31" w:rsidRPr="009D7D31">
              <w:rPr>
                <w:rFonts w:ascii="Lato" w:eastAsia="Arial" w:hAnsi="Lato" w:cs="Arial"/>
                <w:sz w:val="18"/>
                <w:szCs w:val="18"/>
              </w:rPr>
              <w:t xml:space="preserve"> </w:t>
            </w:r>
            <w:r w:rsidR="009D7D31" w:rsidRPr="009D7D31">
              <w:rPr>
                <w:rFonts w:ascii="Lato" w:hAnsi="Lato"/>
                <w:sz w:val="18"/>
                <w:szCs w:val="18"/>
              </w:rPr>
              <w:t xml:space="preserve">właściwości fizycznych i chemicznych oraz </w:t>
            </w:r>
            <w:r w:rsidR="009D7D31" w:rsidRPr="009D7D31">
              <w:rPr>
                <w:rFonts w:ascii="Lato" w:hAnsi="Lato"/>
                <w:sz w:val="18"/>
                <w:szCs w:val="18"/>
                <w:u w:val="single"/>
              </w:rPr>
              <w:t>innych uwarunkowań środowiskowych</w:t>
            </w:r>
            <w:r w:rsidR="009D7D31" w:rsidRPr="009D7D31">
              <w:rPr>
                <w:rFonts w:ascii="Lato" w:hAnsi="Lato"/>
                <w:sz w:val="18"/>
                <w:szCs w:val="18"/>
              </w:rPr>
              <w:t xml:space="preserve"> takich jak klimat i rzeźba terenu, stosownie do zasady określoności przepisów prawa, </w:t>
            </w:r>
            <w:r w:rsidR="009D7D31" w:rsidRPr="009D7D31">
              <w:rPr>
                <w:rFonts w:ascii="Lato" w:hAnsi="Lato"/>
                <w:sz w:val="18"/>
                <w:szCs w:val="18"/>
                <w:u w:val="single"/>
              </w:rPr>
              <w:t>należy doprecyzować, o jakie inne uwarunkowania środowiskowe poza klimatem i rzeźbą terenu chodzi</w:t>
            </w:r>
            <w:r w:rsidR="009D7D31" w:rsidRPr="009D7D31">
              <w:rPr>
                <w:rFonts w:ascii="Lato" w:hAnsi="Lato"/>
                <w:sz w:val="18"/>
                <w:szCs w:val="18"/>
              </w:rPr>
              <w:t xml:space="preserve">. W zestawieniu uwag (lp. 83) w stanowisku </w:t>
            </w:r>
            <w:proofErr w:type="spellStart"/>
            <w:r w:rsidR="009D7D31" w:rsidRPr="009D7D31">
              <w:rPr>
                <w:rFonts w:ascii="Lato" w:hAnsi="Lato"/>
                <w:sz w:val="18"/>
                <w:szCs w:val="18"/>
              </w:rPr>
              <w:t>MRiT</w:t>
            </w:r>
            <w:proofErr w:type="spellEnd"/>
            <w:r w:rsidR="009D7D31" w:rsidRPr="009D7D31">
              <w:rPr>
                <w:rFonts w:ascii="Lato" w:hAnsi="Lato"/>
                <w:sz w:val="18"/>
                <w:szCs w:val="18"/>
              </w:rPr>
              <w:t xml:space="preserve"> wskazano, że kwestie te zostaną określone w akcie wykonawczym wydanym na podstawie projektowanego art. 26g zmienianej ustawy, który będzie określał m.in. szczegółowy sposób przeprowadzania gleboznawczej klasyfikacji gruntów, mając na celu wykonanie prawidłowego podziału gruntów rolnych na klasy bonitacyjne ze względu na wartość produkcyjną gleb, ustaloną na podstawie cech morfologicznych gleb, ich właściwości fizycznych i chemicznych oraz innych uwarunkowań środowiskowych takich jak klimat i rzeźba terenu, oraz zapewnienie prawidłowego poziomu merytorycznego wykonywania gleboznawczej klasyfikacji gruntów i aktualizacji ewidencji gruntów i budynków, uwzględniając proces cyfryzacji danych państwowego zasobu. </w:t>
            </w:r>
          </w:p>
          <w:p w14:paraId="07414ABE" w14:textId="360789BD" w:rsidR="00A1261B" w:rsidRPr="0037774A" w:rsidRDefault="009D7D31" w:rsidP="009D7D31">
            <w:pPr>
              <w:pStyle w:val="Inne0"/>
              <w:spacing w:before="120" w:after="120"/>
              <w:ind w:left="138" w:right="274"/>
              <w:rPr>
                <w:rFonts w:ascii="Lato" w:eastAsia="Arial" w:hAnsi="Lato" w:cs="Arial"/>
                <w:sz w:val="18"/>
                <w:szCs w:val="18"/>
              </w:rPr>
            </w:pPr>
            <w:r w:rsidRPr="009D7D31">
              <w:rPr>
                <w:rFonts w:ascii="Lato" w:hAnsi="Lato"/>
                <w:sz w:val="18"/>
                <w:szCs w:val="18"/>
              </w:rPr>
              <w:t>RCL zauważa jednak, że określenie ww. innych uwarunkowań środowiskowych nie mieści się w szczegółowym sposobie przeprowadzania gleboznawczej klasyfikacji gruntów i wykracza poza upoważnienie ustawowe określone w projektowanym art. 26g pkt 1. Ponadto zauważa się, że przepisy aktu wykonawczego nie powinny precyzować pojęcia definiowanego w przepisach ustawowych.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EDD1F35" w14:textId="34CAB3A8"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D8E12F8" w14:textId="3C72C977" w:rsidR="00A1261B" w:rsidRPr="0037774A" w:rsidRDefault="006E044C" w:rsidP="0037774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15105A" w:rsidRPr="0037774A" w14:paraId="69CDCFFE" w14:textId="3E7A8AF0" w:rsidTr="00A1261B">
        <w:trPr>
          <w:trHeight w:val="20"/>
        </w:trPr>
        <w:tc>
          <w:tcPr>
            <w:tcW w:w="709" w:type="dxa"/>
            <w:tcBorders>
              <w:top w:val="single" w:sz="4" w:space="0" w:color="auto"/>
              <w:left w:val="single" w:sz="4" w:space="0" w:color="auto"/>
              <w:bottom w:val="single" w:sz="4" w:space="0" w:color="auto"/>
            </w:tcBorders>
            <w:shd w:val="clear" w:color="auto" w:fill="FFFFFF"/>
          </w:tcPr>
          <w:p w14:paraId="06CF4131"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804AA60" w14:textId="7BEFE022"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5376C0F1" w14:textId="793B2C63" w:rsidR="0015105A" w:rsidRPr="009D7D31" w:rsidRDefault="0015105A" w:rsidP="0015105A">
            <w:pPr>
              <w:pStyle w:val="Inne0"/>
              <w:spacing w:before="120" w:after="120"/>
              <w:ind w:left="138" w:right="274"/>
              <w:rPr>
                <w:rFonts w:ascii="Lato" w:eastAsia="Arial" w:hAnsi="Lato" w:cs="Arial"/>
                <w:sz w:val="18"/>
                <w:szCs w:val="18"/>
              </w:rPr>
            </w:pPr>
            <w:r w:rsidRPr="009D7D31">
              <w:rPr>
                <w:rFonts w:ascii="Lato" w:eastAsia="Arial" w:hAnsi="Lato" w:cs="Arial"/>
                <w:sz w:val="18"/>
                <w:szCs w:val="18"/>
              </w:rPr>
              <w:t xml:space="preserve">RCL podtrzymuje uwagę nr 7, że w związku z dodawanym w art. 1 pkt 8 lit. b projektu ustawy ust. 5 do art. 7a zmienianej ustawy, zgodnie z którym Główny Geodeta Kraju przygotowuje i przedstawia do zatwierdzenia ministrowi właściwemu do spraw budownictwa, planowania i zagospodarowania przestrzennego oraz mieszkalnictwa, w terminie do dnia 1 stycznia każdego roku kalendarzowego, roczny plan działania Głównego Urzędu Geodezji i Kartografii oraz roczne sprawozdanie z realizacji zadań Głównego Urzędu Geodezji i Kartografii za rok poprzedni, należy przeanalizować, czy istnieje </w:t>
            </w:r>
            <w:r w:rsidRPr="009D7D31">
              <w:rPr>
                <w:rFonts w:ascii="Lato" w:eastAsia="Arial" w:hAnsi="Lato" w:cs="Arial"/>
                <w:sz w:val="18"/>
                <w:szCs w:val="18"/>
              </w:rPr>
              <w:lastRenderedPageBreak/>
              <w:t xml:space="preserve">konieczność uzupełnienia projektu ustawy o przepisy dostosowujące dotyczące ww. sprawozdania (w art. 5 projektu jest odniesienie jedynie do ww. planu, a nie do sprawozdania, przy czym zauważa się, że odesłania zawarte w art. 5 wymagają korekty i doprecyzowania) oraz uzupełnić uzasadnienie w tym zakresie. Pomimo deklaracji </w:t>
            </w:r>
            <w:proofErr w:type="spellStart"/>
            <w:r w:rsidRPr="009D7D31">
              <w:rPr>
                <w:rFonts w:ascii="Lato" w:eastAsia="Arial" w:hAnsi="Lato" w:cs="Arial"/>
                <w:sz w:val="18"/>
                <w:szCs w:val="18"/>
              </w:rPr>
              <w:t>MRiT</w:t>
            </w:r>
            <w:proofErr w:type="spellEnd"/>
            <w:r w:rsidRPr="009D7D31">
              <w:rPr>
                <w:rFonts w:ascii="Lato" w:eastAsia="Arial" w:hAnsi="Lato" w:cs="Arial"/>
                <w:sz w:val="18"/>
                <w:szCs w:val="18"/>
              </w:rPr>
              <w:t xml:space="preserve"> o uwzględnieniu tej uwagi (lp. 87 zestawienia uwag) projekt ustawy oraz uzasadnienie nie odzwierciedlają jej uwzględnienia.</w:t>
            </w:r>
          </w:p>
          <w:p w14:paraId="4608F9D8" w14:textId="609BBA46" w:rsidR="0015105A" w:rsidRPr="0037774A" w:rsidRDefault="0015105A" w:rsidP="00EC2D84">
            <w:pPr>
              <w:pStyle w:val="Inne0"/>
              <w:spacing w:before="120" w:after="120"/>
              <w:ind w:left="138" w:right="274"/>
              <w:rPr>
                <w:rFonts w:ascii="Lato" w:eastAsia="Arial" w:hAnsi="Lato" w:cs="Arial"/>
                <w:sz w:val="18"/>
                <w:szCs w:val="18"/>
              </w:rPr>
            </w:pPr>
            <w:r w:rsidRPr="009D7D31">
              <w:rPr>
                <w:rFonts w:ascii="Lato" w:eastAsia="Arial" w:hAnsi="Lato" w:cs="Arial"/>
                <w:sz w:val="18"/>
                <w:szCs w:val="18"/>
              </w:rPr>
              <w:t xml:space="preserve">Ponadto w kontekście tego, że ww. przepis wskazuje, że przygotowanie i przedstawienie do zatwierdzenia rocznego sprawozdania z realizacji zadań Głównego Urzędu Geodezji 2 i Kartografii za rok poprzedni ma następować </w:t>
            </w:r>
            <w:r w:rsidRPr="009D7D31">
              <w:rPr>
                <w:rFonts w:ascii="Lato" w:eastAsia="Arial" w:hAnsi="Lato" w:cs="Arial"/>
                <w:sz w:val="18"/>
                <w:szCs w:val="18"/>
                <w:u w:val="single"/>
              </w:rPr>
              <w:t>w terminie do 1 stycznia każdego roku</w:t>
            </w:r>
            <w:r w:rsidRPr="009D7D31">
              <w:rPr>
                <w:rFonts w:ascii="Lato" w:eastAsia="Arial" w:hAnsi="Lato" w:cs="Arial"/>
                <w:sz w:val="18"/>
                <w:szCs w:val="18"/>
              </w:rPr>
              <w:t xml:space="preserve"> dodatkowego wyjaśnienia wymaga, czy zrealizowanie tego obowiązku we wskazanym terminie jest możliwe i nie będzie powodować trudności.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165AC8F" w14:textId="7F1ABD0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B3FE21D" w14:textId="77777777" w:rsidR="0015105A" w:rsidRDefault="006E044C"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Wyjaśnienie.</w:t>
            </w:r>
          </w:p>
          <w:p w14:paraId="266B4FD9" w14:textId="7A82692C" w:rsidR="006E044C" w:rsidRDefault="006E044C"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Zgodnie z projektowanym art. 7a ust. 4 pkt 2 i ust. 5 pkt 2 ustawy – Prawo geodezyjne i kartograficzne,  obowiązek sporządzenia sprawozdań z</w:t>
            </w:r>
            <w:r w:rsidRPr="006E044C">
              <w:rPr>
                <w:rFonts w:ascii="Lato" w:eastAsia="Arial" w:hAnsi="Lato" w:cs="Arial"/>
                <w:sz w:val="18"/>
                <w:szCs w:val="18"/>
              </w:rPr>
              <w:t xml:space="preserve"> realizacji planu strategicznego </w:t>
            </w:r>
            <w:r>
              <w:rPr>
                <w:rFonts w:ascii="Lato" w:eastAsia="Arial" w:hAnsi="Lato" w:cs="Arial"/>
                <w:sz w:val="18"/>
                <w:szCs w:val="18"/>
              </w:rPr>
              <w:t xml:space="preserve">i planu działalności </w:t>
            </w:r>
            <w:r w:rsidRPr="006E044C">
              <w:rPr>
                <w:rFonts w:ascii="Lato" w:eastAsia="Arial" w:hAnsi="Lato" w:cs="Arial"/>
                <w:sz w:val="18"/>
                <w:szCs w:val="18"/>
              </w:rPr>
              <w:t>Głównego Urzędu Geodezji i Kartografii</w:t>
            </w:r>
            <w:r>
              <w:rPr>
                <w:rFonts w:ascii="Lato" w:eastAsia="Arial" w:hAnsi="Lato" w:cs="Arial"/>
                <w:sz w:val="18"/>
                <w:szCs w:val="18"/>
              </w:rPr>
              <w:t xml:space="preserve">, powstanie dopiero po wejściu w życie </w:t>
            </w:r>
            <w:r w:rsidR="00834420">
              <w:rPr>
                <w:rFonts w:ascii="Lato" w:eastAsia="Arial" w:hAnsi="Lato" w:cs="Arial"/>
                <w:sz w:val="18"/>
                <w:szCs w:val="18"/>
              </w:rPr>
              <w:t xml:space="preserve">projektowanych przepisów. </w:t>
            </w:r>
            <w:r w:rsidR="00EC2D84">
              <w:rPr>
                <w:rFonts w:ascii="Lato" w:eastAsia="Arial" w:hAnsi="Lato" w:cs="Arial"/>
                <w:sz w:val="18"/>
                <w:szCs w:val="18"/>
              </w:rPr>
              <w:t xml:space="preserve">Obecnie Główny Geodeta Kraju tego obowiązku nie ma. </w:t>
            </w:r>
            <w:r w:rsidR="00834420">
              <w:rPr>
                <w:rFonts w:ascii="Lato" w:eastAsia="Arial" w:hAnsi="Lato" w:cs="Arial"/>
                <w:sz w:val="18"/>
                <w:szCs w:val="18"/>
              </w:rPr>
              <w:t xml:space="preserve">Dopiero </w:t>
            </w:r>
            <w:r w:rsidR="00EC2D84">
              <w:rPr>
                <w:rFonts w:ascii="Lato" w:eastAsia="Arial" w:hAnsi="Lato" w:cs="Arial"/>
                <w:sz w:val="18"/>
                <w:szCs w:val="18"/>
              </w:rPr>
              <w:t xml:space="preserve">po opracowaniu na podstawie nowych przepisów </w:t>
            </w:r>
            <w:r>
              <w:rPr>
                <w:rFonts w:ascii="Lato" w:eastAsia="Arial" w:hAnsi="Lato" w:cs="Arial"/>
                <w:sz w:val="18"/>
                <w:szCs w:val="18"/>
              </w:rPr>
              <w:t>ww. plan</w:t>
            </w:r>
            <w:r w:rsidR="00EC2D84">
              <w:rPr>
                <w:rFonts w:ascii="Lato" w:eastAsia="Arial" w:hAnsi="Lato" w:cs="Arial"/>
                <w:sz w:val="18"/>
                <w:szCs w:val="18"/>
              </w:rPr>
              <w:t>ów</w:t>
            </w:r>
            <w:r w:rsidR="00834420">
              <w:rPr>
                <w:rFonts w:ascii="Lato" w:eastAsia="Arial" w:hAnsi="Lato" w:cs="Arial"/>
                <w:sz w:val="18"/>
                <w:szCs w:val="18"/>
              </w:rPr>
              <w:t xml:space="preserve"> i po ich wykonaniu będzie można sporządzić sprawozdania z realizacji</w:t>
            </w:r>
            <w:r w:rsidR="00EC2D84">
              <w:rPr>
                <w:rFonts w:ascii="Lato" w:eastAsia="Arial" w:hAnsi="Lato" w:cs="Arial"/>
                <w:sz w:val="18"/>
                <w:szCs w:val="18"/>
              </w:rPr>
              <w:t xml:space="preserve"> tych planów</w:t>
            </w:r>
            <w:r w:rsidR="00834420">
              <w:rPr>
                <w:rFonts w:ascii="Lato" w:eastAsia="Arial" w:hAnsi="Lato" w:cs="Arial"/>
                <w:sz w:val="18"/>
                <w:szCs w:val="18"/>
              </w:rPr>
              <w:t xml:space="preserve">. Nie ma zatem </w:t>
            </w:r>
            <w:r w:rsidR="00EC2D84">
              <w:rPr>
                <w:rFonts w:ascii="Lato" w:eastAsia="Arial" w:hAnsi="Lato" w:cs="Arial"/>
                <w:sz w:val="18"/>
                <w:szCs w:val="18"/>
              </w:rPr>
              <w:t>konieczności,</w:t>
            </w:r>
            <w:r w:rsidR="00834420">
              <w:rPr>
                <w:rFonts w:ascii="Lato" w:eastAsia="Arial" w:hAnsi="Lato" w:cs="Arial"/>
                <w:sz w:val="18"/>
                <w:szCs w:val="18"/>
              </w:rPr>
              <w:t xml:space="preserve"> ani możliwości</w:t>
            </w:r>
            <w:r w:rsidR="00EC2D84">
              <w:rPr>
                <w:rFonts w:ascii="Lato" w:eastAsia="Arial" w:hAnsi="Lato" w:cs="Arial"/>
                <w:sz w:val="18"/>
                <w:szCs w:val="18"/>
              </w:rPr>
              <w:t>,</w:t>
            </w:r>
            <w:r w:rsidR="00834420">
              <w:rPr>
                <w:rFonts w:ascii="Lato" w:eastAsia="Arial" w:hAnsi="Lato" w:cs="Arial"/>
                <w:sz w:val="18"/>
                <w:szCs w:val="18"/>
              </w:rPr>
              <w:t xml:space="preserve"> uzupełnienia przepisów </w:t>
            </w:r>
            <w:r w:rsidR="00834420">
              <w:rPr>
                <w:rFonts w:ascii="Lato" w:eastAsia="Arial" w:hAnsi="Lato" w:cs="Arial"/>
                <w:sz w:val="18"/>
                <w:szCs w:val="18"/>
              </w:rPr>
              <w:lastRenderedPageBreak/>
              <w:t xml:space="preserve">przejściowych o </w:t>
            </w:r>
            <w:r w:rsidR="00834420" w:rsidRPr="00834420">
              <w:rPr>
                <w:rFonts w:ascii="Lato" w:eastAsia="Arial" w:hAnsi="Lato" w:cs="Arial"/>
                <w:sz w:val="18"/>
                <w:szCs w:val="18"/>
              </w:rPr>
              <w:t>przepisy dostosowujące dotyczące ww. sprawozda</w:t>
            </w:r>
            <w:r w:rsidR="00834420">
              <w:rPr>
                <w:rFonts w:ascii="Lato" w:eastAsia="Arial" w:hAnsi="Lato" w:cs="Arial"/>
                <w:sz w:val="18"/>
                <w:szCs w:val="18"/>
              </w:rPr>
              <w:t xml:space="preserve">ń. </w:t>
            </w:r>
            <w:r w:rsidR="00EC2D84">
              <w:rPr>
                <w:rFonts w:ascii="Lato" w:eastAsia="Arial" w:hAnsi="Lato" w:cs="Arial"/>
                <w:sz w:val="18"/>
                <w:szCs w:val="18"/>
              </w:rPr>
              <w:t>Projektodawca uzupełnił natomiast u</w:t>
            </w:r>
            <w:r w:rsidR="00834420">
              <w:rPr>
                <w:rFonts w:ascii="Lato" w:eastAsia="Arial" w:hAnsi="Lato" w:cs="Arial"/>
                <w:sz w:val="18"/>
                <w:szCs w:val="18"/>
              </w:rPr>
              <w:t xml:space="preserve">zasadnienie o powyższe wyjaśnienie. </w:t>
            </w:r>
          </w:p>
          <w:p w14:paraId="7E30E0AA" w14:textId="4F82A490" w:rsidR="00834420" w:rsidRPr="0037774A" w:rsidRDefault="00EC2D84" w:rsidP="00EC2D84">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Odnośnie wyjaśnienia </w:t>
            </w:r>
            <w:r w:rsidRPr="00EC2D84">
              <w:rPr>
                <w:rFonts w:ascii="Lato" w:eastAsia="Arial" w:hAnsi="Lato" w:cs="Arial"/>
                <w:sz w:val="18"/>
                <w:szCs w:val="18"/>
              </w:rPr>
              <w:t>czy zrealizowanie obowiązku</w:t>
            </w:r>
            <w:r>
              <w:rPr>
                <w:rFonts w:ascii="Lato" w:eastAsia="Arial" w:hAnsi="Lato" w:cs="Arial"/>
                <w:sz w:val="18"/>
                <w:szCs w:val="18"/>
              </w:rPr>
              <w:t xml:space="preserve"> opracowania planów strategicznych i rocznego planu działania</w:t>
            </w:r>
            <w:r w:rsidRPr="00EC2D84">
              <w:rPr>
                <w:rFonts w:ascii="Lato" w:eastAsia="Arial" w:hAnsi="Lato" w:cs="Arial"/>
                <w:sz w:val="18"/>
                <w:szCs w:val="18"/>
              </w:rPr>
              <w:t xml:space="preserve"> w</w:t>
            </w:r>
            <w:r>
              <w:rPr>
                <w:rFonts w:ascii="Lato" w:eastAsia="Arial" w:hAnsi="Lato" w:cs="Arial"/>
                <w:sz w:val="18"/>
                <w:szCs w:val="18"/>
              </w:rPr>
              <w:t xml:space="preserve"> </w:t>
            </w:r>
            <w:r w:rsidRPr="00EC2D84">
              <w:rPr>
                <w:rFonts w:ascii="Lato" w:eastAsia="Arial" w:hAnsi="Lato" w:cs="Arial"/>
                <w:sz w:val="18"/>
                <w:szCs w:val="18"/>
              </w:rPr>
              <w:t xml:space="preserve">terminie </w:t>
            </w:r>
            <w:r>
              <w:rPr>
                <w:rFonts w:ascii="Lato" w:eastAsia="Arial" w:hAnsi="Lato" w:cs="Arial"/>
                <w:sz w:val="18"/>
                <w:szCs w:val="18"/>
              </w:rPr>
              <w:t xml:space="preserve">do 1 stycznia każdego roku </w:t>
            </w:r>
            <w:r w:rsidRPr="00EC2D84">
              <w:rPr>
                <w:rFonts w:ascii="Lato" w:eastAsia="Arial" w:hAnsi="Lato" w:cs="Arial"/>
                <w:sz w:val="18"/>
                <w:szCs w:val="18"/>
              </w:rPr>
              <w:t>jest możliwe i nie będzie powodować trudności</w:t>
            </w:r>
            <w:r>
              <w:rPr>
                <w:rFonts w:ascii="Lato" w:eastAsia="Arial" w:hAnsi="Lato" w:cs="Arial"/>
                <w:sz w:val="18"/>
                <w:szCs w:val="18"/>
              </w:rPr>
              <w:t xml:space="preserve"> – projektowane przepisy zostały uzgodnione z Głównym Geodetą Kraju, na którego nakładane są przedmiotowe obowiązki. Organ nie zgłaszał możliwości wystąpienia problemów z realizacją ww. obowiązku.</w:t>
            </w:r>
          </w:p>
        </w:tc>
      </w:tr>
      <w:tr w:rsidR="0015105A" w:rsidRPr="0037774A" w14:paraId="570D7147" w14:textId="3427E4E7" w:rsidTr="00A1261B">
        <w:trPr>
          <w:trHeight w:val="20"/>
        </w:trPr>
        <w:tc>
          <w:tcPr>
            <w:tcW w:w="709" w:type="dxa"/>
            <w:tcBorders>
              <w:top w:val="single" w:sz="4" w:space="0" w:color="auto"/>
              <w:left w:val="single" w:sz="4" w:space="0" w:color="auto"/>
              <w:bottom w:val="single" w:sz="4" w:space="0" w:color="auto"/>
            </w:tcBorders>
            <w:shd w:val="clear" w:color="auto" w:fill="FFFFFF"/>
          </w:tcPr>
          <w:p w14:paraId="17B1341E"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4292B82" w14:textId="3C76837E"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3A76CE14" w14:textId="31DD9FB2" w:rsidR="0015105A" w:rsidRPr="0037774A" w:rsidRDefault="0015105A" w:rsidP="0015105A">
            <w:pPr>
              <w:pStyle w:val="Inne0"/>
              <w:shd w:val="clear" w:color="auto" w:fill="auto"/>
              <w:spacing w:before="120" w:after="120"/>
              <w:ind w:left="138" w:right="274"/>
              <w:rPr>
                <w:rFonts w:ascii="Lato" w:eastAsia="Arial" w:hAnsi="Lato" w:cs="Arial"/>
                <w:sz w:val="18"/>
                <w:szCs w:val="18"/>
              </w:rPr>
            </w:pPr>
            <w:r w:rsidRPr="009D7D31">
              <w:rPr>
                <w:rFonts w:ascii="Lato" w:eastAsia="Arial" w:hAnsi="Lato" w:cs="Arial"/>
                <w:sz w:val="18"/>
                <w:szCs w:val="18"/>
              </w:rPr>
              <w:t xml:space="preserve">RCL podtrzymuje uwagę nr 10 w zakresie, w jakim zmiany w art. 1 pkt 24 projektu ustawy odnoszące się do art. 24a zmienianej ustawy należy przeanalizować pod kątem spójności. W zmienianym ust. 2 wyrazy „geodezyjnych oraz informuje o trybie postępowania związanego z modernizacją ewidencji gruntów i budynków” zostały zastąpione wyrazem „modernizacyjnych”, co skutkuje tym, że już nie ma w tym przepisie informacji o rozpoczęciu prac geodezyjnych, a jest informacja o rozpoczęciu prac modernizacyjnych. Tymczasem w dodawanym ust. 2a jest odesłanie do informacji o rozpoczęciu prac </w:t>
            </w:r>
            <w:r w:rsidRPr="009D7D31">
              <w:rPr>
                <w:rFonts w:ascii="Lato" w:eastAsia="Arial" w:hAnsi="Lato" w:cs="Arial"/>
                <w:sz w:val="18"/>
                <w:szCs w:val="18"/>
                <w:u w:val="single"/>
              </w:rPr>
              <w:t>geodezyjnych</w:t>
            </w:r>
            <w:r w:rsidRPr="009D7D31">
              <w:rPr>
                <w:rFonts w:ascii="Lato" w:eastAsia="Arial" w:hAnsi="Lato" w:cs="Arial"/>
                <w:sz w:val="18"/>
                <w:szCs w:val="18"/>
              </w:rPr>
              <w:t>, o której mowa w ust. 2.</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ACCA36A"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985313B" w14:textId="421A4476" w:rsidR="0015105A" w:rsidRPr="0037774A" w:rsidRDefault="00EC2D84"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15105A" w:rsidRPr="0037774A" w14:paraId="1F742442" w14:textId="05BE90EF" w:rsidTr="00A1261B">
        <w:trPr>
          <w:trHeight w:val="20"/>
        </w:trPr>
        <w:tc>
          <w:tcPr>
            <w:tcW w:w="709" w:type="dxa"/>
            <w:tcBorders>
              <w:top w:val="single" w:sz="4" w:space="0" w:color="auto"/>
              <w:left w:val="single" w:sz="4" w:space="0" w:color="auto"/>
              <w:bottom w:val="single" w:sz="4" w:space="0" w:color="auto"/>
            </w:tcBorders>
            <w:shd w:val="clear" w:color="auto" w:fill="FFFFFF"/>
          </w:tcPr>
          <w:p w14:paraId="39BF9F3D"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74CB6F6" w14:textId="299F5E74"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2513C001" w14:textId="3377B188" w:rsidR="0015105A" w:rsidRPr="0037774A" w:rsidRDefault="0015105A" w:rsidP="0015105A">
            <w:pPr>
              <w:pStyle w:val="Inne0"/>
              <w:shd w:val="clear" w:color="auto" w:fill="auto"/>
              <w:spacing w:before="120" w:after="120"/>
              <w:ind w:left="138" w:right="274"/>
              <w:rPr>
                <w:rFonts w:ascii="Lato" w:eastAsia="Arial" w:hAnsi="Lato" w:cs="Arial"/>
                <w:sz w:val="18"/>
                <w:szCs w:val="18"/>
              </w:rPr>
            </w:pPr>
            <w:r w:rsidRPr="00716A21">
              <w:rPr>
                <w:rFonts w:ascii="Lato" w:eastAsia="Arial" w:hAnsi="Lato" w:cs="Arial"/>
                <w:sz w:val="18"/>
                <w:szCs w:val="18"/>
              </w:rPr>
              <w:t xml:space="preserve">RCL podtrzymuje uwagę nr 16 w zakresie rozszerzenia zmiany przepisów i dokonania prawidłowego odesłania do zawiadomienia o rozpoczęciu narady koordynacyjnej w art. 1 pkt 31 projektu ustawy w </w:t>
            </w:r>
            <w:r w:rsidRPr="008936CB">
              <w:rPr>
                <w:rFonts w:ascii="Lato" w:eastAsia="Arial" w:hAnsi="Lato" w:cs="Arial"/>
                <w:sz w:val="18"/>
                <w:szCs w:val="18"/>
              </w:rPr>
              <w:t xml:space="preserve">nowelizowanym art. 28bb zmienianej ustawy, mając na względzie uchylenie art. 28b ust. 3 i nowe brzmienie art. 28ba (m.in. w zmienianym ust. 1 zamiast wyrazów „art. 28b ust. 3a” powinny być wyrazy „art. 28b ust. 3”, a w zmienianym jedynie punktowo ust. 2 pozostaje odesłanie do art. 28b ust. 3, który jest uchylany w </w:t>
            </w:r>
            <w:r w:rsidRPr="008936CB">
              <w:rPr>
                <w:rFonts w:ascii="Lato" w:eastAsia="Arial" w:hAnsi="Lato" w:cs="Arial"/>
                <w:sz w:val="18"/>
                <w:szCs w:val="18"/>
              </w:rPr>
              <w:lastRenderedPageBreak/>
              <w:t>projekcie ustawy).</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01B9A887" w14:textId="347D039E"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4884899" w14:textId="6D3B1D52" w:rsidR="009B175B" w:rsidRDefault="009B175B" w:rsidP="009B175B">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Należy </w:t>
            </w:r>
            <w:r w:rsidR="008936CB">
              <w:rPr>
                <w:rFonts w:ascii="Lato" w:eastAsia="Arial" w:hAnsi="Lato" w:cs="Arial"/>
                <w:sz w:val="18"/>
                <w:szCs w:val="18"/>
              </w:rPr>
              <w:t>wyjaśnić</w:t>
            </w:r>
            <w:r>
              <w:rPr>
                <w:rFonts w:ascii="Lato" w:eastAsia="Arial" w:hAnsi="Lato" w:cs="Arial"/>
                <w:sz w:val="18"/>
                <w:szCs w:val="18"/>
              </w:rPr>
              <w:t>, że skutkiem projektowanych przepisów jest pozostawienie obowiązku dokonywania przez starostę zawiadomienia stron o</w:t>
            </w:r>
            <w:r w:rsidRPr="00716A21">
              <w:rPr>
                <w:rFonts w:ascii="Lato" w:eastAsia="Arial" w:hAnsi="Lato" w:cs="Arial"/>
                <w:sz w:val="18"/>
                <w:szCs w:val="18"/>
              </w:rPr>
              <w:t xml:space="preserve"> rozpoczęciu narady koordynacyjnej</w:t>
            </w:r>
            <w:r>
              <w:rPr>
                <w:rFonts w:ascii="Lato" w:eastAsia="Arial" w:hAnsi="Lato" w:cs="Arial"/>
                <w:sz w:val="18"/>
                <w:szCs w:val="18"/>
              </w:rPr>
              <w:t xml:space="preserve"> i o zgłoszeniu uwag jedynie w projektowanym art. 28ba ust. 1 i 5</w:t>
            </w:r>
            <w:r w:rsidR="008936CB">
              <w:rPr>
                <w:rFonts w:ascii="Lato" w:eastAsia="Arial" w:hAnsi="Lato" w:cs="Arial"/>
                <w:sz w:val="18"/>
                <w:szCs w:val="18"/>
              </w:rPr>
              <w:t xml:space="preserve"> ustawy</w:t>
            </w:r>
            <w:r>
              <w:rPr>
                <w:rFonts w:ascii="Lato" w:eastAsia="Arial" w:hAnsi="Lato" w:cs="Arial"/>
                <w:sz w:val="18"/>
                <w:szCs w:val="18"/>
              </w:rPr>
              <w:t>.</w:t>
            </w:r>
          </w:p>
          <w:p w14:paraId="7ACAD4E5" w14:textId="70006CAD" w:rsidR="009B175B" w:rsidRPr="0037774A" w:rsidRDefault="008936CB" w:rsidP="009B175B">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Jednocześnie należy wskazać, że po uzgodnieniach z Komisją Wspólną Rządu i Samorządu Terytorialnego wprowadzono obowiązek prowadzenia narad koordynacyjnych w systemie teleinformatycznym, w związku z powyższym uległo zmianie brzmienie przepisu art. 28bb ustawy. </w:t>
            </w:r>
          </w:p>
        </w:tc>
      </w:tr>
      <w:tr w:rsidR="0015105A" w:rsidRPr="0037774A" w14:paraId="1C13194B" w14:textId="52565E9C" w:rsidTr="00AF0669">
        <w:trPr>
          <w:trHeight w:val="20"/>
        </w:trPr>
        <w:tc>
          <w:tcPr>
            <w:tcW w:w="709" w:type="dxa"/>
            <w:tcBorders>
              <w:top w:val="single" w:sz="4" w:space="0" w:color="auto"/>
              <w:left w:val="single" w:sz="4" w:space="0" w:color="auto"/>
              <w:bottom w:val="single" w:sz="4" w:space="0" w:color="auto"/>
            </w:tcBorders>
            <w:shd w:val="clear" w:color="auto" w:fill="FFFFFF"/>
          </w:tcPr>
          <w:p w14:paraId="459FB38B"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AB7C4D9" w14:textId="61F74E46"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17077B25" w14:textId="7BE6108A" w:rsidR="0015105A" w:rsidRPr="0037774A" w:rsidRDefault="0015105A" w:rsidP="0015105A">
            <w:pPr>
              <w:pStyle w:val="Inne0"/>
              <w:shd w:val="clear" w:color="auto" w:fill="auto"/>
              <w:spacing w:before="120" w:after="120"/>
              <w:ind w:left="138" w:right="274"/>
              <w:rPr>
                <w:rFonts w:ascii="Lato" w:eastAsia="Arial" w:hAnsi="Lato" w:cs="Arial"/>
                <w:sz w:val="18"/>
                <w:szCs w:val="18"/>
              </w:rPr>
            </w:pPr>
            <w:r w:rsidRPr="00716A21">
              <w:rPr>
                <w:rFonts w:ascii="Lato" w:eastAsia="Arial" w:hAnsi="Lato" w:cs="Arial"/>
                <w:sz w:val="18"/>
                <w:szCs w:val="18"/>
              </w:rPr>
              <w:t xml:space="preserve">RCL podtrzymuje uwagę nr 24 dotyczącą zastrzeżeń do art. 1 pkt 53 lit. b projektu ustawy odnoszącą się do dodawanego ust. 1b w art. 46e zmienianej ustawy, zgodnie z którym rzecznik dyscyplinarny może upoważnić pracownika urzędu wojewódzkiego, za zgodą dyrektora generalnego tego urzędu, do wykonywania w jego imieniu czynności bieżących podczas jego nieobecności, przy czym nie dotyczy to przesłuchań oraz czynności procesowych przed komisją dyscyplinarną. Z przedstawionych przez </w:t>
            </w:r>
            <w:proofErr w:type="spellStart"/>
            <w:r w:rsidRPr="00716A21">
              <w:rPr>
                <w:rFonts w:ascii="Lato" w:eastAsia="Arial" w:hAnsi="Lato" w:cs="Arial"/>
                <w:sz w:val="18"/>
                <w:szCs w:val="18"/>
              </w:rPr>
              <w:t>MRiT</w:t>
            </w:r>
            <w:proofErr w:type="spellEnd"/>
            <w:r w:rsidRPr="00716A21">
              <w:rPr>
                <w:rFonts w:ascii="Lato" w:eastAsia="Arial" w:hAnsi="Lato" w:cs="Arial"/>
                <w:sz w:val="18"/>
                <w:szCs w:val="18"/>
              </w:rPr>
              <w:t xml:space="preserve"> wyjaśnień w zestawieniu uwag (lp. 104) wynika, że ratio legis tego przepisu była możliwość zastępowania rzecznika w przypadku urlopu lub choroby i w jego zastępstwie podpisywanie i wysyłanie pism lub zawiadomień, co może mieć znaczenie np. dla zachowania terminów. Nie kwestionując zasadności proponowanego przepisu, zauważa się jednak, że w przepisie tym występuje niejasne określenie „</w:t>
            </w:r>
            <w:r w:rsidRPr="00716A21">
              <w:rPr>
                <w:rFonts w:ascii="Lato" w:eastAsia="Arial" w:hAnsi="Lato" w:cs="Arial"/>
                <w:sz w:val="18"/>
                <w:szCs w:val="18"/>
                <w:u w:val="single"/>
              </w:rPr>
              <w:t>czynności bieżących</w:t>
            </w:r>
            <w:r w:rsidRPr="00716A21">
              <w:rPr>
                <w:rFonts w:ascii="Lato" w:eastAsia="Arial" w:hAnsi="Lato" w:cs="Arial"/>
                <w:sz w:val="18"/>
                <w:szCs w:val="18"/>
              </w:rPr>
              <w:t>”, które jest nieprecyzyjne, a w konsekwencji może budzić wątpliwości, o jaki zakres upoważnienia chodzi. Do określenia powyższego zakresu nie jest wystarczające wskazane wyłączenie, tj. przesądzenie, że upoważnienie nie dotyczy przesłuchań oraz czynności procesowych przed komisją dyscyplinarną. Tym samym proponowane brzmienie ww. ust. 1b nie jest wystarczające dla osiągnięcia wskazanego celu regulacji. Doprecyzowanie zakresu proponowanego upoważnienia wydaje się uzasadnione także z uwagi na fakt, że do zadań rzecznika dyscyplinarnego zgodnie z art. 46e ust. 1 pkt 1 i dodawanym ust. 1a należy prowadzenie postępowania wyjaśniającego.</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50C0AC4" w14:textId="5581B6C5"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0EFDDAFF" w14:textId="70BDC315" w:rsidR="00AF0669" w:rsidRPr="00AF0669" w:rsidRDefault="00AF0669" w:rsidP="00AF0669">
            <w:pPr>
              <w:pStyle w:val="Inne0"/>
              <w:spacing w:before="120" w:after="120"/>
              <w:ind w:left="131" w:right="138"/>
              <w:rPr>
                <w:rFonts w:ascii="Lato" w:eastAsia="Arial" w:hAnsi="Lato" w:cs="Arial"/>
                <w:sz w:val="18"/>
                <w:szCs w:val="18"/>
              </w:rPr>
            </w:pPr>
            <w:r w:rsidRPr="00AF0669">
              <w:rPr>
                <w:rFonts w:ascii="Lato" w:eastAsia="Arial" w:hAnsi="Lato" w:cs="Arial"/>
                <w:sz w:val="18"/>
                <w:szCs w:val="18"/>
              </w:rPr>
              <w:t xml:space="preserve">Uwaga </w:t>
            </w:r>
            <w:r>
              <w:rPr>
                <w:rFonts w:ascii="Lato" w:eastAsia="Arial" w:hAnsi="Lato" w:cs="Arial"/>
                <w:sz w:val="18"/>
                <w:szCs w:val="18"/>
              </w:rPr>
              <w:t xml:space="preserve">została </w:t>
            </w:r>
            <w:r w:rsidRPr="00AF0669">
              <w:rPr>
                <w:rFonts w:ascii="Lato" w:eastAsia="Arial" w:hAnsi="Lato" w:cs="Arial"/>
                <w:sz w:val="18"/>
                <w:szCs w:val="18"/>
              </w:rPr>
              <w:t>uwzględniona</w:t>
            </w:r>
            <w:r>
              <w:rPr>
                <w:rFonts w:ascii="Lato" w:eastAsia="Arial" w:hAnsi="Lato" w:cs="Arial"/>
                <w:sz w:val="18"/>
                <w:szCs w:val="18"/>
              </w:rPr>
              <w:t>.</w:t>
            </w:r>
          </w:p>
          <w:p w14:paraId="64068E3E" w14:textId="3A056515" w:rsidR="00AF0669" w:rsidRPr="00AF0669" w:rsidRDefault="00AF0669" w:rsidP="00AF0669">
            <w:pPr>
              <w:pStyle w:val="Inne0"/>
              <w:spacing w:before="120" w:after="120"/>
              <w:ind w:left="131" w:right="138"/>
              <w:rPr>
                <w:rFonts w:ascii="Lato" w:eastAsia="Arial" w:hAnsi="Lato" w:cs="Arial"/>
                <w:sz w:val="18"/>
                <w:szCs w:val="18"/>
              </w:rPr>
            </w:pPr>
            <w:r w:rsidRPr="00AF0669">
              <w:rPr>
                <w:rFonts w:ascii="Lato" w:eastAsia="Arial" w:hAnsi="Lato" w:cs="Arial"/>
                <w:sz w:val="18"/>
                <w:szCs w:val="18"/>
              </w:rPr>
              <w:t>Proponuje się następujące brzmienie przepisu</w:t>
            </w:r>
            <w:r>
              <w:rPr>
                <w:rFonts w:ascii="Lato" w:eastAsia="Arial" w:hAnsi="Lato" w:cs="Arial"/>
                <w:sz w:val="18"/>
                <w:szCs w:val="18"/>
              </w:rPr>
              <w:t xml:space="preserve"> art. 46e ust. 1b ustawy – Prawo geodezyjne i kartograficzne</w:t>
            </w:r>
            <w:r w:rsidRPr="00AF0669">
              <w:rPr>
                <w:rFonts w:ascii="Lato" w:eastAsia="Arial" w:hAnsi="Lato" w:cs="Arial"/>
                <w:sz w:val="18"/>
                <w:szCs w:val="18"/>
              </w:rPr>
              <w:t>:</w:t>
            </w:r>
          </w:p>
          <w:p w14:paraId="120B3ED3" w14:textId="06BB1672" w:rsidR="00AF0669" w:rsidRPr="00AF0669" w:rsidRDefault="00AF0669" w:rsidP="00AF0669">
            <w:pPr>
              <w:pStyle w:val="Inne0"/>
              <w:spacing w:before="120" w:after="120"/>
              <w:ind w:left="131" w:right="138"/>
              <w:rPr>
                <w:rFonts w:ascii="Lato" w:eastAsia="Arial" w:hAnsi="Lato" w:cs="Arial"/>
                <w:i/>
                <w:iCs/>
                <w:sz w:val="18"/>
                <w:szCs w:val="18"/>
              </w:rPr>
            </w:pPr>
            <w:r w:rsidRPr="00AF0669">
              <w:rPr>
                <w:rFonts w:ascii="Lato" w:eastAsia="Arial" w:hAnsi="Lato" w:cs="Arial"/>
                <w:i/>
                <w:iCs/>
                <w:sz w:val="18"/>
                <w:szCs w:val="18"/>
              </w:rPr>
              <w:t>„1b. Rzecznik dyscyplinarny może upoważnić pracownika urzędu wojewódzkiego, za zgodą dyrektora generalnego tego urzędu, do wykonywania podczas jego nieobecności w jego imieniu, wszelkich czynności w toku postępowania wyjaśniającego.  Upoważnienie, o którym mowa w zdaniu pierwszym, nie obejmuje przesłuchań, formułowania zarzutów i uzyskiwania wyjaśnień, o których mowa w ust. 1a pkt 2-4 oraz składania wniosków o wszczęcie postępowania dyscyplinarnego”</w:t>
            </w:r>
          </w:p>
          <w:p w14:paraId="5678659B" w14:textId="497B09F1" w:rsidR="0015105A" w:rsidRPr="0037774A" w:rsidRDefault="00AF0669" w:rsidP="00AF0669">
            <w:pPr>
              <w:pStyle w:val="Inne0"/>
              <w:shd w:val="clear" w:color="auto" w:fill="auto"/>
              <w:spacing w:before="120" w:after="120"/>
              <w:ind w:left="131" w:right="138"/>
              <w:rPr>
                <w:rFonts w:ascii="Lato" w:eastAsia="Arial" w:hAnsi="Lato" w:cs="Arial"/>
                <w:sz w:val="18"/>
                <w:szCs w:val="18"/>
              </w:rPr>
            </w:pPr>
            <w:r w:rsidRPr="00AF0669">
              <w:rPr>
                <w:rFonts w:ascii="Lato" w:eastAsia="Arial" w:hAnsi="Lato" w:cs="Arial"/>
                <w:sz w:val="18"/>
                <w:szCs w:val="18"/>
              </w:rPr>
              <w:t>Intencją projektodawcy jest, aby osoba zastępująca rzecznika dyscyplinarnego mogła wykonywać wszelkie czynności należące do jego kompetencji, ale tylko w postępowaniu wyjaśniającym oraz z wyłączeniem najbardziej istotnych czynności, wymienionych w projektowanym przepisie.</w:t>
            </w:r>
          </w:p>
        </w:tc>
      </w:tr>
      <w:tr w:rsidR="0015105A" w:rsidRPr="0037774A" w14:paraId="0AB24563" w14:textId="63DECA77" w:rsidTr="00A1261B">
        <w:trPr>
          <w:trHeight w:val="20"/>
        </w:trPr>
        <w:tc>
          <w:tcPr>
            <w:tcW w:w="709" w:type="dxa"/>
            <w:tcBorders>
              <w:top w:val="single" w:sz="4" w:space="0" w:color="auto"/>
              <w:left w:val="single" w:sz="4" w:space="0" w:color="auto"/>
              <w:bottom w:val="single" w:sz="4" w:space="0" w:color="auto"/>
            </w:tcBorders>
            <w:shd w:val="clear" w:color="auto" w:fill="FFFFFF"/>
          </w:tcPr>
          <w:p w14:paraId="23BE1742"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E8EFD9E" w14:textId="6782ADDE"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5EA46A8B" w14:textId="054FDD11" w:rsidR="0015105A" w:rsidRPr="0037774A" w:rsidRDefault="0015105A" w:rsidP="0015105A">
            <w:pPr>
              <w:pStyle w:val="Inne0"/>
              <w:shd w:val="clear" w:color="auto" w:fill="auto"/>
              <w:spacing w:before="120" w:after="120"/>
              <w:ind w:left="138" w:right="274"/>
              <w:rPr>
                <w:rFonts w:ascii="Lato" w:eastAsia="Arial" w:hAnsi="Lato" w:cs="Arial"/>
                <w:sz w:val="18"/>
                <w:szCs w:val="18"/>
              </w:rPr>
            </w:pPr>
            <w:r w:rsidRPr="00716A21">
              <w:rPr>
                <w:rFonts w:ascii="Lato" w:eastAsia="Arial" w:hAnsi="Lato" w:cs="Arial"/>
                <w:sz w:val="18"/>
                <w:szCs w:val="18"/>
              </w:rPr>
              <w:t xml:space="preserve">RCL podtrzymuje uwagę nr 32 w zakresie konieczności </w:t>
            </w:r>
            <w:r w:rsidRPr="003260F1">
              <w:rPr>
                <w:rFonts w:ascii="Lato" w:eastAsia="Arial" w:hAnsi="Lato" w:cs="Arial"/>
                <w:sz w:val="18"/>
                <w:szCs w:val="18"/>
              </w:rPr>
              <w:t>uzupełnienia uzasadnienia o opis wszystkich regulacji określonych w projekcie ustawy (dotyczy to m.in. art. 1 pkt 28 lit. k projektu ustawy - uchylenie ust. 11 w art. 28b, art. 1 pkt 45 w zakresie zamienianego art. 44b ust. 2 pkt 2, czy przepisu przejściowego art. 15 pro</w:t>
            </w:r>
            <w:r w:rsidRPr="00716A21">
              <w:rPr>
                <w:rFonts w:ascii="Lato" w:eastAsia="Arial" w:hAnsi="Lato" w:cs="Arial"/>
                <w:sz w:val="18"/>
                <w:szCs w:val="18"/>
              </w:rPr>
              <w:t xml:space="preserve">jektu ustawy, a także potrzeby szczegółowego wyjaśnienia zróżnicowania wejścia w życie przepisów ustawy (art. 19 projektu ustawy), w tym wskazania, czy </w:t>
            </w:r>
            <w:r w:rsidRPr="00716A21">
              <w:rPr>
                <w:rFonts w:ascii="Lato" w:eastAsia="Arial" w:hAnsi="Lato" w:cs="Arial"/>
                <w:sz w:val="18"/>
                <w:szCs w:val="18"/>
              </w:rPr>
              <w:lastRenderedPageBreak/>
              <w:t>będzie wystarczająca 14-dniowa vacatio legis).</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4982FA9" w14:textId="75BF925A"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08D146E" w14:textId="7BD14320" w:rsidR="008D6C35" w:rsidRDefault="008D6C35"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Należy wskazać, że po uzgodnieniach z Komisją Wspólną Rządu i Samorządu Terytorialnego wydłużono termin wejścia w życie przepisów ustawy do 6 miesięcy. Jedynie dla przepisów dotyczących prowadzenia postępowań w zakresie gleboznawczej klasyfikacji gruntów termin został wydłużony do 12 miesięcy.</w:t>
            </w:r>
          </w:p>
          <w:p w14:paraId="750A2B4B" w14:textId="5B46C8BD" w:rsidR="003260F1" w:rsidRPr="0037774A" w:rsidRDefault="008D6C35" w:rsidP="003260F1">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Dodatkowo uzupełniono uzasadnienie o opis </w:t>
            </w:r>
            <w:r w:rsidRPr="00716A21">
              <w:rPr>
                <w:rFonts w:ascii="Lato" w:eastAsia="Arial" w:hAnsi="Lato" w:cs="Arial"/>
                <w:sz w:val="18"/>
                <w:szCs w:val="18"/>
              </w:rPr>
              <w:t>regulacji określonych w projekcie ustawy</w:t>
            </w:r>
            <w:r w:rsidR="003260F1">
              <w:rPr>
                <w:rFonts w:ascii="Lato" w:eastAsia="Arial" w:hAnsi="Lato" w:cs="Arial"/>
                <w:sz w:val="18"/>
                <w:szCs w:val="18"/>
              </w:rPr>
              <w:t>.</w:t>
            </w:r>
          </w:p>
        </w:tc>
      </w:tr>
      <w:tr w:rsidR="0015105A" w:rsidRPr="0037774A" w14:paraId="7DC446CF" w14:textId="222BC3F3" w:rsidTr="00A1261B">
        <w:trPr>
          <w:trHeight w:val="20"/>
        </w:trPr>
        <w:tc>
          <w:tcPr>
            <w:tcW w:w="709" w:type="dxa"/>
            <w:tcBorders>
              <w:top w:val="single" w:sz="4" w:space="0" w:color="auto"/>
              <w:left w:val="single" w:sz="4" w:space="0" w:color="auto"/>
              <w:bottom w:val="single" w:sz="4" w:space="0" w:color="auto"/>
            </w:tcBorders>
            <w:shd w:val="clear" w:color="auto" w:fill="FFFFFF"/>
          </w:tcPr>
          <w:p w14:paraId="741C8B74"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61ECC97" w14:textId="1B5500B5"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669B829D" w14:textId="23EF373B" w:rsidR="0015105A" w:rsidRPr="0037774A" w:rsidRDefault="0015105A" w:rsidP="0015105A">
            <w:pPr>
              <w:pStyle w:val="Inne0"/>
              <w:shd w:val="clear" w:color="auto" w:fill="auto"/>
              <w:spacing w:before="120" w:after="120"/>
              <w:ind w:left="138" w:right="274"/>
              <w:rPr>
                <w:rFonts w:ascii="Lato" w:eastAsia="Arial" w:hAnsi="Lato" w:cs="Arial"/>
                <w:sz w:val="18"/>
                <w:szCs w:val="18"/>
              </w:rPr>
            </w:pPr>
            <w:r w:rsidRPr="00716A21">
              <w:rPr>
                <w:rFonts w:ascii="Lato" w:eastAsia="Arial" w:hAnsi="Lato" w:cs="Arial"/>
                <w:sz w:val="18"/>
                <w:szCs w:val="18"/>
              </w:rPr>
              <w:t>RCL podtrzymuje uwagę nr 33, że w związku z uchyleniem pkt 6 w art. 7c ust. 1 zmienianej ustawy dotyczącego zadania marszałka województwa polegającego na współdziałaniu z Głównym Geodetą Kraju w prowadzeniu państwowego rejestru granic i powierzchni jednostek podziałów terytorialnych kraju, w tym prowadzeniu bazy danych, o której mowa w art. 4 ust. 1a pkt 4, w części dotyczącej obszaru województwa (art. 1 pkt 10 lit. a projektu ustawy), należałoby uzupełnić uzasadnienie o informacje dotyczące konieczności lub braku konieczności uzupełnienia przepisów projektowanej ustawy o przepisy przejściowe lub dostosowujące w tym zakresie. W uzasadnieniu należałoby zamieścić wyjaśnienie przedstawione w zestawieniu uwag (lp. 113).</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EE9EFE" w14:textId="414C4904"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FEC93E4" w14:textId="1559E551" w:rsidR="008D6C35" w:rsidRDefault="008D6C35" w:rsidP="008D6C3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Należy wskazać, że po uzgodnieniach z Komisją Wspólną Rządu i Samorządu Terytorialnego odstąpiono od wprowadzania zmian w art. </w:t>
            </w:r>
            <w:r w:rsidRPr="00716A21">
              <w:rPr>
                <w:rFonts w:ascii="Lato" w:eastAsia="Arial" w:hAnsi="Lato" w:cs="Arial"/>
                <w:sz w:val="18"/>
                <w:szCs w:val="18"/>
              </w:rPr>
              <w:t>7c ust. 1</w:t>
            </w:r>
            <w:r>
              <w:rPr>
                <w:rFonts w:ascii="Lato" w:eastAsia="Arial" w:hAnsi="Lato" w:cs="Arial"/>
                <w:sz w:val="18"/>
                <w:szCs w:val="18"/>
              </w:rPr>
              <w:t xml:space="preserve"> pkt 6 ustawy – Prawo geodezyjne i kartograficzne.</w:t>
            </w:r>
          </w:p>
          <w:p w14:paraId="040903BE" w14:textId="555BE425" w:rsidR="0015105A" w:rsidRPr="00C10003" w:rsidRDefault="0015105A" w:rsidP="0015105A">
            <w:pPr>
              <w:pStyle w:val="Inne0"/>
              <w:spacing w:before="120" w:after="120"/>
              <w:ind w:left="131" w:right="138"/>
              <w:rPr>
                <w:rFonts w:ascii="Arial" w:eastAsia="Arial" w:hAnsi="Arial"/>
                <w:sz w:val="18"/>
                <w:szCs w:val="18"/>
              </w:rPr>
            </w:pPr>
          </w:p>
        </w:tc>
      </w:tr>
      <w:tr w:rsidR="0015105A" w:rsidRPr="0037774A" w14:paraId="3EFD9A8A" w14:textId="68E147EB" w:rsidTr="00A1261B">
        <w:trPr>
          <w:trHeight w:val="20"/>
        </w:trPr>
        <w:tc>
          <w:tcPr>
            <w:tcW w:w="709" w:type="dxa"/>
            <w:tcBorders>
              <w:top w:val="single" w:sz="4" w:space="0" w:color="auto"/>
              <w:left w:val="single" w:sz="4" w:space="0" w:color="auto"/>
              <w:bottom w:val="single" w:sz="4" w:space="0" w:color="auto"/>
            </w:tcBorders>
            <w:shd w:val="clear" w:color="auto" w:fill="FFFFFF"/>
          </w:tcPr>
          <w:p w14:paraId="6DDD5CFF"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0458EC2" w14:textId="2708D82D"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67828682" w14:textId="250C4540" w:rsidR="0015105A" w:rsidRPr="0037774A" w:rsidRDefault="0015105A" w:rsidP="0015105A">
            <w:pPr>
              <w:pStyle w:val="Inne0"/>
              <w:shd w:val="clear" w:color="auto" w:fill="auto"/>
              <w:spacing w:before="120" w:after="120"/>
              <w:ind w:left="138" w:right="274"/>
              <w:rPr>
                <w:rFonts w:ascii="Lato" w:eastAsia="Arial" w:hAnsi="Lato" w:cs="Arial"/>
                <w:sz w:val="18"/>
                <w:szCs w:val="18"/>
              </w:rPr>
            </w:pPr>
            <w:r w:rsidRPr="00716A21">
              <w:rPr>
                <w:rFonts w:ascii="Lato" w:eastAsia="Arial" w:hAnsi="Lato" w:cs="Arial"/>
                <w:sz w:val="18"/>
                <w:szCs w:val="18"/>
              </w:rPr>
              <w:t>Uwagę ogólną i legislacyjną, że w przypadku, gdy dodaje się kolejny ustęp w artykule, który ma być ostatnim ustępem, nie wskazuje się po jakim ustępie jest dodawany nowy ustęp.</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56F27DC" w14:textId="178BB61F"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590EF8B" w14:textId="41F89603" w:rsidR="0015105A" w:rsidRPr="003260F1" w:rsidRDefault="00A167C5" w:rsidP="0015105A">
            <w:pPr>
              <w:pStyle w:val="Inne0"/>
              <w:shd w:val="clear" w:color="auto" w:fill="auto"/>
              <w:spacing w:before="120" w:after="120"/>
              <w:ind w:left="131" w:right="138"/>
              <w:rPr>
                <w:rFonts w:ascii="Lato" w:eastAsia="Arial" w:hAnsi="Lato" w:cs="Arial"/>
                <w:sz w:val="18"/>
                <w:szCs w:val="18"/>
              </w:rPr>
            </w:pPr>
            <w:r w:rsidRPr="003260F1">
              <w:rPr>
                <w:rFonts w:ascii="Lato" w:eastAsia="Arial" w:hAnsi="Lato" w:cs="Arial"/>
                <w:sz w:val="18"/>
                <w:szCs w:val="18"/>
              </w:rPr>
              <w:t>Uwaga została uwzględniona.</w:t>
            </w:r>
          </w:p>
        </w:tc>
      </w:tr>
      <w:tr w:rsidR="0015105A" w:rsidRPr="0037774A" w14:paraId="70FD2104" w14:textId="444273EC" w:rsidTr="00A1261B">
        <w:trPr>
          <w:trHeight w:val="20"/>
        </w:trPr>
        <w:tc>
          <w:tcPr>
            <w:tcW w:w="709" w:type="dxa"/>
            <w:tcBorders>
              <w:top w:val="single" w:sz="4" w:space="0" w:color="auto"/>
              <w:left w:val="single" w:sz="4" w:space="0" w:color="auto"/>
              <w:bottom w:val="single" w:sz="4" w:space="0" w:color="auto"/>
            </w:tcBorders>
            <w:shd w:val="clear" w:color="auto" w:fill="FFFFFF"/>
          </w:tcPr>
          <w:p w14:paraId="221E667E"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34EB8C2" w14:textId="195A0793"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7E129ACD" w14:textId="76B5E5B7" w:rsidR="0015105A" w:rsidRPr="0037774A" w:rsidRDefault="0015105A" w:rsidP="0015105A">
            <w:pPr>
              <w:pStyle w:val="Inne0"/>
              <w:shd w:val="clear" w:color="auto" w:fill="auto"/>
              <w:spacing w:before="120" w:after="120"/>
              <w:ind w:left="138" w:right="274"/>
              <w:rPr>
                <w:rFonts w:ascii="Lato" w:eastAsia="Arial" w:hAnsi="Lato" w:cs="Arial"/>
                <w:sz w:val="18"/>
                <w:szCs w:val="18"/>
              </w:rPr>
            </w:pPr>
            <w:r w:rsidRPr="00716A21">
              <w:rPr>
                <w:rFonts w:ascii="Lato" w:eastAsia="Arial" w:hAnsi="Lato" w:cs="Arial"/>
                <w:sz w:val="18"/>
                <w:szCs w:val="18"/>
              </w:rPr>
              <w:t xml:space="preserve">W art. 1 pkt 3 projektu ustawy w dodawanym do zmienianej ustawy art. 4a w ust. 10 został określony przepis upoważniający, zgodnie z którym Minister Obrony Narodowej, w porozumieniu z ministrem właściwym do spraw budownictwa, planowania i zagospodarowania przestrzennego oraz mieszkalnictwa określi, w drodze rozporządzenia, </w:t>
            </w:r>
            <w:r w:rsidRPr="00716A21">
              <w:rPr>
                <w:rFonts w:ascii="Lato" w:eastAsia="Arial" w:hAnsi="Lato" w:cs="Arial"/>
                <w:sz w:val="18"/>
                <w:szCs w:val="18"/>
                <w:u w:val="single"/>
              </w:rPr>
              <w:t>standardy dotyczące ograniczenia w upublicznianiu danych zawartych w bazach danych, o których mowa w art. 4 ust. 1a pkt 3, 8, 11 i 12 zmienianej ustawy</w:t>
            </w:r>
            <w:r w:rsidRPr="00716A21">
              <w:rPr>
                <w:rFonts w:ascii="Lato" w:eastAsia="Arial" w:hAnsi="Lato" w:cs="Arial"/>
                <w:sz w:val="18"/>
                <w:szCs w:val="18"/>
              </w:rPr>
              <w:t xml:space="preserve">, mając na względzie potrzeby obronności i </w:t>
            </w:r>
            <w:r w:rsidRPr="0071131A">
              <w:rPr>
                <w:rFonts w:ascii="Lato" w:eastAsia="Arial" w:hAnsi="Lato" w:cs="Arial"/>
                <w:sz w:val="18"/>
                <w:szCs w:val="18"/>
              </w:rPr>
              <w:t>bezpieczeństwa państwa, jednak w projektowanej ustawie brak jest przepisów materialnych dotyczących ww. standardów, co wymaga uzupełnienia.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AC9B0C0" w14:textId="7E1A0B43"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4660910" w14:textId="6A580DD2" w:rsidR="0015105A" w:rsidRPr="0037774A" w:rsidRDefault="0071131A" w:rsidP="0015105A">
            <w:pPr>
              <w:pStyle w:val="Inne0"/>
              <w:shd w:val="clear" w:color="auto" w:fill="auto"/>
              <w:spacing w:before="120" w:after="120"/>
              <w:ind w:left="131" w:right="138"/>
              <w:rPr>
                <w:rFonts w:ascii="Lato" w:eastAsia="Arial" w:hAnsi="Lato" w:cs="Arial"/>
                <w:sz w:val="18"/>
                <w:szCs w:val="18"/>
              </w:rPr>
            </w:pPr>
            <w:r w:rsidRPr="003260F1">
              <w:rPr>
                <w:rFonts w:ascii="Lato" w:eastAsia="Arial" w:hAnsi="Lato" w:cs="Arial"/>
                <w:sz w:val="18"/>
                <w:szCs w:val="18"/>
              </w:rPr>
              <w:t>Uwaga została uwzględniona.</w:t>
            </w:r>
          </w:p>
        </w:tc>
      </w:tr>
      <w:tr w:rsidR="0015105A" w:rsidRPr="0037774A" w14:paraId="52E7AC88" w14:textId="19768CF9" w:rsidTr="00A1261B">
        <w:trPr>
          <w:trHeight w:val="20"/>
        </w:trPr>
        <w:tc>
          <w:tcPr>
            <w:tcW w:w="709" w:type="dxa"/>
            <w:tcBorders>
              <w:top w:val="single" w:sz="4" w:space="0" w:color="auto"/>
              <w:left w:val="single" w:sz="4" w:space="0" w:color="auto"/>
              <w:bottom w:val="single" w:sz="4" w:space="0" w:color="auto"/>
            </w:tcBorders>
            <w:shd w:val="clear" w:color="auto" w:fill="FFFFFF"/>
          </w:tcPr>
          <w:p w14:paraId="39E87FBA"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778E45B" w14:textId="2DE141FC"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63DD2C1B" w14:textId="1CE0CA19" w:rsidR="0015105A" w:rsidRPr="0037774A" w:rsidRDefault="0015105A" w:rsidP="0015105A">
            <w:pPr>
              <w:pStyle w:val="Inne0"/>
              <w:shd w:val="clear" w:color="auto" w:fill="auto"/>
              <w:spacing w:before="120" w:after="120"/>
              <w:ind w:left="127" w:right="274"/>
              <w:rPr>
                <w:rFonts w:ascii="Lato" w:eastAsia="Arial" w:hAnsi="Lato" w:cs="Arial"/>
                <w:sz w:val="18"/>
                <w:szCs w:val="18"/>
              </w:rPr>
            </w:pPr>
            <w:r w:rsidRPr="00716A21">
              <w:rPr>
                <w:rFonts w:ascii="Lato" w:eastAsia="Arial" w:hAnsi="Lato" w:cs="Arial"/>
                <w:sz w:val="18"/>
                <w:szCs w:val="18"/>
              </w:rPr>
              <w:t xml:space="preserve">W związku z faktem, że z przepisu upoważniającego określonego w art. 45h zmienianej ustawy wynika, że w akcie wykonawczym ma być określony sposób prowadzenia dziennika praktyki zawodowej, w tym jego wzór, mimo zmian przepisów dotyczących tego dziennika, tj. art. 1 pkt 4 (uchylenie pkt 6 w art. 5a ust. 1), pkt 40 (zmiana art. 41), pkt 45 (zmiana art. </w:t>
            </w:r>
            <w:r w:rsidRPr="00716A21">
              <w:rPr>
                <w:rFonts w:ascii="Lato" w:eastAsia="Arial" w:hAnsi="Lato" w:cs="Arial"/>
                <w:sz w:val="18"/>
                <w:szCs w:val="18"/>
              </w:rPr>
              <w:lastRenderedPageBreak/>
              <w:t>44b) projektu ustawy, w przepisach zmienianej ustawy powinien zostać zamieszczony przepis określający zawartość tego dziennika, gdyż wzór określony w rozporządzeniu powinien być zgodny z przepisami ustawowymi w tym zakresie. Tym samym w opinii RCL do zmienianej ustawy należy dodać przepis określający co zawiera dziennik praktyk zawodowych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6F1F8BA" w14:textId="08C5DB5A"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FB84B3A" w14:textId="77777777" w:rsidR="00EE590E" w:rsidRDefault="00EE590E" w:rsidP="00EE590E">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740ADDFB" w14:textId="320DB766" w:rsidR="00EE590E" w:rsidRPr="0037774A" w:rsidRDefault="0071131A" w:rsidP="00EE590E">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Należy wskazać, że przepisy dotyczące obowiązku prowadzenia dziennika praktyki zawodowej funkcjonują w ustawie – Prawo geodezyjne i kartograficzne od 2013 r. i od tego </w:t>
            </w:r>
            <w:r w:rsidR="00EE590E">
              <w:rPr>
                <w:rFonts w:ascii="Lato" w:eastAsia="Arial" w:hAnsi="Lato" w:cs="Arial"/>
                <w:sz w:val="18"/>
                <w:szCs w:val="18"/>
              </w:rPr>
              <w:t xml:space="preserve">czasu </w:t>
            </w:r>
            <w:r>
              <w:rPr>
                <w:rFonts w:ascii="Lato" w:eastAsia="Arial" w:hAnsi="Lato" w:cs="Arial"/>
                <w:sz w:val="18"/>
                <w:szCs w:val="18"/>
              </w:rPr>
              <w:t xml:space="preserve">przepisy </w:t>
            </w:r>
            <w:r w:rsidR="00EE590E">
              <w:rPr>
                <w:rFonts w:ascii="Lato" w:eastAsia="Arial" w:hAnsi="Lato" w:cs="Arial"/>
                <w:sz w:val="18"/>
                <w:szCs w:val="18"/>
              </w:rPr>
              <w:t xml:space="preserve">tej </w:t>
            </w:r>
            <w:r>
              <w:rPr>
                <w:rFonts w:ascii="Lato" w:eastAsia="Arial" w:hAnsi="Lato" w:cs="Arial"/>
                <w:sz w:val="18"/>
                <w:szCs w:val="18"/>
              </w:rPr>
              <w:t xml:space="preserve">ustawy nie </w:t>
            </w:r>
            <w:r w:rsidR="00EE590E" w:rsidRPr="00EE590E">
              <w:rPr>
                <w:rFonts w:ascii="Lato" w:eastAsia="Arial" w:hAnsi="Lato" w:cs="Arial"/>
                <w:sz w:val="18"/>
                <w:szCs w:val="18"/>
              </w:rPr>
              <w:t>określa</w:t>
            </w:r>
            <w:r w:rsidR="00EE590E">
              <w:rPr>
                <w:rFonts w:ascii="Lato" w:eastAsia="Arial" w:hAnsi="Lato" w:cs="Arial"/>
                <w:sz w:val="18"/>
                <w:szCs w:val="18"/>
              </w:rPr>
              <w:t xml:space="preserve">ły na poziomie ustawowym </w:t>
            </w:r>
            <w:r w:rsidR="00EE590E" w:rsidRPr="00EE590E">
              <w:rPr>
                <w:rFonts w:ascii="Lato" w:eastAsia="Arial" w:hAnsi="Lato" w:cs="Arial"/>
                <w:sz w:val="18"/>
                <w:szCs w:val="18"/>
              </w:rPr>
              <w:t>zawartoś</w:t>
            </w:r>
            <w:r w:rsidR="00EE590E">
              <w:rPr>
                <w:rFonts w:ascii="Lato" w:eastAsia="Arial" w:hAnsi="Lato" w:cs="Arial"/>
                <w:sz w:val="18"/>
                <w:szCs w:val="18"/>
              </w:rPr>
              <w:t>ci</w:t>
            </w:r>
            <w:r w:rsidR="00EE590E" w:rsidRPr="00EE590E">
              <w:rPr>
                <w:rFonts w:ascii="Lato" w:eastAsia="Arial" w:hAnsi="Lato" w:cs="Arial"/>
                <w:sz w:val="18"/>
                <w:szCs w:val="18"/>
              </w:rPr>
              <w:t xml:space="preserve"> tego dziennika </w:t>
            </w:r>
            <w:r w:rsidR="00EE590E">
              <w:rPr>
                <w:rFonts w:ascii="Lato" w:eastAsia="Arial" w:hAnsi="Lato" w:cs="Arial"/>
                <w:sz w:val="18"/>
                <w:szCs w:val="18"/>
              </w:rPr>
              <w:t xml:space="preserve">– było to wyłącznie uregulowane w przepisach rozporządzeń </w:t>
            </w:r>
            <w:r w:rsidR="00EE590E" w:rsidRPr="00EE590E">
              <w:rPr>
                <w:rFonts w:ascii="Lato" w:eastAsia="Arial" w:hAnsi="Lato" w:cs="Arial"/>
                <w:sz w:val="18"/>
                <w:szCs w:val="18"/>
              </w:rPr>
              <w:t xml:space="preserve">w </w:t>
            </w:r>
            <w:r w:rsidR="00EE590E" w:rsidRPr="00EE590E">
              <w:rPr>
                <w:rFonts w:ascii="Lato" w:eastAsia="Arial" w:hAnsi="Lato" w:cs="Arial"/>
                <w:sz w:val="18"/>
                <w:szCs w:val="18"/>
              </w:rPr>
              <w:lastRenderedPageBreak/>
              <w:t>sprawie uprawnień zawodowych w dziedzinie geodezji i kartografii</w:t>
            </w:r>
            <w:r w:rsidR="00EE590E">
              <w:rPr>
                <w:rFonts w:ascii="Lato" w:eastAsia="Arial" w:hAnsi="Lato" w:cs="Arial"/>
                <w:sz w:val="18"/>
                <w:szCs w:val="18"/>
              </w:rPr>
              <w:t>, wydawanych na podstawie art. 45h ww. ustawy. Nie</w:t>
            </w:r>
            <w:r>
              <w:rPr>
                <w:rFonts w:ascii="Lato" w:eastAsia="Arial" w:hAnsi="Lato" w:cs="Arial"/>
                <w:sz w:val="18"/>
                <w:szCs w:val="18"/>
              </w:rPr>
              <w:t xml:space="preserve"> jest to </w:t>
            </w:r>
            <w:r w:rsidR="00EE590E">
              <w:rPr>
                <w:rFonts w:ascii="Lato" w:eastAsia="Arial" w:hAnsi="Lato" w:cs="Arial"/>
                <w:sz w:val="18"/>
                <w:szCs w:val="18"/>
              </w:rPr>
              <w:t xml:space="preserve">zatem </w:t>
            </w:r>
            <w:r>
              <w:rPr>
                <w:rFonts w:ascii="Lato" w:eastAsia="Arial" w:hAnsi="Lato" w:cs="Arial"/>
                <w:sz w:val="18"/>
                <w:szCs w:val="18"/>
              </w:rPr>
              <w:t xml:space="preserve">nowy obowiązek i projektodawca nie nakłada </w:t>
            </w:r>
            <w:r w:rsidR="00EE590E">
              <w:rPr>
                <w:rFonts w:ascii="Lato" w:eastAsia="Arial" w:hAnsi="Lato" w:cs="Arial"/>
                <w:sz w:val="18"/>
                <w:szCs w:val="18"/>
              </w:rPr>
              <w:t xml:space="preserve">w projekcie ustawy </w:t>
            </w:r>
            <w:r>
              <w:rPr>
                <w:rFonts w:ascii="Lato" w:eastAsia="Arial" w:hAnsi="Lato" w:cs="Arial"/>
                <w:sz w:val="18"/>
                <w:szCs w:val="18"/>
              </w:rPr>
              <w:t>przedmiotowego obowiązku na kandydatów</w:t>
            </w:r>
            <w:r w:rsidR="00EE590E">
              <w:rPr>
                <w:rFonts w:ascii="Lato" w:eastAsia="Arial" w:hAnsi="Lato" w:cs="Arial"/>
                <w:sz w:val="18"/>
                <w:szCs w:val="18"/>
              </w:rPr>
              <w:t>,</w:t>
            </w:r>
            <w:r>
              <w:rPr>
                <w:rFonts w:ascii="Lato" w:eastAsia="Arial" w:hAnsi="Lato" w:cs="Arial"/>
                <w:sz w:val="18"/>
                <w:szCs w:val="18"/>
              </w:rPr>
              <w:t xml:space="preserve"> a jedynie zmienia formę wydawania dzienników praktyki zawodowej</w:t>
            </w:r>
            <w:r w:rsidR="00EE590E">
              <w:rPr>
                <w:rFonts w:ascii="Lato" w:eastAsia="Arial" w:hAnsi="Lato" w:cs="Arial"/>
                <w:sz w:val="18"/>
                <w:szCs w:val="18"/>
              </w:rPr>
              <w:t xml:space="preserve"> i zdejmuje z Głównego Geodetę Kraju obowiązek ich wydawania. Mając na względzie powyższe, w opinii projektodawcy </w:t>
            </w:r>
            <w:r w:rsidR="00EE590E" w:rsidRPr="00EE590E">
              <w:rPr>
                <w:rFonts w:ascii="Lato" w:eastAsia="Arial" w:hAnsi="Lato" w:cs="Arial"/>
                <w:sz w:val="18"/>
                <w:szCs w:val="18"/>
              </w:rPr>
              <w:t>doda</w:t>
            </w:r>
            <w:r w:rsidR="00EE590E">
              <w:rPr>
                <w:rFonts w:ascii="Lato" w:eastAsia="Arial" w:hAnsi="Lato" w:cs="Arial"/>
                <w:sz w:val="18"/>
                <w:szCs w:val="18"/>
              </w:rPr>
              <w:t>nie</w:t>
            </w:r>
            <w:r w:rsidR="00EE590E" w:rsidRPr="00EE590E">
              <w:rPr>
                <w:rFonts w:ascii="Lato" w:eastAsia="Arial" w:hAnsi="Lato" w:cs="Arial"/>
                <w:sz w:val="18"/>
                <w:szCs w:val="18"/>
              </w:rPr>
              <w:t xml:space="preserve"> przepis</w:t>
            </w:r>
            <w:r w:rsidR="00EE590E">
              <w:rPr>
                <w:rFonts w:ascii="Lato" w:eastAsia="Arial" w:hAnsi="Lato" w:cs="Arial"/>
                <w:sz w:val="18"/>
                <w:szCs w:val="18"/>
              </w:rPr>
              <w:t>ów</w:t>
            </w:r>
            <w:r w:rsidR="00EE590E" w:rsidRPr="00EE590E">
              <w:rPr>
                <w:rFonts w:ascii="Lato" w:eastAsia="Arial" w:hAnsi="Lato" w:cs="Arial"/>
                <w:sz w:val="18"/>
                <w:szCs w:val="18"/>
              </w:rPr>
              <w:t xml:space="preserve"> określający</w:t>
            </w:r>
            <w:r w:rsidR="00EE590E">
              <w:rPr>
                <w:rFonts w:ascii="Lato" w:eastAsia="Arial" w:hAnsi="Lato" w:cs="Arial"/>
                <w:sz w:val="18"/>
                <w:szCs w:val="18"/>
              </w:rPr>
              <w:t>ch</w:t>
            </w:r>
            <w:r w:rsidR="00EE590E" w:rsidRPr="00EE590E">
              <w:rPr>
                <w:rFonts w:ascii="Lato" w:eastAsia="Arial" w:hAnsi="Lato" w:cs="Arial"/>
                <w:sz w:val="18"/>
                <w:szCs w:val="18"/>
              </w:rPr>
              <w:t xml:space="preserve"> co zawiera dziennik praktyk zawodowych</w:t>
            </w:r>
            <w:r w:rsidR="00EE590E">
              <w:rPr>
                <w:rFonts w:ascii="Lato" w:eastAsia="Arial" w:hAnsi="Lato" w:cs="Arial"/>
                <w:sz w:val="18"/>
                <w:szCs w:val="18"/>
              </w:rPr>
              <w:t xml:space="preserve"> jest nadmiarowe. </w:t>
            </w:r>
          </w:p>
        </w:tc>
      </w:tr>
      <w:tr w:rsidR="0015105A" w:rsidRPr="0037774A" w14:paraId="37743A34" w14:textId="5FF2E8DB" w:rsidTr="00AF0669">
        <w:trPr>
          <w:trHeight w:val="20"/>
        </w:trPr>
        <w:tc>
          <w:tcPr>
            <w:tcW w:w="709" w:type="dxa"/>
            <w:tcBorders>
              <w:top w:val="single" w:sz="4" w:space="0" w:color="auto"/>
              <w:left w:val="single" w:sz="4" w:space="0" w:color="auto"/>
              <w:bottom w:val="single" w:sz="4" w:space="0" w:color="auto"/>
            </w:tcBorders>
            <w:shd w:val="clear" w:color="auto" w:fill="FFFFFF"/>
          </w:tcPr>
          <w:p w14:paraId="1CD2D25F"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EDD4EBE" w14:textId="35AD2123"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6B22ACC2" w14:textId="623648A2" w:rsidR="0015105A" w:rsidRPr="0037774A" w:rsidRDefault="0015105A" w:rsidP="0015105A">
            <w:pPr>
              <w:pStyle w:val="Inne0"/>
              <w:shd w:val="clear" w:color="auto" w:fill="auto"/>
              <w:spacing w:before="120" w:after="120"/>
              <w:ind w:left="127" w:right="274"/>
              <w:rPr>
                <w:rFonts w:ascii="Lato" w:eastAsia="Arial" w:hAnsi="Lato" w:cs="Arial"/>
                <w:sz w:val="18"/>
                <w:szCs w:val="18"/>
              </w:rPr>
            </w:pPr>
            <w:r w:rsidRPr="00716A21">
              <w:rPr>
                <w:rFonts w:ascii="Lato" w:eastAsia="Arial" w:hAnsi="Lato" w:cs="Arial"/>
                <w:sz w:val="18"/>
                <w:szCs w:val="18"/>
              </w:rPr>
              <w:t>W art. 1 pkt 14 projektu ustawy w nowelizowanym art. 11 ust. 3 zmienianej ustawy, określającym co rozumie się przez nadzór nad osobami wykonującymi prace geodezyjne lub prace kartograficzne i działającymi pod bezpośrednim nadzorem osób posiadających uprawnienia zawodowe w dziedzinie geodezji i kartografii właściwe do realizacji tych prac, stosownie do zasady określoności przepisów prawa w ocenie RCL należałoby wykreślić wyrazy „w szczególności” i enumeratywnie określić co rozumie się przez ww. nadzór, tj. wskazać o jakie konkretne czynności kontrolne i koordynacyjne chodzi</w:t>
            </w:r>
            <w:r w:rsidR="00AF0669">
              <w:rPr>
                <w:rFonts w:ascii="Lato" w:eastAsia="Arial" w:hAnsi="Lato" w:cs="Arial"/>
                <w:sz w:val="18"/>
                <w:szCs w:val="18"/>
              </w:rPr>
              <w:t>.</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C4A713C" w14:textId="660BA4BC"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371FCEEE" w14:textId="3BEBDAD1" w:rsidR="00AF0669" w:rsidRPr="00AF0669" w:rsidRDefault="00AF0669" w:rsidP="00AF0669">
            <w:pPr>
              <w:pStyle w:val="Inne0"/>
              <w:spacing w:before="120" w:after="120"/>
              <w:ind w:left="131" w:right="138"/>
              <w:rPr>
                <w:rFonts w:ascii="Lato" w:eastAsia="Arial" w:hAnsi="Lato" w:cs="Arial"/>
                <w:sz w:val="18"/>
                <w:szCs w:val="18"/>
              </w:rPr>
            </w:pPr>
            <w:r w:rsidRPr="00AF0669">
              <w:rPr>
                <w:rFonts w:ascii="Lato" w:eastAsia="Arial" w:hAnsi="Lato" w:cs="Arial"/>
                <w:sz w:val="18"/>
                <w:szCs w:val="18"/>
              </w:rPr>
              <w:t>Uwaga nie</w:t>
            </w:r>
            <w:r>
              <w:rPr>
                <w:rFonts w:ascii="Lato" w:eastAsia="Arial" w:hAnsi="Lato" w:cs="Arial"/>
                <w:sz w:val="18"/>
                <w:szCs w:val="18"/>
              </w:rPr>
              <w:t xml:space="preserve"> została </w:t>
            </w:r>
            <w:r w:rsidRPr="00AF0669">
              <w:rPr>
                <w:rFonts w:ascii="Lato" w:eastAsia="Arial" w:hAnsi="Lato" w:cs="Arial"/>
                <w:sz w:val="18"/>
                <w:szCs w:val="18"/>
              </w:rPr>
              <w:t>uwzględniona</w:t>
            </w:r>
            <w:r>
              <w:rPr>
                <w:rFonts w:ascii="Lato" w:eastAsia="Arial" w:hAnsi="Lato" w:cs="Arial"/>
                <w:sz w:val="18"/>
                <w:szCs w:val="18"/>
              </w:rPr>
              <w:t>.</w:t>
            </w:r>
          </w:p>
          <w:p w14:paraId="5A52623E" w14:textId="77777777" w:rsidR="00AF0669" w:rsidRPr="00AF0669" w:rsidRDefault="00AF0669" w:rsidP="00AF0669">
            <w:pPr>
              <w:pStyle w:val="Inne0"/>
              <w:spacing w:before="120" w:after="120"/>
              <w:ind w:left="131" w:right="138"/>
              <w:rPr>
                <w:rFonts w:ascii="Lato" w:eastAsia="Arial" w:hAnsi="Lato" w:cs="Arial"/>
                <w:sz w:val="18"/>
                <w:szCs w:val="18"/>
              </w:rPr>
            </w:pPr>
            <w:r w:rsidRPr="00AF0669">
              <w:rPr>
                <w:rFonts w:ascii="Lato" w:eastAsia="Arial" w:hAnsi="Lato" w:cs="Arial"/>
                <w:sz w:val="18"/>
                <w:szCs w:val="18"/>
              </w:rPr>
              <w:t xml:space="preserve">Zastosowanie w niniejszym przepisie katalogu otwartego jest uzasadnione. Intencją ustawodawcy jest bowiem wskazanie przykładowych elementów (koniecznych), które powinny składać się na realizację celu nadzoru określonego w tym przepisie, czyli </w:t>
            </w:r>
            <w:r w:rsidRPr="00AF0669">
              <w:rPr>
                <w:rFonts w:ascii="Lato" w:eastAsia="Arial" w:hAnsi="Lato" w:cs="Arial"/>
                <w:i/>
                <w:iCs/>
                <w:sz w:val="18"/>
                <w:szCs w:val="18"/>
              </w:rPr>
              <w:t>zapewnienie merytorycznej, technicznej i formalnej poprawności wykonania prac geodezyjnych lub prac kartograficznych.</w:t>
            </w:r>
            <w:r w:rsidRPr="00AF0669">
              <w:rPr>
                <w:rFonts w:ascii="Lato" w:eastAsia="Arial" w:hAnsi="Lato" w:cs="Arial"/>
                <w:sz w:val="18"/>
                <w:szCs w:val="18"/>
              </w:rPr>
              <w:t xml:space="preserve"> </w:t>
            </w:r>
          </w:p>
          <w:p w14:paraId="04DC115F" w14:textId="258FBFF0" w:rsidR="0015105A" w:rsidRPr="0037774A" w:rsidRDefault="00AF0669" w:rsidP="00AF0669">
            <w:pPr>
              <w:pStyle w:val="Inne0"/>
              <w:shd w:val="clear" w:color="auto" w:fill="auto"/>
              <w:spacing w:before="120" w:after="120"/>
              <w:ind w:left="131" w:right="138"/>
              <w:rPr>
                <w:rFonts w:ascii="Lato" w:eastAsia="Arial" w:hAnsi="Lato" w:cs="Arial"/>
                <w:sz w:val="18"/>
                <w:szCs w:val="18"/>
              </w:rPr>
            </w:pPr>
            <w:r w:rsidRPr="00AF0669">
              <w:rPr>
                <w:rFonts w:ascii="Lato" w:eastAsia="Arial" w:hAnsi="Lato" w:cs="Arial"/>
                <w:sz w:val="18"/>
                <w:szCs w:val="18"/>
              </w:rPr>
              <w:t>Nie jest wskazane, aby ustawodawca poprzez katalog zamknięty określający konkretne czynności kontrolne i koordynacyjne, jakie mają składać się na definicję nadzoru, w istocie ograniczał w ten sposób swobodę osoby posiadającej uprawnienia zawodowe, odpowiadającej ostatecznie za prawidłowe wykonanie prac geodezyjnych lub prac kartograficznych. To ta osoba powinna mieć autonomię w doborze adekwatnej palety środków nadzorczych (z uwzględnieniem obligatoryjnych elementów wskazanych w ustawie), które w jej ocenie, pozwolą na poprawne wykonanie tych prac.</w:t>
            </w:r>
          </w:p>
        </w:tc>
      </w:tr>
      <w:tr w:rsidR="0015105A" w:rsidRPr="0037774A" w14:paraId="2C8A617C" w14:textId="09932E00" w:rsidTr="00A1261B">
        <w:trPr>
          <w:trHeight w:val="20"/>
        </w:trPr>
        <w:tc>
          <w:tcPr>
            <w:tcW w:w="709" w:type="dxa"/>
            <w:tcBorders>
              <w:top w:val="single" w:sz="4" w:space="0" w:color="auto"/>
              <w:left w:val="single" w:sz="4" w:space="0" w:color="auto"/>
              <w:bottom w:val="single" w:sz="4" w:space="0" w:color="auto"/>
            </w:tcBorders>
            <w:shd w:val="clear" w:color="auto" w:fill="FFFFFF"/>
          </w:tcPr>
          <w:p w14:paraId="00E9A919"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F08CD25" w14:textId="4DDD0538" w:rsidR="0015105A" w:rsidRPr="0037774A" w:rsidRDefault="0015105A" w:rsidP="0015105A">
            <w:pPr>
              <w:pStyle w:val="Inne0"/>
              <w:shd w:val="clear" w:color="auto" w:fill="auto"/>
              <w:spacing w:before="120" w:after="120"/>
              <w:ind w:left="140"/>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2FB2CC9A" w14:textId="25E40F6B" w:rsidR="0015105A" w:rsidRPr="0037774A" w:rsidRDefault="0015105A" w:rsidP="0015105A">
            <w:pPr>
              <w:pStyle w:val="Inne0"/>
              <w:shd w:val="clear" w:color="auto" w:fill="auto"/>
              <w:spacing w:before="120" w:after="120"/>
              <w:ind w:left="127" w:right="274"/>
              <w:rPr>
                <w:rFonts w:ascii="Lato" w:eastAsia="Arial" w:hAnsi="Lato" w:cs="Arial"/>
                <w:sz w:val="18"/>
                <w:szCs w:val="18"/>
              </w:rPr>
            </w:pPr>
            <w:r w:rsidRPr="00716A21">
              <w:rPr>
                <w:rFonts w:ascii="Lato" w:eastAsia="Arial" w:hAnsi="Lato" w:cs="Arial"/>
                <w:sz w:val="18"/>
                <w:szCs w:val="18"/>
              </w:rPr>
              <w:t>W art. 1 pkt 17 projektu ustawy zawierającym zmiany w art. 12b zmienianej ustawy wątpliwości budzą nowelizowany ust. 4 i dodawany ust. 4a w zakresie odniesienia się w nich do prac kartograficznych, gdyż zmieniany art. 12b odnosi się tylko do wyników zgłoszonych prac geodezyjnych. Również nowelizowany art. 12 ust. 1 zmienianej ustawy stanowi, że przed ich rozpoczęciem zgłasza się prace geodezyjne. Powyższe wymaga ponownej analizy i stosownej korekty przepisów, aby zapewnić ich spójność.</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95FEBD9" w14:textId="32EAD7E0"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7B2AA3B" w14:textId="071ECD5E" w:rsidR="0015105A" w:rsidRDefault="007F606C"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Zgłoszona u</w:t>
            </w:r>
            <w:r w:rsidR="00EE590E">
              <w:rPr>
                <w:rFonts w:ascii="Lato" w:eastAsia="Arial" w:hAnsi="Lato" w:cs="Arial"/>
                <w:sz w:val="18"/>
                <w:szCs w:val="18"/>
              </w:rPr>
              <w:t xml:space="preserve">waga </w:t>
            </w:r>
            <w:r>
              <w:rPr>
                <w:rFonts w:ascii="Lato" w:eastAsia="Arial" w:hAnsi="Lato" w:cs="Arial"/>
                <w:sz w:val="18"/>
                <w:szCs w:val="18"/>
              </w:rPr>
              <w:t xml:space="preserve">w opinii projektodawcy jest </w:t>
            </w:r>
            <w:r w:rsidR="00EE590E">
              <w:rPr>
                <w:rFonts w:ascii="Lato" w:eastAsia="Arial" w:hAnsi="Lato" w:cs="Arial"/>
                <w:sz w:val="18"/>
                <w:szCs w:val="18"/>
              </w:rPr>
              <w:t>niejasna</w:t>
            </w:r>
            <w:r>
              <w:rPr>
                <w:rFonts w:ascii="Lato" w:eastAsia="Arial" w:hAnsi="Lato" w:cs="Arial"/>
                <w:sz w:val="18"/>
                <w:szCs w:val="18"/>
              </w:rPr>
              <w:t xml:space="preserve"> i nie można zidentyfikować problemu sygnalizowanego przez RCL</w:t>
            </w:r>
            <w:r w:rsidR="00EE590E">
              <w:rPr>
                <w:rFonts w:ascii="Lato" w:eastAsia="Arial" w:hAnsi="Lato" w:cs="Arial"/>
                <w:sz w:val="18"/>
                <w:szCs w:val="18"/>
              </w:rPr>
              <w:t>.</w:t>
            </w:r>
          </w:p>
          <w:p w14:paraId="57861635" w14:textId="77777777" w:rsidR="007F606C" w:rsidRDefault="00EE590E" w:rsidP="007F606C">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Należy wskazać, że zgodnie z projektowanymi przepisami art. 12b ust. 4 ustawy – Prawo geodezyjne i kartograficzne, przyjęcie wyników</w:t>
            </w:r>
            <w:r w:rsidR="007F606C">
              <w:rPr>
                <w:rFonts w:ascii="Lato" w:eastAsia="Arial" w:hAnsi="Lato" w:cs="Arial"/>
                <w:sz w:val="18"/>
                <w:szCs w:val="18"/>
              </w:rPr>
              <w:t xml:space="preserve"> </w:t>
            </w:r>
            <w:r>
              <w:rPr>
                <w:rFonts w:ascii="Lato" w:eastAsia="Arial" w:hAnsi="Lato" w:cs="Arial"/>
                <w:sz w:val="18"/>
                <w:szCs w:val="18"/>
              </w:rPr>
              <w:t>zgłoszonych prac geodezyjnych następuje na podstawie pozytywnego wyniku weryfikacji</w:t>
            </w:r>
            <w:r w:rsidR="007F606C">
              <w:rPr>
                <w:rFonts w:ascii="Lato" w:eastAsia="Arial" w:hAnsi="Lato" w:cs="Arial"/>
                <w:sz w:val="18"/>
                <w:szCs w:val="18"/>
              </w:rPr>
              <w:t xml:space="preserve">. W związku z tym, że obowiązek dokonania zgłoszenia nie dotyczy prac kartograficznych – nie zostały one uwzględnione w przepisie. Poza ww. pracami geodezyjnymi realizowanymi na podstawie zgłoszenia, prace mogą być również realizowane na podstawie </w:t>
            </w:r>
            <w:r w:rsidR="007F606C" w:rsidRPr="00EE590E">
              <w:rPr>
                <w:rFonts w:ascii="Lato" w:eastAsia="Arial" w:hAnsi="Lato" w:cs="Arial"/>
                <w:sz w:val="18"/>
                <w:szCs w:val="18"/>
              </w:rPr>
              <w:t>zleceni</w:t>
            </w:r>
            <w:r w:rsidR="007F606C">
              <w:rPr>
                <w:rFonts w:ascii="Lato" w:eastAsia="Arial" w:hAnsi="Lato" w:cs="Arial"/>
                <w:sz w:val="18"/>
                <w:szCs w:val="18"/>
              </w:rPr>
              <w:t>a</w:t>
            </w:r>
            <w:r w:rsidR="007F606C" w:rsidRPr="00EE590E">
              <w:rPr>
                <w:rFonts w:ascii="Lato" w:eastAsia="Arial" w:hAnsi="Lato" w:cs="Arial"/>
                <w:sz w:val="18"/>
                <w:szCs w:val="18"/>
              </w:rPr>
              <w:t xml:space="preserve"> organów</w:t>
            </w:r>
            <w:r w:rsidR="007F606C">
              <w:rPr>
                <w:rFonts w:ascii="Lato" w:eastAsia="Arial" w:hAnsi="Lato" w:cs="Arial"/>
                <w:sz w:val="18"/>
                <w:szCs w:val="18"/>
              </w:rPr>
              <w:t xml:space="preserve"> Służby G</w:t>
            </w:r>
            <w:r w:rsidR="007F606C" w:rsidRPr="00EE590E">
              <w:rPr>
                <w:rFonts w:ascii="Lato" w:eastAsia="Arial" w:hAnsi="Lato" w:cs="Arial"/>
                <w:sz w:val="18"/>
                <w:szCs w:val="18"/>
              </w:rPr>
              <w:t xml:space="preserve">eodezyjnej i </w:t>
            </w:r>
            <w:r w:rsidR="007F606C">
              <w:rPr>
                <w:rFonts w:ascii="Lato" w:eastAsia="Arial" w:hAnsi="Lato" w:cs="Arial"/>
                <w:sz w:val="18"/>
                <w:szCs w:val="18"/>
              </w:rPr>
              <w:t>K</w:t>
            </w:r>
            <w:r w:rsidR="007F606C" w:rsidRPr="00EE590E">
              <w:rPr>
                <w:rFonts w:ascii="Lato" w:eastAsia="Arial" w:hAnsi="Lato" w:cs="Arial"/>
                <w:sz w:val="18"/>
                <w:szCs w:val="18"/>
              </w:rPr>
              <w:t>artograficznej</w:t>
            </w:r>
            <w:r w:rsidR="007F606C">
              <w:rPr>
                <w:rFonts w:ascii="Lato" w:eastAsia="Arial" w:hAnsi="Lato" w:cs="Arial"/>
                <w:sz w:val="18"/>
                <w:szCs w:val="18"/>
              </w:rPr>
              <w:t xml:space="preserve"> – i takie prace mogą wówczas objąć </w:t>
            </w:r>
            <w:r w:rsidR="007F606C">
              <w:rPr>
                <w:rFonts w:ascii="Lato" w:eastAsia="Arial" w:hAnsi="Lato" w:cs="Arial"/>
                <w:sz w:val="18"/>
                <w:szCs w:val="18"/>
              </w:rPr>
              <w:lastRenderedPageBreak/>
              <w:t xml:space="preserve">zarówno prace geodezyjne jak i prace kartograficzne. W takim przypadku nie ma obowiązku ich zgłoszenia do organu, a podstawą przyjęcia do </w:t>
            </w:r>
            <w:r w:rsidR="007F606C" w:rsidRPr="007F606C">
              <w:rPr>
                <w:rFonts w:ascii="Lato" w:eastAsia="Arial" w:hAnsi="Lato" w:cs="Arial"/>
                <w:sz w:val="18"/>
                <w:szCs w:val="18"/>
              </w:rPr>
              <w:t>państwowego zasobu geodezyjnego i kartograficznego</w:t>
            </w:r>
            <w:r w:rsidR="007F606C">
              <w:rPr>
                <w:rFonts w:ascii="Lato" w:eastAsia="Arial" w:hAnsi="Lato" w:cs="Arial"/>
                <w:sz w:val="18"/>
                <w:szCs w:val="18"/>
              </w:rPr>
              <w:t xml:space="preserve"> jest</w:t>
            </w:r>
            <w:r>
              <w:rPr>
                <w:rFonts w:ascii="Lato" w:eastAsia="Arial" w:hAnsi="Lato" w:cs="Arial"/>
                <w:sz w:val="18"/>
                <w:szCs w:val="18"/>
              </w:rPr>
              <w:t xml:space="preserve"> </w:t>
            </w:r>
            <w:r w:rsidRPr="00EE590E">
              <w:rPr>
                <w:rFonts w:ascii="Lato" w:eastAsia="Arial" w:hAnsi="Lato" w:cs="Arial"/>
                <w:sz w:val="18"/>
                <w:szCs w:val="18"/>
              </w:rPr>
              <w:t>dokument potwierdzający odbiór przedmiotu zamówienia publicznego</w:t>
            </w:r>
            <w:r w:rsidR="007F606C">
              <w:rPr>
                <w:rFonts w:ascii="Lato" w:eastAsia="Arial" w:hAnsi="Lato" w:cs="Arial"/>
                <w:sz w:val="18"/>
                <w:szCs w:val="18"/>
              </w:rPr>
              <w:t xml:space="preserve">. Są to zatem dwie różne kategorie wykonywanych prac. </w:t>
            </w:r>
          </w:p>
          <w:p w14:paraId="6E586A39" w14:textId="47592F85" w:rsidR="007F606C" w:rsidRPr="0037774A" w:rsidRDefault="007F606C" w:rsidP="00D65BBB">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Zastrzeżenie zawarte w projektowanym art. 12b ust. 4a ustawy dotyczy sytuacji, w której prace realizowane są </w:t>
            </w:r>
            <w:r w:rsidR="00D65BBB">
              <w:rPr>
                <w:rFonts w:ascii="Lato" w:eastAsia="Arial" w:hAnsi="Lato" w:cs="Arial"/>
                <w:sz w:val="18"/>
                <w:szCs w:val="18"/>
              </w:rPr>
              <w:t xml:space="preserve">na </w:t>
            </w:r>
            <w:r w:rsidRPr="00EE590E">
              <w:rPr>
                <w:rFonts w:ascii="Lato" w:eastAsia="Arial" w:hAnsi="Lato" w:cs="Arial"/>
                <w:sz w:val="18"/>
                <w:szCs w:val="18"/>
              </w:rPr>
              <w:t>zleceni</w:t>
            </w:r>
            <w:r w:rsidR="00D65BBB">
              <w:rPr>
                <w:rFonts w:ascii="Lato" w:eastAsia="Arial" w:hAnsi="Lato" w:cs="Arial"/>
                <w:sz w:val="18"/>
                <w:szCs w:val="18"/>
              </w:rPr>
              <w:t>e</w:t>
            </w:r>
            <w:r w:rsidRPr="00EE590E">
              <w:rPr>
                <w:rFonts w:ascii="Lato" w:eastAsia="Arial" w:hAnsi="Lato" w:cs="Arial"/>
                <w:sz w:val="18"/>
                <w:szCs w:val="18"/>
              </w:rPr>
              <w:t xml:space="preserve"> organ</w:t>
            </w:r>
            <w:r>
              <w:rPr>
                <w:rFonts w:ascii="Lato" w:eastAsia="Arial" w:hAnsi="Lato" w:cs="Arial"/>
                <w:sz w:val="18"/>
                <w:szCs w:val="18"/>
              </w:rPr>
              <w:t xml:space="preserve">u </w:t>
            </w:r>
            <w:r w:rsidRPr="007F606C">
              <w:rPr>
                <w:rFonts w:ascii="Lato" w:eastAsia="Arial" w:hAnsi="Lato" w:cs="Arial"/>
                <w:sz w:val="18"/>
                <w:szCs w:val="18"/>
              </w:rPr>
              <w:t>administracji geodezyjnej i kartograficznej</w:t>
            </w:r>
            <w:r>
              <w:rPr>
                <w:rFonts w:ascii="Lato" w:eastAsia="Arial" w:hAnsi="Lato" w:cs="Arial"/>
                <w:sz w:val="18"/>
                <w:szCs w:val="18"/>
              </w:rPr>
              <w:t xml:space="preserve"> (</w:t>
            </w:r>
            <w:r w:rsidR="00D65BBB">
              <w:rPr>
                <w:rFonts w:ascii="Lato" w:eastAsia="Arial" w:hAnsi="Lato" w:cs="Arial"/>
                <w:sz w:val="18"/>
                <w:szCs w:val="18"/>
              </w:rPr>
              <w:t>czy to marszałka województwa czy starosty</w:t>
            </w:r>
            <w:r>
              <w:rPr>
                <w:rFonts w:ascii="Lato" w:eastAsia="Arial" w:hAnsi="Lato" w:cs="Arial"/>
                <w:sz w:val="18"/>
                <w:szCs w:val="18"/>
              </w:rPr>
              <w:t>)</w:t>
            </w:r>
            <w:r w:rsidR="00D65BBB">
              <w:rPr>
                <w:rFonts w:ascii="Lato" w:eastAsia="Arial" w:hAnsi="Lato" w:cs="Arial"/>
                <w:sz w:val="18"/>
                <w:szCs w:val="18"/>
              </w:rPr>
              <w:t xml:space="preserve"> a ich przedmiot dotyczy </w:t>
            </w:r>
            <w:r w:rsidR="00D65BBB" w:rsidRPr="00D65BBB">
              <w:rPr>
                <w:rFonts w:ascii="Lato" w:eastAsia="Arial" w:hAnsi="Lato" w:cs="Arial"/>
                <w:sz w:val="18"/>
                <w:szCs w:val="18"/>
              </w:rPr>
              <w:t xml:space="preserve">danych lub materiałów gromadzonych </w:t>
            </w:r>
            <w:r w:rsidR="00D65BBB">
              <w:rPr>
                <w:rFonts w:ascii="Lato" w:eastAsia="Arial" w:hAnsi="Lato" w:cs="Arial"/>
                <w:sz w:val="18"/>
                <w:szCs w:val="18"/>
              </w:rPr>
              <w:t xml:space="preserve">przez Głównego Geodetę Kraju </w:t>
            </w:r>
            <w:r w:rsidR="00D65BBB" w:rsidRPr="00D65BBB">
              <w:rPr>
                <w:rFonts w:ascii="Lato" w:eastAsia="Arial" w:hAnsi="Lato" w:cs="Arial"/>
                <w:sz w:val="18"/>
                <w:szCs w:val="18"/>
              </w:rPr>
              <w:t>w centralnym zasobie geodezyjnym i kartograficznym</w:t>
            </w:r>
            <w:r w:rsidR="00D65BBB">
              <w:rPr>
                <w:rFonts w:ascii="Lato" w:eastAsia="Arial" w:hAnsi="Lato" w:cs="Arial"/>
                <w:sz w:val="18"/>
                <w:szCs w:val="18"/>
              </w:rPr>
              <w:t>. Dotyczy to zatem sytuacji, w której jeden organ ma obowiązek przyjąć do swojego zasobu materiały odebrane w ramach zamówienia publicznego przez inne organy. Aby uniknąć takiej sytuacji wprowadzono w art.  12b ust. 4a ustawy zastrzeżenie, że p</w:t>
            </w:r>
            <w:r w:rsidR="00D65BBB" w:rsidRPr="00D65BBB">
              <w:rPr>
                <w:rFonts w:ascii="Lato" w:eastAsia="Arial" w:hAnsi="Lato" w:cs="Arial"/>
                <w:sz w:val="18"/>
                <w:szCs w:val="18"/>
              </w:rPr>
              <w:t xml:space="preserve">odstawę przyjęcia wyników </w:t>
            </w:r>
            <w:r w:rsidR="00D65BBB">
              <w:rPr>
                <w:rFonts w:ascii="Lato" w:eastAsia="Arial" w:hAnsi="Lato" w:cs="Arial"/>
                <w:sz w:val="18"/>
                <w:szCs w:val="18"/>
              </w:rPr>
              <w:t>takich</w:t>
            </w:r>
            <w:r w:rsidR="00D65BBB" w:rsidRPr="00D65BBB">
              <w:rPr>
                <w:rFonts w:ascii="Lato" w:eastAsia="Arial" w:hAnsi="Lato" w:cs="Arial"/>
                <w:sz w:val="18"/>
                <w:szCs w:val="18"/>
              </w:rPr>
              <w:t xml:space="preserve"> prac do centralnego zasobu geodezyjnego i kartograficznego stanowi pozytywny wynik weryfikacji przeprowadzonej przez Głównego Geodetę Kraju</w:t>
            </w:r>
            <w:r w:rsidR="00D65BBB">
              <w:rPr>
                <w:rFonts w:ascii="Lato" w:eastAsia="Arial" w:hAnsi="Lato" w:cs="Arial"/>
                <w:sz w:val="18"/>
                <w:szCs w:val="18"/>
              </w:rPr>
              <w:t>.</w:t>
            </w:r>
          </w:p>
        </w:tc>
      </w:tr>
      <w:tr w:rsidR="0015105A" w:rsidRPr="0037774A" w14:paraId="233C322E" w14:textId="50EFFDB3" w:rsidTr="00A1261B">
        <w:trPr>
          <w:trHeight w:val="20"/>
        </w:trPr>
        <w:tc>
          <w:tcPr>
            <w:tcW w:w="709" w:type="dxa"/>
            <w:tcBorders>
              <w:top w:val="single" w:sz="4" w:space="0" w:color="auto"/>
              <w:left w:val="single" w:sz="4" w:space="0" w:color="auto"/>
              <w:bottom w:val="single" w:sz="4" w:space="0" w:color="auto"/>
            </w:tcBorders>
            <w:shd w:val="clear" w:color="auto" w:fill="FFFFFF"/>
          </w:tcPr>
          <w:p w14:paraId="71601F6E"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FA2B8F3" w14:textId="331E1674"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709DEAA9" w14:textId="3E3260E5" w:rsidR="0015105A" w:rsidRPr="0037774A" w:rsidRDefault="0015105A" w:rsidP="0015105A">
            <w:pPr>
              <w:pStyle w:val="Teksttreci0"/>
              <w:shd w:val="clear" w:color="auto" w:fill="auto"/>
              <w:tabs>
                <w:tab w:val="left" w:pos="1147"/>
              </w:tabs>
              <w:spacing w:before="120" w:after="120"/>
              <w:ind w:left="132" w:right="139"/>
              <w:rPr>
                <w:rFonts w:ascii="Lato" w:hAnsi="Lato"/>
                <w:sz w:val="18"/>
                <w:szCs w:val="18"/>
              </w:rPr>
            </w:pPr>
            <w:r w:rsidRPr="00716A21">
              <w:rPr>
                <w:rFonts w:ascii="Lato" w:hAnsi="Lato"/>
                <w:sz w:val="18"/>
                <w:szCs w:val="18"/>
              </w:rPr>
              <w:t>W art. 1 pkt 27 projektu ustawy w zakresie dodawanego do zmienianej ustawy art. 26b ust. 4, zgodnie z którym starosta może przeprowadzić wstępną ocenę zasadności wniosku o wszczęcie postępowania administracyjnego w sprawie ustalenia gleboznawczej klasyfikacji gruntów poprzez oględziny terenu lub analizę dostępnej dokumentacji, zasadne wydaje się doprecyzowanie proponowanej regulacji przez wskazanie, kiedy albo w jakich przypadkach starosta przeprowadza wstępną ocenę zasadności wniosku poprzez oględziny terenu lub analizę dostępnej dokumentacji.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54051EC"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E3EF2F3" w14:textId="77777777" w:rsidR="0015105A" w:rsidRDefault="00D65BBB"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1E49292" w14:textId="13559174" w:rsidR="001270E5" w:rsidRPr="0037774A" w:rsidRDefault="00D65BBB" w:rsidP="001270E5">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To starosta, w zależności od treści wniosku </w:t>
            </w:r>
            <w:r w:rsidRPr="00D65BBB">
              <w:rPr>
                <w:rFonts w:ascii="Lato" w:eastAsia="Arial" w:hAnsi="Lato" w:cs="Arial"/>
                <w:sz w:val="18"/>
                <w:szCs w:val="18"/>
              </w:rPr>
              <w:t>o wszczęcie postępowania administracyjnego w sprawie ustalenia gleboznawczej klasyfikacji gruntów</w:t>
            </w:r>
            <w:r>
              <w:rPr>
                <w:rFonts w:ascii="Lato" w:eastAsia="Arial" w:hAnsi="Lato" w:cs="Arial"/>
                <w:sz w:val="18"/>
                <w:szCs w:val="18"/>
              </w:rPr>
              <w:t xml:space="preserve"> i indywidualnych </w:t>
            </w:r>
            <w:r w:rsidR="001270E5">
              <w:rPr>
                <w:rFonts w:ascii="Lato" w:eastAsia="Arial" w:hAnsi="Lato" w:cs="Arial"/>
                <w:sz w:val="18"/>
                <w:szCs w:val="18"/>
              </w:rPr>
              <w:t xml:space="preserve">okoliczności sprawy </w:t>
            </w:r>
            <w:r>
              <w:rPr>
                <w:rFonts w:ascii="Lato" w:eastAsia="Arial" w:hAnsi="Lato" w:cs="Arial"/>
                <w:sz w:val="18"/>
                <w:szCs w:val="18"/>
              </w:rPr>
              <w:t xml:space="preserve">decyduje czy zasadne jest </w:t>
            </w:r>
            <w:r w:rsidRPr="00D65BBB">
              <w:rPr>
                <w:rFonts w:ascii="Lato" w:eastAsia="Arial" w:hAnsi="Lato" w:cs="Arial"/>
                <w:sz w:val="18"/>
                <w:szCs w:val="18"/>
              </w:rPr>
              <w:t>przeprowadz</w:t>
            </w:r>
            <w:r>
              <w:rPr>
                <w:rFonts w:ascii="Lato" w:eastAsia="Arial" w:hAnsi="Lato" w:cs="Arial"/>
                <w:sz w:val="18"/>
                <w:szCs w:val="18"/>
              </w:rPr>
              <w:t>enie</w:t>
            </w:r>
            <w:r w:rsidRPr="00D65BBB">
              <w:rPr>
                <w:rFonts w:ascii="Lato" w:eastAsia="Arial" w:hAnsi="Lato" w:cs="Arial"/>
                <w:sz w:val="18"/>
                <w:szCs w:val="18"/>
              </w:rPr>
              <w:t xml:space="preserve"> wstępn</w:t>
            </w:r>
            <w:r>
              <w:rPr>
                <w:rFonts w:ascii="Lato" w:eastAsia="Arial" w:hAnsi="Lato" w:cs="Arial"/>
                <w:sz w:val="18"/>
                <w:szCs w:val="18"/>
              </w:rPr>
              <w:t>ej</w:t>
            </w:r>
            <w:r w:rsidRPr="00D65BBB">
              <w:rPr>
                <w:rFonts w:ascii="Lato" w:eastAsia="Arial" w:hAnsi="Lato" w:cs="Arial"/>
                <w:sz w:val="18"/>
                <w:szCs w:val="18"/>
              </w:rPr>
              <w:t xml:space="preserve"> ocen</w:t>
            </w:r>
            <w:r>
              <w:rPr>
                <w:rFonts w:ascii="Lato" w:eastAsia="Arial" w:hAnsi="Lato" w:cs="Arial"/>
                <w:sz w:val="18"/>
                <w:szCs w:val="18"/>
              </w:rPr>
              <w:t>y</w:t>
            </w:r>
            <w:r w:rsidRPr="00D65BBB">
              <w:rPr>
                <w:rFonts w:ascii="Lato" w:eastAsia="Arial" w:hAnsi="Lato" w:cs="Arial"/>
                <w:sz w:val="18"/>
                <w:szCs w:val="18"/>
              </w:rPr>
              <w:t xml:space="preserve"> zasadności wniosku poprzez oględziny terenu lub analizę dostępnej dokumentacji.</w:t>
            </w:r>
            <w:r w:rsidR="001270E5">
              <w:rPr>
                <w:rFonts w:ascii="Lato" w:eastAsia="Arial" w:hAnsi="Lato" w:cs="Arial"/>
                <w:sz w:val="18"/>
                <w:szCs w:val="18"/>
              </w:rPr>
              <w:t xml:space="preserve"> Mając na względzie, że każda z sytuacji jest indywidualna i może zawierać wiele różnych przesłanek i okoliczności nie jest możliwe sztywne określenie w przepisach ustawy </w:t>
            </w:r>
            <w:r w:rsidR="001270E5" w:rsidRPr="001270E5">
              <w:rPr>
                <w:rFonts w:ascii="Lato" w:eastAsia="Arial" w:hAnsi="Lato" w:cs="Arial"/>
                <w:sz w:val="18"/>
                <w:szCs w:val="18"/>
              </w:rPr>
              <w:t xml:space="preserve">kiedy </w:t>
            </w:r>
            <w:r w:rsidR="001270E5">
              <w:rPr>
                <w:rFonts w:ascii="Lato" w:eastAsia="Arial" w:hAnsi="Lato" w:cs="Arial"/>
                <w:sz w:val="18"/>
                <w:szCs w:val="18"/>
              </w:rPr>
              <w:t xml:space="preserve">i </w:t>
            </w:r>
            <w:r w:rsidR="001270E5" w:rsidRPr="001270E5">
              <w:rPr>
                <w:rFonts w:ascii="Lato" w:eastAsia="Arial" w:hAnsi="Lato" w:cs="Arial"/>
                <w:sz w:val="18"/>
                <w:szCs w:val="18"/>
              </w:rPr>
              <w:t>w jakich przypadkach starosta przeprowadza wstępną ocenę zasadności wniosku.</w:t>
            </w:r>
          </w:p>
        </w:tc>
      </w:tr>
      <w:tr w:rsidR="0015105A" w:rsidRPr="0037774A" w14:paraId="2456CF8E" w14:textId="58D7BD02" w:rsidTr="00A1261B">
        <w:trPr>
          <w:trHeight w:val="20"/>
        </w:trPr>
        <w:tc>
          <w:tcPr>
            <w:tcW w:w="709" w:type="dxa"/>
            <w:tcBorders>
              <w:top w:val="single" w:sz="4" w:space="0" w:color="auto"/>
              <w:left w:val="single" w:sz="4" w:space="0" w:color="auto"/>
              <w:bottom w:val="single" w:sz="4" w:space="0" w:color="auto"/>
            </w:tcBorders>
            <w:shd w:val="clear" w:color="auto" w:fill="FFFFFF"/>
          </w:tcPr>
          <w:p w14:paraId="575DC94E"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40090D3" w14:textId="24502334"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64C0C02C" w14:textId="2642647B" w:rsidR="0015105A" w:rsidRPr="0037774A" w:rsidRDefault="0015105A" w:rsidP="0015105A">
            <w:pPr>
              <w:pStyle w:val="Inne0"/>
              <w:shd w:val="clear" w:color="auto" w:fill="auto"/>
              <w:spacing w:before="120" w:after="120"/>
              <w:ind w:left="132" w:right="139"/>
              <w:rPr>
                <w:rFonts w:ascii="Lato" w:eastAsia="Arial" w:hAnsi="Lato" w:cs="Arial"/>
                <w:sz w:val="18"/>
                <w:szCs w:val="18"/>
              </w:rPr>
            </w:pPr>
            <w:r w:rsidRPr="00716A21">
              <w:rPr>
                <w:rFonts w:ascii="Lato" w:eastAsia="Arial" w:hAnsi="Lato" w:cs="Arial"/>
                <w:sz w:val="18"/>
                <w:szCs w:val="18"/>
              </w:rPr>
              <w:t xml:space="preserve">W art. 1 pkt 27 projektu ustawy z dodawanego do zmienianej ustawy art. 26e ust. 3 wynika, że wyciągi z rejestru klasyfikatorów gruntów zawierające dane wymienione w ust. 1 pkt 1, 4, 5 i 6 podlegają publikacji w Biuletynie Informacji Publicznej na stronie podmiotowej ministra właściwego do spraw rozwoju wsi oraz że publikacji podlegają także zmiany w rejestrze. Wydaje się, że w zdaniu drugim ww. ust. </w:t>
            </w:r>
            <w:r w:rsidRPr="00716A21">
              <w:rPr>
                <w:rFonts w:ascii="Lato" w:eastAsia="Arial" w:hAnsi="Lato" w:cs="Arial"/>
                <w:sz w:val="18"/>
                <w:szCs w:val="18"/>
              </w:rPr>
              <w:lastRenderedPageBreak/>
              <w:t>3 należałoby doprecyzować, że publikacji podlegają zmiany w rejestrze klasyfikatorów odnoszące się do danych wymienionych w ust. 1 pkt 1, 4, 5 i 6.</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19949CD"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61A3C4E" w14:textId="77777777" w:rsidR="0015105A" w:rsidRDefault="001270E5"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536B9BF" w14:textId="0F040A7E" w:rsidR="001270E5" w:rsidRDefault="001270E5"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W opinii projektodawcy przepis jest jednoznaczny. Projektowany </w:t>
            </w:r>
            <w:r w:rsidRPr="00716A21">
              <w:rPr>
                <w:rFonts w:ascii="Lato" w:eastAsia="Arial" w:hAnsi="Lato" w:cs="Arial"/>
                <w:sz w:val="18"/>
                <w:szCs w:val="18"/>
              </w:rPr>
              <w:t>art. 26e ust. 3</w:t>
            </w:r>
            <w:r>
              <w:rPr>
                <w:rFonts w:ascii="Lato" w:eastAsia="Arial" w:hAnsi="Lato" w:cs="Arial"/>
                <w:sz w:val="18"/>
                <w:szCs w:val="18"/>
              </w:rPr>
              <w:t xml:space="preserve"> ustawy – Prawo geodezyjne i kartograficzne stanowi, że jedynie </w:t>
            </w:r>
            <w:r w:rsidRPr="001270E5">
              <w:rPr>
                <w:rFonts w:ascii="Lato" w:eastAsia="Arial" w:hAnsi="Lato" w:cs="Arial"/>
                <w:sz w:val="18"/>
                <w:szCs w:val="18"/>
              </w:rPr>
              <w:t xml:space="preserve">dane wymienione w </w:t>
            </w:r>
            <w:r w:rsidRPr="00716A21">
              <w:rPr>
                <w:rFonts w:ascii="Lato" w:eastAsia="Arial" w:hAnsi="Lato" w:cs="Arial"/>
                <w:sz w:val="18"/>
                <w:szCs w:val="18"/>
              </w:rPr>
              <w:t xml:space="preserve">art. 26e </w:t>
            </w:r>
            <w:r w:rsidRPr="001270E5">
              <w:rPr>
                <w:rFonts w:ascii="Lato" w:eastAsia="Arial" w:hAnsi="Lato" w:cs="Arial"/>
                <w:sz w:val="18"/>
                <w:szCs w:val="18"/>
              </w:rPr>
              <w:t>ust. 1 pkt 1, 4, 5 i 6</w:t>
            </w:r>
            <w:r>
              <w:rPr>
                <w:rFonts w:ascii="Lato" w:eastAsia="Arial" w:hAnsi="Lato" w:cs="Arial"/>
                <w:sz w:val="18"/>
                <w:szCs w:val="18"/>
              </w:rPr>
              <w:t xml:space="preserve"> ustawy</w:t>
            </w:r>
            <w:r w:rsidRPr="001270E5">
              <w:rPr>
                <w:rFonts w:ascii="Lato" w:eastAsia="Arial" w:hAnsi="Lato" w:cs="Arial"/>
                <w:sz w:val="18"/>
                <w:szCs w:val="18"/>
              </w:rPr>
              <w:t xml:space="preserve"> podlegają publikacji w Biuletynie Informacji Publicznej na stronie podmiotowej ministra właściwego do spraw rozwoju wsi.</w:t>
            </w:r>
            <w:r>
              <w:rPr>
                <w:rFonts w:ascii="Lato" w:eastAsia="Arial" w:hAnsi="Lato" w:cs="Arial"/>
                <w:sz w:val="18"/>
                <w:szCs w:val="18"/>
              </w:rPr>
              <w:t xml:space="preserve"> Zdanie drugie dotyczące publikacji zmian w rejestrze nie </w:t>
            </w:r>
            <w:r>
              <w:rPr>
                <w:rFonts w:ascii="Lato" w:eastAsia="Arial" w:hAnsi="Lato" w:cs="Arial"/>
                <w:sz w:val="18"/>
                <w:szCs w:val="18"/>
              </w:rPr>
              <w:lastRenderedPageBreak/>
              <w:t xml:space="preserve">może być interpretowane rozszerzająco, w oderwaniu od zdania pierwszego. </w:t>
            </w:r>
          </w:p>
          <w:p w14:paraId="677AEAFD" w14:textId="793F756B" w:rsidR="001270E5" w:rsidRPr="0037774A" w:rsidRDefault="001270E5"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Należy jednocześnie wskazać, że przedmiotowy przepis art. 26e ust. 3 wzorowany jest na obowiązującym przepisie art. 45g ust. 5 ustawy – Prawo geodezyjne i kartograficzne o analogicznym brzmieniu, który dotyczy publikacji danych zawartych w </w:t>
            </w:r>
            <w:r w:rsidRPr="001270E5">
              <w:rPr>
                <w:rFonts w:ascii="Lato" w:eastAsia="Arial" w:hAnsi="Lato" w:cs="Arial"/>
                <w:sz w:val="18"/>
                <w:szCs w:val="18"/>
              </w:rPr>
              <w:t>rejestr</w:t>
            </w:r>
            <w:r>
              <w:rPr>
                <w:rFonts w:ascii="Lato" w:eastAsia="Arial" w:hAnsi="Lato" w:cs="Arial"/>
                <w:sz w:val="18"/>
                <w:szCs w:val="18"/>
              </w:rPr>
              <w:t>ze</w:t>
            </w:r>
            <w:r w:rsidRPr="001270E5">
              <w:rPr>
                <w:rFonts w:ascii="Lato" w:eastAsia="Arial" w:hAnsi="Lato" w:cs="Arial"/>
                <w:sz w:val="18"/>
                <w:szCs w:val="18"/>
              </w:rPr>
              <w:t xml:space="preserve"> osób posiadających uprawnienia zawodowe</w:t>
            </w:r>
            <w:r>
              <w:rPr>
                <w:rFonts w:ascii="Lato" w:eastAsia="Arial" w:hAnsi="Lato" w:cs="Arial"/>
                <w:sz w:val="18"/>
                <w:szCs w:val="18"/>
              </w:rPr>
              <w:t xml:space="preserve"> w dziedzinie geodezji i kartografii przez </w:t>
            </w:r>
            <w:r w:rsidRPr="001270E5">
              <w:rPr>
                <w:rFonts w:ascii="Lato" w:eastAsia="Arial" w:hAnsi="Lato" w:cs="Arial"/>
                <w:sz w:val="18"/>
                <w:szCs w:val="18"/>
              </w:rPr>
              <w:t>Główn</w:t>
            </w:r>
            <w:r>
              <w:rPr>
                <w:rFonts w:ascii="Lato" w:eastAsia="Arial" w:hAnsi="Lato" w:cs="Arial"/>
                <w:sz w:val="18"/>
                <w:szCs w:val="18"/>
              </w:rPr>
              <w:t>y</w:t>
            </w:r>
            <w:r w:rsidRPr="001270E5">
              <w:rPr>
                <w:rFonts w:ascii="Lato" w:eastAsia="Arial" w:hAnsi="Lato" w:cs="Arial"/>
                <w:sz w:val="18"/>
                <w:szCs w:val="18"/>
              </w:rPr>
              <w:t xml:space="preserve"> Urz</w:t>
            </w:r>
            <w:r>
              <w:rPr>
                <w:rFonts w:ascii="Lato" w:eastAsia="Arial" w:hAnsi="Lato" w:cs="Arial"/>
                <w:sz w:val="18"/>
                <w:szCs w:val="18"/>
              </w:rPr>
              <w:t>ą</w:t>
            </w:r>
            <w:r w:rsidRPr="001270E5">
              <w:rPr>
                <w:rFonts w:ascii="Lato" w:eastAsia="Arial" w:hAnsi="Lato" w:cs="Arial"/>
                <w:sz w:val="18"/>
                <w:szCs w:val="18"/>
              </w:rPr>
              <w:t>d Geodezji i Kartografi</w:t>
            </w:r>
            <w:r>
              <w:rPr>
                <w:rFonts w:ascii="Lato" w:eastAsia="Arial" w:hAnsi="Lato" w:cs="Arial"/>
                <w:sz w:val="18"/>
                <w:szCs w:val="18"/>
              </w:rPr>
              <w:t xml:space="preserve">i. </w:t>
            </w:r>
          </w:p>
        </w:tc>
      </w:tr>
      <w:tr w:rsidR="0015105A" w:rsidRPr="0037774A" w14:paraId="4E59F481" w14:textId="7195D003" w:rsidTr="00E91C94">
        <w:trPr>
          <w:trHeight w:val="20"/>
        </w:trPr>
        <w:tc>
          <w:tcPr>
            <w:tcW w:w="709" w:type="dxa"/>
            <w:tcBorders>
              <w:top w:val="single" w:sz="4" w:space="0" w:color="auto"/>
              <w:left w:val="single" w:sz="4" w:space="0" w:color="auto"/>
              <w:bottom w:val="single" w:sz="4" w:space="0" w:color="auto"/>
            </w:tcBorders>
            <w:shd w:val="clear" w:color="auto" w:fill="FFFFFF"/>
          </w:tcPr>
          <w:p w14:paraId="31654D9C"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65F228B" w14:textId="31634B2C"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5ABCE78D" w14:textId="3998F297" w:rsidR="0015105A" w:rsidRPr="0037774A" w:rsidRDefault="0015105A" w:rsidP="0015105A">
            <w:pPr>
              <w:pStyle w:val="Teksttreci0"/>
              <w:shd w:val="clear" w:color="auto" w:fill="auto"/>
              <w:spacing w:before="120" w:after="120"/>
              <w:ind w:left="132" w:right="139"/>
              <w:rPr>
                <w:rFonts w:ascii="Lato" w:hAnsi="Lato"/>
                <w:sz w:val="18"/>
                <w:szCs w:val="18"/>
              </w:rPr>
            </w:pPr>
            <w:r w:rsidRPr="00716A21">
              <w:rPr>
                <w:rFonts w:ascii="Lato" w:hAnsi="Lato"/>
                <w:sz w:val="18"/>
                <w:szCs w:val="18"/>
              </w:rPr>
              <w:t xml:space="preserve">W uzasadnieniu projektowanej ustawy, na str. 28, zostało wskazane, że „w art. 45e ustawy </w:t>
            </w:r>
            <w:proofErr w:type="spellStart"/>
            <w:r w:rsidRPr="00716A21">
              <w:rPr>
                <w:rFonts w:ascii="Lato" w:hAnsi="Lato"/>
                <w:sz w:val="18"/>
                <w:szCs w:val="18"/>
              </w:rPr>
              <w:t>PGiK</w:t>
            </w:r>
            <w:proofErr w:type="spellEnd"/>
            <w:r w:rsidRPr="00716A21">
              <w:rPr>
                <w:rFonts w:ascii="Lato" w:hAnsi="Lato"/>
                <w:sz w:val="18"/>
                <w:szCs w:val="18"/>
              </w:rPr>
              <w:t xml:space="preserve"> zaproponowano wydłużenie terminów w przypadku postępowania obejmującego tylko część wstępną - ze względu na małą liczbę wniosków dotyczących postępowań obejmujących tyko część wstępną (2024 r. - 14 wniosków) oraz mając na uwadze kwestie organizacyjne i finansowe uzasadnionym jest aby takie postępowania przeprowadzać dwa razy w roku”. Jednak powyższe uzasadnienie budzi wątpliwości w kontekście zmian proponowanych w art. 1 pkt 47 projektu ustawy, w którym zmiana art. 45e polega na zmianie wyrazów „2 miesiące” na wyrazy „6 miesięcy”. Po tej zmianie przepis będzie miał brzmienie: „ Postępowanie kwalifikacyjne w sprawie nadania uprawnień zawodowych trwa nie dłużej niż 4 miesiące od dnia jego wszczęcia, a w przypadku postępowania obejmującego tylko część wstępną - nie dłużej niż 6 miesięcy.”. Powyższa wątpliwość wymaga co najmniej wyjaśnienia.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C0C057F"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31EF246C" w14:textId="77777777" w:rsidR="00E91C94" w:rsidRPr="00E91C94" w:rsidRDefault="00E91C94" w:rsidP="00E91C94">
            <w:pPr>
              <w:pStyle w:val="Inne0"/>
              <w:spacing w:before="120" w:after="120"/>
              <w:ind w:left="131" w:right="138"/>
              <w:rPr>
                <w:rFonts w:ascii="Lato" w:eastAsia="Arial" w:hAnsi="Lato" w:cs="Arial"/>
                <w:sz w:val="18"/>
                <w:szCs w:val="18"/>
              </w:rPr>
            </w:pPr>
            <w:r w:rsidRPr="00E91C94">
              <w:rPr>
                <w:rFonts w:ascii="Lato" w:eastAsia="Arial" w:hAnsi="Lato" w:cs="Arial"/>
                <w:sz w:val="18"/>
                <w:szCs w:val="18"/>
              </w:rPr>
              <w:t>Postępowanie kwalifikacyjne w sprawie nadania uprawnień zawodowych w dziedzinie geodezji i kartografii prowadzi Komisja kwalifikacyjna. Do przeprowadzenia danego postępowania kwalifikacyjnego Główny Geodeta Kraju powołuje Zespół kwalifikacyjny spośród członków tej Komisji. W przypadku postępowań obejmujących tylko część wstępną zespół ten składa się z 3 osób. Powołany Zespół kwalifikacyjny w trakcie posiedzenia przeprowadza weryfikację dokumentacji złożonej przez osoby ubiegające się o nadanie uprawnień zawodowych.</w:t>
            </w:r>
          </w:p>
          <w:p w14:paraId="622C74DE" w14:textId="3F956565" w:rsidR="00E91C94" w:rsidRPr="00E91C94" w:rsidRDefault="00E91C94" w:rsidP="00E91C94">
            <w:pPr>
              <w:pStyle w:val="Inne0"/>
              <w:spacing w:before="120" w:after="120"/>
              <w:ind w:left="131" w:right="138"/>
              <w:rPr>
                <w:rFonts w:ascii="Lato" w:eastAsia="Arial" w:hAnsi="Lato" w:cs="Arial"/>
                <w:sz w:val="18"/>
                <w:szCs w:val="18"/>
              </w:rPr>
            </w:pPr>
            <w:r w:rsidRPr="00E91C94">
              <w:rPr>
                <w:rFonts w:ascii="Lato" w:eastAsia="Arial" w:hAnsi="Lato" w:cs="Arial"/>
                <w:sz w:val="18"/>
                <w:szCs w:val="18"/>
              </w:rPr>
              <w:t>Ze względu na niewielką liczbę wniosków dotyczących postępowań obejmujących tyko część wstępną (2024 r. – 14 wniosków), zdarza się, że dochowanie ustawowego terminu (2-msc) wymaga powołania Zespołu kwalifikacyjnego do przeprowadzenia postępowania dla jednego wniosku. Biorąc pod uwagę ekonomikę postępowania zasadnym jest, żeby dany Zespół kwalifikacyjny w tracie jednego posiedzenia rozpatrywał większą liczbę wniosków.</w:t>
            </w:r>
          </w:p>
          <w:p w14:paraId="463B82F2" w14:textId="70349301" w:rsidR="00E91C94" w:rsidRPr="00E91C94" w:rsidRDefault="00E91C94" w:rsidP="00E91C94">
            <w:pPr>
              <w:pStyle w:val="Inne0"/>
              <w:spacing w:before="120" w:after="120"/>
              <w:ind w:left="131" w:right="138"/>
              <w:rPr>
                <w:rFonts w:ascii="Lato" w:eastAsia="Arial" w:hAnsi="Lato" w:cs="Arial"/>
                <w:sz w:val="18"/>
                <w:szCs w:val="18"/>
              </w:rPr>
            </w:pPr>
            <w:r w:rsidRPr="00E91C94">
              <w:rPr>
                <w:rFonts w:ascii="Lato" w:eastAsia="Arial" w:hAnsi="Lato" w:cs="Arial"/>
                <w:sz w:val="18"/>
                <w:szCs w:val="18"/>
              </w:rPr>
              <w:t xml:space="preserve">Istotna jest również kwestia finansowa przeprowadzania takich postępowań, którą obrazuje poniższa kalkulacja*: </w:t>
            </w:r>
          </w:p>
          <w:tbl>
            <w:tblPr>
              <w:tblStyle w:val="Tabela-Siatka"/>
              <w:tblW w:w="0" w:type="auto"/>
              <w:tblInd w:w="117" w:type="dxa"/>
              <w:tblLayout w:type="fixed"/>
              <w:tblLook w:val="04A0" w:firstRow="1" w:lastRow="0" w:firstColumn="1" w:lastColumn="0" w:noHBand="0" w:noVBand="1"/>
            </w:tblPr>
            <w:tblGrid>
              <w:gridCol w:w="1773"/>
              <w:gridCol w:w="1037"/>
              <w:gridCol w:w="1701"/>
            </w:tblGrid>
            <w:tr w:rsidR="00E91C94" w:rsidRPr="00E91C94" w14:paraId="18D49978" w14:textId="77777777" w:rsidTr="00E91C94">
              <w:trPr>
                <w:trHeight w:val="300"/>
              </w:trPr>
              <w:tc>
                <w:tcPr>
                  <w:tcW w:w="1773" w:type="dxa"/>
                  <w:tcMar>
                    <w:left w:w="108" w:type="dxa"/>
                    <w:right w:w="108" w:type="dxa"/>
                  </w:tcMar>
                  <w:vAlign w:val="center"/>
                </w:tcPr>
                <w:p w14:paraId="2BEF8785"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Liczba wniosków</w:t>
                  </w:r>
                </w:p>
              </w:tc>
              <w:tc>
                <w:tcPr>
                  <w:tcW w:w="1037" w:type="dxa"/>
                  <w:tcMar>
                    <w:left w:w="108" w:type="dxa"/>
                    <w:right w:w="108" w:type="dxa"/>
                  </w:tcMar>
                  <w:vAlign w:val="center"/>
                </w:tcPr>
                <w:p w14:paraId="1F2ED1A9"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Wpływy z opłat</w:t>
                  </w:r>
                </w:p>
              </w:tc>
              <w:tc>
                <w:tcPr>
                  <w:tcW w:w="1701" w:type="dxa"/>
                  <w:tcMar>
                    <w:left w:w="108" w:type="dxa"/>
                    <w:right w:w="108" w:type="dxa"/>
                  </w:tcMar>
                  <w:vAlign w:val="center"/>
                </w:tcPr>
                <w:p w14:paraId="622DF9CA"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Koszty związane z wynagrodzeniem Komisji)</w:t>
                  </w:r>
                </w:p>
              </w:tc>
            </w:tr>
            <w:tr w:rsidR="00E91C94" w:rsidRPr="00E91C94" w14:paraId="391F2410" w14:textId="77777777" w:rsidTr="00E91C94">
              <w:trPr>
                <w:trHeight w:val="300"/>
              </w:trPr>
              <w:tc>
                <w:tcPr>
                  <w:tcW w:w="1773" w:type="dxa"/>
                  <w:tcMar>
                    <w:left w:w="108" w:type="dxa"/>
                    <w:right w:w="108" w:type="dxa"/>
                  </w:tcMar>
                  <w:vAlign w:val="center"/>
                </w:tcPr>
                <w:p w14:paraId="2F105754"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1 wniosek</w:t>
                  </w:r>
                </w:p>
              </w:tc>
              <w:tc>
                <w:tcPr>
                  <w:tcW w:w="1037" w:type="dxa"/>
                  <w:tcMar>
                    <w:left w:w="108" w:type="dxa"/>
                    <w:right w:w="108" w:type="dxa"/>
                  </w:tcMar>
                  <w:vAlign w:val="center"/>
                </w:tcPr>
                <w:p w14:paraId="20F2F6FA"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268 zł</w:t>
                  </w:r>
                </w:p>
              </w:tc>
              <w:tc>
                <w:tcPr>
                  <w:tcW w:w="1701" w:type="dxa"/>
                  <w:tcMar>
                    <w:left w:w="108" w:type="dxa"/>
                    <w:right w:w="108" w:type="dxa"/>
                  </w:tcMar>
                  <w:vAlign w:val="center"/>
                </w:tcPr>
                <w:p w14:paraId="23F996E9"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540 zł</w:t>
                  </w:r>
                </w:p>
              </w:tc>
            </w:tr>
            <w:tr w:rsidR="00E91C94" w:rsidRPr="00E91C94" w14:paraId="0106C9FF" w14:textId="77777777" w:rsidTr="00E91C94">
              <w:trPr>
                <w:trHeight w:val="300"/>
              </w:trPr>
              <w:tc>
                <w:tcPr>
                  <w:tcW w:w="1773" w:type="dxa"/>
                  <w:tcMar>
                    <w:left w:w="108" w:type="dxa"/>
                    <w:right w:w="108" w:type="dxa"/>
                  </w:tcMar>
                  <w:vAlign w:val="center"/>
                </w:tcPr>
                <w:p w14:paraId="7AB75539"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2 wnioski</w:t>
                  </w:r>
                </w:p>
              </w:tc>
              <w:tc>
                <w:tcPr>
                  <w:tcW w:w="1037" w:type="dxa"/>
                  <w:tcMar>
                    <w:left w:w="108" w:type="dxa"/>
                    <w:right w:w="108" w:type="dxa"/>
                  </w:tcMar>
                  <w:vAlign w:val="center"/>
                </w:tcPr>
                <w:p w14:paraId="664D5C9F"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536 zł</w:t>
                  </w:r>
                </w:p>
              </w:tc>
              <w:tc>
                <w:tcPr>
                  <w:tcW w:w="1701" w:type="dxa"/>
                  <w:tcMar>
                    <w:left w:w="108" w:type="dxa"/>
                    <w:right w:w="108" w:type="dxa"/>
                  </w:tcMar>
                  <w:vAlign w:val="center"/>
                </w:tcPr>
                <w:p w14:paraId="40E735C6"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540 zł</w:t>
                  </w:r>
                </w:p>
              </w:tc>
            </w:tr>
            <w:tr w:rsidR="00E91C94" w:rsidRPr="00E91C94" w14:paraId="02B4B17C" w14:textId="77777777" w:rsidTr="00E91C94">
              <w:trPr>
                <w:trHeight w:val="300"/>
              </w:trPr>
              <w:tc>
                <w:tcPr>
                  <w:tcW w:w="1773" w:type="dxa"/>
                  <w:tcMar>
                    <w:left w:w="108" w:type="dxa"/>
                    <w:right w:w="108" w:type="dxa"/>
                  </w:tcMar>
                  <w:vAlign w:val="center"/>
                </w:tcPr>
                <w:p w14:paraId="7C7FDFAD"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3 wnioski</w:t>
                  </w:r>
                </w:p>
              </w:tc>
              <w:tc>
                <w:tcPr>
                  <w:tcW w:w="1037" w:type="dxa"/>
                  <w:tcMar>
                    <w:left w:w="108" w:type="dxa"/>
                    <w:right w:w="108" w:type="dxa"/>
                  </w:tcMar>
                  <w:vAlign w:val="center"/>
                </w:tcPr>
                <w:p w14:paraId="50B4D7D9"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804 zł</w:t>
                  </w:r>
                </w:p>
              </w:tc>
              <w:tc>
                <w:tcPr>
                  <w:tcW w:w="1701" w:type="dxa"/>
                  <w:tcMar>
                    <w:left w:w="108" w:type="dxa"/>
                    <w:right w:w="108" w:type="dxa"/>
                  </w:tcMar>
                  <w:vAlign w:val="center"/>
                </w:tcPr>
                <w:p w14:paraId="44C989B5"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601 zł</w:t>
                  </w:r>
                </w:p>
              </w:tc>
            </w:tr>
            <w:tr w:rsidR="00E91C94" w:rsidRPr="00E91C94" w14:paraId="69124F83" w14:textId="77777777" w:rsidTr="00E91C94">
              <w:trPr>
                <w:trHeight w:val="300"/>
              </w:trPr>
              <w:tc>
                <w:tcPr>
                  <w:tcW w:w="1773" w:type="dxa"/>
                  <w:tcMar>
                    <w:left w:w="108" w:type="dxa"/>
                    <w:right w:w="108" w:type="dxa"/>
                  </w:tcMar>
                  <w:vAlign w:val="center"/>
                </w:tcPr>
                <w:p w14:paraId="69099585"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5 wniosków</w:t>
                  </w:r>
                </w:p>
              </w:tc>
              <w:tc>
                <w:tcPr>
                  <w:tcW w:w="1037" w:type="dxa"/>
                  <w:tcMar>
                    <w:left w:w="108" w:type="dxa"/>
                    <w:right w:w="108" w:type="dxa"/>
                  </w:tcMar>
                  <w:vAlign w:val="center"/>
                </w:tcPr>
                <w:p w14:paraId="2FBA075B"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1340 zł</w:t>
                  </w:r>
                </w:p>
              </w:tc>
              <w:tc>
                <w:tcPr>
                  <w:tcW w:w="1701" w:type="dxa"/>
                  <w:tcMar>
                    <w:left w:w="108" w:type="dxa"/>
                    <w:right w:w="108" w:type="dxa"/>
                  </w:tcMar>
                  <w:vAlign w:val="center"/>
                </w:tcPr>
                <w:p w14:paraId="0EB8F817"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1 001 zł</w:t>
                  </w:r>
                </w:p>
              </w:tc>
            </w:tr>
            <w:tr w:rsidR="00E91C94" w:rsidRPr="00E91C94" w14:paraId="7882E78B" w14:textId="77777777" w:rsidTr="00E91C94">
              <w:trPr>
                <w:trHeight w:val="300"/>
              </w:trPr>
              <w:tc>
                <w:tcPr>
                  <w:tcW w:w="1773" w:type="dxa"/>
                  <w:tcMar>
                    <w:left w:w="108" w:type="dxa"/>
                    <w:right w:w="108" w:type="dxa"/>
                  </w:tcMar>
                  <w:vAlign w:val="center"/>
                </w:tcPr>
                <w:p w14:paraId="7E814787"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7 wniosków</w:t>
                  </w:r>
                </w:p>
              </w:tc>
              <w:tc>
                <w:tcPr>
                  <w:tcW w:w="1037" w:type="dxa"/>
                  <w:tcMar>
                    <w:left w:w="108" w:type="dxa"/>
                    <w:right w:w="108" w:type="dxa"/>
                  </w:tcMar>
                  <w:vAlign w:val="center"/>
                </w:tcPr>
                <w:p w14:paraId="40A1F84F"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1876 zł</w:t>
                  </w:r>
                </w:p>
              </w:tc>
              <w:tc>
                <w:tcPr>
                  <w:tcW w:w="1701" w:type="dxa"/>
                  <w:tcMar>
                    <w:left w:w="108" w:type="dxa"/>
                    <w:right w:w="108" w:type="dxa"/>
                  </w:tcMar>
                  <w:vAlign w:val="center"/>
                </w:tcPr>
                <w:p w14:paraId="20BFC8B1" w14:textId="77777777" w:rsidR="00E91C94" w:rsidRPr="00E91C94" w:rsidRDefault="00E91C94" w:rsidP="00E91C94">
                  <w:pPr>
                    <w:spacing w:line="276" w:lineRule="auto"/>
                    <w:rPr>
                      <w:rFonts w:ascii="Lato" w:hAnsi="Lato" w:cs="Arial"/>
                      <w:sz w:val="16"/>
                      <w:szCs w:val="16"/>
                    </w:rPr>
                  </w:pPr>
                  <w:r w:rsidRPr="00E91C94">
                    <w:rPr>
                      <w:rFonts w:ascii="Lato" w:eastAsia="Arial" w:hAnsi="Lato" w:cs="Arial"/>
                      <w:sz w:val="16"/>
                      <w:szCs w:val="16"/>
                    </w:rPr>
                    <w:t>1 402 zł</w:t>
                  </w:r>
                </w:p>
              </w:tc>
            </w:tr>
          </w:tbl>
          <w:p w14:paraId="086BC692" w14:textId="77777777" w:rsidR="00E91C94" w:rsidRPr="00E91C94" w:rsidRDefault="00E91C94" w:rsidP="00E91C94">
            <w:pPr>
              <w:pStyle w:val="Inne0"/>
              <w:spacing w:before="120" w:after="120"/>
              <w:ind w:left="131" w:right="138"/>
              <w:rPr>
                <w:rFonts w:ascii="Lato" w:eastAsia="Arial" w:hAnsi="Lato" w:cs="Arial"/>
                <w:sz w:val="18"/>
                <w:szCs w:val="18"/>
              </w:rPr>
            </w:pPr>
            <w:r w:rsidRPr="00E91C94">
              <w:rPr>
                <w:rFonts w:ascii="Lato" w:eastAsia="Arial" w:hAnsi="Lato" w:cs="Arial"/>
                <w:sz w:val="18"/>
                <w:szCs w:val="18"/>
              </w:rPr>
              <w:t>* kalkulacja wg stawek obowiązujących od 10.02.2026 r.</w:t>
            </w:r>
          </w:p>
          <w:p w14:paraId="02EA574F" w14:textId="4898BF55" w:rsidR="00E91C94" w:rsidRPr="00E91C94" w:rsidRDefault="00E91C94" w:rsidP="00E91C94">
            <w:pPr>
              <w:pStyle w:val="Inne0"/>
              <w:spacing w:before="120" w:after="120"/>
              <w:ind w:left="131" w:right="138"/>
              <w:rPr>
                <w:rFonts w:ascii="Lato" w:eastAsia="Arial" w:hAnsi="Lato" w:cs="Arial"/>
                <w:sz w:val="18"/>
                <w:szCs w:val="18"/>
              </w:rPr>
            </w:pPr>
            <w:r w:rsidRPr="00E91C94">
              <w:rPr>
                <w:rFonts w:ascii="Lato" w:eastAsia="Arial" w:hAnsi="Lato" w:cs="Arial"/>
                <w:sz w:val="18"/>
                <w:szCs w:val="18"/>
              </w:rPr>
              <w:lastRenderedPageBreak/>
              <w:t>Dodatkowo możliwość „zebrania” większej liczby wniosków dla danego Zespołu kwalifikacyjnego będzie miała pozytywny wpływ na merytorykę przeprowadzania takich postępowań, z uwagi na możliwość pogrupowania wniosków wg zakresów uprawnień. Wówczas do Zespołu kwalifikacyjnego będą mogły być wybrane osoby posiadające uprawnienia z jednego zakresu, specjalizujące się w danym rodzaju prac geodezyjnych i kartograficznych. Wybór członków komisji posiadających uprawnienia zawodowe z trzech różnych zakresów uprawnień, których dotyczą postępowania obejmujące tylko część wstępną, jest znacznie ograniczony.</w:t>
            </w:r>
          </w:p>
          <w:p w14:paraId="73241091" w14:textId="77777777" w:rsidR="00E91C94" w:rsidRPr="00E91C94" w:rsidRDefault="00E91C94" w:rsidP="00E91C94">
            <w:pPr>
              <w:pStyle w:val="Inne0"/>
              <w:spacing w:before="120" w:after="120"/>
              <w:ind w:left="131" w:right="138"/>
              <w:rPr>
                <w:rFonts w:ascii="Lato" w:eastAsia="Arial" w:hAnsi="Lato" w:cs="Arial"/>
                <w:sz w:val="18"/>
                <w:szCs w:val="18"/>
              </w:rPr>
            </w:pPr>
            <w:r w:rsidRPr="00E91C94">
              <w:rPr>
                <w:rFonts w:ascii="Lato" w:eastAsia="Arial" w:hAnsi="Lato" w:cs="Arial"/>
                <w:sz w:val="18"/>
                <w:szCs w:val="18"/>
              </w:rPr>
              <w:t>Propozycja zmiany brzmienia przepisu:</w:t>
            </w:r>
          </w:p>
          <w:p w14:paraId="4541BF23" w14:textId="77777777" w:rsidR="00EF1407" w:rsidRPr="00EF1407" w:rsidRDefault="00EF1407" w:rsidP="00EF1407">
            <w:pPr>
              <w:pStyle w:val="Inne0"/>
              <w:spacing w:before="120" w:after="120"/>
              <w:ind w:left="131" w:right="138"/>
              <w:rPr>
                <w:rFonts w:ascii="Lato" w:eastAsia="Arial" w:hAnsi="Lato" w:cs="Arial"/>
                <w:i/>
                <w:iCs/>
                <w:sz w:val="18"/>
                <w:szCs w:val="18"/>
              </w:rPr>
            </w:pPr>
            <w:r w:rsidRPr="00EF1407">
              <w:rPr>
                <w:rFonts w:ascii="Lato" w:eastAsia="Arial" w:hAnsi="Lato" w:cs="Arial"/>
                <w:i/>
                <w:iCs/>
                <w:sz w:val="18"/>
                <w:szCs w:val="18"/>
              </w:rPr>
              <w:t>„Art. 45e. 1. Postępowanie kwalifikacyjne w sprawie nadania uprawnień zawodowych trwa nie dłużej niż 4 miesiące od dnia jego wszczęcia, a w przypadku postępowania obejmującego tylko część wstępną, o którym mowa w art. 44 ust. 3, nie dłużej niż 2 miesiące.</w:t>
            </w:r>
          </w:p>
          <w:p w14:paraId="1B59F6B5" w14:textId="72D512C8" w:rsidR="0015105A" w:rsidRPr="0037774A" w:rsidRDefault="00EF1407" w:rsidP="00EF1407">
            <w:pPr>
              <w:pStyle w:val="Inne0"/>
              <w:shd w:val="clear" w:color="auto" w:fill="auto"/>
              <w:spacing w:before="120" w:after="120"/>
              <w:ind w:left="131" w:right="138"/>
              <w:rPr>
                <w:rFonts w:ascii="Lato" w:eastAsia="Arial" w:hAnsi="Lato" w:cs="Arial"/>
                <w:sz w:val="18"/>
                <w:szCs w:val="18"/>
              </w:rPr>
            </w:pPr>
            <w:r w:rsidRPr="00EF1407">
              <w:rPr>
                <w:rFonts w:ascii="Lato" w:eastAsia="Arial" w:hAnsi="Lato" w:cs="Arial"/>
                <w:i/>
                <w:iCs/>
                <w:sz w:val="18"/>
                <w:szCs w:val="18"/>
              </w:rPr>
              <w:t>2. W przypadku postępowań kwalifikacyjnych obejmujących tylko część wstępną w przypadkach, o których mowa w art. 44a ust. 1 i 3, postępowanie trwa nie dłużej niż 6 miesięcy od dnia jego wszczęcia.”</w:t>
            </w:r>
          </w:p>
        </w:tc>
      </w:tr>
      <w:tr w:rsidR="0015105A" w:rsidRPr="0037774A" w14:paraId="5C42AB57" w14:textId="655A3BB8" w:rsidTr="00A1261B">
        <w:trPr>
          <w:trHeight w:val="20"/>
        </w:trPr>
        <w:tc>
          <w:tcPr>
            <w:tcW w:w="709" w:type="dxa"/>
            <w:tcBorders>
              <w:top w:val="single" w:sz="4" w:space="0" w:color="auto"/>
              <w:left w:val="single" w:sz="4" w:space="0" w:color="auto"/>
              <w:bottom w:val="single" w:sz="4" w:space="0" w:color="auto"/>
            </w:tcBorders>
            <w:shd w:val="clear" w:color="auto" w:fill="FFFFFF"/>
          </w:tcPr>
          <w:p w14:paraId="6C05DBEB"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7D2A528" w14:textId="4947A330"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0B705653" w14:textId="58D4D30F" w:rsidR="0015105A" w:rsidRPr="00716A21" w:rsidRDefault="0015105A" w:rsidP="0015105A">
            <w:pPr>
              <w:pStyle w:val="Inne0"/>
              <w:spacing w:before="120" w:after="120"/>
              <w:ind w:left="132" w:right="139"/>
              <w:rPr>
                <w:rFonts w:ascii="Lato" w:eastAsia="Arial" w:hAnsi="Lato" w:cs="Arial"/>
                <w:sz w:val="18"/>
                <w:szCs w:val="18"/>
              </w:rPr>
            </w:pPr>
            <w:r w:rsidRPr="00716A21">
              <w:rPr>
                <w:rFonts w:ascii="Lato" w:eastAsia="Arial" w:hAnsi="Lato" w:cs="Arial"/>
                <w:sz w:val="18"/>
                <w:szCs w:val="18"/>
              </w:rPr>
              <w:t xml:space="preserve">W art. 1 pkt 72 lit. c i e projektu ustawy w dodawanym pkt 2a w art. 48 ust. 1 zmienianej ustawy, stosownie do projektowanego brzmienia art. 26f ust. 1 pkt 1, do którego występuje odesłanie w tym przepisie, po wyrazach „wykonywanymi pracami” należy dodać wyraz „klasyfikacyjnymi”, natomiast w zmienianym art. 48 ust. 1 pkt 7, w którym występuje odesłanie do art. 42, w związku ze zmianą ww. art. 42, w którym w ust. 2 zostały określone </w:t>
            </w:r>
            <w:r w:rsidRPr="00716A21">
              <w:rPr>
                <w:rFonts w:ascii="Lato" w:eastAsia="Arial" w:hAnsi="Lato" w:cs="Arial"/>
                <w:sz w:val="18"/>
                <w:szCs w:val="18"/>
                <w:u w:val="single"/>
              </w:rPr>
              <w:t>prace geodezyjne zastrzeżone do osobistego wykonywania przez osoby posiadające uprawnienia zawodowe w dziedzinie geodezji i kartografii</w:t>
            </w:r>
            <w:r w:rsidRPr="00716A21">
              <w:rPr>
                <w:rFonts w:ascii="Lato" w:eastAsia="Arial" w:hAnsi="Lato" w:cs="Arial"/>
                <w:sz w:val="18"/>
                <w:szCs w:val="18"/>
              </w:rPr>
              <w:t>, należy doprecyzować odesłanie do art. 42.</w:t>
            </w:r>
          </w:p>
          <w:p w14:paraId="6FAC6C31" w14:textId="77777777" w:rsidR="0015105A" w:rsidRPr="00716A21" w:rsidRDefault="0015105A" w:rsidP="0015105A">
            <w:pPr>
              <w:pStyle w:val="Inne0"/>
              <w:spacing w:before="120" w:after="120"/>
              <w:ind w:left="132" w:right="139"/>
              <w:rPr>
                <w:rFonts w:ascii="Lato" w:eastAsia="Arial" w:hAnsi="Lato" w:cs="Arial"/>
                <w:sz w:val="18"/>
                <w:szCs w:val="18"/>
              </w:rPr>
            </w:pPr>
            <w:r w:rsidRPr="00716A21">
              <w:rPr>
                <w:rFonts w:ascii="Lato" w:eastAsia="Arial" w:hAnsi="Lato" w:cs="Arial"/>
                <w:sz w:val="18"/>
                <w:szCs w:val="18"/>
              </w:rPr>
              <w:t>Z kolei w art. 1 pkt 73 projektu ustawy brzmienie dodawanego ust. 1d w art. 48 zmienianej ustawy należy dostosować do brzmienia art. 12a ust. 1, do którego następuje odesłanie.</w:t>
            </w:r>
          </w:p>
          <w:p w14:paraId="2716C0D5" w14:textId="44BF7CED" w:rsidR="0015105A" w:rsidRPr="0037774A" w:rsidRDefault="0015105A" w:rsidP="0015105A">
            <w:pPr>
              <w:pStyle w:val="Inne0"/>
              <w:shd w:val="clear" w:color="auto" w:fill="auto"/>
              <w:spacing w:before="120" w:after="120"/>
              <w:ind w:left="132" w:right="139"/>
              <w:rPr>
                <w:rFonts w:ascii="Lato" w:eastAsia="Arial" w:hAnsi="Lato" w:cs="Arial"/>
                <w:sz w:val="18"/>
                <w:szCs w:val="18"/>
              </w:rPr>
            </w:pPr>
            <w:r w:rsidRPr="00716A21">
              <w:rPr>
                <w:rFonts w:ascii="Lato" w:eastAsia="Arial" w:hAnsi="Lato" w:cs="Arial"/>
                <w:sz w:val="18"/>
                <w:szCs w:val="18"/>
              </w:rPr>
              <w:t>Powyższe korekty są istotne, ponieważ odnoszą się do brzmienia przepisów karnych, które powinny odzwierciedlać brzmienie przepisu materialnego, do którego odsyłają.</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F061EE"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6059885" w14:textId="77777777" w:rsidR="0015105A" w:rsidRDefault="00003B7A" w:rsidP="00003B7A">
            <w:pPr>
              <w:pStyle w:val="Inne0"/>
              <w:numPr>
                <w:ilvl w:val="0"/>
                <w:numId w:val="50"/>
              </w:numPr>
              <w:shd w:val="clear" w:color="auto" w:fill="auto"/>
              <w:spacing w:before="120" w:after="120"/>
              <w:ind w:right="138"/>
              <w:rPr>
                <w:rFonts w:ascii="Lato" w:eastAsia="Arial" w:hAnsi="Lato" w:cs="Arial"/>
                <w:sz w:val="18"/>
                <w:szCs w:val="18"/>
              </w:rPr>
            </w:pPr>
            <w:r>
              <w:rPr>
                <w:rFonts w:ascii="Lato" w:eastAsia="Arial" w:hAnsi="Lato" w:cs="Arial"/>
                <w:sz w:val="18"/>
                <w:szCs w:val="18"/>
              </w:rPr>
              <w:t xml:space="preserve">Odnośnie dodania w </w:t>
            </w:r>
            <w:r w:rsidRPr="00003B7A">
              <w:rPr>
                <w:rFonts w:ascii="Lato" w:eastAsia="Arial" w:hAnsi="Lato" w:cs="Arial"/>
                <w:sz w:val="18"/>
                <w:szCs w:val="18"/>
              </w:rPr>
              <w:t xml:space="preserve">art. 48 ust. 1 </w:t>
            </w:r>
            <w:r>
              <w:rPr>
                <w:rFonts w:ascii="Lato" w:eastAsia="Arial" w:hAnsi="Lato" w:cs="Arial"/>
                <w:sz w:val="18"/>
                <w:szCs w:val="18"/>
              </w:rPr>
              <w:t xml:space="preserve">w pkt 2a </w:t>
            </w:r>
            <w:r w:rsidRPr="00003B7A">
              <w:rPr>
                <w:rFonts w:ascii="Lato" w:eastAsia="Arial" w:hAnsi="Lato" w:cs="Arial"/>
                <w:sz w:val="18"/>
                <w:szCs w:val="18"/>
              </w:rPr>
              <w:t>ustawy</w:t>
            </w:r>
            <w:r>
              <w:rPr>
                <w:rFonts w:ascii="Lato" w:eastAsia="Arial" w:hAnsi="Lato" w:cs="Arial"/>
                <w:sz w:val="18"/>
                <w:szCs w:val="18"/>
              </w:rPr>
              <w:t xml:space="preserve"> – Prawo geodezyjne i kartograficzne</w:t>
            </w:r>
            <w:r w:rsidRPr="00003B7A">
              <w:rPr>
                <w:rFonts w:ascii="Lato" w:eastAsia="Arial" w:hAnsi="Lato" w:cs="Arial"/>
                <w:sz w:val="18"/>
                <w:szCs w:val="18"/>
              </w:rPr>
              <w:t xml:space="preserve">, </w:t>
            </w:r>
            <w:r>
              <w:rPr>
                <w:rFonts w:ascii="Lato" w:eastAsia="Arial" w:hAnsi="Lato" w:cs="Arial"/>
                <w:sz w:val="18"/>
                <w:szCs w:val="18"/>
              </w:rPr>
              <w:t>jednoznacznego wskazania na końcu zdania, że</w:t>
            </w:r>
            <w:r w:rsidRPr="00003B7A">
              <w:rPr>
                <w:rFonts w:ascii="Lato" w:eastAsia="Arial" w:hAnsi="Lato" w:cs="Arial"/>
                <w:sz w:val="18"/>
                <w:szCs w:val="18"/>
              </w:rPr>
              <w:t xml:space="preserve"> wykonywan</w:t>
            </w:r>
            <w:r>
              <w:rPr>
                <w:rFonts w:ascii="Lato" w:eastAsia="Arial" w:hAnsi="Lato" w:cs="Arial"/>
                <w:sz w:val="18"/>
                <w:szCs w:val="18"/>
              </w:rPr>
              <w:t>e</w:t>
            </w:r>
            <w:r w:rsidRPr="00003B7A">
              <w:rPr>
                <w:rFonts w:ascii="Lato" w:eastAsia="Arial" w:hAnsi="Lato" w:cs="Arial"/>
                <w:sz w:val="18"/>
                <w:szCs w:val="18"/>
              </w:rPr>
              <w:t xml:space="preserve"> prac</w:t>
            </w:r>
            <w:r>
              <w:rPr>
                <w:rFonts w:ascii="Lato" w:eastAsia="Arial" w:hAnsi="Lato" w:cs="Arial"/>
                <w:sz w:val="18"/>
                <w:szCs w:val="18"/>
              </w:rPr>
              <w:t>e</w:t>
            </w:r>
            <w:r w:rsidRPr="00003B7A">
              <w:rPr>
                <w:rFonts w:ascii="Lato" w:eastAsia="Arial" w:hAnsi="Lato" w:cs="Arial"/>
                <w:sz w:val="18"/>
                <w:szCs w:val="18"/>
              </w:rPr>
              <w:t xml:space="preserve"> </w:t>
            </w:r>
            <w:r>
              <w:rPr>
                <w:rFonts w:ascii="Lato" w:eastAsia="Arial" w:hAnsi="Lato" w:cs="Arial"/>
                <w:sz w:val="18"/>
                <w:szCs w:val="18"/>
              </w:rPr>
              <w:t xml:space="preserve">stanowią prace </w:t>
            </w:r>
            <w:r w:rsidRPr="00003B7A">
              <w:rPr>
                <w:rFonts w:ascii="Lato" w:eastAsia="Arial" w:hAnsi="Lato" w:cs="Arial"/>
                <w:sz w:val="18"/>
                <w:szCs w:val="18"/>
              </w:rPr>
              <w:t>klasyfikacyjn</w:t>
            </w:r>
            <w:r>
              <w:rPr>
                <w:rFonts w:ascii="Lato" w:eastAsia="Arial" w:hAnsi="Lato" w:cs="Arial"/>
                <w:sz w:val="18"/>
                <w:szCs w:val="18"/>
              </w:rPr>
              <w:t xml:space="preserve">e, w opinii projektodawcy jest to zmiana nadmiarowa. Z projektowanego przepisu jednoznacznie wynika, że kara dotyczy uniemożliwienia </w:t>
            </w:r>
            <w:r w:rsidRPr="00003B7A">
              <w:rPr>
                <w:rFonts w:ascii="Lato" w:eastAsia="Arial" w:hAnsi="Lato" w:cs="Arial"/>
                <w:sz w:val="18"/>
                <w:szCs w:val="18"/>
              </w:rPr>
              <w:t>osobie wykonującej prace klasyfikacyjne wejście na grunt i dokonanie niezbędnych czynności związanych</w:t>
            </w:r>
            <w:r>
              <w:rPr>
                <w:rFonts w:ascii="Lato" w:eastAsia="Arial" w:hAnsi="Lato" w:cs="Arial"/>
                <w:sz w:val="18"/>
                <w:szCs w:val="18"/>
              </w:rPr>
              <w:t xml:space="preserve"> z tymi pracami. Przepis jest analogiczny do obowiązującego przepisu art. 48 ust. 1 pkt 1</w:t>
            </w:r>
            <w:r w:rsidRPr="00003B7A">
              <w:rPr>
                <w:rFonts w:ascii="Lato" w:eastAsia="Arial" w:hAnsi="Lato" w:cs="Arial"/>
                <w:sz w:val="18"/>
                <w:szCs w:val="18"/>
              </w:rPr>
              <w:t xml:space="preserve"> ustawy</w:t>
            </w:r>
            <w:r>
              <w:rPr>
                <w:rFonts w:ascii="Lato" w:eastAsia="Arial" w:hAnsi="Lato" w:cs="Arial"/>
                <w:sz w:val="18"/>
                <w:szCs w:val="18"/>
              </w:rPr>
              <w:t xml:space="preserve"> – Prawo geodezyjne i kartograficzne dotyczącego prac geodezyjnych i kartograficznych.</w:t>
            </w:r>
          </w:p>
          <w:p w14:paraId="21C84B8D" w14:textId="2298707F" w:rsidR="00003B7A" w:rsidRDefault="00003B7A" w:rsidP="00003B7A">
            <w:pPr>
              <w:pStyle w:val="Inne0"/>
              <w:numPr>
                <w:ilvl w:val="0"/>
                <w:numId w:val="50"/>
              </w:numPr>
              <w:shd w:val="clear" w:color="auto" w:fill="auto"/>
              <w:spacing w:before="120" w:after="120"/>
              <w:ind w:right="138"/>
              <w:rPr>
                <w:rFonts w:ascii="Lato" w:eastAsia="Arial" w:hAnsi="Lato" w:cs="Arial"/>
                <w:sz w:val="18"/>
                <w:szCs w:val="18"/>
              </w:rPr>
            </w:pPr>
            <w:r>
              <w:rPr>
                <w:rFonts w:ascii="Lato" w:eastAsia="Arial" w:hAnsi="Lato" w:cs="Arial"/>
                <w:sz w:val="18"/>
                <w:szCs w:val="18"/>
              </w:rPr>
              <w:t xml:space="preserve">Odnośnie doprecyzowania w </w:t>
            </w:r>
            <w:r w:rsidRPr="00716A21">
              <w:rPr>
                <w:rFonts w:ascii="Lato" w:eastAsia="Arial" w:hAnsi="Lato" w:cs="Arial"/>
                <w:sz w:val="18"/>
                <w:szCs w:val="18"/>
              </w:rPr>
              <w:t>art. 48 ust. 1 pkt 7</w:t>
            </w:r>
            <w:r>
              <w:rPr>
                <w:rFonts w:ascii="Lato" w:eastAsia="Arial" w:hAnsi="Lato" w:cs="Arial"/>
                <w:sz w:val="18"/>
                <w:szCs w:val="18"/>
              </w:rPr>
              <w:t xml:space="preserve"> </w:t>
            </w:r>
            <w:r w:rsidR="00522CF2">
              <w:rPr>
                <w:rFonts w:ascii="Lato" w:eastAsia="Arial" w:hAnsi="Lato" w:cs="Arial"/>
                <w:sz w:val="18"/>
                <w:szCs w:val="18"/>
              </w:rPr>
              <w:t xml:space="preserve">zmienianej </w:t>
            </w:r>
            <w:r>
              <w:rPr>
                <w:rFonts w:ascii="Lato" w:eastAsia="Arial" w:hAnsi="Lato" w:cs="Arial"/>
                <w:sz w:val="18"/>
                <w:szCs w:val="18"/>
              </w:rPr>
              <w:t xml:space="preserve">ustawy odesłania </w:t>
            </w:r>
            <w:r w:rsidRPr="00716A21">
              <w:rPr>
                <w:rFonts w:ascii="Lato" w:eastAsia="Arial" w:hAnsi="Lato" w:cs="Arial"/>
                <w:sz w:val="18"/>
                <w:szCs w:val="18"/>
              </w:rPr>
              <w:t>do art. 42</w:t>
            </w:r>
            <w:r>
              <w:rPr>
                <w:rFonts w:ascii="Lato" w:eastAsia="Arial" w:hAnsi="Lato" w:cs="Arial"/>
                <w:sz w:val="18"/>
                <w:szCs w:val="18"/>
              </w:rPr>
              <w:t xml:space="preserve"> uwaga została uwzględniona.</w:t>
            </w:r>
          </w:p>
          <w:p w14:paraId="51B1E400" w14:textId="40264C46" w:rsidR="00522CF2" w:rsidRPr="00A827B4" w:rsidRDefault="00522CF2" w:rsidP="00A827B4">
            <w:pPr>
              <w:pStyle w:val="Inne0"/>
              <w:numPr>
                <w:ilvl w:val="0"/>
                <w:numId w:val="50"/>
              </w:numPr>
              <w:shd w:val="clear" w:color="auto" w:fill="auto"/>
              <w:spacing w:before="120" w:after="120"/>
              <w:ind w:right="138"/>
              <w:rPr>
                <w:rFonts w:ascii="Lato" w:eastAsia="Arial" w:hAnsi="Lato" w:cs="Arial"/>
                <w:sz w:val="18"/>
                <w:szCs w:val="18"/>
              </w:rPr>
            </w:pPr>
            <w:r w:rsidRPr="00A827B4">
              <w:rPr>
                <w:rFonts w:ascii="Lato" w:eastAsia="Arial" w:hAnsi="Lato" w:cs="Arial"/>
                <w:sz w:val="18"/>
                <w:szCs w:val="18"/>
              </w:rPr>
              <w:t xml:space="preserve">Odnośnie dostosowania projektowanego przepisu art. 48a ust. 1d </w:t>
            </w:r>
            <w:r>
              <w:rPr>
                <w:rFonts w:ascii="Lato" w:eastAsia="Arial" w:hAnsi="Lato" w:cs="Arial"/>
                <w:sz w:val="18"/>
                <w:szCs w:val="18"/>
              </w:rPr>
              <w:t xml:space="preserve">zmienianej </w:t>
            </w:r>
            <w:r w:rsidRPr="00A827B4">
              <w:rPr>
                <w:rFonts w:ascii="Lato" w:eastAsia="Arial" w:hAnsi="Lato" w:cs="Arial"/>
                <w:sz w:val="18"/>
                <w:szCs w:val="18"/>
              </w:rPr>
              <w:t>ustawy do art. 12 ust. 1a tej ustawy – uwaga nie jest zrozumiała. W opinii projektodawcy przepisy są spójne</w:t>
            </w:r>
            <w:r w:rsidR="00A827B4">
              <w:rPr>
                <w:rFonts w:ascii="Lato" w:eastAsia="Arial" w:hAnsi="Lato" w:cs="Arial"/>
                <w:sz w:val="18"/>
                <w:szCs w:val="18"/>
              </w:rPr>
              <w:t xml:space="preserve">, jednak mając na względzie ewentualne wątpliwości RCL dokonano </w:t>
            </w:r>
            <w:r w:rsidR="00A827B4">
              <w:rPr>
                <w:rFonts w:ascii="Lato" w:eastAsia="Arial" w:hAnsi="Lato" w:cs="Arial"/>
                <w:sz w:val="18"/>
                <w:szCs w:val="18"/>
              </w:rPr>
              <w:lastRenderedPageBreak/>
              <w:t xml:space="preserve">zmiany redakcyjnej przepisu art. </w:t>
            </w:r>
            <w:r w:rsidR="00A827B4" w:rsidRPr="00A827B4">
              <w:rPr>
                <w:rFonts w:ascii="Lato" w:eastAsia="Arial" w:hAnsi="Lato" w:cs="Arial"/>
                <w:sz w:val="18"/>
                <w:szCs w:val="18"/>
              </w:rPr>
              <w:t>48a ust. 1d</w:t>
            </w:r>
            <w:r w:rsidR="00A827B4">
              <w:rPr>
                <w:rFonts w:ascii="Lato" w:eastAsia="Arial" w:hAnsi="Lato" w:cs="Arial"/>
                <w:sz w:val="18"/>
                <w:szCs w:val="18"/>
              </w:rPr>
              <w:t>.</w:t>
            </w:r>
          </w:p>
        </w:tc>
      </w:tr>
      <w:tr w:rsidR="0015105A" w:rsidRPr="0037774A" w14:paraId="294301DE" w14:textId="3084ABE4" w:rsidTr="00A1261B">
        <w:trPr>
          <w:trHeight w:val="20"/>
        </w:trPr>
        <w:tc>
          <w:tcPr>
            <w:tcW w:w="709" w:type="dxa"/>
            <w:tcBorders>
              <w:top w:val="single" w:sz="4" w:space="0" w:color="auto"/>
              <w:left w:val="single" w:sz="4" w:space="0" w:color="auto"/>
              <w:bottom w:val="single" w:sz="4" w:space="0" w:color="auto"/>
            </w:tcBorders>
            <w:shd w:val="clear" w:color="auto" w:fill="FFFFFF"/>
          </w:tcPr>
          <w:p w14:paraId="04B40632"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95E5AA0" w14:textId="5C4C37DC"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03C750EB" w14:textId="1724E21A" w:rsidR="0015105A" w:rsidRPr="0037774A" w:rsidRDefault="0015105A" w:rsidP="0015105A">
            <w:pPr>
              <w:pStyle w:val="Teksttreci0"/>
              <w:shd w:val="clear" w:color="auto" w:fill="auto"/>
              <w:spacing w:before="120" w:after="120"/>
              <w:ind w:left="132" w:right="139"/>
              <w:rPr>
                <w:rFonts w:ascii="Lato" w:hAnsi="Lato"/>
                <w:sz w:val="18"/>
                <w:szCs w:val="18"/>
              </w:rPr>
            </w:pPr>
            <w:r w:rsidRPr="00716A21">
              <w:rPr>
                <w:rFonts w:ascii="Lato" w:hAnsi="Lato"/>
                <w:sz w:val="18"/>
                <w:szCs w:val="18"/>
              </w:rPr>
              <w:t>w art. 1 pkt 27 projektu ustawy w dodawanym do zmienianej ustawy art. 26c ust. 4, w celu osiągnięcia jednolitości projektowanych przepisów z brzmieniem przepisów obowiązujących, po wyrazach „uprawnienia zawodowe w dziedzinie geodezji i kartografii” należy dodać wyrazy „w zakresach”</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07801F8"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CC32623" w14:textId="6067E9D9" w:rsidR="0015105A" w:rsidRPr="0037774A" w:rsidRDefault="00A827B4"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15105A" w:rsidRPr="0037774A" w14:paraId="7A574F94" w14:textId="159B0487" w:rsidTr="00A1261B">
        <w:trPr>
          <w:trHeight w:val="20"/>
        </w:trPr>
        <w:tc>
          <w:tcPr>
            <w:tcW w:w="709" w:type="dxa"/>
            <w:tcBorders>
              <w:top w:val="single" w:sz="4" w:space="0" w:color="auto"/>
              <w:left w:val="single" w:sz="4" w:space="0" w:color="auto"/>
              <w:bottom w:val="single" w:sz="4" w:space="0" w:color="auto"/>
            </w:tcBorders>
            <w:shd w:val="clear" w:color="auto" w:fill="FFFFFF"/>
          </w:tcPr>
          <w:p w14:paraId="0AAB6D1B"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D8554E9" w14:textId="7307E170"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2F176003" w14:textId="654A4B61" w:rsidR="0015105A" w:rsidRPr="0037774A" w:rsidRDefault="0015105A" w:rsidP="0015105A">
            <w:pPr>
              <w:pStyle w:val="Teksttreci0"/>
              <w:shd w:val="clear" w:color="auto" w:fill="auto"/>
              <w:spacing w:before="120" w:after="120"/>
              <w:ind w:left="132" w:right="139"/>
              <w:rPr>
                <w:rFonts w:ascii="Lato" w:hAnsi="Lato"/>
                <w:sz w:val="18"/>
                <w:szCs w:val="18"/>
              </w:rPr>
            </w:pPr>
            <w:r w:rsidRPr="00716A21">
              <w:rPr>
                <w:rFonts w:ascii="Lato" w:hAnsi="Lato"/>
                <w:sz w:val="18"/>
                <w:szCs w:val="18"/>
              </w:rPr>
              <w:t>w art. 1 pkt 27 projektu ustawy w dodawanym do zmienianej ustawy art. 26d brak jest przepisu określającego, że osoba ubiegająca się o stwierdzenie posiadania kwalifikacji w zawodzie klasyfikatora gruntów składa wniosek do ministra właściwego do spraw rozwoju wsi, co wymaga uzupełnienia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ECB2630"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77097399" w14:textId="07717F40" w:rsidR="0015105A" w:rsidRPr="0037774A" w:rsidRDefault="00A827B4"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15105A" w:rsidRPr="0037774A" w14:paraId="7582B778" w14:textId="40A4BC81" w:rsidTr="00A1261B">
        <w:trPr>
          <w:trHeight w:val="20"/>
        </w:trPr>
        <w:tc>
          <w:tcPr>
            <w:tcW w:w="709" w:type="dxa"/>
            <w:tcBorders>
              <w:top w:val="single" w:sz="4" w:space="0" w:color="auto"/>
              <w:left w:val="single" w:sz="4" w:space="0" w:color="auto"/>
              <w:bottom w:val="single" w:sz="4" w:space="0" w:color="auto"/>
            </w:tcBorders>
            <w:shd w:val="clear" w:color="auto" w:fill="FFFFFF"/>
          </w:tcPr>
          <w:p w14:paraId="0294DA01"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37C07F2" w14:textId="106082D2"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68498F81" w14:textId="6680E568" w:rsidR="0015105A" w:rsidRPr="0037774A" w:rsidRDefault="0015105A" w:rsidP="0015105A">
            <w:pPr>
              <w:pStyle w:val="Teksttreci0"/>
              <w:shd w:val="clear" w:color="auto" w:fill="auto"/>
              <w:spacing w:before="120" w:after="120"/>
              <w:ind w:left="132" w:right="139"/>
              <w:rPr>
                <w:rFonts w:ascii="Lato" w:eastAsia="Arial" w:hAnsi="Lato" w:cs="Arial"/>
                <w:sz w:val="18"/>
                <w:szCs w:val="18"/>
              </w:rPr>
            </w:pPr>
            <w:r w:rsidRPr="0015105A">
              <w:rPr>
                <w:rFonts w:ascii="Lato" w:eastAsia="Arial" w:hAnsi="Lato" w:cs="Arial"/>
                <w:sz w:val="18"/>
                <w:szCs w:val="18"/>
              </w:rPr>
              <w:t>w art. 1 pkt 32 projektu ustawy w proponowanym brzmieniu art. 28c w ust. 3 należy doprecyzować, wskazując przez odesłanie, o jaki protokół z narady koordynacyjnej wraz z planem sytuacyjnym chodzi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6913285E"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0AE06786" w14:textId="01E26CDA" w:rsidR="0015105A" w:rsidRPr="0037774A" w:rsidRDefault="00A827B4"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niejasna. Należy wskazać, że w projektowanym </w:t>
            </w:r>
            <w:r w:rsidRPr="0015105A">
              <w:rPr>
                <w:rFonts w:ascii="Lato" w:eastAsia="Arial" w:hAnsi="Lato" w:cs="Arial"/>
                <w:sz w:val="18"/>
                <w:szCs w:val="18"/>
              </w:rPr>
              <w:t>art. 28c w ust. 3</w:t>
            </w:r>
            <w:r>
              <w:rPr>
                <w:rFonts w:ascii="Lato" w:eastAsia="Arial" w:hAnsi="Lato" w:cs="Arial"/>
                <w:sz w:val="18"/>
                <w:szCs w:val="18"/>
              </w:rPr>
              <w:t xml:space="preserve"> ustawy – Prawo geodezyjne i kartograficzne jest wskazanie o jakie dokumenty chodzi, cyt.: „</w:t>
            </w:r>
            <w:r w:rsidRPr="00A827B4">
              <w:rPr>
                <w:rFonts w:ascii="Lato" w:eastAsia="Arial" w:hAnsi="Lato" w:cs="Arial"/>
                <w:sz w:val="18"/>
                <w:szCs w:val="18"/>
              </w:rPr>
              <w:t>Protokół z narady koordynacyjnej wraz z planem sytuacyjnym lub ich kopie, o których mowa w ust. 2</w:t>
            </w:r>
            <w:r>
              <w:rPr>
                <w:rFonts w:ascii="Lato" w:eastAsia="Arial" w:hAnsi="Lato" w:cs="Arial"/>
                <w:sz w:val="18"/>
                <w:szCs w:val="18"/>
              </w:rPr>
              <w:t>”. Niemniej jednak w związku ze zidentyfikowanym odesłaniem kaskadowym dokonano zmiany redakcyjnej projektowanego przepisu.</w:t>
            </w:r>
          </w:p>
        </w:tc>
      </w:tr>
      <w:tr w:rsidR="0015105A" w:rsidRPr="0037774A" w14:paraId="2A0671E0" w14:textId="5DF03E2B" w:rsidTr="00A1261B">
        <w:trPr>
          <w:trHeight w:val="20"/>
        </w:trPr>
        <w:tc>
          <w:tcPr>
            <w:tcW w:w="709" w:type="dxa"/>
            <w:tcBorders>
              <w:top w:val="single" w:sz="4" w:space="0" w:color="auto"/>
              <w:left w:val="single" w:sz="4" w:space="0" w:color="auto"/>
              <w:bottom w:val="single" w:sz="4" w:space="0" w:color="auto"/>
            </w:tcBorders>
            <w:shd w:val="clear" w:color="auto" w:fill="FFFFFF"/>
          </w:tcPr>
          <w:p w14:paraId="32C5662A"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9ED1E91" w14:textId="618772F3"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78BA7B30" w14:textId="2602861A" w:rsidR="0015105A" w:rsidRPr="0037774A" w:rsidRDefault="0015105A" w:rsidP="0015105A">
            <w:pPr>
              <w:pStyle w:val="Teksttreci0"/>
              <w:shd w:val="clear" w:color="auto" w:fill="auto"/>
              <w:spacing w:before="120" w:after="120"/>
              <w:ind w:left="132" w:right="139"/>
              <w:rPr>
                <w:rFonts w:ascii="Lato" w:hAnsi="Lato"/>
                <w:sz w:val="18"/>
                <w:szCs w:val="18"/>
              </w:rPr>
            </w:pPr>
            <w:r w:rsidRPr="0015105A">
              <w:rPr>
                <w:rFonts w:ascii="Lato" w:hAnsi="Lato"/>
                <w:sz w:val="18"/>
                <w:szCs w:val="18"/>
              </w:rPr>
              <w:t>w art. 1 pkt 35 projektu ustawy dodawany ust. 3 do art. 40a, zgodnie z którym do udostępnianych materiałów zasobu dołącza się dotyczące ich protokoły z czynności sprawdzających, o których mowa w art. 9 ust. 19, po wyrazie „protokoły” należy dodać wyraz „ustaleń”</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514CA77"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648DE431" w14:textId="55135F3B" w:rsidR="0015105A" w:rsidRPr="0037774A" w:rsidRDefault="00A827B4"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15105A" w:rsidRPr="0037774A" w14:paraId="60A6CE38" w14:textId="32780D35" w:rsidTr="00A1261B">
        <w:trPr>
          <w:trHeight w:val="20"/>
        </w:trPr>
        <w:tc>
          <w:tcPr>
            <w:tcW w:w="709" w:type="dxa"/>
            <w:tcBorders>
              <w:top w:val="single" w:sz="4" w:space="0" w:color="auto"/>
              <w:left w:val="single" w:sz="4" w:space="0" w:color="auto"/>
              <w:bottom w:val="single" w:sz="4" w:space="0" w:color="auto"/>
            </w:tcBorders>
            <w:shd w:val="clear" w:color="auto" w:fill="FFFFFF"/>
          </w:tcPr>
          <w:p w14:paraId="544B6CAD"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C94FB91" w14:textId="2451CB1E"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2A83D7E6" w14:textId="699346E0" w:rsidR="0015105A" w:rsidRPr="0037774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w art. 1 pkt 48 lit. a projektu ustawy w zmienianym art. 45g ust. 5 i 6 w poleceniu nowelizacyjnym powinno być wskazane, że „wyrazy „1-3” zastępuje się wyrazami „2 i 3”</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EFE4D87"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1F082707" w14:textId="77777777" w:rsidR="00A827B4" w:rsidRDefault="00A827B4"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została uwzględniona z modyfikacją. </w:t>
            </w:r>
          </w:p>
          <w:p w14:paraId="429F8930" w14:textId="161F8545" w:rsidR="0015105A" w:rsidRPr="0037774A" w:rsidRDefault="00A827B4"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Należy wyjaśnić, że nie można dokonać wnioskowanej zmiany dokładnie w brzmieniu wskazanym przez RCL, ponieważ w dalszej części przepisów</w:t>
            </w:r>
            <w:r w:rsidRPr="0015105A">
              <w:rPr>
                <w:rFonts w:ascii="Lato" w:eastAsia="Arial" w:hAnsi="Lato" w:cs="Arial"/>
                <w:sz w:val="18"/>
                <w:szCs w:val="18"/>
              </w:rPr>
              <w:t xml:space="preserve"> art. 45g ust. 5 i 6 </w:t>
            </w:r>
            <w:r>
              <w:rPr>
                <w:rFonts w:ascii="Lato" w:eastAsia="Arial" w:hAnsi="Lato" w:cs="Arial"/>
                <w:sz w:val="18"/>
                <w:szCs w:val="18"/>
              </w:rPr>
              <w:t xml:space="preserve">zmienianej ustawy jest kontynuacja wyliczenia kolejnych. W związku z powyższym między wyrazem „2” i „3” musi być przecinek. </w:t>
            </w:r>
          </w:p>
        </w:tc>
      </w:tr>
      <w:tr w:rsidR="0015105A" w:rsidRPr="0037774A" w14:paraId="4F69A371" w14:textId="7D5ED598" w:rsidTr="00A1261B">
        <w:trPr>
          <w:trHeight w:val="20"/>
        </w:trPr>
        <w:tc>
          <w:tcPr>
            <w:tcW w:w="709" w:type="dxa"/>
            <w:tcBorders>
              <w:top w:val="single" w:sz="4" w:space="0" w:color="auto"/>
              <w:left w:val="single" w:sz="4" w:space="0" w:color="auto"/>
              <w:bottom w:val="single" w:sz="4" w:space="0" w:color="auto"/>
            </w:tcBorders>
            <w:shd w:val="clear" w:color="auto" w:fill="FFFFFF"/>
          </w:tcPr>
          <w:p w14:paraId="7A422E08"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7ECD421" w14:textId="70E9F485"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3392CD22" w14:textId="4AA632D2" w:rsidR="0015105A" w:rsidRPr="0037774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w art. 1 pkt 50 lit. f projektu ustawy w dodawanych ust. 7-11 w art. 46a zmienianej ustawy, dotyczących wymierzania kar dyscyplinarnych, należy doprecyzować wyraz „komisja”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1D44E58"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A4235E7" w14:textId="77777777" w:rsidR="00913C4C" w:rsidRDefault="00913C4C" w:rsidP="00913C4C">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została uwzględniona z modyfikacją. </w:t>
            </w:r>
          </w:p>
          <w:p w14:paraId="3A351C49" w14:textId="22C55777" w:rsidR="0015105A" w:rsidRPr="00A82C45" w:rsidRDefault="00913C4C" w:rsidP="0015105A">
            <w:pPr>
              <w:pStyle w:val="Inne0"/>
              <w:shd w:val="clear" w:color="auto" w:fill="auto"/>
              <w:spacing w:before="120" w:after="120"/>
              <w:ind w:left="131" w:right="138"/>
            </w:pPr>
            <w:r w:rsidRPr="00913C4C">
              <w:rPr>
                <w:rFonts w:ascii="Lato" w:eastAsia="Arial" w:hAnsi="Lato" w:cs="Arial"/>
                <w:sz w:val="18"/>
                <w:szCs w:val="18"/>
              </w:rPr>
              <w:t xml:space="preserve">Określenie </w:t>
            </w:r>
            <w:r w:rsidR="00333442">
              <w:rPr>
                <w:rFonts w:ascii="Lato" w:eastAsia="Arial" w:hAnsi="Lato" w:cs="Arial"/>
                <w:sz w:val="18"/>
                <w:szCs w:val="18"/>
              </w:rPr>
              <w:t>„</w:t>
            </w:r>
            <w:r w:rsidRPr="00913C4C">
              <w:rPr>
                <w:rFonts w:ascii="Lato" w:eastAsia="Arial" w:hAnsi="Lato" w:cs="Arial"/>
                <w:sz w:val="18"/>
                <w:szCs w:val="18"/>
              </w:rPr>
              <w:t>komisja</w:t>
            </w:r>
            <w:r w:rsidR="00333442">
              <w:rPr>
                <w:rFonts w:ascii="Lato" w:eastAsia="Arial" w:hAnsi="Lato" w:cs="Arial"/>
                <w:sz w:val="18"/>
                <w:szCs w:val="18"/>
              </w:rPr>
              <w:t>”</w:t>
            </w:r>
            <w:r w:rsidRPr="00913C4C">
              <w:rPr>
                <w:rFonts w:ascii="Lato" w:eastAsia="Arial" w:hAnsi="Lato" w:cs="Arial"/>
                <w:sz w:val="18"/>
                <w:szCs w:val="18"/>
              </w:rPr>
              <w:t xml:space="preserve"> zostało zastąpiona określeniem „organ orzekający</w:t>
            </w:r>
            <w:r w:rsidR="00333442">
              <w:t xml:space="preserve"> </w:t>
            </w:r>
            <w:r w:rsidR="00333442" w:rsidRPr="00333442">
              <w:rPr>
                <w:rFonts w:ascii="Lato" w:eastAsia="Arial" w:hAnsi="Lato" w:cs="Arial"/>
                <w:sz w:val="18"/>
                <w:szCs w:val="18"/>
              </w:rPr>
              <w:t>w sprawach odpowiedzialności dyscyplinarnej</w:t>
            </w:r>
            <w:r w:rsidRPr="00913C4C">
              <w:rPr>
                <w:rFonts w:ascii="Lato" w:eastAsia="Arial" w:hAnsi="Lato" w:cs="Arial"/>
                <w:sz w:val="18"/>
                <w:szCs w:val="18"/>
              </w:rPr>
              <w:t>”.</w:t>
            </w:r>
          </w:p>
        </w:tc>
      </w:tr>
      <w:tr w:rsidR="0015105A" w:rsidRPr="0037774A" w14:paraId="7E66EE13" w14:textId="228ADDEF" w:rsidTr="00A1261B">
        <w:trPr>
          <w:trHeight w:val="20"/>
        </w:trPr>
        <w:tc>
          <w:tcPr>
            <w:tcW w:w="709" w:type="dxa"/>
            <w:tcBorders>
              <w:top w:val="single" w:sz="4" w:space="0" w:color="auto"/>
              <w:left w:val="single" w:sz="4" w:space="0" w:color="auto"/>
              <w:bottom w:val="single" w:sz="4" w:space="0" w:color="auto"/>
            </w:tcBorders>
            <w:shd w:val="clear" w:color="auto" w:fill="FFFFFF"/>
          </w:tcPr>
          <w:p w14:paraId="22AFFD7F"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49CA3A3" w14:textId="5A567C1D"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183E8E64" w14:textId="59F48AFA" w:rsidR="0015105A" w:rsidRPr="0037774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w art. 1 pkt 68 projektu ustawy w dodawanym art. 46u ust. 2a pkt 2, zgodnie z którym do wydatków związanych z postępowaniem dyscyplinarnym należą koszty przejazdów członków komisji, rzecznika i innych osób z powodu czynności postępowania, należy doprecyzować o członków jakiej komisji i jakiego rzecznika chodzi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2E95491"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2EC91BF5" w14:textId="77777777" w:rsidR="0015105A" w:rsidRDefault="00333442"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4470E341" w14:textId="7F86E95E" w:rsidR="00333442" w:rsidRPr="0037774A" w:rsidRDefault="00333442"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Zastosowano określenie „komisje dyscyplinarne”, który to skrót został zdefiniowany w art. 46j ust. 1 ustawy – Prawo geodezyjne i kartograficzne.</w:t>
            </w:r>
          </w:p>
        </w:tc>
      </w:tr>
      <w:tr w:rsidR="0015105A" w:rsidRPr="0037774A" w14:paraId="42612885" w14:textId="39CB0EC1" w:rsidTr="00A1261B">
        <w:trPr>
          <w:trHeight w:val="20"/>
        </w:trPr>
        <w:tc>
          <w:tcPr>
            <w:tcW w:w="709" w:type="dxa"/>
            <w:tcBorders>
              <w:top w:val="single" w:sz="4" w:space="0" w:color="auto"/>
              <w:left w:val="single" w:sz="4" w:space="0" w:color="auto"/>
              <w:bottom w:val="single" w:sz="4" w:space="0" w:color="auto"/>
            </w:tcBorders>
            <w:shd w:val="clear" w:color="auto" w:fill="FFFFFF"/>
          </w:tcPr>
          <w:p w14:paraId="4DC84091"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1661E9A6" w14:textId="42E450A8"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454D3928" w14:textId="57F9DEC6" w:rsidR="0015105A" w:rsidRPr="0037774A" w:rsidRDefault="0015105A" w:rsidP="0015105A">
            <w:pPr>
              <w:pStyle w:val="Inne0"/>
              <w:shd w:val="clear" w:color="auto" w:fill="auto"/>
              <w:spacing w:before="120" w:after="120"/>
              <w:ind w:left="132" w:right="139"/>
              <w:rPr>
                <w:rFonts w:ascii="Lato" w:eastAsia="Arial" w:hAnsi="Lato" w:cs="Arial"/>
                <w:sz w:val="18"/>
                <w:szCs w:val="18"/>
              </w:rPr>
            </w:pPr>
            <w:r w:rsidRPr="0015105A">
              <w:rPr>
                <w:rFonts w:ascii="Lato" w:eastAsia="Arial" w:hAnsi="Lato" w:cs="Arial"/>
                <w:sz w:val="18"/>
                <w:szCs w:val="18"/>
              </w:rPr>
              <w:t>w art. 1 pkt 74 projektu ustawy został dodany art. 49a, zgodnie z którym ilekroć zmieniana ustawa zastrzega termin, do sposobów jego obliczenia przepisy art. 57 Kodeksu postępowania administracyjnego stosuje się odpowiednio. Należy zmienić umiejscowienie tego przepisu, gdyż w zmienianej ustawie od art. 49 zaczynają się przepisy przejściowe i końcowe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E9681AF"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1A756AB" w14:textId="77777777" w:rsidR="0015105A" w:rsidRDefault="00333442"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3E01C94C" w14:textId="3471FD28" w:rsidR="00333442" w:rsidRPr="0037774A" w:rsidRDefault="00333442" w:rsidP="0015105A">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Projektowany przepis został przeniesiony do dodawanego art. 2a ustawy – Prawo geodezyjne i kartograficzne.</w:t>
            </w:r>
          </w:p>
        </w:tc>
      </w:tr>
      <w:tr w:rsidR="0015105A" w:rsidRPr="0037774A" w14:paraId="206FAC95" w14:textId="65943183" w:rsidTr="00A1261B">
        <w:trPr>
          <w:trHeight w:val="20"/>
        </w:trPr>
        <w:tc>
          <w:tcPr>
            <w:tcW w:w="709" w:type="dxa"/>
            <w:tcBorders>
              <w:top w:val="single" w:sz="4" w:space="0" w:color="auto"/>
              <w:left w:val="single" w:sz="4" w:space="0" w:color="auto"/>
              <w:bottom w:val="single" w:sz="4" w:space="0" w:color="auto"/>
            </w:tcBorders>
            <w:shd w:val="clear" w:color="auto" w:fill="FFFFFF"/>
          </w:tcPr>
          <w:p w14:paraId="245C56D3" w14:textId="77777777" w:rsidR="0015105A" w:rsidRPr="0037774A" w:rsidRDefault="0015105A" w:rsidP="0015105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57BB4B2" w14:textId="4BF71AFE" w:rsidR="0015105A" w:rsidRPr="0037774A" w:rsidRDefault="0015105A" w:rsidP="0015105A">
            <w:pPr>
              <w:pStyle w:val="Inne0"/>
              <w:shd w:val="clear" w:color="auto" w:fill="auto"/>
              <w:spacing w:before="120" w:after="120"/>
              <w:ind w:left="140" w:right="132"/>
              <w:rPr>
                <w:rFonts w:ascii="Lato" w:eastAsia="Arial" w:hAnsi="Lato" w:cs="Arial"/>
                <w:sz w:val="18"/>
                <w:szCs w:val="18"/>
              </w:rPr>
            </w:pPr>
            <w:r w:rsidRPr="00070F54">
              <w:rPr>
                <w:rFonts w:ascii="Lato" w:eastAsia="Arial" w:hAnsi="Lato" w:cs="Arial"/>
                <w:sz w:val="18"/>
                <w:szCs w:val="18"/>
              </w:rPr>
              <w:t>Rządowe Centrum Legislacji</w:t>
            </w:r>
          </w:p>
        </w:tc>
        <w:tc>
          <w:tcPr>
            <w:tcW w:w="4536" w:type="dxa"/>
            <w:tcBorders>
              <w:top w:val="single" w:sz="4" w:space="0" w:color="auto"/>
              <w:left w:val="single" w:sz="4" w:space="0" w:color="auto"/>
              <w:bottom w:val="single" w:sz="4" w:space="0" w:color="auto"/>
            </w:tcBorders>
            <w:shd w:val="clear" w:color="auto" w:fill="FFFFFF"/>
          </w:tcPr>
          <w:p w14:paraId="75CFD48C" w14:textId="21306032" w:rsidR="0015105A" w:rsidRPr="0037774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po art. 15 projektu ustawy jest art. 17, co wymaga korekty; jednocześnie zauważa się, że art. 15, stanowiący przepis o utrzymaniu w mocy dotychczasowych przepisów wykonawczych, powinien być umiejscowiony przed przepisem końcowym o wejściu projektowanej ustawy w życie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119EE6E" w14:textId="77777777" w:rsidR="0015105A" w:rsidRPr="0037774A" w:rsidRDefault="0015105A" w:rsidP="0015105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C796CDC" w14:textId="77777777" w:rsidR="00333442" w:rsidRDefault="00333442" w:rsidP="00333442">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p w14:paraId="013C64AE" w14:textId="46E206FA" w:rsidR="0015105A" w:rsidRPr="0037774A" w:rsidRDefault="0015105A" w:rsidP="0015105A">
            <w:pPr>
              <w:pStyle w:val="Inne0"/>
              <w:shd w:val="clear" w:color="auto" w:fill="auto"/>
              <w:spacing w:before="120" w:after="120"/>
              <w:ind w:left="131" w:right="138"/>
              <w:rPr>
                <w:rFonts w:ascii="Lato" w:eastAsia="Arial" w:hAnsi="Lato" w:cs="Arial"/>
                <w:sz w:val="18"/>
                <w:szCs w:val="18"/>
              </w:rPr>
            </w:pPr>
          </w:p>
        </w:tc>
      </w:tr>
      <w:tr w:rsidR="00A1261B" w:rsidRPr="0037774A" w14:paraId="1C42B3C6" w14:textId="04EF24E1" w:rsidTr="00A1261B">
        <w:trPr>
          <w:trHeight w:val="20"/>
        </w:trPr>
        <w:tc>
          <w:tcPr>
            <w:tcW w:w="709" w:type="dxa"/>
            <w:tcBorders>
              <w:top w:val="single" w:sz="4" w:space="0" w:color="auto"/>
              <w:left w:val="single" w:sz="4" w:space="0" w:color="auto"/>
              <w:bottom w:val="single" w:sz="4" w:space="0" w:color="auto"/>
            </w:tcBorders>
            <w:shd w:val="clear" w:color="auto" w:fill="FFFFFF"/>
          </w:tcPr>
          <w:p w14:paraId="773C93C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69FE870B" w14:textId="2FA401BA" w:rsidR="00A1261B" w:rsidRPr="0037774A" w:rsidRDefault="0015105A" w:rsidP="0037774A">
            <w:pPr>
              <w:pStyle w:val="Inne0"/>
              <w:shd w:val="clear" w:color="auto" w:fill="auto"/>
              <w:spacing w:before="120" w:after="120"/>
              <w:ind w:left="140" w:right="132"/>
              <w:rPr>
                <w:rFonts w:ascii="Lato" w:eastAsia="Arial" w:hAnsi="Lato" w:cs="Arial"/>
                <w:sz w:val="18"/>
                <w:szCs w:val="18"/>
              </w:rPr>
            </w:pPr>
            <w:r w:rsidRPr="0015105A">
              <w:rPr>
                <w:rFonts w:ascii="Lato" w:eastAsia="Arial" w:hAnsi="Lato" w:cs="Arial"/>
                <w:sz w:val="18"/>
                <w:szCs w:val="18"/>
              </w:rPr>
              <w:t>Minister - Członek Rady Ministrów</w:t>
            </w:r>
            <w:r>
              <w:rPr>
                <w:rFonts w:ascii="Lato" w:eastAsia="Arial" w:hAnsi="Lato" w:cs="Arial"/>
                <w:sz w:val="18"/>
                <w:szCs w:val="18"/>
              </w:rPr>
              <w:t>,</w:t>
            </w:r>
            <w:r w:rsidRPr="0015105A">
              <w:rPr>
                <w:rFonts w:ascii="Lato" w:eastAsia="Arial" w:hAnsi="Lato" w:cs="Arial"/>
                <w:sz w:val="18"/>
                <w:szCs w:val="18"/>
              </w:rPr>
              <w:t xml:space="preserve"> Koordynator Służb Specjalnych</w:t>
            </w:r>
          </w:p>
        </w:tc>
        <w:tc>
          <w:tcPr>
            <w:tcW w:w="4536" w:type="dxa"/>
            <w:tcBorders>
              <w:top w:val="single" w:sz="4" w:space="0" w:color="auto"/>
              <w:left w:val="single" w:sz="4" w:space="0" w:color="auto"/>
              <w:bottom w:val="single" w:sz="4" w:space="0" w:color="auto"/>
            </w:tcBorders>
            <w:shd w:val="clear" w:color="auto" w:fill="FFFFFF"/>
          </w:tcPr>
          <w:p w14:paraId="0B77FC20" w14:textId="77777777" w:rsidR="0015105A" w:rsidRPr="0015105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 xml:space="preserve">Należy podkreślić, że w mojej ocenie nie ma wątpliwości co do posiadanych przez Głównego Geodetę Kraju uprawnień do dokonywania czynności technicznych na materiałach niejawnych, z których uprawnione podmioty zniosły lub zmieniły klauzulę tajności na podstawie art. 6 ust. 6 ustawy z dnia 5 sierpnia 2010 r. o ochronie informacji niejawnych, bądź na materiałach, które stały się jawne na podstawie art. 86 ust. 3 nieobowiązującej już ustawy z dnia 22 stycznia 1999 r. o ochronie informacji niejawnych (Dz. U. z 1999 r. poz. 95), z uwagi na ustanie z mocy prawa przesłanek do ich ochrony. W związku z powyższym nie ma potrzeby wprowadzania w art. 4 ustawy </w:t>
            </w:r>
            <w:proofErr w:type="spellStart"/>
            <w:r w:rsidRPr="0015105A">
              <w:rPr>
                <w:rFonts w:ascii="Lato" w:eastAsia="Arial" w:hAnsi="Lato" w:cs="Arial"/>
                <w:sz w:val="18"/>
                <w:szCs w:val="18"/>
              </w:rPr>
              <w:t>PGiK</w:t>
            </w:r>
            <w:proofErr w:type="spellEnd"/>
            <w:r w:rsidRPr="0015105A">
              <w:rPr>
                <w:rFonts w:ascii="Lato" w:eastAsia="Arial" w:hAnsi="Lato" w:cs="Arial"/>
                <w:sz w:val="18"/>
                <w:szCs w:val="18"/>
              </w:rPr>
              <w:t xml:space="preserve"> ust. 2e (art. 1 pkt 2 lit. e projektu), który stanowi, że Główny Geodeta Kraju wykonuje czynności określone w art. 6 ust. 6 ustawy z dnia 5 sierpnia 2010 r. o ochronie informacji niejawnych, ponieważ te czynności wynikają wprost z przedmiotowej ustawy.</w:t>
            </w:r>
          </w:p>
          <w:p w14:paraId="15102088" w14:textId="77777777" w:rsidR="0015105A" w:rsidRPr="0015105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 xml:space="preserve">W tym miejscu należy zauważyć, że aktualna wersja projektu ustawy nie przewiduje nadania uprawnień Głównemu Geodecie Kraju do znoszenia lub zmiany </w:t>
            </w:r>
            <w:r w:rsidRPr="0015105A">
              <w:rPr>
                <w:rFonts w:ascii="Lato" w:eastAsia="Arial" w:hAnsi="Lato" w:cs="Arial"/>
                <w:sz w:val="18"/>
                <w:szCs w:val="18"/>
              </w:rPr>
              <w:lastRenderedPageBreak/>
              <w:t>klauzuli tajności z materiałów i zbiorów danych centralnego zasobu geodezyjnego i kartograficznego w przypadku zniesienia podmiotu, który nadał klauzulę tajności oraz braku jego następcy prawnego. W tym kontekście należy zwrócić uwagę na treść art. 6 ust. 7 ustawy z dnia 5 sierpnia 2010 r. o ochronie informacji niejawnych, który jednoznacznie wskazuje podmioty posiadające uprawnienia w zakresie zmiany lub zniesienia klauzuli tajności w przypadku braku następcy prawnego. Główny Geodeta Kraju nie posiada uprawnień do znoszenia lub zmiany klauzuli tajności z dokumentów niejawnych przekazanych do centralnego zasobu geodezyjnego i kartograficznego przez inne podmioty. Dokonanie przez Głównego Geodetę Kraju czynności technicznych związanych ze zmianą lub zniesieniem klauzuli tajności z takich dokumentów może nastąpić jedynie na podstawie stosownych decyzji podmiotów posiadających uprawnienia w tym zakresie. Brak następcy prawnego, a co za tym idzie, także brak uprawnień do zmiany lub zniesienia klauzuli tajności, skutkuje brakiem uprawnienia do dalszych działań Głównego Geodety Kraju w odniesieniu do dokumentów niejawnych, wobec których nie istnieje następca prawny oraz wobec których ustały przesłanki do ich ochrony określone w art. 5 ustawy z dnia 5 sierpnia 2010 r. o ochronie informacji niejawnych.</w:t>
            </w:r>
          </w:p>
          <w:p w14:paraId="26BCD122" w14:textId="77777777" w:rsidR="0015105A" w:rsidRPr="0015105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Mając na uwadze powyższe proponuję wprowadzenie rozwiązania, które rozszerzyłoby uprawnienia Głównego Geodety Kraju w tym zakresie, poprzez nadanie temu organowi uprawnień analogicznych do uprawnień Prezesa Instytutu Pamięci Narodowej - Komisji Ścigania Zbrodni przeciwko Narodowi Polskiemu. Zgodnie bowiem z art. 22 ust. 2 ustawy z dnia 18 grudnia 1998 r. o Instytucie Pamięci Narodowej - Komisji Ścigania Zbrodni przeciwko Narodowi Polskiemu (Dz. U. z 2023 r. poz. 102), w odniesieniu do dokumentów przekazanych do archiwum Instytutu, wobec których nie istnieje następca prawny, Prezesowi przysługują uprawnienia określone w art. 6 ust. 7 ustawy z dnia 5 sierpnia 2010 r. o ochronie informacji niejawnych.</w:t>
            </w:r>
          </w:p>
          <w:p w14:paraId="34AFC305" w14:textId="77777777" w:rsidR="0015105A" w:rsidRPr="0015105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 xml:space="preserve">W związku z powyższym, proponuję wprowadzenie zmiany w art. 4 ustawy </w:t>
            </w:r>
            <w:proofErr w:type="spellStart"/>
            <w:r w:rsidRPr="0015105A">
              <w:rPr>
                <w:rFonts w:ascii="Lato" w:eastAsia="Arial" w:hAnsi="Lato" w:cs="Arial"/>
                <w:sz w:val="18"/>
                <w:szCs w:val="18"/>
              </w:rPr>
              <w:t>PGiK</w:t>
            </w:r>
            <w:proofErr w:type="spellEnd"/>
            <w:r w:rsidRPr="0015105A">
              <w:rPr>
                <w:rFonts w:ascii="Lato" w:eastAsia="Arial" w:hAnsi="Lato" w:cs="Arial"/>
                <w:sz w:val="18"/>
                <w:szCs w:val="18"/>
              </w:rPr>
              <w:t xml:space="preserve"> (art. 1 pkt 2 lit. b projektu) polegającej na nadaniu ust. 2e następującego brzmienia:</w:t>
            </w:r>
          </w:p>
          <w:p w14:paraId="648FA91B" w14:textId="55D95D19" w:rsidR="00A1261B" w:rsidRPr="0037774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lastRenderedPageBreak/>
              <w:t>„2e. W odniesieniu do materiałów i zbiorów danych centralnego zasobu geodezyjnego i kartograficznego, przekazanych przez podmioty zlikwidowane nieposiadające następcy prawnego, Głównemu Geodecie Kraju przysługuję uprawnienia określone w art. 6 ust. 7 ustawy z dnia 5 sierpnia 2010 r. o ochronie informacji niejawnych (Dz. U. z 2025 r. poz. 1209).".</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7657512A"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D264353" w14:textId="77777777" w:rsidR="00333442" w:rsidRDefault="00333442" w:rsidP="0061156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Uwaga została uwzględniona w zakresie </w:t>
            </w:r>
            <w:r w:rsidRPr="0015105A">
              <w:rPr>
                <w:rFonts w:ascii="Lato" w:eastAsia="Arial" w:hAnsi="Lato" w:cs="Arial"/>
                <w:sz w:val="18"/>
                <w:szCs w:val="18"/>
              </w:rPr>
              <w:t>nadani</w:t>
            </w:r>
            <w:r>
              <w:rPr>
                <w:rFonts w:ascii="Lato" w:eastAsia="Arial" w:hAnsi="Lato" w:cs="Arial"/>
                <w:sz w:val="18"/>
                <w:szCs w:val="18"/>
              </w:rPr>
              <w:t>a Głównemu Geodecie Kraju</w:t>
            </w:r>
            <w:r w:rsidRPr="0015105A">
              <w:rPr>
                <w:rFonts w:ascii="Lato" w:eastAsia="Arial" w:hAnsi="Lato" w:cs="Arial"/>
                <w:sz w:val="18"/>
                <w:szCs w:val="18"/>
              </w:rPr>
              <w:t xml:space="preserve"> uprawnień analogicznych do uprawnień Prezesa Instytutu Pamięci Narodowej - Komisji Ścigania Zbrodni przeciwko Narodowi Polskiemu</w:t>
            </w:r>
            <w:r>
              <w:rPr>
                <w:rFonts w:ascii="Lato" w:eastAsia="Arial" w:hAnsi="Lato" w:cs="Arial"/>
                <w:sz w:val="18"/>
                <w:szCs w:val="18"/>
              </w:rPr>
              <w:t>.</w:t>
            </w:r>
          </w:p>
          <w:p w14:paraId="65669205" w14:textId="5B43456E" w:rsidR="00A1261B" w:rsidRPr="0037774A" w:rsidRDefault="00333442" w:rsidP="00611566">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 xml:space="preserve">Odnośnie usunięcia z art. 4 ust. 2e </w:t>
            </w:r>
            <w:r w:rsidR="003F2E7C">
              <w:rPr>
                <w:rFonts w:ascii="Lato" w:eastAsia="Arial" w:hAnsi="Lato" w:cs="Arial"/>
                <w:sz w:val="18"/>
                <w:szCs w:val="18"/>
              </w:rPr>
              <w:t xml:space="preserve">ustawy – Prawo geodezyjne i kartograficzne </w:t>
            </w:r>
            <w:r>
              <w:rPr>
                <w:rFonts w:ascii="Lato" w:eastAsia="Arial" w:hAnsi="Lato" w:cs="Arial"/>
                <w:sz w:val="18"/>
                <w:szCs w:val="18"/>
              </w:rPr>
              <w:t xml:space="preserve">przepisu stanowiącego, że </w:t>
            </w:r>
            <w:r w:rsidRPr="00333442">
              <w:rPr>
                <w:rFonts w:ascii="Lato" w:eastAsia="Arial" w:hAnsi="Lato" w:cs="Arial"/>
                <w:sz w:val="18"/>
                <w:szCs w:val="18"/>
              </w:rPr>
              <w:t>Główny Geodeta Kraju wykonuje czynności określone w art. 6 ust. 6 ustawy z dnia 5 sierpnia 2010 r. o ochronie informacji niejawnych</w:t>
            </w:r>
            <w:r>
              <w:rPr>
                <w:rFonts w:ascii="Lato" w:eastAsia="Arial" w:hAnsi="Lato" w:cs="Arial"/>
                <w:sz w:val="18"/>
                <w:szCs w:val="18"/>
              </w:rPr>
              <w:t xml:space="preserve"> – należy wyjaśnić, że przepis ten został wprowadzony do projektu ustawy na wniosek Głównego Geodety Kraju, który podnosił problemy ze stosowaniem ww. przepisów. Mając na względzie powyższe pozostawiono w projekcie ustawy przedmiotowe regulacje.</w:t>
            </w:r>
          </w:p>
        </w:tc>
      </w:tr>
      <w:tr w:rsidR="00A1261B" w:rsidRPr="0037774A" w14:paraId="52499F63" w14:textId="2AFCBDB1" w:rsidTr="00A1261B">
        <w:trPr>
          <w:trHeight w:val="20"/>
        </w:trPr>
        <w:tc>
          <w:tcPr>
            <w:tcW w:w="709" w:type="dxa"/>
            <w:tcBorders>
              <w:top w:val="single" w:sz="4" w:space="0" w:color="auto"/>
              <w:left w:val="single" w:sz="4" w:space="0" w:color="auto"/>
              <w:bottom w:val="single" w:sz="4" w:space="0" w:color="auto"/>
            </w:tcBorders>
            <w:shd w:val="clear" w:color="auto" w:fill="FFFFFF"/>
          </w:tcPr>
          <w:p w14:paraId="45F7825B"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350A537" w14:textId="3E077CA2" w:rsidR="00A1261B" w:rsidRPr="0037774A" w:rsidRDefault="00BD21D3" w:rsidP="0037774A">
            <w:pPr>
              <w:pStyle w:val="Inne0"/>
              <w:shd w:val="clear" w:color="auto" w:fill="auto"/>
              <w:spacing w:before="120" w:after="120"/>
              <w:ind w:left="140" w:right="132"/>
              <w:rPr>
                <w:rFonts w:ascii="Lato" w:eastAsia="Arial" w:hAnsi="Lato" w:cs="Arial"/>
                <w:sz w:val="18"/>
                <w:szCs w:val="18"/>
              </w:rPr>
            </w:pPr>
            <w:r w:rsidRPr="0015105A">
              <w:rPr>
                <w:rFonts w:ascii="Lato" w:eastAsia="Arial" w:hAnsi="Lato" w:cs="Arial"/>
                <w:sz w:val="18"/>
                <w:szCs w:val="18"/>
              </w:rPr>
              <w:t>Minister - Członek Rady Ministrów</w:t>
            </w:r>
            <w:r>
              <w:rPr>
                <w:rFonts w:ascii="Lato" w:eastAsia="Arial" w:hAnsi="Lato" w:cs="Arial"/>
                <w:sz w:val="18"/>
                <w:szCs w:val="18"/>
              </w:rPr>
              <w:t>,</w:t>
            </w:r>
            <w:r w:rsidRPr="0015105A">
              <w:rPr>
                <w:rFonts w:ascii="Lato" w:eastAsia="Arial" w:hAnsi="Lato" w:cs="Arial"/>
                <w:sz w:val="18"/>
                <w:szCs w:val="18"/>
              </w:rPr>
              <w:t xml:space="preserve"> Koordynator Służb Specjalnych</w:t>
            </w:r>
          </w:p>
        </w:tc>
        <w:tc>
          <w:tcPr>
            <w:tcW w:w="4536" w:type="dxa"/>
            <w:tcBorders>
              <w:top w:val="single" w:sz="4" w:space="0" w:color="auto"/>
              <w:left w:val="single" w:sz="4" w:space="0" w:color="auto"/>
              <w:bottom w:val="single" w:sz="4" w:space="0" w:color="auto"/>
            </w:tcBorders>
            <w:shd w:val="clear" w:color="auto" w:fill="FFFFFF"/>
          </w:tcPr>
          <w:p w14:paraId="65231F60" w14:textId="77777777" w:rsidR="0015105A" w:rsidRPr="0015105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 xml:space="preserve">Ponadto zaznaczyć należy, że pomimo dokonanych przez projektodawcę zmian projektu, wątpliwości budzi propozycja zawarta w art. 1 pkt. 3 ustawy </w:t>
            </w:r>
            <w:proofErr w:type="spellStart"/>
            <w:r w:rsidRPr="0015105A">
              <w:rPr>
                <w:rFonts w:ascii="Lato" w:eastAsia="Arial" w:hAnsi="Lato" w:cs="Arial"/>
                <w:sz w:val="18"/>
                <w:szCs w:val="18"/>
              </w:rPr>
              <w:t>PGiK</w:t>
            </w:r>
            <w:proofErr w:type="spellEnd"/>
            <w:r w:rsidRPr="0015105A">
              <w:rPr>
                <w:rFonts w:ascii="Lato" w:eastAsia="Arial" w:hAnsi="Lato" w:cs="Arial"/>
                <w:sz w:val="18"/>
                <w:szCs w:val="18"/>
              </w:rPr>
              <w:t xml:space="preserve">, ustanawiająca Ministra Obrony Narodowej organem właściwym w sprawach wydawania decyzji dotyczącej wprowadzenia i znoszenia ograniczenia w upublicznieniu danych i </w:t>
            </w:r>
            <w:r w:rsidRPr="00D21907">
              <w:rPr>
                <w:rFonts w:ascii="Lato" w:eastAsia="Arial" w:hAnsi="Lato" w:cs="Arial"/>
                <w:sz w:val="18"/>
                <w:szCs w:val="18"/>
              </w:rPr>
              <w:t>materiałów dostępnych za pomocą usług sieciowych oraz portalach internetowych, w odniesieniu do terenów zamkniętych ABW, CBA i AW. W związku z powyższym, ponownego rozważenia wymaga, czy właściwe jest przyjęcie rozwiązania, zgodnie z którym w sprawach ABW, CBA oraz AW decyzję będzie podejmował Minister Obrony Narodowej, któremu te służby nie podlegają. Wydaje się, że odpowiednio Szef ABW, Szef CBA oraz Szef</w:t>
            </w:r>
            <w:r w:rsidRPr="0015105A">
              <w:rPr>
                <w:rFonts w:ascii="Lato" w:eastAsia="Arial" w:hAnsi="Lato" w:cs="Arial"/>
                <w:sz w:val="18"/>
                <w:szCs w:val="18"/>
              </w:rPr>
              <w:t xml:space="preserve"> AW jako organy podległe Prezesowi Rady Ministrów oraz Ministrowi Koordynatorowi Służb Specjalnych nie powinny być uzależnione od decyzji Ministra Obrony Narodowej; jak wskazywano w poprzednim stanowisku, w odniesieniu do terenów zamkniętych ABW, CBA oraz AW zadania te powinien wykonywać Główny Geodeta Kraju.</w:t>
            </w:r>
          </w:p>
          <w:p w14:paraId="07DF05C0" w14:textId="04792ACC" w:rsidR="00A1261B" w:rsidRPr="0037774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 xml:space="preserve">Co więcej, aktualnie zaproponowane w projekcie rozwiązania są zbyt ogólne, gdyż pomijają konieczność uwzględnienia przesłanek determinujących wydanie lub odmowę wydania przez Ministra Obrony Narodowej decyzji ustanawiającej ograniczenie w upublicznianiu w usługach sieciowych oraz portalach internetowych danych dotyczących obiektów lub obszarów wykorzystywanych przez ABW, CBA oraz AW. Istotny jest także brak regulacji dotyczącej zakresu informacji jaki byłby niezbędny do sporządzenia przez Szefa ABW, Szefa CBA oraz Szefa AW wniosku o ograniczenie w upublicznianiu danych dotyczących obiektów lub obszarów wykorzystywanych przez te służby, jak również brak jest rozwiązań dotyczących procedury zniesienia ww. </w:t>
            </w:r>
            <w:r w:rsidRPr="0015105A">
              <w:rPr>
                <w:rFonts w:ascii="Lato" w:eastAsia="Arial" w:hAnsi="Lato" w:cs="Arial"/>
                <w:sz w:val="18"/>
                <w:szCs w:val="18"/>
              </w:rPr>
              <w:lastRenderedPageBreak/>
              <w:t xml:space="preserve">ograniczenia. Proponowane brzmienie art. 4a ust. 4 ustawy </w:t>
            </w:r>
            <w:proofErr w:type="spellStart"/>
            <w:r w:rsidRPr="0015105A">
              <w:rPr>
                <w:rFonts w:ascii="Lato" w:eastAsia="Arial" w:hAnsi="Lato" w:cs="Arial"/>
                <w:sz w:val="18"/>
                <w:szCs w:val="18"/>
              </w:rPr>
              <w:t>PGiK</w:t>
            </w:r>
            <w:proofErr w:type="spellEnd"/>
            <w:r w:rsidRPr="0015105A">
              <w:rPr>
                <w:rFonts w:ascii="Lato" w:eastAsia="Arial" w:hAnsi="Lato" w:cs="Arial"/>
                <w:sz w:val="18"/>
                <w:szCs w:val="18"/>
              </w:rPr>
              <w:t xml:space="preserve"> pozostawia tę kwestię do wyłącznej uznaniowej decyzji Ministra Obrony Narodowej.</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1EC5744"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5E44B33" w14:textId="77777777" w:rsidR="00B34BB9" w:rsidRDefault="003F2E7C" w:rsidP="00611566">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Uwaga została uwzględniona. </w:t>
            </w:r>
          </w:p>
          <w:p w14:paraId="207E4F0F" w14:textId="1F4FA25B" w:rsidR="00A1261B" w:rsidRDefault="003F2E7C" w:rsidP="00611566">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Usunięto z projektu ustawy możliwość nakładania przez Ministra Obrony Narodowej </w:t>
            </w:r>
            <w:r w:rsidRPr="003F2E7C">
              <w:rPr>
                <w:rFonts w:ascii="Lato" w:eastAsia="Arial" w:hAnsi="Lato" w:cs="Arial"/>
                <w:sz w:val="18"/>
                <w:szCs w:val="18"/>
              </w:rPr>
              <w:t>ogranicze</w:t>
            </w:r>
            <w:r>
              <w:rPr>
                <w:rFonts w:ascii="Lato" w:eastAsia="Arial" w:hAnsi="Lato" w:cs="Arial"/>
                <w:sz w:val="18"/>
                <w:szCs w:val="18"/>
              </w:rPr>
              <w:t>ń</w:t>
            </w:r>
            <w:r w:rsidRPr="003F2E7C">
              <w:rPr>
                <w:rFonts w:ascii="Lato" w:eastAsia="Arial" w:hAnsi="Lato" w:cs="Arial"/>
                <w:sz w:val="18"/>
                <w:szCs w:val="18"/>
              </w:rPr>
              <w:t xml:space="preserve"> w upublicznianiu danych dotyczących obiektów lub obszarów</w:t>
            </w:r>
            <w:r>
              <w:rPr>
                <w:rFonts w:ascii="Lato" w:eastAsia="Arial" w:hAnsi="Lato" w:cs="Arial"/>
                <w:sz w:val="18"/>
                <w:szCs w:val="18"/>
              </w:rPr>
              <w:t xml:space="preserve"> </w:t>
            </w:r>
            <w:r w:rsidRPr="003F2E7C">
              <w:rPr>
                <w:rFonts w:ascii="Lato" w:eastAsia="Arial" w:hAnsi="Lato" w:cs="Arial"/>
                <w:sz w:val="18"/>
                <w:szCs w:val="18"/>
              </w:rPr>
              <w:t>wykorzystywanych przez podmioty, o których mowa w art. 11 ustawy z dnia 24 maja 2002 r. o Agencji Bezpieczeństwa Wewnętrznego oraz Agencji Wywiadu</w:t>
            </w:r>
            <w:r w:rsidR="00B34BB9">
              <w:rPr>
                <w:rFonts w:ascii="Lato" w:eastAsia="Arial" w:hAnsi="Lato" w:cs="Arial"/>
                <w:sz w:val="18"/>
                <w:szCs w:val="18"/>
              </w:rPr>
              <w:t xml:space="preserve"> i nadano takie uprawnienia szefom właściwych służb specjalnych</w:t>
            </w:r>
            <w:r>
              <w:rPr>
                <w:rFonts w:ascii="Lato" w:eastAsia="Arial" w:hAnsi="Lato" w:cs="Arial"/>
                <w:sz w:val="18"/>
                <w:szCs w:val="18"/>
              </w:rPr>
              <w:t>.</w:t>
            </w:r>
          </w:p>
          <w:p w14:paraId="3D05EACB" w14:textId="216A694A" w:rsidR="003F2E7C" w:rsidRPr="00611566" w:rsidRDefault="003F2E7C" w:rsidP="00611566">
            <w:pPr>
              <w:pStyle w:val="Inne0"/>
              <w:spacing w:before="120" w:after="120"/>
              <w:ind w:left="131" w:right="138"/>
              <w:rPr>
                <w:rFonts w:ascii="Lato" w:eastAsia="Arial" w:hAnsi="Lato" w:cs="Arial"/>
                <w:sz w:val="18"/>
                <w:szCs w:val="18"/>
              </w:rPr>
            </w:pPr>
          </w:p>
        </w:tc>
      </w:tr>
      <w:tr w:rsidR="00A1261B" w:rsidRPr="0037774A" w14:paraId="76864CC3" w14:textId="270D5021" w:rsidTr="00A1261B">
        <w:trPr>
          <w:trHeight w:val="20"/>
        </w:trPr>
        <w:tc>
          <w:tcPr>
            <w:tcW w:w="709" w:type="dxa"/>
            <w:tcBorders>
              <w:top w:val="single" w:sz="4" w:space="0" w:color="auto"/>
              <w:left w:val="single" w:sz="4" w:space="0" w:color="auto"/>
              <w:bottom w:val="single" w:sz="4" w:space="0" w:color="auto"/>
            </w:tcBorders>
            <w:shd w:val="clear" w:color="auto" w:fill="FFFFFF"/>
          </w:tcPr>
          <w:p w14:paraId="62B9B198"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08DEEEA9" w14:textId="40452CB1" w:rsidR="00A1261B" w:rsidRPr="0037774A" w:rsidRDefault="00BD21D3" w:rsidP="0037774A">
            <w:pPr>
              <w:pStyle w:val="Inne0"/>
              <w:shd w:val="clear" w:color="auto" w:fill="auto"/>
              <w:spacing w:before="120" w:after="120"/>
              <w:ind w:left="140" w:right="132"/>
              <w:rPr>
                <w:rFonts w:ascii="Lato" w:eastAsia="Arial" w:hAnsi="Lato" w:cs="Arial"/>
                <w:sz w:val="18"/>
                <w:szCs w:val="18"/>
              </w:rPr>
            </w:pPr>
            <w:r w:rsidRPr="0015105A">
              <w:rPr>
                <w:rFonts w:ascii="Lato" w:eastAsia="Arial" w:hAnsi="Lato" w:cs="Arial"/>
                <w:sz w:val="18"/>
                <w:szCs w:val="18"/>
              </w:rPr>
              <w:t>Minister - Członek Rady Ministrów</w:t>
            </w:r>
            <w:r>
              <w:rPr>
                <w:rFonts w:ascii="Lato" w:eastAsia="Arial" w:hAnsi="Lato" w:cs="Arial"/>
                <w:sz w:val="18"/>
                <w:szCs w:val="18"/>
              </w:rPr>
              <w:t>,</w:t>
            </w:r>
            <w:r w:rsidRPr="0015105A">
              <w:rPr>
                <w:rFonts w:ascii="Lato" w:eastAsia="Arial" w:hAnsi="Lato" w:cs="Arial"/>
                <w:sz w:val="18"/>
                <w:szCs w:val="18"/>
              </w:rPr>
              <w:t xml:space="preserve"> Koordynator Służb Specjalnych</w:t>
            </w:r>
          </w:p>
        </w:tc>
        <w:tc>
          <w:tcPr>
            <w:tcW w:w="4536" w:type="dxa"/>
            <w:tcBorders>
              <w:top w:val="single" w:sz="4" w:space="0" w:color="auto"/>
              <w:left w:val="single" w:sz="4" w:space="0" w:color="auto"/>
              <w:bottom w:val="single" w:sz="4" w:space="0" w:color="auto"/>
            </w:tcBorders>
            <w:shd w:val="clear" w:color="auto" w:fill="FFFFFF"/>
          </w:tcPr>
          <w:p w14:paraId="2E98A831" w14:textId="77777777" w:rsidR="0015105A" w:rsidRPr="0015105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 xml:space="preserve">Mając na uwadze praktyczne doświadczenia służb specjalnych, w szczególności ABW, związane z wykonywaniem zobrazowań lotniczych, ponownego rozważenia wymaga art. 10 ust. 3 ustawy </w:t>
            </w:r>
            <w:proofErr w:type="spellStart"/>
            <w:r w:rsidRPr="0015105A">
              <w:rPr>
                <w:rFonts w:ascii="Lato" w:eastAsia="Arial" w:hAnsi="Lato" w:cs="Arial"/>
                <w:sz w:val="18"/>
                <w:szCs w:val="18"/>
              </w:rPr>
              <w:t>PGiK</w:t>
            </w:r>
            <w:proofErr w:type="spellEnd"/>
            <w:r w:rsidRPr="0015105A">
              <w:rPr>
                <w:rFonts w:ascii="Lato" w:eastAsia="Arial" w:hAnsi="Lato" w:cs="Arial"/>
                <w:sz w:val="18"/>
                <w:szCs w:val="18"/>
              </w:rPr>
              <w:t xml:space="preserve">. Obecne przepisy przedmiotowej ustawy nie nakładają na wykonawcę takiego zobrazowania obowiązku ustalenia, czy na obszarze, który będzie podlegał zobrazowaniu znajdują się tereny zamknięte zawierające obiekty, o których informacje objęte są klauzulą tajności. Prowadzi to do sytuacji, w której tego rodzaju zlecenia wykonują podmioty nieposiadające odpowiedniej zdolności do ochrony informacji niejawnych potwierdzonej stosownym świadectwem bezpieczeństwa przemysłowego. W związku z powyższym zasadne jest wprowadzenie w ustawie </w:t>
            </w:r>
            <w:proofErr w:type="spellStart"/>
            <w:r w:rsidRPr="0015105A">
              <w:rPr>
                <w:rFonts w:ascii="Lato" w:eastAsia="Arial" w:hAnsi="Lato" w:cs="Arial"/>
                <w:sz w:val="18"/>
                <w:szCs w:val="18"/>
              </w:rPr>
              <w:t>PGiK</w:t>
            </w:r>
            <w:proofErr w:type="spellEnd"/>
            <w:r w:rsidRPr="0015105A">
              <w:rPr>
                <w:rFonts w:ascii="Lato" w:eastAsia="Arial" w:hAnsi="Lato" w:cs="Arial"/>
                <w:sz w:val="18"/>
                <w:szCs w:val="18"/>
              </w:rPr>
              <w:t xml:space="preserve"> rozwiązania, które nałoży na podmiot wszczynający postępowanie o udzielenie zamówienia, o którym mowa w ustawie z 11 września 2019 r. - Prawo zamówień publicznych (Dz. U. z 2024 r. 1320, z </w:t>
            </w:r>
            <w:proofErr w:type="spellStart"/>
            <w:r w:rsidRPr="0015105A">
              <w:rPr>
                <w:rFonts w:ascii="Lato" w:eastAsia="Arial" w:hAnsi="Lato" w:cs="Arial"/>
                <w:sz w:val="18"/>
                <w:szCs w:val="18"/>
              </w:rPr>
              <w:t>późn</w:t>
            </w:r>
            <w:proofErr w:type="spellEnd"/>
            <w:r w:rsidRPr="0015105A">
              <w:rPr>
                <w:rFonts w:ascii="Lato" w:eastAsia="Arial" w:hAnsi="Lato" w:cs="Arial"/>
                <w:sz w:val="18"/>
                <w:szCs w:val="18"/>
              </w:rPr>
              <w:t>. zm.), obowiązku wystąpienia do Głównego Geodety Kraju o przekazanie stosownej informacji. Opisane rozwiązanie pozwoli uniknąć sytuacji, w której zarówno zleceniodawca, jak i zleceniobiorca nie mają wiedzy, czy na terenie wykonywania zobrazowania lotniczego znajdują się tereny zamknięte i jaką klauzulą tajności są objęte.</w:t>
            </w:r>
          </w:p>
          <w:p w14:paraId="317936CB" w14:textId="77777777" w:rsidR="0015105A" w:rsidRPr="0015105A" w:rsidRDefault="0015105A" w:rsidP="0015105A">
            <w:pPr>
              <w:pStyle w:val="Inne0"/>
              <w:spacing w:before="120" w:after="120"/>
              <w:ind w:left="132" w:right="139"/>
              <w:rPr>
                <w:rFonts w:ascii="Lato" w:eastAsia="Arial" w:hAnsi="Lato" w:cs="Arial"/>
                <w:sz w:val="18"/>
                <w:szCs w:val="18"/>
              </w:rPr>
            </w:pPr>
            <w:r w:rsidRPr="0015105A">
              <w:rPr>
                <w:rFonts w:ascii="Lato" w:eastAsia="Arial" w:hAnsi="Lato" w:cs="Arial"/>
                <w:sz w:val="18"/>
                <w:szCs w:val="18"/>
              </w:rPr>
              <w:t xml:space="preserve">W związku z powyższym proponuję nadanie nowego brzmienia art. 10 ust. 3 ustawy </w:t>
            </w:r>
            <w:proofErr w:type="spellStart"/>
            <w:r w:rsidRPr="0015105A">
              <w:rPr>
                <w:rFonts w:ascii="Lato" w:eastAsia="Arial" w:hAnsi="Lato" w:cs="Arial"/>
                <w:sz w:val="18"/>
                <w:szCs w:val="18"/>
              </w:rPr>
              <w:t>PGiK</w:t>
            </w:r>
            <w:proofErr w:type="spellEnd"/>
            <w:r w:rsidRPr="0015105A">
              <w:rPr>
                <w:rFonts w:ascii="Lato" w:eastAsia="Arial" w:hAnsi="Lato" w:cs="Arial"/>
                <w:sz w:val="18"/>
                <w:szCs w:val="18"/>
              </w:rPr>
              <w:t>:</w:t>
            </w:r>
          </w:p>
          <w:p w14:paraId="6B768616" w14:textId="1237DF2B" w:rsidR="00A1261B" w:rsidRPr="0037774A" w:rsidRDefault="0015105A" w:rsidP="0015105A">
            <w:pPr>
              <w:pStyle w:val="Inne0"/>
              <w:shd w:val="clear" w:color="auto" w:fill="auto"/>
              <w:spacing w:before="120" w:after="120"/>
              <w:ind w:left="132" w:right="139"/>
              <w:rPr>
                <w:rFonts w:ascii="Lato" w:eastAsia="Arial" w:hAnsi="Lato" w:cs="Arial"/>
                <w:sz w:val="18"/>
                <w:szCs w:val="18"/>
              </w:rPr>
            </w:pPr>
            <w:r w:rsidRPr="0015105A">
              <w:rPr>
                <w:rFonts w:ascii="Lato" w:eastAsia="Arial" w:hAnsi="Lato" w:cs="Arial"/>
                <w:sz w:val="18"/>
                <w:szCs w:val="18"/>
              </w:rPr>
              <w:t>,,3. Podmiot, który planuje wykonywać dla określonego obszaru zobrazowania lotnicze, w szczególności przed wszczęciem postępowania o udzielenie zamówienia, obowiązany jest do wystąpienia z wnioskiem do Głównego Geodety Kraju o udzielenie informacji, czy w granicach tego obszaru znajdują się tereny zamknięte zawierające obiekty, o których informacje objęte są klauzulą tajności. Główny Geodeta Kraju w terminie 7 dni roboczych od dnia otrzymania wniosku udziela informacji oraz wskazuje tę klauzulę. ”.</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3D02D8C7"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44C7C86C" w14:textId="015F5326" w:rsidR="00A1261B" w:rsidRPr="0037774A" w:rsidRDefault="007E2C66" w:rsidP="00BC743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Uwaga została uwzględniona.</w:t>
            </w:r>
          </w:p>
        </w:tc>
      </w:tr>
      <w:tr w:rsidR="00A1261B" w:rsidRPr="0037774A" w14:paraId="393E7855" w14:textId="3F60A72F" w:rsidTr="008954DE">
        <w:trPr>
          <w:trHeight w:val="20"/>
        </w:trPr>
        <w:tc>
          <w:tcPr>
            <w:tcW w:w="709" w:type="dxa"/>
            <w:tcBorders>
              <w:top w:val="single" w:sz="4" w:space="0" w:color="auto"/>
              <w:left w:val="single" w:sz="4" w:space="0" w:color="auto"/>
              <w:bottom w:val="single" w:sz="4" w:space="0" w:color="auto"/>
            </w:tcBorders>
            <w:shd w:val="clear" w:color="auto" w:fill="FFFFFF"/>
          </w:tcPr>
          <w:p w14:paraId="193BDE09"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8C1C93A" w14:textId="38D053F9" w:rsidR="00A1261B" w:rsidRPr="0037774A" w:rsidRDefault="00BD21D3" w:rsidP="0037774A">
            <w:pPr>
              <w:pStyle w:val="Inne0"/>
              <w:shd w:val="clear" w:color="auto" w:fill="auto"/>
              <w:spacing w:before="120" w:after="120"/>
              <w:ind w:left="140" w:right="132"/>
              <w:rPr>
                <w:rFonts w:ascii="Lato" w:eastAsia="Arial" w:hAnsi="Lato" w:cs="Arial"/>
                <w:sz w:val="18"/>
                <w:szCs w:val="18"/>
              </w:rPr>
            </w:pPr>
            <w:r w:rsidRPr="0015105A">
              <w:rPr>
                <w:rFonts w:ascii="Lato" w:eastAsia="Arial" w:hAnsi="Lato" w:cs="Arial"/>
                <w:sz w:val="18"/>
                <w:szCs w:val="18"/>
              </w:rPr>
              <w:t xml:space="preserve">Minister - Członek Rady </w:t>
            </w:r>
            <w:r w:rsidRPr="0015105A">
              <w:rPr>
                <w:rFonts w:ascii="Lato" w:eastAsia="Arial" w:hAnsi="Lato" w:cs="Arial"/>
                <w:sz w:val="18"/>
                <w:szCs w:val="18"/>
              </w:rPr>
              <w:lastRenderedPageBreak/>
              <w:t>Ministrów</w:t>
            </w:r>
            <w:r>
              <w:rPr>
                <w:rFonts w:ascii="Lato" w:eastAsia="Arial" w:hAnsi="Lato" w:cs="Arial"/>
                <w:sz w:val="18"/>
                <w:szCs w:val="18"/>
              </w:rPr>
              <w:t>,</w:t>
            </w:r>
            <w:r w:rsidRPr="0015105A">
              <w:rPr>
                <w:rFonts w:ascii="Lato" w:eastAsia="Arial" w:hAnsi="Lato" w:cs="Arial"/>
                <w:sz w:val="18"/>
                <w:szCs w:val="18"/>
              </w:rPr>
              <w:t xml:space="preserve"> Koordynator Służb Specjalnych</w:t>
            </w:r>
          </w:p>
        </w:tc>
        <w:tc>
          <w:tcPr>
            <w:tcW w:w="4536" w:type="dxa"/>
            <w:tcBorders>
              <w:top w:val="single" w:sz="4" w:space="0" w:color="auto"/>
              <w:left w:val="single" w:sz="4" w:space="0" w:color="auto"/>
              <w:bottom w:val="single" w:sz="4" w:space="0" w:color="auto"/>
            </w:tcBorders>
            <w:shd w:val="clear" w:color="auto" w:fill="FFFFFF"/>
          </w:tcPr>
          <w:p w14:paraId="23B40945" w14:textId="77777777" w:rsidR="00BC200C" w:rsidRDefault="00BD21D3" w:rsidP="00BC200C">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lastRenderedPageBreak/>
              <w:t xml:space="preserve">Jednocześnie, należy zwrócić uwagę na treść projektowanego art. 4a ust. 1 pkt 3 ustawy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(art. </w:t>
            </w:r>
            <w:r w:rsidRPr="00BD21D3">
              <w:rPr>
                <w:rFonts w:ascii="Lato" w:eastAsia="Arial" w:hAnsi="Lato" w:cs="Arial"/>
                <w:sz w:val="18"/>
                <w:szCs w:val="18"/>
              </w:rPr>
              <w:lastRenderedPageBreak/>
              <w:t xml:space="preserve">1 pkt 3 projektu). W treści tego przepisu jest mowa o podmiotach, o których mowa w art. 11 ustawy z dnia 24 maja 2002 r. o Agencji Bezpieczeństwa Wewnętrznego oraz Agencji Wywiadu (Dz. U. z 2025 r. poz. 902 i 1366). Zasadnicza wątpliwość dotycząca treści projektowanego przepisu polega na tym, że nie jest jasne czy odnosi się on tylko do służb specjalnych (co jest główną treścią art. 11 ustawy o Agencji Bezpieczeństwa Wewnętrznego oraz Agencji Wywiadu), czy wszystkich wymienionych w nim służb. Zauważyć należy, że konstrukcja przepisu polegająca na wyliczeniu służb odpowiedzialnych za bezpieczeństwo państwa została zastosowana w treści projektowanego art. 4a ust. 2 ustawy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i dlatego też zasadne jest, aby przepisy te zostały </w:t>
            </w:r>
            <w:proofErr w:type="spellStart"/>
            <w:r w:rsidRPr="00BD21D3">
              <w:rPr>
                <w:rFonts w:ascii="Lato" w:eastAsia="Arial" w:hAnsi="Lato" w:cs="Arial"/>
                <w:sz w:val="18"/>
                <w:szCs w:val="18"/>
              </w:rPr>
              <w:t>uspójnienie</w:t>
            </w:r>
            <w:proofErr w:type="spellEnd"/>
            <w:r w:rsidRPr="00BD21D3">
              <w:rPr>
                <w:rFonts w:ascii="Lato" w:eastAsia="Arial" w:hAnsi="Lato" w:cs="Arial"/>
                <w:sz w:val="18"/>
                <w:szCs w:val="18"/>
              </w:rPr>
              <w:t xml:space="preserve"> pod względem techniki legislacyjnej. Na marginesie zwracam uwagę, że ścieżka publikatora ww. ustawy powinna otrzymać brzmienie: Dz. U. z 2025 r. poz. 902 i 1366 oraz z 2026 r. poz. 26.</w:t>
            </w:r>
          </w:p>
          <w:p w14:paraId="43BB1A0B" w14:textId="1D977DF6" w:rsidR="00BC200C" w:rsidRPr="00BC200C" w:rsidRDefault="00BC200C" w:rsidP="00BC200C">
            <w:pPr>
              <w:pStyle w:val="Inne0"/>
              <w:spacing w:before="120" w:after="120"/>
              <w:ind w:left="132" w:right="139"/>
              <w:rPr>
                <w:rFonts w:ascii="Lato" w:eastAsia="Arial" w:hAnsi="Lato" w:cs="Arial"/>
                <w:sz w:val="18"/>
                <w:szCs w:val="18"/>
                <w:u w:val="single"/>
              </w:rPr>
            </w:pPr>
            <w:r w:rsidRPr="00BC200C">
              <w:rPr>
                <w:rFonts w:ascii="Lato" w:eastAsia="Arial" w:hAnsi="Lato" w:cs="Arial"/>
                <w:sz w:val="18"/>
                <w:szCs w:val="18"/>
                <w:u w:val="single"/>
              </w:rPr>
              <w:t>Uzupełnienie uwagi:</w:t>
            </w:r>
          </w:p>
          <w:p w14:paraId="138BD8CB" w14:textId="77777777" w:rsidR="00FD061A" w:rsidRPr="00FD061A" w:rsidRDefault="00FD061A" w:rsidP="00FD061A">
            <w:pPr>
              <w:pStyle w:val="Inne0"/>
              <w:spacing w:before="120" w:after="120"/>
              <w:ind w:left="132" w:right="139"/>
              <w:rPr>
                <w:rFonts w:ascii="Lato" w:eastAsia="Arial" w:hAnsi="Lato" w:cs="Arial"/>
                <w:sz w:val="18"/>
                <w:szCs w:val="18"/>
              </w:rPr>
            </w:pPr>
            <w:r w:rsidRPr="00FD061A">
              <w:rPr>
                <w:rFonts w:ascii="Lato" w:eastAsia="Arial" w:hAnsi="Lato" w:cs="Arial"/>
                <w:sz w:val="18"/>
                <w:szCs w:val="18"/>
              </w:rPr>
              <w:t>W ocenie Agencji Bezpieczeństwa Wewnętrznego decyzje dotyczące wprowadzenia i znoszenia ograniczenia w upublicznianiu danych i materiałów dostępnych za pomocą usług sieciowych oraz w portalach internetowych, w odniesieniu do terenów zamkniętych służb specjalnych, szef właściwej służby specjalnej powinien kierować bezpośrednio do Głównego Geodety Kraju.</w:t>
            </w:r>
          </w:p>
          <w:p w14:paraId="770891D3" w14:textId="77777777" w:rsidR="00FD061A" w:rsidRPr="00FD061A" w:rsidRDefault="00FD061A" w:rsidP="00FD061A">
            <w:pPr>
              <w:pStyle w:val="Inne0"/>
              <w:spacing w:before="120" w:after="120"/>
              <w:ind w:left="132" w:right="139"/>
              <w:rPr>
                <w:rFonts w:ascii="Lato" w:eastAsia="Arial" w:hAnsi="Lato" w:cs="Arial"/>
                <w:sz w:val="18"/>
                <w:szCs w:val="18"/>
              </w:rPr>
            </w:pPr>
            <w:r w:rsidRPr="00FD061A">
              <w:rPr>
                <w:rFonts w:ascii="Lato" w:eastAsia="Arial" w:hAnsi="Lato" w:cs="Arial"/>
                <w:sz w:val="18"/>
                <w:szCs w:val="18"/>
              </w:rPr>
              <w:t>Przyjęcie takiego rozwiązania stanowić będzie szybszą i uproszczoną formę przekazywania informacji, a tym samym wpłynie na skrócenie czasu wprowadzania ograniczenia w dostępie do danych oraz zapobiegnie rozpowszechnianiu wykazu terenów zamkniętych służb specjalnych, co w konsekwencji będzie miało pozytywny wpływ na bezpieczeństwo państwa.</w:t>
            </w:r>
          </w:p>
          <w:p w14:paraId="2D517443" w14:textId="1ECF40B1" w:rsidR="00BC200C" w:rsidRPr="0037774A" w:rsidRDefault="00FD061A" w:rsidP="00FD061A">
            <w:pPr>
              <w:pStyle w:val="Inne0"/>
              <w:spacing w:before="120" w:after="120"/>
              <w:ind w:left="132" w:right="139"/>
              <w:rPr>
                <w:rFonts w:ascii="Lato" w:eastAsia="Arial" w:hAnsi="Lato" w:cs="Arial"/>
                <w:sz w:val="18"/>
                <w:szCs w:val="18"/>
              </w:rPr>
            </w:pPr>
            <w:r w:rsidRPr="00FD061A">
              <w:rPr>
                <w:rFonts w:ascii="Lato" w:eastAsia="Arial" w:hAnsi="Lato" w:cs="Arial"/>
                <w:sz w:val="18"/>
                <w:szCs w:val="18"/>
              </w:rPr>
              <w:t xml:space="preserve">Agencja Bezpieczeństwa Wewnętrznego stoi na stanowisku, że w zakresie opracowywanych przepisów w dalszym ciągu należy zachować podział na sferę cywilną, odnoszącą się do właściwości Szefa ABW i szefów pozostałych cywilnych służb specjalnych oraz sferę wojskową nadzorowaną przez Ministra Obrony Narodowej i podległe mu podmioty. Taki podział kompetencji i właściwości wynika m.in. z ustawy z dnia 5 sierpnia 2010 r. o ochronie informacji niejawnych. Obecnie obowiązujące przepisy w </w:t>
            </w:r>
            <w:r w:rsidRPr="00FD061A">
              <w:rPr>
                <w:rFonts w:ascii="Lato" w:eastAsia="Arial" w:hAnsi="Lato" w:cs="Arial"/>
                <w:sz w:val="18"/>
                <w:szCs w:val="18"/>
              </w:rPr>
              <w:lastRenderedPageBreak/>
              <w:t>sposób jednoznaczny wskazują właściwość poszczególnych organów do ustanawiania terenów zamkniętych i status quo uprawnień poszczególnych organów w tym zakresie powinno zostać utrzymane.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A33BCD6" w14:textId="77777777" w:rsidR="00FD061A" w:rsidRPr="00FD061A" w:rsidRDefault="00FD061A" w:rsidP="00FD061A">
            <w:pPr>
              <w:pStyle w:val="Inne0"/>
              <w:spacing w:before="120" w:after="120"/>
              <w:ind w:left="125" w:right="136"/>
              <w:rPr>
                <w:rFonts w:ascii="Lato" w:eastAsia="Arial" w:hAnsi="Lato" w:cs="Arial"/>
                <w:i/>
                <w:iCs/>
                <w:sz w:val="18"/>
                <w:szCs w:val="18"/>
              </w:rPr>
            </w:pPr>
            <w:r w:rsidRPr="00FD061A">
              <w:rPr>
                <w:rFonts w:ascii="Lato" w:eastAsia="Arial" w:hAnsi="Lato" w:cs="Arial"/>
                <w:sz w:val="18"/>
                <w:szCs w:val="18"/>
              </w:rPr>
              <w:lastRenderedPageBreak/>
              <w:t xml:space="preserve">Jednocześnie przesyłam następującą roboczą propozycję przepisu regulującego przedmiotową </w:t>
            </w:r>
            <w:r w:rsidRPr="00FD061A">
              <w:rPr>
                <w:rFonts w:ascii="Lato" w:eastAsia="Arial" w:hAnsi="Lato" w:cs="Arial"/>
                <w:sz w:val="18"/>
                <w:szCs w:val="18"/>
              </w:rPr>
              <w:lastRenderedPageBreak/>
              <w:t>materię:</w:t>
            </w:r>
          </w:p>
          <w:p w14:paraId="71BAB304" w14:textId="64A51B36" w:rsidR="00FD061A" w:rsidRPr="00FD061A" w:rsidRDefault="00FD061A" w:rsidP="00FD061A">
            <w:pPr>
              <w:pStyle w:val="Inne0"/>
              <w:spacing w:before="120" w:after="120"/>
              <w:ind w:left="125" w:right="136"/>
              <w:rPr>
                <w:rFonts w:ascii="Lato" w:eastAsia="Arial" w:hAnsi="Lato" w:cs="Arial"/>
                <w:sz w:val="18"/>
                <w:szCs w:val="18"/>
              </w:rPr>
            </w:pPr>
            <w:r w:rsidRPr="00FD061A">
              <w:rPr>
                <w:rFonts w:ascii="Lato" w:eastAsia="Arial" w:hAnsi="Lato" w:cs="Arial"/>
                <w:i/>
                <w:iCs/>
                <w:sz w:val="18"/>
                <w:szCs w:val="18"/>
              </w:rPr>
              <w:t>,, Art. 4a. 1. Minister Obrony Narodowej, uwzględniając potrzeby obronności i bezpieczeństwa państwa, może nałożyć w drodze decyzji ograniczenia w upublicznianiu w</w:t>
            </w:r>
            <w:r w:rsidRPr="00FD061A">
              <w:rPr>
                <w:rFonts w:ascii="Lato" w:eastAsia="Arial" w:hAnsi="Lato" w:cs="Arial"/>
                <w:sz w:val="18"/>
                <w:szCs w:val="18"/>
              </w:rPr>
              <w:t xml:space="preserve"> </w:t>
            </w:r>
            <w:r w:rsidRPr="00FD061A">
              <w:rPr>
                <w:rFonts w:ascii="Lato" w:eastAsia="Arial" w:hAnsi="Lato" w:cs="Arial"/>
                <w:i/>
                <w:iCs/>
                <w:sz w:val="18"/>
                <w:szCs w:val="18"/>
              </w:rPr>
              <w:t>usługach sieciowych oraz portalach internetowych danych zawartych w bazach danych, o których mowa w art. 4 ust. 1a pkt 3, 8, 11 i 12, dotyczących obiektów lub obszarów:</w:t>
            </w:r>
          </w:p>
          <w:p w14:paraId="22729F29" w14:textId="77777777" w:rsidR="00FD061A" w:rsidRPr="00FD061A" w:rsidRDefault="00FD061A" w:rsidP="00FD061A">
            <w:pPr>
              <w:pStyle w:val="Inne0"/>
              <w:spacing w:before="120" w:after="120"/>
              <w:ind w:left="125" w:right="136"/>
              <w:rPr>
                <w:rFonts w:ascii="Lato" w:eastAsia="Arial" w:hAnsi="Lato" w:cs="Arial"/>
                <w:i/>
                <w:iCs/>
                <w:sz w:val="18"/>
                <w:szCs w:val="18"/>
              </w:rPr>
            </w:pPr>
            <w:r w:rsidRPr="00FD061A">
              <w:rPr>
                <w:rFonts w:ascii="Lato" w:eastAsia="Arial" w:hAnsi="Lato" w:cs="Arial"/>
                <w:i/>
                <w:iCs/>
                <w:sz w:val="18"/>
                <w:szCs w:val="18"/>
              </w:rPr>
              <w:t>1) o których mowa w:</w:t>
            </w:r>
          </w:p>
          <w:p w14:paraId="2250A15E" w14:textId="77777777" w:rsidR="00FD061A" w:rsidRPr="00FD061A" w:rsidRDefault="00FD061A" w:rsidP="00FD061A">
            <w:pPr>
              <w:pStyle w:val="Inne0"/>
              <w:numPr>
                <w:ilvl w:val="0"/>
                <w:numId w:val="51"/>
              </w:numPr>
              <w:spacing w:before="120" w:after="120"/>
              <w:ind w:left="421" w:right="136" w:hanging="296"/>
              <w:rPr>
                <w:rFonts w:ascii="Lato" w:eastAsia="Arial" w:hAnsi="Lato" w:cs="Arial"/>
                <w:i/>
                <w:iCs/>
                <w:sz w:val="18"/>
                <w:szCs w:val="18"/>
              </w:rPr>
            </w:pPr>
            <w:r w:rsidRPr="00FD061A">
              <w:rPr>
                <w:rFonts w:ascii="Lato" w:eastAsia="Arial" w:hAnsi="Lato" w:cs="Arial"/>
                <w:i/>
                <w:iCs/>
                <w:sz w:val="18"/>
                <w:szCs w:val="18"/>
              </w:rPr>
              <w:t>art. 5 ust. 2 pkt 1, 3 i 5 ustawy z dnia 22 sierpnia 1997 r. o ochronie osób i mienia (Dz. U. z 2025 r. poz. 532),</w:t>
            </w:r>
          </w:p>
          <w:p w14:paraId="0A4B52D7" w14:textId="77777777" w:rsidR="00FD061A" w:rsidRPr="00FD061A" w:rsidRDefault="00FD061A" w:rsidP="00FD061A">
            <w:pPr>
              <w:pStyle w:val="Inne0"/>
              <w:numPr>
                <w:ilvl w:val="0"/>
                <w:numId w:val="51"/>
              </w:numPr>
              <w:spacing w:before="120" w:after="120"/>
              <w:ind w:left="421" w:right="136" w:hanging="296"/>
              <w:rPr>
                <w:rFonts w:ascii="Lato" w:eastAsia="Arial" w:hAnsi="Lato" w:cs="Arial"/>
                <w:i/>
                <w:iCs/>
                <w:sz w:val="18"/>
                <w:szCs w:val="18"/>
              </w:rPr>
            </w:pPr>
            <w:r w:rsidRPr="00FD061A">
              <w:rPr>
                <w:rFonts w:ascii="Lato" w:eastAsia="Arial" w:hAnsi="Lato" w:cs="Arial"/>
                <w:i/>
                <w:iCs/>
                <w:sz w:val="18"/>
                <w:szCs w:val="18"/>
              </w:rPr>
              <w:t>art. 3 pkt 2 ustawy z dnia 26 kwietnia 2007 r. o zarządzaniu kryzysowym (Dz. U. z 2023 r. poz. 122 oraz z 2024 r. poz. 834, 1222, 1473, 1572 i 1907),</w:t>
            </w:r>
          </w:p>
          <w:p w14:paraId="06B5C4B8" w14:textId="77777777" w:rsidR="00FD061A" w:rsidRPr="00FD061A" w:rsidRDefault="00FD061A" w:rsidP="00FD061A">
            <w:pPr>
              <w:pStyle w:val="Inne0"/>
              <w:numPr>
                <w:ilvl w:val="0"/>
                <w:numId w:val="51"/>
              </w:numPr>
              <w:spacing w:before="120" w:after="120"/>
              <w:ind w:left="421" w:right="136" w:hanging="296"/>
              <w:rPr>
                <w:rFonts w:ascii="Lato" w:eastAsia="Arial" w:hAnsi="Lato" w:cs="Arial"/>
                <w:i/>
                <w:iCs/>
                <w:sz w:val="18"/>
                <w:szCs w:val="18"/>
              </w:rPr>
            </w:pPr>
            <w:r w:rsidRPr="00FD061A">
              <w:rPr>
                <w:rFonts w:ascii="Lato" w:eastAsia="Arial" w:hAnsi="Lato" w:cs="Arial"/>
                <w:i/>
                <w:iCs/>
                <w:sz w:val="18"/>
                <w:szCs w:val="18"/>
              </w:rPr>
              <w:t>art. 613 ust. 1 ustawy z dnia 11 marca 2022 r. o obronie Ojczyzny (Dz. U. z 2025 r. poz. 825, 1014 i 1080),</w:t>
            </w:r>
          </w:p>
          <w:p w14:paraId="06488CAE" w14:textId="77777777" w:rsidR="00FD061A" w:rsidRPr="00FD061A" w:rsidRDefault="00FD061A" w:rsidP="00FD061A">
            <w:pPr>
              <w:pStyle w:val="Inne0"/>
              <w:numPr>
                <w:ilvl w:val="0"/>
                <w:numId w:val="51"/>
              </w:numPr>
              <w:spacing w:before="120" w:after="120"/>
              <w:ind w:left="421" w:right="136" w:hanging="296"/>
              <w:rPr>
                <w:rFonts w:ascii="Lato" w:eastAsia="Arial" w:hAnsi="Lato" w:cs="Arial"/>
                <w:i/>
                <w:iCs/>
                <w:sz w:val="18"/>
                <w:szCs w:val="18"/>
              </w:rPr>
            </w:pPr>
            <w:r w:rsidRPr="00FD061A">
              <w:rPr>
                <w:rFonts w:ascii="Lato" w:eastAsia="Arial" w:hAnsi="Lato" w:cs="Arial"/>
                <w:i/>
                <w:iCs/>
                <w:sz w:val="18"/>
                <w:szCs w:val="18"/>
              </w:rPr>
              <w:t>przepisach wydanych na podstawie art. 91 ustawy z dnia 21 sierpnia 1997 r. o gospodarce nieruchomościami (Dz. U. z 2024 r. poz. 1145, 1222, 1717 i 1881 oraz z 2025 r. poz. 1077 i 1018);</w:t>
            </w:r>
          </w:p>
          <w:p w14:paraId="2849ADC7" w14:textId="77777777" w:rsidR="00FD061A" w:rsidRPr="00FD061A" w:rsidRDefault="00FD061A" w:rsidP="00FD061A">
            <w:pPr>
              <w:pStyle w:val="Inne0"/>
              <w:spacing w:before="120" w:after="120"/>
              <w:ind w:left="125" w:right="136"/>
              <w:rPr>
                <w:rFonts w:ascii="Lato" w:eastAsia="Arial" w:hAnsi="Lato" w:cs="Arial"/>
                <w:i/>
                <w:iCs/>
                <w:sz w:val="18"/>
                <w:szCs w:val="18"/>
              </w:rPr>
            </w:pPr>
            <w:r w:rsidRPr="00FD061A">
              <w:rPr>
                <w:rFonts w:ascii="Lato" w:eastAsia="Arial" w:hAnsi="Lato" w:cs="Arial"/>
                <w:i/>
                <w:iCs/>
                <w:sz w:val="18"/>
                <w:szCs w:val="18"/>
              </w:rPr>
              <w:t>2) na których ustalono teren zamknięty;</w:t>
            </w:r>
          </w:p>
          <w:p w14:paraId="2D9C7878"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Szef właściwej służby specjalnej uwzględniając potrzeby obronności i bezpieczeństwa państwa, może nałożyć w drodze decyzji ograniczenia w upublicznianiu w usługach sieciowych oraz portalach internetowych danych zawartych w bazach danych, o których mowa w art. 4 ust. 1a pkt 3, 8, 11 i 12, dotyczących obiektów lub obszarów wykorzystywanych przez podmioty, o których mowa w art. 11 ustawy z dnia 24 maja 2002 r. o Agencji Bezpieczeństwa Wewnętrznego oraz Agencji Wywiadu (Dz. U. z 2025 r. poz. 902, 1366 oraz z 2026 r. poz. 26.).</w:t>
            </w:r>
          </w:p>
          <w:p w14:paraId="66C670E1"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 xml:space="preserve">Ograniczenia w upublicznianiu danych, o których mowa w ust. 1, Minister Obrony Narodowej lub szef właściwej służby specjalnej, o której mowa w art. 11 ustawy z dnia 24 maja 2002 r. o Agencji Bezpieczeństwa Wewnętrznego </w:t>
            </w:r>
            <w:r w:rsidRPr="00FD061A">
              <w:rPr>
                <w:rFonts w:ascii="Lato" w:eastAsia="Arial" w:hAnsi="Lato" w:cs="Arial"/>
                <w:i/>
                <w:iCs/>
                <w:sz w:val="18"/>
                <w:szCs w:val="18"/>
              </w:rPr>
              <w:lastRenderedPageBreak/>
              <w:t>oraz Agencji Wywiadu może nałożyć z inicjatywy własnej lub na wniosek właściwych ministrów, Szefa Agencji Bezpieczeństwa Wewnętrznego, Szefa Agencji Wywiadu, Szefa Służby Kontrwywiadu Wojskowego, Szefa Służby Wywiadu Wojskowego, Szefa Centralnego Biura Antykorupcyjnego, Komendanta Głównego Policji, Komendanta Głównego Państwowej Straży Pożarnej, Komendanta Głównego Straży Granicznej, Komendanta Służby Ochrony Państwa, Prezesa Rady Ministrów, przewodniczących komitetów wchodzących w skład Rady Ministrów, organów administracji rządowej nadzorowanych przez Prezesa Rady Ministrów, Prezesa Narodowego Banku Polskiego, Prezesa Zarządu Banku Gospodarstwa Krajowego, wojewodów lub podmiotu zarządzającego terenem zamkniętym.</w:t>
            </w:r>
          </w:p>
          <w:p w14:paraId="65E5470C"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Ograniczenia w upublicznianiu danych, o których mowa w ust. 1 i 2, nie obejmują udostępniania danych państwowego zasobu geodezyjnego i kartograficznego na podstawie wniosku, zgłoszenia prac geodezyjnych lub jego uzupełnienia oraz w przypadku prac realizowanych na zlecenie Służby Geodezyjnej i Kartograficznej.</w:t>
            </w:r>
          </w:p>
          <w:p w14:paraId="27E37300"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Minister Obrony Narodowej lub właściwy szef służby specjalnej, o której mowa w art. 11 ustawy z dnia 24 maja 2002 r. o Agencji Bezpieczeństwa Wewnętrznego oraz Agencji Wywiadu może w zakresie swojej właściwości, w drodze decyzji znieść ograniczenia w upublicznianiu danych nałożone zgodnie z ust. 1 i 2.</w:t>
            </w:r>
          </w:p>
          <w:p w14:paraId="5BBF8018"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Minister Obrony Narodowej oraz szef służby specjalnej, o której mowa w art. 11 ustawy z dnia 24 maja 2002 r. o Agencji Bezpieczeństwa Wewnętrznego oraz Agencji Wywiadu przekazują niezwłocznie decyzje, o których mowa w ust. 1, 2 i 5, do Głównego Geodety Kraju oraz właściwych organów Służby Geodezyjnej i Kartograficznej, odpowiedzialnych za prowadzenie baz danych, o których mowa w art. 4 ust. 1a pkt 3, 8, 11 i 12.</w:t>
            </w:r>
          </w:p>
          <w:p w14:paraId="5CA2024B"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 xml:space="preserve">Minister Obrony Narodowej oraz szef służby specjalnej, o której mowa w art. 11 ustawy z dnia 24 maja 2002 r. o Agencji Bezpieczeństwa Wewnętrznego oraz Agencji Wywiadu prowadzą i aktualizują wykazy obiektów i obszarów, w stosunku do których nałożyli lub znieśli </w:t>
            </w:r>
            <w:r w:rsidRPr="00FD061A">
              <w:rPr>
                <w:rFonts w:ascii="Lato" w:eastAsia="Arial" w:hAnsi="Lato" w:cs="Arial"/>
                <w:i/>
                <w:iCs/>
                <w:sz w:val="18"/>
                <w:szCs w:val="18"/>
              </w:rPr>
              <w:lastRenderedPageBreak/>
              <w:t>ograniczenia w upublicznianiu danych.</w:t>
            </w:r>
          </w:p>
          <w:p w14:paraId="4E3ECE76"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Dane z wykazu, o którym mowa w ust. 7, nie stanowią informacji publicznej w rozumieniu ustawy z dnia 6 września 2001 r. o dostępie do informacji publicznej (Dz. U. z 2022 r. poz. 902).</w:t>
            </w:r>
          </w:p>
          <w:p w14:paraId="5A836F30"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Niezwłocznie, po otrzymaniu decyzji, o których mowa w ust. 1, 2 i 5, właściwe organy Służby Geodezyjnej i Kartograficznej dokonują zmian w upublicznianiu danych, w zakresie określonym przez Ministra Obrony Narodowej oraz właściwego szefa służby specjalnych.</w:t>
            </w:r>
          </w:p>
          <w:p w14:paraId="7F4D7AF8" w14:textId="77777777" w:rsidR="00FD061A" w:rsidRPr="00FD061A" w:rsidRDefault="00FD061A" w:rsidP="00FD061A">
            <w:pPr>
              <w:pStyle w:val="Inne0"/>
              <w:numPr>
                <w:ilvl w:val="0"/>
                <w:numId w:val="52"/>
              </w:numPr>
              <w:tabs>
                <w:tab w:val="left" w:pos="421"/>
              </w:tabs>
              <w:spacing w:before="120" w:after="120"/>
              <w:ind w:left="125" w:right="136"/>
              <w:rPr>
                <w:rFonts w:ascii="Lato" w:eastAsia="Arial" w:hAnsi="Lato" w:cs="Arial"/>
                <w:i/>
                <w:iCs/>
                <w:sz w:val="18"/>
                <w:szCs w:val="18"/>
              </w:rPr>
            </w:pPr>
            <w:r w:rsidRPr="00FD061A">
              <w:rPr>
                <w:rFonts w:ascii="Lato" w:eastAsia="Arial" w:hAnsi="Lato" w:cs="Arial"/>
                <w:i/>
                <w:iCs/>
                <w:sz w:val="18"/>
                <w:szCs w:val="18"/>
              </w:rPr>
              <w:t xml:space="preserve">Minister Obrony Narodowej może powierzyć realizację zadań, o których mowa w ust. 1-6, kierownikowi komórki organizacyjnej lub jednostki organizacyjnej podległej Ministrowi Obrony Narodowej lub przez niego nadzorowanej właściwej w sprawach rozpoznania </w:t>
            </w:r>
            <w:proofErr w:type="spellStart"/>
            <w:r w:rsidRPr="00FD061A">
              <w:rPr>
                <w:rFonts w:ascii="Lato" w:eastAsia="Arial" w:hAnsi="Lato" w:cs="Arial"/>
                <w:i/>
                <w:iCs/>
                <w:sz w:val="18"/>
                <w:szCs w:val="18"/>
              </w:rPr>
              <w:t>geoprzestrzennego</w:t>
            </w:r>
            <w:proofErr w:type="spellEnd"/>
            <w:r w:rsidRPr="00FD061A">
              <w:rPr>
                <w:rFonts w:ascii="Lato" w:eastAsia="Arial" w:hAnsi="Lato" w:cs="Arial"/>
                <w:i/>
                <w:iCs/>
                <w:sz w:val="18"/>
                <w:szCs w:val="18"/>
              </w:rPr>
              <w:t>, z wyłączeniem zadań realizowanych przez szefów służb specjalnych.</w:t>
            </w:r>
          </w:p>
          <w:p w14:paraId="28E5FF0A" w14:textId="5A7389EF" w:rsidR="00A1261B" w:rsidRPr="0037774A" w:rsidRDefault="00FD061A" w:rsidP="00FD061A">
            <w:pPr>
              <w:pStyle w:val="Inne0"/>
              <w:numPr>
                <w:ilvl w:val="0"/>
                <w:numId w:val="52"/>
              </w:numPr>
              <w:tabs>
                <w:tab w:val="left" w:pos="421"/>
              </w:tabs>
              <w:spacing w:before="120" w:after="120"/>
              <w:ind w:left="125" w:right="136"/>
              <w:rPr>
                <w:rFonts w:ascii="Lato" w:eastAsia="Arial" w:hAnsi="Lato" w:cs="Arial"/>
                <w:sz w:val="18"/>
                <w:szCs w:val="18"/>
              </w:rPr>
            </w:pPr>
            <w:r w:rsidRPr="00FD061A">
              <w:rPr>
                <w:rFonts w:ascii="Lato" w:eastAsia="Arial" w:hAnsi="Lato" w:cs="Arial"/>
                <w:i/>
                <w:iCs/>
                <w:sz w:val="18"/>
                <w:szCs w:val="18"/>
              </w:rPr>
              <w:t>Minister Obrony Narodowej oraz szefowie służb specjalnych, w porozumieniu z ministrem właściwym do spraw budownictwa, planowania i zagospodarowania przestrzennego oraz mieszkalnictwa, określą, w drodze rozporządzenia standardy dotyczące ograniczenia w upublicznianiu danych zawartych w bazach danych, o których mowa w art. 4 ust. 1a pkt 3, 8, 11 i 12, mając na względzie potrzeby obronności i bezpieczeństwa państwa.”.</w:t>
            </w:r>
          </w:p>
        </w:tc>
        <w:tc>
          <w:tcPr>
            <w:tcW w:w="4820" w:type="dxa"/>
            <w:tcBorders>
              <w:top w:val="single" w:sz="4" w:space="0" w:color="auto"/>
              <w:left w:val="single" w:sz="4" w:space="0" w:color="auto"/>
              <w:bottom w:val="single" w:sz="4" w:space="0" w:color="auto"/>
              <w:right w:val="single" w:sz="4" w:space="0" w:color="auto"/>
            </w:tcBorders>
          </w:tcPr>
          <w:p w14:paraId="688EE696" w14:textId="27F02C08" w:rsidR="008954DE" w:rsidRDefault="007E2C66" w:rsidP="008954DE">
            <w:pPr>
              <w:pStyle w:val="Inne0"/>
              <w:spacing w:before="120" w:after="120"/>
              <w:ind w:left="131" w:right="138"/>
              <w:rPr>
                <w:rFonts w:ascii="Lato" w:eastAsia="Arial" w:hAnsi="Lato" w:cs="Arial"/>
                <w:sz w:val="18"/>
                <w:szCs w:val="18"/>
              </w:rPr>
            </w:pPr>
            <w:r>
              <w:rPr>
                <w:rFonts w:ascii="Lato" w:eastAsia="Arial" w:hAnsi="Lato" w:cs="Arial"/>
                <w:sz w:val="18"/>
                <w:szCs w:val="18"/>
              </w:rPr>
              <w:lastRenderedPageBreak/>
              <w:t>Uwaga została uwzględniona</w:t>
            </w:r>
            <w:r w:rsidR="008954DE">
              <w:rPr>
                <w:rFonts w:ascii="Lato" w:eastAsia="Arial" w:hAnsi="Lato" w:cs="Arial"/>
                <w:sz w:val="18"/>
                <w:szCs w:val="18"/>
              </w:rPr>
              <w:t xml:space="preserve"> z modyfikacją brzmienia proponowanych przepisów</w:t>
            </w:r>
            <w:r w:rsidR="00B34BB9">
              <w:rPr>
                <w:rFonts w:ascii="Lato" w:eastAsia="Arial" w:hAnsi="Lato" w:cs="Arial"/>
                <w:sz w:val="18"/>
                <w:szCs w:val="18"/>
              </w:rPr>
              <w:t xml:space="preserve">, wynikającą z uwzględnienia </w:t>
            </w:r>
            <w:r w:rsidR="00B34BB9">
              <w:rPr>
                <w:rFonts w:ascii="Lato" w:eastAsia="Arial" w:hAnsi="Lato" w:cs="Arial"/>
                <w:sz w:val="18"/>
                <w:szCs w:val="18"/>
              </w:rPr>
              <w:lastRenderedPageBreak/>
              <w:t>zgłoszonych uwag.</w:t>
            </w:r>
          </w:p>
          <w:p w14:paraId="4163265B" w14:textId="77777777" w:rsidR="008954DE" w:rsidRPr="0037774A" w:rsidRDefault="008954DE" w:rsidP="008954DE">
            <w:pPr>
              <w:pStyle w:val="Inne0"/>
              <w:spacing w:before="120" w:after="120"/>
              <w:ind w:left="131" w:right="138"/>
              <w:rPr>
                <w:rFonts w:ascii="Lato" w:eastAsia="Arial" w:hAnsi="Lato" w:cs="Arial"/>
                <w:sz w:val="18"/>
                <w:szCs w:val="18"/>
              </w:rPr>
            </w:pPr>
          </w:p>
          <w:p w14:paraId="79FA88A4" w14:textId="6486E03A" w:rsidR="00A1261B" w:rsidRPr="0037774A" w:rsidRDefault="00A1261B" w:rsidP="00BC7438">
            <w:pPr>
              <w:pStyle w:val="Inne0"/>
              <w:spacing w:before="120" w:after="120"/>
              <w:ind w:left="131" w:right="138"/>
              <w:rPr>
                <w:rFonts w:ascii="Lato" w:eastAsia="Arial" w:hAnsi="Lato" w:cs="Arial"/>
                <w:sz w:val="18"/>
                <w:szCs w:val="18"/>
              </w:rPr>
            </w:pPr>
          </w:p>
        </w:tc>
      </w:tr>
      <w:tr w:rsidR="00A1261B" w:rsidRPr="0037774A" w14:paraId="0B553606" w14:textId="1B59023A" w:rsidTr="008954DE">
        <w:trPr>
          <w:trHeight w:val="20"/>
        </w:trPr>
        <w:tc>
          <w:tcPr>
            <w:tcW w:w="709" w:type="dxa"/>
            <w:tcBorders>
              <w:top w:val="single" w:sz="4" w:space="0" w:color="auto"/>
              <w:left w:val="single" w:sz="4" w:space="0" w:color="auto"/>
              <w:bottom w:val="single" w:sz="4" w:space="0" w:color="auto"/>
            </w:tcBorders>
            <w:shd w:val="clear" w:color="auto" w:fill="FFFFFF"/>
          </w:tcPr>
          <w:p w14:paraId="2C9B1BC3" w14:textId="77777777" w:rsidR="00A1261B" w:rsidRPr="0037774A" w:rsidRDefault="00A1261B" w:rsidP="0037774A">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5584DB3C" w14:textId="53D47621" w:rsidR="00A1261B" w:rsidRPr="0037774A" w:rsidRDefault="00BD21D3" w:rsidP="0037774A">
            <w:pPr>
              <w:pStyle w:val="Inne0"/>
              <w:shd w:val="clear" w:color="auto" w:fill="auto"/>
              <w:spacing w:before="120" w:after="120"/>
              <w:ind w:left="140" w:right="132"/>
              <w:rPr>
                <w:rFonts w:ascii="Lato" w:eastAsia="Arial" w:hAnsi="Lato" w:cs="Arial"/>
                <w:sz w:val="18"/>
                <w:szCs w:val="18"/>
              </w:rPr>
            </w:pPr>
            <w:r>
              <w:rPr>
                <w:rFonts w:ascii="Lato" w:eastAsia="Arial" w:hAnsi="Lato" w:cs="Arial"/>
                <w:sz w:val="18"/>
                <w:szCs w:val="18"/>
              </w:rPr>
              <w:t>Minister Sprawiedliwości</w:t>
            </w:r>
          </w:p>
        </w:tc>
        <w:tc>
          <w:tcPr>
            <w:tcW w:w="4536" w:type="dxa"/>
            <w:tcBorders>
              <w:top w:val="single" w:sz="4" w:space="0" w:color="auto"/>
              <w:left w:val="single" w:sz="4" w:space="0" w:color="auto"/>
              <w:bottom w:val="single" w:sz="4" w:space="0" w:color="auto"/>
            </w:tcBorders>
            <w:shd w:val="clear" w:color="auto" w:fill="FFFFFF"/>
          </w:tcPr>
          <w:p w14:paraId="088C9C41" w14:textId="77777777"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W pierwszej kolejności nadal negatywnie opiniuję wprowadzenie rozwiązań prawnych projektowanych w art. 1 pkt 25 projektu ustawy w zakresie zmiany w art. 24b ust. 1a-1c do ustawy z dnia 17 maja 1989 r. - Prawo geodezyjne i kartograficzne (dalej: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podtrzymując tym samym uwagi wyrażone w tym zakresie na wcześniejszym etapie. Projektodawca, pomimo zgłoszenia na wcześniejszym etapie prac legislacyjnych szczegółowych i zasadniczych zastrzeżeń, nie uwzględnił przedstawionej argumentacji, a zaproponowana nowa redakcja przepisów nie tylko nie eliminuje wskazanych wcześniej wad, lecz w istocie prowadzi do ich pogłębienia.</w:t>
            </w:r>
          </w:p>
          <w:p w14:paraId="15532EDA" w14:textId="77777777"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Projektowany art. 24b ust. 1a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przyznaje </w:t>
            </w:r>
            <w:r w:rsidRPr="00BD21D3">
              <w:rPr>
                <w:rFonts w:ascii="Lato" w:eastAsia="Arial" w:hAnsi="Lato" w:cs="Arial"/>
                <w:sz w:val="18"/>
                <w:szCs w:val="18"/>
              </w:rPr>
              <w:lastRenderedPageBreak/>
              <w:t xml:space="preserve">zawiadomieniu o zmianie danych dokonanej w ewidencji gruntów i budynków wraz z załącznikami, przekazanemu za pośrednictwem Zintegrowanego Systemu Informacji o Nieruchomościach (dalej: ZSIN) w postaci dokumentów elektronicznych, walor podstawy wpisu oznaczenia nieruchomości w księdze wieczystej. Rozwiązanie to pozostaje w oczywistej sprzeczności z art. 27 ust. 2 i 3 ustawy z dnia 6 lipca 1982 r. o księgach wieczystych i hipotece (dalej: </w:t>
            </w:r>
            <w:proofErr w:type="spellStart"/>
            <w:r w:rsidRPr="00BD21D3">
              <w:rPr>
                <w:rFonts w:ascii="Lato" w:eastAsia="Arial" w:hAnsi="Lato" w:cs="Arial"/>
                <w:sz w:val="18"/>
                <w:szCs w:val="18"/>
              </w:rPr>
              <w:t>u.k.w.h</w:t>
            </w:r>
            <w:proofErr w:type="spellEnd"/>
            <w:r w:rsidRPr="00BD21D3">
              <w:rPr>
                <w:rFonts w:ascii="Lato" w:eastAsia="Arial" w:hAnsi="Lato" w:cs="Arial"/>
                <w:sz w:val="18"/>
                <w:szCs w:val="18"/>
              </w:rPr>
              <w:t xml:space="preserve">.), które jednoznacznie rozróżniają zawiadomienie jednostki prowadzącej kataster nieruchomości - jako przesłankę wszczęcia postępowania z urzędu - oraz wypis z operatu katastralnego, </w:t>
            </w:r>
            <w:proofErr w:type="spellStart"/>
            <w:r w:rsidRPr="00BD21D3">
              <w:rPr>
                <w:rFonts w:ascii="Lato" w:eastAsia="Arial" w:hAnsi="Lato" w:cs="Arial"/>
                <w:sz w:val="18"/>
                <w:szCs w:val="18"/>
              </w:rPr>
              <w:t>wyrys</w:t>
            </w:r>
            <w:proofErr w:type="spellEnd"/>
            <w:r w:rsidRPr="00BD21D3">
              <w:rPr>
                <w:rFonts w:ascii="Lato" w:eastAsia="Arial" w:hAnsi="Lato" w:cs="Arial"/>
                <w:sz w:val="18"/>
                <w:szCs w:val="18"/>
              </w:rPr>
              <w:t xml:space="preserve"> z mapy katastralnej lub inny dokument - jako wyłączną podstawę sprostowania oznaczenia nieruchomości w księdze wieczystej. Projektowana regulacja odwraca utrwalone zasady postępowania wieczystoksięgowego, prowadząc do niedopuszczalnego utożsamienia zawiadomienia inicjującego postępowanie z dokumentem stanowiącym podstawę wpisu. Rozwiązanie to pozostaje również w oczywistej sprzeczności z obowiązującym stanem prawnym, w którym podstawą wpisu w księdze wieczystej mogą być wyłącznie dokumenty złożone w postaci papierowej. Należy przy tym podkreślić, że obecnie brak jest ogólnej podstawy prawnej umożliwiającej dokonywanie wpisów w księgach wieczystych na podstawie dokumentów sporządzonych w postaci elektronicznej. Model postępowania wieczystoksięgowego oparty został na dokumentach w postaci papierowej, które w tym postępowaniu mają rangę szczególną. Wynika to zarówno z przepisów ustawy o księgach wieczystych i hipotece, w szczególności art. 31, art. 25</w:t>
            </w:r>
            <w:r w:rsidRPr="00BD21D3">
              <w:rPr>
                <w:rFonts w:ascii="Lato" w:eastAsia="Arial" w:hAnsi="Lato" w:cs="Arial"/>
                <w:sz w:val="18"/>
                <w:szCs w:val="18"/>
                <w:vertAlign w:val="superscript"/>
              </w:rPr>
              <w:t>1</w:t>
            </w:r>
            <w:r w:rsidRPr="00BD21D3">
              <w:rPr>
                <w:rFonts w:ascii="Lato" w:eastAsia="Arial" w:hAnsi="Lato" w:cs="Arial"/>
                <w:sz w:val="18"/>
                <w:szCs w:val="18"/>
              </w:rPr>
              <w:t>, art. 28 i art. 36</w:t>
            </w:r>
            <w:r w:rsidRPr="00BD21D3">
              <w:rPr>
                <w:rFonts w:ascii="Lato" w:eastAsia="Arial" w:hAnsi="Lato" w:cs="Arial"/>
                <w:sz w:val="18"/>
                <w:szCs w:val="18"/>
                <w:vertAlign w:val="superscript"/>
              </w:rPr>
              <w:t>1</w:t>
            </w:r>
            <w:r w:rsidRPr="00BD21D3">
              <w:rPr>
                <w:rFonts w:ascii="Lato" w:eastAsia="Arial" w:hAnsi="Lato" w:cs="Arial"/>
                <w:sz w:val="18"/>
                <w:szCs w:val="18"/>
              </w:rPr>
              <w:t xml:space="preserve"> tej ustawy, jak i z przepisów ustawy z dnia 17 listopada 1964 r. - Kodeks postępowania cywilnego (dalej: k.p.c.), w szczególności art. 626</w:t>
            </w:r>
            <w:r w:rsidRPr="00BD21D3">
              <w:rPr>
                <w:rFonts w:ascii="Lato" w:eastAsia="Arial" w:hAnsi="Lato" w:cs="Arial"/>
                <w:sz w:val="18"/>
                <w:szCs w:val="18"/>
                <w:vertAlign w:val="superscript"/>
              </w:rPr>
              <w:t>2</w:t>
            </w:r>
            <w:r w:rsidRPr="00BD21D3">
              <w:rPr>
                <w:rFonts w:ascii="Lato" w:eastAsia="Arial" w:hAnsi="Lato" w:cs="Arial"/>
                <w:sz w:val="18"/>
                <w:szCs w:val="18"/>
              </w:rPr>
              <w:t xml:space="preserve"> § 1 i 3 k.p.c., art. 244 i art. 250 § 1 k.p.c. oraz aktów wykonawczych regulujących prowadzenie ksiąg wieczystych w systemie teleinformatycznym. W postępowaniu tym zarówno wniosek o wpis, jak i dokumenty stanowiące podstawę wpisu muszą być składane w postaci papierowej, przy czym dokumenty te powinny być przechowywane w aktach księgi wieczystej w postaci oryginałów. Zasada ta wynika z konieczności zapewnienia bezpieczeństwa obrotu prawnego nieruchomościami oraz wiary publicznej ksiąg </w:t>
            </w:r>
            <w:r w:rsidRPr="00BD21D3">
              <w:rPr>
                <w:rFonts w:ascii="Lato" w:eastAsia="Arial" w:hAnsi="Lato" w:cs="Arial"/>
                <w:sz w:val="18"/>
                <w:szCs w:val="18"/>
              </w:rPr>
              <w:lastRenderedPageBreak/>
              <w:t>wieczystych.</w:t>
            </w:r>
          </w:p>
          <w:p w14:paraId="33390E61" w14:textId="77777777"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Zaznaczyć należy, że zasada notarialnego poświadczania podpisu na dokumencie, który ma stanowić podstawę wpisu, nie odnosi się do dokumentów urzędowych w rozumieniu art. 244 k.p.c. Dokumenty te w rozumieniu art. 31 ust. 1 </w:t>
            </w:r>
            <w:proofErr w:type="spellStart"/>
            <w:r w:rsidRPr="00BD21D3">
              <w:rPr>
                <w:rFonts w:ascii="Lato" w:eastAsia="Arial" w:hAnsi="Lato" w:cs="Arial"/>
                <w:sz w:val="18"/>
                <w:szCs w:val="18"/>
              </w:rPr>
              <w:t>u.k.w.h</w:t>
            </w:r>
            <w:proofErr w:type="spellEnd"/>
            <w:r w:rsidRPr="00BD21D3">
              <w:rPr>
                <w:rFonts w:ascii="Lato" w:eastAsia="Arial" w:hAnsi="Lato" w:cs="Arial"/>
                <w:sz w:val="18"/>
                <w:szCs w:val="18"/>
              </w:rPr>
              <w:t xml:space="preserve">. są bowiem sporządzane w innej formie przewidzianej przez przepisy szczególe. W przypadku dokumentów urzędowych podstawę wpisu w księdze wieczystej stanowi oryginał takiego dokumentu albo jego urzędowy odpis sporządzony zgodnie z art. 250 § 1 k.p.c. Nie jest to zatem kwestia zwykłego „wydruku” bądź sporządzenia kopii dokumentów. Dokumenty geodezyjne wydane na podstawie art. 24 ust. 3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opatrzone klauzulą właściwego organu prowadzącego ewidencję gruntów i budynków stwierdzającą, że są przeznaczone do dokonywania wpisu w księdze wieczystej, mają charakter dokumentów urzędowych i stanowią podstawę wpisu do księgi wieczystej. Wyjątek od obowiązku dołączania dokumentów stanowiących podstawę wpisów w tradycyjnej postaci przewidziany w art. 626</w:t>
            </w:r>
            <w:r w:rsidRPr="00BD21D3">
              <w:rPr>
                <w:rFonts w:ascii="Lato" w:eastAsia="Arial" w:hAnsi="Lato" w:cs="Arial"/>
                <w:sz w:val="18"/>
                <w:szCs w:val="18"/>
                <w:vertAlign w:val="superscript"/>
              </w:rPr>
              <w:t>2</w:t>
            </w:r>
            <w:r w:rsidRPr="00BD21D3">
              <w:rPr>
                <w:rFonts w:ascii="Lato" w:eastAsia="Arial" w:hAnsi="Lato" w:cs="Arial"/>
                <w:sz w:val="18"/>
                <w:szCs w:val="18"/>
              </w:rPr>
              <w:t xml:space="preserve"> § 3</w:t>
            </w:r>
            <w:r w:rsidRPr="00BD21D3">
              <w:rPr>
                <w:rFonts w:ascii="Lato" w:eastAsia="Arial" w:hAnsi="Lato" w:cs="Arial"/>
                <w:sz w:val="18"/>
                <w:szCs w:val="18"/>
                <w:vertAlign w:val="superscript"/>
              </w:rPr>
              <w:t>1</w:t>
            </w:r>
            <w:r w:rsidRPr="00BD21D3">
              <w:rPr>
                <w:rFonts w:ascii="Lato" w:eastAsia="Arial" w:hAnsi="Lato" w:cs="Arial"/>
                <w:sz w:val="18"/>
                <w:szCs w:val="18"/>
              </w:rPr>
              <w:t xml:space="preserve"> k.p.c. zapewnia sądowi możliwość weryfikacji dokumentu w odpowiednim systemie teleinformatycznym. Zgodnie z tym przepisem, do wniosku o wpis w księdze wieczystej na podstawie tytułu wykonawczego, o którym mowa w art. 783 § 4 k.p.c., należy dołączyć dokument uzyskany z systemu teleinformatycznego umożliwiający sądowi weryfikację istnienia i treści tytułu wykonawczego. Chodzi tu więc o klauzule wykonalności nadane orzeczeniom sądów czy też referendarzy sądowych, a zatem tytuły egzekucyjne wydane w postaci elektronicznej, z wyjątkami określonymi przepisami art. 7782, art. 787, art. 7871, art. 788 oraz art. 789 k.p.c. Jest to więc sytuacja, w której wierzyciel uzyskał tytuł egzekucyjny w postępowaniu elektronicznym i w takim to postępowaniu tytułowi egzekucyjnemu nadano klauzulę wykonalności. Wierzyciel, dysponując dostępem do systemu teleinformatycznego obsługującego elektroniczne postępowanie upominawcze, dokonuje wydruku tytułu wykonawczego z tego systemu, a następnie wydruk dołącza do wniosku w postępowaniu o wpis w księdze wieczystej; sąd wieczystoksięgowy dokonuje natomiast weryfikacji złożonego wydruku, posiadając dostęp do wskazanego powszechnie </w:t>
            </w:r>
            <w:r w:rsidRPr="00BD21D3">
              <w:rPr>
                <w:rFonts w:ascii="Lato" w:eastAsia="Arial" w:hAnsi="Lato" w:cs="Arial"/>
                <w:sz w:val="18"/>
                <w:szCs w:val="18"/>
              </w:rPr>
              <w:lastRenderedPageBreak/>
              <w:t>dostępnego systemu teleinformatycznego i tym samym do „oryginalnego” pliku elektronicznego, z którego wydruk został wykonany. Co istotne sąd samodzielnie nie sporządza wydruków i nie załącza ich do otrzymanego wniosku o wpis w księdze wieczystej. Obowiązek złożenia wniosku wraz z dokumentami spoczywa na wnioskodawcy. Niedołączenie do wniosku dokumentu stanowi przesłankę do oddalania wniosku.</w:t>
            </w:r>
          </w:p>
          <w:p w14:paraId="2EE96705" w14:textId="77777777"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Projektowane art. 24b ust. 1b i 1c, przewidujące wykonywanie przez sąd wydruków dokumentów elektronicznych oraz zrównanie ich mocy z mocą dokumentów, z których zostały wykonane, nie mogą być uznane za wystarczającą podstawę do przełamania obowiązujących obecnie zasad postępowania wieczystoksięgowego. Dokumenty geodezyjne, takie jak wypisy i wyrysy z operatu ewidencyjnego, opatrzone klauzulą właściwego organu, mają charakter dokumentów urzędowych i - właśnie z tego względu - mogą stanowić podstawę wpisu wyłącznie w postaci papierowej, jako oryginały dokumentów urzędowych albo ich urzędowe odpisy. Ich szczególna moc dowodowa i przydatność w postępowaniu wieczystoksięgowym jest nierozerwalnie związana z papierową formą dokumentu, która umożliwia jego trwałe przechowywanie w aktach księgi wieczystej jako wieczystego repozytorium dokumentów potwierdzających stan prawny nieruchomości. Stanowisko to znajduje pełne potwierdzenie w utrwalonym orzecznictwie Sądu Najwyższego, który wielokrotnie podkreślał szczególny charakter dokumentów stanowiących podstawę wpisu do księgi wieczystej oraz konieczność ich przechowywania w aktach księgi wieczystej w postaci oryginałów. (tak np. postanowienie SN z 12.06.1996 r., III CZP 61/96, OSNC 1996/10, poz. 132; uchwała SN z 8.12.2005 r., III CZP 101/05, OSNC 2006/11, poz. 180; postanowienie SN z 24.10.2013 r., IV CSK 20/13, LEX nr 1389011; postanowienie SN z 2.12.2016 r., I CSK 819/15, OSNC 2017/7-8, poz. 92). Projektowana regulacja całkowicie pomija tę funkcję akt wieczystoksięgowych i w sposób nieuprawniony zmierza do jej osłabienia. Nie można zgodzić się również z argumentacją przedstawioną w uzasadnieniu projektu, zgodnie z którą dodanie art. 24b ust. 1a-1c ma jedynie „doprecyzować” </w:t>
            </w:r>
            <w:r w:rsidRPr="00BD21D3">
              <w:rPr>
                <w:rFonts w:ascii="Lato" w:eastAsia="Arial" w:hAnsi="Lato" w:cs="Arial"/>
                <w:sz w:val="18"/>
                <w:szCs w:val="18"/>
              </w:rPr>
              <w:lastRenderedPageBreak/>
              <w:t xml:space="preserve">obowiązujące przepisy regulujące wymianę danych pomiędzy ewidencją gruntów i budynków a księgą wieczystą. Elektroniczna forma przekazywania zawiadomień za pośrednictwem ZSIN, wynikająca z treści § 35 ust. 4 rozporządzenia Ministra Rozwoju, Pracy i Technologii z dnia 27 lipca 2021 r. w sprawie ewidencji gruntów i budynków, dotyczy wyłącznie sposobu komunikacji pomiędzy rejestrami publicznymi i nie wpływa na ocenę, w jakiej postaci dokumenty mogą stanowić podstawę wpisu do księgi wieczystej. Wymiana danych w formie elektronicznej nie oznacza i nie może oznaczać dopuszczenia dokumentów w postaci elektronicznych jako podstawy wpisu w postępowaniu sądowym, które z założenia opiera się na dokumentach papierowych. Projektowane rozwiązania należy ocenić również jako sprzeczne z konstytucyjnymi zasadami stanowienia i stosowania prawa. W szczególności naruszają one zasadę demokratycznego państwa prawnego wyrażoną w art. 2 Konstytucji Rzeczpospolitej Polskiej, z której wynika obowiązek zachowania pewności, bezpieczeństwa i przewidywalności prawa. Księgi wieczyste pełnią funkcję publicznego rejestru praw do nieruchomości, a ich podstawowym celem jest zapewnienie bezpieczeństwa obrotu nieruchomościami. Bezpieczeństwo to realizowane jest m.in. poprzez ścisły formalizm postępowania wieczystoksięgowego oraz wymóg, aby podstawą wpisu były dokumenty w postaci papierowej, przechowywane w aktach księgi wieczystej jako trwałe i weryfikowalne oryginały. Wprowadzenie możliwości dokonywania wpisów w oparciu o dokumenty elektroniczne lub wydruki dokumentów elektronicznych, bez kompleksowej zmiany całego modelu prowadzenia akt ksiąg wieczystych, prowadziłoby do osłabienia zaufania obywateli do państwa i stanowionego przez nie prawa. Projektowane ust. 1b i 1c art. 24b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przewidujące nadanie wydrukom dokumentów elektronicznych wykonanym przez sąd mocy zrównanej z mocą dokumentów, z których zostały wykonane, w sposób szczególnie rażący naruszają obowiązujący model dokumentowy postępowania wieczystoksięgowego. Wydruk dokumentu elektronicznego nie jest ani oryginałem dokumentu urzędowego, ani jego urzędowym odpisem i nie może zostać uznany za dokument stanowiący podstawę wpisu do księgi wieczystej. Jest on wyłącznie kopią </w:t>
            </w:r>
            <w:r w:rsidRPr="00BD21D3">
              <w:rPr>
                <w:rFonts w:ascii="Lato" w:eastAsia="Arial" w:hAnsi="Lato" w:cs="Arial"/>
                <w:sz w:val="18"/>
                <w:szCs w:val="18"/>
              </w:rPr>
              <w:lastRenderedPageBreak/>
              <w:t>dokumentu elektronicznego, pozbawioną cech umożliwiających trwałą weryfikację autentyczności oraz integralności treści w perspektywie wieloletniego przechowywania akt księgi wieczystej. „W wypadku dokumentów urzędowych podstawę wpisu w księdze wieczystej stanowi oryginał tego dokumentu albo jego urzędowy odpis sporządzony zgodnie z art. 250 k.p.c. (zob. uchwałę Sądu Najwyższego z 30 października 1984 r., CZP 62/84 OSNCP 1985, Nr 7, poz. 88, oraz postanowienia Sądu Najwyższego: z 24 czerwca 1994 r., II CKN 216/97, OSNC 1998, Nr 1, poz. 7; z 9 marca 2004 r., V CK 448/03 z 9 marca 2005 r., III CK 132/04; z 23 kwietnia 2008 r., III CSK 335/07, i z 27 lutego 2020 r., I CSK 722/19). Uzasadnieniem takiej formy dokumentowej jest wzgląd na podstawowe zasady instytucji ksiąg wieczystych, które są publicznym rejestrem praw dotyczących nieruchomości, a prowadzone postępowanie wieczystoksięgowe nie opiera się na zasadzie kontradyktoryjności, umożliwiającej weryfikację materiału dowodowego przez stronę przeciwną. Zasady te realizowane są ponadto w interesie publicznym w celu zabezpieczenia bezpieczeństwa obrotu nieruchomościami.” (vide Postanowienie SN z 15.12.2021 r., III CZP 18/21, LEX nr 3274818).</w:t>
            </w:r>
          </w:p>
          <w:p w14:paraId="4B22051B" w14:textId="77777777"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Projektowana regulacja prowadzi do nieakceptowalnego osłabienia gwarancji bezpieczeństwa obrotu nieruchomościami oraz podważa zasadę rękojmi wiary publicznej ksiąg wieczystych. Akta księgi wieczystej jako wieczyste repozytorium dokumentów, muszą zawierać oryginały dokumentów w postaci papierowej, które w każdej chwili umożliwiają pełną i samodzielną weryfikację podstawy dokonanych wpisów. Zastąpienie ich wydrukami dokumentów elektronicznych lub dokumentami, których „oryginał” istnieje wyłącznie w systemie teleinformatycznym pozostającym poza kontrolą sądu wieczystoksięgowego, pozostaje w sprzeczności z istotą instytucji ksiąg wieczystych. Niezależnie od powyższego projektowana regulacja wykracza poza zakres przedmiotowy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Choć pozostaje ona funkcjonalnie powiązana z zagadnieniami dotyczącymi Zintegrowanego Systemu Informacji o Nieruchomościach, w istocie reguluje materię związaną z podstawami wpisu w księdze wieczystej </w:t>
            </w:r>
            <w:r w:rsidRPr="00BD21D3">
              <w:rPr>
                <w:rFonts w:ascii="Lato" w:eastAsia="Arial" w:hAnsi="Lato" w:cs="Arial"/>
                <w:sz w:val="18"/>
                <w:szCs w:val="18"/>
              </w:rPr>
              <w:lastRenderedPageBreak/>
              <w:t xml:space="preserve">oraz czynnościami sądu wieczystoksięgowego, które zostały kompleksowo unormowane w </w:t>
            </w:r>
            <w:proofErr w:type="spellStart"/>
            <w:r w:rsidRPr="00BD21D3">
              <w:rPr>
                <w:rFonts w:ascii="Lato" w:eastAsia="Arial" w:hAnsi="Lato" w:cs="Arial"/>
                <w:sz w:val="18"/>
                <w:szCs w:val="18"/>
              </w:rPr>
              <w:t>u.k.w.h</w:t>
            </w:r>
            <w:proofErr w:type="spellEnd"/>
            <w:r w:rsidRPr="00BD21D3">
              <w:rPr>
                <w:rFonts w:ascii="Lato" w:eastAsia="Arial" w:hAnsi="Lato" w:cs="Arial"/>
                <w:sz w:val="18"/>
                <w:szCs w:val="18"/>
              </w:rPr>
              <w:t xml:space="preserve">., k.p.c. oraz aktach wykonawczych Ministra Sprawiedliwości. Wprowadzanie tego rodzaju regulacji w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która zgodnie z art. 1 określa odmienny zakres przedmiotowy, wydaje się naruszać zasadę spójności i czytelności systemu prawa oraz pozostaje w sprzeczności z zasadami techniki prawodawczej. Należy również podkreślić, że projektowana regulacja pozostaje w oderwaniu od prowadzonych w Ministerstwie Sprawiedliwości prac legislacyjnych nad stworzeniem hybrydowych akt ksiąg wieczystych. Wprowadzanie częściowych i nieskoordynowanych rozwiązań w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może istotnie zaburzyć te prace oraz prowadzić do konieczności kolejnych nowelizacji w krótkiej perspektywie czasowej. Na marginesie należy również wskazać, że projekt ustawy nie przewiduje odpowiednio długiego vacatio legis oraz nie odnosi się do kosztów związanych z nałożeniem na sądy wieczystoksięgowe nowych obowiązków organizacyjnych, dodatkowych obciążeń ani zakresu niezbędnych zmian w systemach teleinformatycznych.</w:t>
            </w:r>
          </w:p>
          <w:p w14:paraId="732AB1ED" w14:textId="77777777"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Mając powyższe na uwadze, w ocenie Ministra Sprawiedliwości wprowadzenie projektowanego art. 24b ust. 1a-1c nie jest zasadne. Kwestia dopuszczenia dokumentów elektronicznych jako podstawy wpisu w księdze wieczystej wymaga kompleksowej regulacji rangi ustawowej w aktach prawnych, które swym zakresem przedmiotowym obejmują postępowanie wieczystoksięgowe. Do czasu wprowadzenia takich rozwiązań brak jest podstaw prawnych do uznania dokumentów geodezyjnych sporządzonych w postaci elektronicznej, w tym przekazywanych za pośrednictwem ZSIN, za podstawę wpisu w księdze wieczystej. </w:t>
            </w:r>
            <w:r w:rsidRPr="00BD21D3">
              <w:rPr>
                <w:rFonts w:ascii="Lato" w:eastAsia="Arial" w:hAnsi="Lato" w:cs="Arial"/>
                <w:sz w:val="18"/>
                <w:szCs w:val="18"/>
                <w:u w:val="single"/>
              </w:rPr>
              <w:t>W związku z tym postuluje się usunięcie omawianych przepisów z projektu nowelizacji.</w:t>
            </w:r>
          </w:p>
          <w:p w14:paraId="0E8F5B37" w14:textId="77777777" w:rsidR="00DC63DB" w:rsidRPr="00BD21D3" w:rsidRDefault="00DC63DB" w:rsidP="00DC63DB">
            <w:pPr>
              <w:pStyle w:val="Inne0"/>
              <w:spacing w:before="120" w:after="120"/>
              <w:ind w:left="132" w:right="139"/>
              <w:rPr>
                <w:rFonts w:ascii="Lato" w:eastAsia="Arial" w:hAnsi="Lato" w:cs="Arial"/>
                <w:b/>
                <w:bCs/>
                <w:sz w:val="18"/>
                <w:szCs w:val="18"/>
              </w:rPr>
            </w:pPr>
            <w:r w:rsidRPr="00BD21D3">
              <w:rPr>
                <w:rFonts w:ascii="Lato" w:eastAsia="Arial" w:hAnsi="Lato" w:cs="Arial"/>
                <w:sz w:val="18"/>
                <w:szCs w:val="18"/>
              </w:rPr>
              <w:t xml:space="preserve">Dodatkowo zaznaczyć należy, iż wejście w życie przepisu art. 1 pkt 25 projektu ustawy doprowadzi nie tylko do stanu niespójności z pozostałymi przepisami regulującymi postępowanie wieczystoksięgowe, w szczególności przepisem art. 27 ust. 2 i 3 </w:t>
            </w:r>
            <w:proofErr w:type="spellStart"/>
            <w:r w:rsidRPr="00BD21D3">
              <w:rPr>
                <w:rFonts w:ascii="Lato" w:eastAsia="Arial" w:hAnsi="Lato" w:cs="Arial"/>
                <w:sz w:val="18"/>
                <w:szCs w:val="18"/>
              </w:rPr>
              <w:t>u.k.w.h</w:t>
            </w:r>
            <w:proofErr w:type="spellEnd"/>
            <w:r w:rsidRPr="00BD21D3">
              <w:rPr>
                <w:rFonts w:ascii="Lato" w:eastAsia="Arial" w:hAnsi="Lato" w:cs="Arial"/>
                <w:sz w:val="18"/>
                <w:szCs w:val="18"/>
              </w:rPr>
              <w:t xml:space="preserve">., ale nałoży na sądy wieczystoksięgowe zbędne obciążenia finansowe i obowiązki organizacyjne, które skutkować będą </w:t>
            </w:r>
            <w:r w:rsidRPr="00BD21D3">
              <w:rPr>
                <w:rFonts w:ascii="Lato" w:eastAsia="Arial" w:hAnsi="Lato" w:cs="Arial"/>
                <w:sz w:val="18"/>
                <w:szCs w:val="18"/>
              </w:rPr>
              <w:lastRenderedPageBreak/>
              <w:t xml:space="preserve">wydłużeniem postępowania w sprawach wieczystoksięgowych. </w:t>
            </w:r>
            <w:r w:rsidRPr="00BD21D3">
              <w:rPr>
                <w:rFonts w:ascii="Lato" w:eastAsia="Arial" w:hAnsi="Lato" w:cs="Arial"/>
                <w:b/>
                <w:bCs/>
                <w:sz w:val="18"/>
                <w:szCs w:val="18"/>
              </w:rPr>
              <w:t>Powołane przepisy nakładają na sądy wieczystoksięgowe nowe obowiązki organizacyjne i obciążenia finansowe, które stanowić będą wyłącznie zbędną protezę przed wprowadzeniem całościowych regulacji związanych z dopuszczeniem dokumentów elektronicznych jako podstawy wpisu w postępowaniu wieczystoksięgowym.</w:t>
            </w:r>
          </w:p>
          <w:p w14:paraId="2CAAF85E" w14:textId="77777777" w:rsidR="00DC63DB" w:rsidRPr="00BD21D3" w:rsidRDefault="00DC63DB" w:rsidP="00DC63DB">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W Ministerstwie Sprawiedliwości prowadzone są obecnie prace legislacyjne nad stworzeniem takiej całościowej regulacji, dotyczącej nadania dokumentom elektronicznym jednoznacznego statusu podstawy wpisu oraz stworzenia hybrydowych akt księgi wieczystej. Równolegle w Departamencie Informatyzacji i Rejestrów Sądowych Ministerstwa Sprawiedliwości prowadzone są prace analityczne i projektowe mające na celu stworzenie systemu teleinformatycznego umożliwiającego obsługę wniosków i dokumentów elektronicznych. Natomiast omawiany projekt nowelizacji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nakłada na sądy obowiązek drukowania dokumentów, które aktualnie przesyłane są do sądów w postaci papierowej, co wymaga zaangażowania szeregu sekretarzy sądowych i innych pracowników oraz zakupu specjalistycznych drukarek wielkoformatowych, przystosowanych do wydruku wyrysów z map katastralnych (parametry takich drukarek nie są przy tym określone). Dodatkowo należy zaznaczyć, że omawiany projekt ustawy przewiduje dla powołanego przepisu jedynie czternastodniowe </w:t>
            </w:r>
            <w:r w:rsidRPr="00BD21D3">
              <w:rPr>
                <w:rFonts w:ascii="Lato" w:eastAsia="Arial" w:hAnsi="Lato" w:cs="Arial"/>
                <w:i/>
                <w:iCs/>
                <w:sz w:val="18"/>
                <w:szCs w:val="18"/>
              </w:rPr>
              <w:t>vacatio legis,</w:t>
            </w:r>
            <w:r w:rsidRPr="00BD21D3">
              <w:rPr>
                <w:rFonts w:ascii="Lato" w:eastAsia="Arial" w:hAnsi="Lato" w:cs="Arial"/>
                <w:sz w:val="18"/>
                <w:szCs w:val="18"/>
              </w:rPr>
              <w:t xml:space="preserve"> w którym to czasie zakupy odpowiedniego sprzętu nie są możliwe. Ponadto, tak poważne wydatki z budżetu państwa na zakup ww. sprzętu wydają się nieuzasadnione w związku z perspektywą planów wprowadzenia w niedalekiej przyszłości akt elektronicznych (hybrydowych) księgi wieczystej, co spowoduje brak konieczności drukowania dokumentów przesyłanych do sądu przez </w:t>
            </w:r>
            <w:proofErr w:type="spellStart"/>
            <w:r w:rsidRPr="00BD21D3">
              <w:rPr>
                <w:rFonts w:ascii="Lato" w:eastAsia="Arial" w:hAnsi="Lato" w:cs="Arial"/>
                <w:sz w:val="18"/>
                <w:szCs w:val="18"/>
              </w:rPr>
              <w:t>ZSiN</w:t>
            </w:r>
            <w:proofErr w:type="spellEnd"/>
            <w:r w:rsidRPr="00BD21D3">
              <w:rPr>
                <w:rFonts w:ascii="Lato" w:eastAsia="Arial" w:hAnsi="Lato" w:cs="Arial"/>
                <w:sz w:val="18"/>
                <w:szCs w:val="18"/>
              </w:rPr>
              <w:t xml:space="preserve"> i brak potrzeby korzystania z tych urządzeń. W ciągu trzech kwartałów 2025 r. do wydziałów ksiąg wieczystych wpłynęło 3 947 764 sprawy, w tym spraw z zawiadomienia ewidencji gruntów i budynków w formie papierowej 1 124 547, co oznacza nałożenie </w:t>
            </w:r>
            <w:r w:rsidRPr="00BD21D3">
              <w:rPr>
                <w:rFonts w:ascii="Lato" w:eastAsia="Arial" w:hAnsi="Lato" w:cs="Arial"/>
                <w:b/>
                <w:bCs/>
                <w:sz w:val="18"/>
                <w:szCs w:val="18"/>
              </w:rPr>
              <w:t>na sekretariaty sądowe nowych obowiązków o charakterze technicznym w jednej trzeciej wpływających spraw</w:t>
            </w:r>
            <w:r w:rsidRPr="00BD21D3">
              <w:rPr>
                <w:rFonts w:ascii="Lato" w:eastAsia="Arial" w:hAnsi="Lato" w:cs="Arial"/>
                <w:sz w:val="18"/>
                <w:szCs w:val="18"/>
              </w:rPr>
              <w:t xml:space="preserve">. Konieczność </w:t>
            </w:r>
            <w:r w:rsidRPr="00BD21D3">
              <w:rPr>
                <w:rFonts w:ascii="Lato" w:eastAsia="Arial" w:hAnsi="Lato" w:cs="Arial"/>
                <w:sz w:val="18"/>
                <w:szCs w:val="18"/>
              </w:rPr>
              <w:lastRenderedPageBreak/>
              <w:t>wydrukowania w ponad milionie spraw kilku dokumentów nałoży na sądy (sędziów, asesorów i referendarzy sądowych) i na sekretariaty sądowe nowe zadania liczone w milionach. Powyższe z pewnością spowoduje paraliż i przewlekłość postępowania bez dodatkowego wzmocnienia kadry sądów przeznaczonych do dokonywania dodatkowych zadań, które nakłada na sądy projekt tej ustawy. W rezultacie czas związany z rejestracją zawiadomień z ewidencji gruntów i budynków wydłuży się w sposób bardzo znaczący, co całkowicie zniweczy efekt związany z implementacją aplikacji Masowej Rejestracji Zawiadomień, wprowadzonej w lipcu 2025 r. i w sposób całkowicie zbyteczny doprowadzi do wydłużenia postępowania w sprawach wieczystoksięgowych.</w:t>
            </w:r>
          </w:p>
          <w:p w14:paraId="3606E825" w14:textId="77777777" w:rsidR="00DC63DB" w:rsidRPr="00BD21D3" w:rsidRDefault="00DC63DB" w:rsidP="00DC63DB">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Dodatkowo proponowany przepis nakłada na sądy wieczystoksięgowe obowiązek orzekania na podstawie wydruków dokumentów, co sprzeczne jest z zasadą orzekania na podstawie oryginałów dokumentów, czy to w postaci papierowej, czy - w przyszłości - elektronicznej. Należy przy tym zaznaczyć, że projektowana ustawa nie wskazuje sposobu, w jaki sąd wieczystoksięgowy ma zapewnić zgodność wydruku z oryginałem dokumentu elektronicznego, skupiając się jedynie na technicznym opisie ich cech.</w:t>
            </w:r>
          </w:p>
          <w:p w14:paraId="64DB6D01" w14:textId="42049D8C" w:rsidR="00A1261B" w:rsidRPr="0037774A" w:rsidRDefault="00DC63DB" w:rsidP="00DC63DB">
            <w:pPr>
              <w:pStyle w:val="Inne0"/>
              <w:spacing w:before="120" w:after="120"/>
              <w:ind w:left="132" w:right="139"/>
              <w:rPr>
                <w:rFonts w:ascii="Lato" w:eastAsia="Arial" w:hAnsi="Lato" w:cs="Arial"/>
                <w:sz w:val="18"/>
                <w:szCs w:val="18"/>
              </w:rPr>
            </w:pPr>
            <w:r w:rsidRPr="00BD21D3">
              <w:rPr>
                <w:rFonts w:ascii="Lato" w:eastAsia="Arial" w:hAnsi="Lato" w:cs="Arial"/>
                <w:sz w:val="18"/>
                <w:szCs w:val="18"/>
                <w:u w:val="single"/>
              </w:rPr>
              <w:t xml:space="preserve">Wobec wszystkich powołanych okoliczności wnoszę o odstąpienie od wprowadzenia przepisu art. 1 pkt 25 projektu ustawy w całości jako prowadzącego do stanu niespójności z pozostałymi przepisami regulującymi postępowanie wieczystoksięgowe, w szczególności przepisem art. 27 ust. 2 i 3 </w:t>
            </w:r>
            <w:proofErr w:type="spellStart"/>
            <w:r w:rsidRPr="00BD21D3">
              <w:rPr>
                <w:rFonts w:ascii="Lato" w:eastAsia="Arial" w:hAnsi="Lato" w:cs="Arial"/>
                <w:sz w:val="18"/>
                <w:szCs w:val="18"/>
                <w:u w:val="single"/>
              </w:rPr>
              <w:t>u.k.w.h</w:t>
            </w:r>
            <w:proofErr w:type="spellEnd"/>
            <w:r w:rsidRPr="00BD21D3">
              <w:rPr>
                <w:rFonts w:ascii="Lato" w:eastAsia="Arial" w:hAnsi="Lato" w:cs="Arial"/>
                <w:sz w:val="18"/>
                <w:szCs w:val="18"/>
                <w:u w:val="single"/>
              </w:rPr>
              <w:t>. oraz nakładającego na sądy wieczystoksięgowe zbędne i nieproporcjonalne obciążenia finansowe i obowiązki organizacyjne, które skutkować będą wydłużenie postępowania w sprawach wieczystoksięgowych, a w niektórych przypadkach mogą być niemożliwe do zrealizowania.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50F1A1E5" w14:textId="77777777" w:rsidR="00A1261B" w:rsidRPr="0037774A" w:rsidRDefault="00A1261B" w:rsidP="0037774A">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5EF7E82E" w14:textId="77777777" w:rsidR="00A1261B" w:rsidRDefault="008954DE" w:rsidP="00783F8D">
            <w:pPr>
              <w:pStyle w:val="Inne0"/>
              <w:spacing w:before="120" w:after="120"/>
              <w:ind w:left="131" w:right="138"/>
              <w:rPr>
                <w:rFonts w:ascii="Lato" w:eastAsia="Arial" w:hAnsi="Lato" w:cs="Arial"/>
                <w:sz w:val="18"/>
                <w:szCs w:val="18"/>
              </w:rPr>
            </w:pPr>
            <w:r>
              <w:rPr>
                <w:rFonts w:ascii="Lato" w:eastAsia="Arial" w:hAnsi="Lato" w:cs="Arial"/>
                <w:sz w:val="18"/>
                <w:szCs w:val="18"/>
              </w:rPr>
              <w:t>Uwaga nie została uwzględniona.</w:t>
            </w:r>
          </w:p>
          <w:p w14:paraId="2DF155F9" w14:textId="77777777" w:rsidR="008954DE" w:rsidRDefault="008954DE" w:rsidP="00783F8D">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Ministerstwo Rozwoju i Technologii podtrzymuje stanowisko </w:t>
            </w:r>
            <w:r w:rsidR="004854EC">
              <w:rPr>
                <w:rFonts w:ascii="Lato" w:eastAsia="Arial" w:hAnsi="Lato" w:cs="Arial"/>
                <w:sz w:val="18"/>
                <w:szCs w:val="18"/>
              </w:rPr>
              <w:t>zawarte przy piśmie z 12 stycznia 2026 r., znak</w:t>
            </w:r>
            <w:r>
              <w:rPr>
                <w:rFonts w:ascii="Lato" w:eastAsia="Arial" w:hAnsi="Lato" w:cs="Arial"/>
                <w:sz w:val="18"/>
                <w:szCs w:val="18"/>
              </w:rPr>
              <w:t xml:space="preserve"> </w:t>
            </w:r>
            <w:r w:rsidR="004854EC" w:rsidRPr="004854EC">
              <w:rPr>
                <w:rFonts w:ascii="Lato" w:eastAsia="Arial" w:hAnsi="Lato" w:cs="Arial"/>
                <w:sz w:val="18"/>
                <w:szCs w:val="18"/>
              </w:rPr>
              <w:t>DAB-III.0210.1.2025</w:t>
            </w:r>
            <w:r w:rsidR="004854EC">
              <w:rPr>
                <w:rFonts w:ascii="Lato" w:eastAsia="Arial" w:hAnsi="Lato" w:cs="Arial"/>
                <w:sz w:val="18"/>
                <w:szCs w:val="18"/>
              </w:rPr>
              <w:t>.</w:t>
            </w:r>
          </w:p>
          <w:p w14:paraId="1E7BFEEF" w14:textId="0B56C57A" w:rsidR="004854EC" w:rsidRDefault="004854EC" w:rsidP="004854EC">
            <w:pPr>
              <w:pStyle w:val="Inne0"/>
              <w:spacing w:before="120" w:after="120"/>
              <w:ind w:left="131" w:right="138"/>
              <w:rPr>
                <w:rFonts w:ascii="Lato" w:hAnsi="Lato" w:cs="Calibri"/>
                <w:color w:val="auto"/>
                <w:sz w:val="18"/>
                <w:szCs w:val="18"/>
                <w:lang w:bidi="ar-SA"/>
              </w:rPr>
            </w:pPr>
            <w:r>
              <w:rPr>
                <w:rFonts w:ascii="Lato" w:eastAsia="Arial" w:hAnsi="Lato" w:cs="Arial"/>
                <w:sz w:val="18"/>
                <w:szCs w:val="18"/>
              </w:rPr>
              <w:t xml:space="preserve">W opinii projektodawcy </w:t>
            </w:r>
            <w:r w:rsidRPr="005A61A3">
              <w:rPr>
                <w:rFonts w:ascii="Lato" w:hAnsi="Lato" w:cs="Calibri"/>
                <w:color w:val="auto"/>
                <w:sz w:val="18"/>
                <w:szCs w:val="18"/>
                <w:lang w:bidi="ar-SA"/>
              </w:rPr>
              <w:t xml:space="preserve">w obowiązującym stanie prawnym </w:t>
            </w:r>
            <w:r>
              <w:rPr>
                <w:rFonts w:ascii="Lato" w:hAnsi="Lato" w:cs="Calibri"/>
                <w:color w:val="auto"/>
                <w:sz w:val="18"/>
                <w:szCs w:val="18"/>
                <w:lang w:bidi="ar-SA"/>
              </w:rPr>
              <w:t>brak jest</w:t>
            </w:r>
            <w:r w:rsidRPr="005A61A3">
              <w:rPr>
                <w:rFonts w:ascii="Lato" w:hAnsi="Lato" w:cs="Calibri"/>
                <w:color w:val="auto"/>
                <w:sz w:val="18"/>
                <w:szCs w:val="18"/>
                <w:lang w:bidi="ar-SA"/>
              </w:rPr>
              <w:t xml:space="preserve"> </w:t>
            </w:r>
            <w:r>
              <w:rPr>
                <w:rFonts w:ascii="Lato" w:hAnsi="Lato" w:cs="Calibri"/>
                <w:color w:val="auto"/>
                <w:sz w:val="18"/>
                <w:szCs w:val="18"/>
                <w:lang w:bidi="ar-SA"/>
              </w:rPr>
              <w:t>przepisów, które uniemożliwiałyby</w:t>
            </w:r>
            <w:r w:rsidRPr="005A61A3">
              <w:rPr>
                <w:rFonts w:ascii="Lato" w:hAnsi="Lato" w:cs="Calibri"/>
                <w:color w:val="auto"/>
                <w:sz w:val="18"/>
                <w:szCs w:val="18"/>
                <w:lang w:bidi="ar-SA"/>
              </w:rPr>
              <w:t xml:space="preserve"> dokonani</w:t>
            </w:r>
            <w:r>
              <w:rPr>
                <w:rFonts w:ascii="Lato" w:hAnsi="Lato" w:cs="Calibri"/>
                <w:color w:val="auto"/>
                <w:sz w:val="18"/>
                <w:szCs w:val="18"/>
                <w:lang w:bidi="ar-SA"/>
              </w:rPr>
              <w:t>e</w:t>
            </w:r>
            <w:r w:rsidRPr="005A61A3">
              <w:rPr>
                <w:rFonts w:ascii="Lato" w:hAnsi="Lato" w:cs="Calibri"/>
                <w:color w:val="auto"/>
                <w:sz w:val="18"/>
                <w:szCs w:val="18"/>
                <w:lang w:bidi="ar-SA"/>
              </w:rPr>
              <w:t xml:space="preserve"> wpisu w księdze wieczystej </w:t>
            </w:r>
            <w:r>
              <w:rPr>
                <w:rFonts w:ascii="Lato" w:hAnsi="Lato" w:cs="Calibri"/>
                <w:color w:val="auto"/>
                <w:sz w:val="18"/>
                <w:szCs w:val="18"/>
                <w:lang w:bidi="ar-SA"/>
              </w:rPr>
              <w:t xml:space="preserve">wyłącznie </w:t>
            </w:r>
            <w:r w:rsidRPr="005A61A3">
              <w:rPr>
                <w:rFonts w:ascii="Lato" w:hAnsi="Lato" w:cs="Calibri"/>
                <w:color w:val="auto"/>
                <w:sz w:val="18"/>
                <w:szCs w:val="18"/>
                <w:lang w:bidi="ar-SA"/>
              </w:rPr>
              <w:t xml:space="preserve">na podstawie dokumentów </w:t>
            </w:r>
            <w:r>
              <w:rPr>
                <w:rFonts w:ascii="Lato" w:hAnsi="Lato" w:cs="Calibri"/>
                <w:color w:val="auto"/>
                <w:sz w:val="18"/>
                <w:szCs w:val="18"/>
                <w:lang w:bidi="ar-SA"/>
              </w:rPr>
              <w:t xml:space="preserve">przesłanych do sądów rejonowych </w:t>
            </w:r>
            <w:r w:rsidRPr="005A61A3">
              <w:rPr>
                <w:rFonts w:ascii="Lato" w:hAnsi="Lato" w:cs="Calibri"/>
                <w:color w:val="auto"/>
                <w:sz w:val="18"/>
                <w:szCs w:val="18"/>
                <w:lang w:bidi="ar-SA"/>
              </w:rPr>
              <w:t xml:space="preserve">w postaci </w:t>
            </w:r>
            <w:r>
              <w:rPr>
                <w:rFonts w:ascii="Lato" w:hAnsi="Lato" w:cs="Calibri"/>
                <w:color w:val="auto"/>
                <w:sz w:val="18"/>
                <w:szCs w:val="18"/>
                <w:lang w:bidi="ar-SA"/>
              </w:rPr>
              <w:t xml:space="preserve">papierowej. </w:t>
            </w:r>
          </w:p>
          <w:p w14:paraId="15EFE99F" w14:textId="51FFCCB6" w:rsidR="004854EC" w:rsidRDefault="004854EC" w:rsidP="004854EC">
            <w:pPr>
              <w:pStyle w:val="Inne0"/>
              <w:spacing w:before="120" w:after="120"/>
              <w:ind w:left="131" w:right="138"/>
              <w:rPr>
                <w:rFonts w:ascii="Lato" w:eastAsia="Arial" w:hAnsi="Lato" w:cs="Arial"/>
                <w:sz w:val="18"/>
                <w:szCs w:val="18"/>
              </w:rPr>
            </w:pPr>
            <w:r>
              <w:rPr>
                <w:rFonts w:ascii="Lato" w:hAnsi="Lato" w:cs="Calibri"/>
                <w:color w:val="auto"/>
                <w:sz w:val="18"/>
                <w:szCs w:val="18"/>
                <w:lang w:bidi="ar-SA"/>
              </w:rPr>
              <w:t xml:space="preserve">Jak wskazano, przepisy </w:t>
            </w:r>
            <w:r w:rsidRPr="007512B7">
              <w:rPr>
                <w:rFonts w:ascii="Lato" w:eastAsia="Arial" w:hAnsi="Lato" w:cs="Arial"/>
                <w:sz w:val="18"/>
                <w:szCs w:val="18"/>
              </w:rPr>
              <w:t xml:space="preserve">ustawy z dnia 6 lipca 1982 r. o księgach wieczystych i hipotece </w:t>
            </w:r>
            <w:r w:rsidRPr="00C2557D">
              <w:rPr>
                <w:rFonts w:ascii="Lato" w:eastAsia="Arial" w:hAnsi="Lato" w:cs="Arial"/>
                <w:sz w:val="18"/>
                <w:szCs w:val="18"/>
              </w:rPr>
              <w:t>(Dz.U. z 2025 r. poz. 341</w:t>
            </w:r>
            <w:r>
              <w:rPr>
                <w:rFonts w:ascii="Lato" w:eastAsia="Arial" w:hAnsi="Lato" w:cs="Arial"/>
                <w:sz w:val="18"/>
                <w:szCs w:val="18"/>
              </w:rPr>
              <w:t xml:space="preserve">,  z </w:t>
            </w:r>
            <w:proofErr w:type="spellStart"/>
            <w:r>
              <w:rPr>
                <w:rFonts w:ascii="Lato" w:eastAsia="Arial" w:hAnsi="Lato" w:cs="Arial"/>
                <w:sz w:val="18"/>
                <w:szCs w:val="18"/>
              </w:rPr>
              <w:t>późn</w:t>
            </w:r>
            <w:proofErr w:type="spellEnd"/>
            <w:r>
              <w:rPr>
                <w:rFonts w:ascii="Lato" w:eastAsia="Arial" w:hAnsi="Lato" w:cs="Arial"/>
                <w:sz w:val="18"/>
                <w:szCs w:val="18"/>
              </w:rPr>
              <w:t>. zm.</w:t>
            </w:r>
            <w:r w:rsidRPr="00C2557D">
              <w:rPr>
                <w:rFonts w:ascii="Lato" w:eastAsia="Arial" w:hAnsi="Lato" w:cs="Arial"/>
                <w:sz w:val="18"/>
                <w:szCs w:val="18"/>
              </w:rPr>
              <w:t>)</w:t>
            </w:r>
            <w:r>
              <w:rPr>
                <w:rFonts w:ascii="Lato" w:eastAsia="Arial" w:hAnsi="Lato" w:cs="Arial"/>
                <w:sz w:val="18"/>
                <w:szCs w:val="18"/>
              </w:rPr>
              <w:t>, w szczególności art. 25</w:t>
            </w:r>
            <w:r w:rsidRPr="00C2557D">
              <w:rPr>
                <w:rFonts w:ascii="Lato" w:eastAsia="Arial" w:hAnsi="Lato" w:cs="Arial"/>
                <w:sz w:val="18"/>
                <w:szCs w:val="18"/>
                <w:vertAlign w:val="superscript"/>
              </w:rPr>
              <w:t>1</w:t>
            </w:r>
            <w:r>
              <w:rPr>
                <w:rFonts w:ascii="Lato" w:eastAsia="Arial" w:hAnsi="Lato" w:cs="Arial"/>
                <w:sz w:val="18"/>
                <w:szCs w:val="18"/>
              </w:rPr>
              <w:t>, art. 28, art. 36</w:t>
            </w:r>
            <w:r w:rsidRPr="00C2557D">
              <w:rPr>
                <w:rFonts w:ascii="Lato" w:eastAsia="Arial" w:hAnsi="Lato" w:cs="Arial"/>
                <w:sz w:val="18"/>
                <w:szCs w:val="18"/>
                <w:vertAlign w:val="superscript"/>
              </w:rPr>
              <w:t>1</w:t>
            </w:r>
            <w:r>
              <w:rPr>
                <w:rFonts w:ascii="Lato" w:eastAsia="Arial" w:hAnsi="Lato" w:cs="Arial"/>
                <w:sz w:val="18"/>
                <w:szCs w:val="18"/>
                <w:vertAlign w:val="superscript"/>
              </w:rPr>
              <w:t xml:space="preserve"> </w:t>
            </w:r>
            <w:r>
              <w:rPr>
                <w:rFonts w:ascii="Lato" w:eastAsia="Arial" w:hAnsi="Lato" w:cs="Arial"/>
                <w:sz w:val="18"/>
                <w:szCs w:val="18"/>
              </w:rPr>
              <w:t xml:space="preserve">tej ustawy, nie narzucają obowiązku prowadzenia akt księgi wieczystej w postaci papierowej a sama ustawa </w:t>
            </w:r>
            <w:r>
              <w:rPr>
                <w:rFonts w:ascii="Lato" w:eastAsia="Arial" w:hAnsi="Lato" w:cs="Arial"/>
                <w:sz w:val="18"/>
                <w:szCs w:val="18"/>
              </w:rPr>
              <w:lastRenderedPageBreak/>
              <w:t>powyższa nie ogranicza w tym zakresie możliwości przekazywania dokumentów w postaci cyfrowej. Ponadto zgodnie z art. 31 ust. 1 ww. ustawy przepisy szczególne mogą określać formę dokumentu stanowiącego podstawę wpisu do księgi wieczystej</w:t>
            </w:r>
            <w:r w:rsidRPr="00C2557D">
              <w:rPr>
                <w:rFonts w:ascii="Lato" w:eastAsia="Arial" w:hAnsi="Lato" w:cs="Arial"/>
                <w:sz w:val="18"/>
                <w:szCs w:val="18"/>
              </w:rPr>
              <w:t>.</w:t>
            </w:r>
            <w:r>
              <w:rPr>
                <w:rFonts w:ascii="Lato" w:eastAsia="Arial" w:hAnsi="Lato" w:cs="Arial"/>
                <w:sz w:val="18"/>
                <w:szCs w:val="18"/>
              </w:rPr>
              <w:t xml:space="preserve"> W związku z powyższym projektowane przepisy nie powodują wyłomu w obowiązującym stanie prawnym. Wręcz przeciwnie zgodnie z obowiązującym § 35 ust. 4 rozporządzenia </w:t>
            </w:r>
            <w:r w:rsidRPr="009D1BDD">
              <w:rPr>
                <w:rFonts w:ascii="Lato" w:eastAsia="Arial" w:hAnsi="Lato" w:cs="Arial"/>
                <w:sz w:val="18"/>
                <w:szCs w:val="18"/>
              </w:rPr>
              <w:t>z dnia 27 lipca 2021 r.</w:t>
            </w:r>
            <w:r>
              <w:rPr>
                <w:rFonts w:ascii="Lato" w:eastAsia="Arial" w:hAnsi="Lato" w:cs="Arial"/>
                <w:sz w:val="18"/>
                <w:szCs w:val="18"/>
              </w:rPr>
              <w:t xml:space="preserve"> </w:t>
            </w:r>
            <w:r w:rsidRPr="009D1BDD">
              <w:rPr>
                <w:rFonts w:ascii="Lato" w:eastAsia="Arial" w:hAnsi="Lato" w:cs="Arial"/>
                <w:sz w:val="18"/>
                <w:szCs w:val="18"/>
              </w:rPr>
              <w:t>w sprawie ewidencji gruntów i budynków</w:t>
            </w:r>
            <w:r>
              <w:rPr>
                <w:rFonts w:ascii="Lato" w:eastAsia="Arial" w:hAnsi="Lato" w:cs="Arial"/>
                <w:sz w:val="18"/>
                <w:szCs w:val="18"/>
              </w:rPr>
              <w:t xml:space="preserve"> – już od 2021 r. przepisy prawa zakładały, że z</w:t>
            </w:r>
            <w:r w:rsidRPr="009D1BDD">
              <w:rPr>
                <w:rFonts w:ascii="Lato" w:eastAsia="Arial" w:hAnsi="Lato" w:cs="Arial"/>
                <w:sz w:val="18"/>
                <w:szCs w:val="18"/>
              </w:rPr>
              <w:t>awiadomienia</w:t>
            </w:r>
            <w:r>
              <w:rPr>
                <w:rFonts w:ascii="Lato" w:eastAsia="Arial" w:hAnsi="Lato" w:cs="Arial"/>
                <w:sz w:val="18"/>
                <w:szCs w:val="18"/>
              </w:rPr>
              <w:t xml:space="preserve"> o dokonanych zmianach w danych ewidencyjnych </w:t>
            </w:r>
            <w:r w:rsidRPr="009D1BDD">
              <w:rPr>
                <w:rFonts w:ascii="Lato" w:eastAsia="Arial" w:hAnsi="Lato" w:cs="Arial"/>
                <w:sz w:val="18"/>
                <w:szCs w:val="18"/>
              </w:rPr>
              <w:t>sporządza się w postaci dokumentu elektronicznego i doręcza się</w:t>
            </w:r>
            <w:r>
              <w:rPr>
                <w:rFonts w:ascii="Lato" w:eastAsia="Arial" w:hAnsi="Lato" w:cs="Arial"/>
                <w:sz w:val="18"/>
                <w:szCs w:val="18"/>
              </w:rPr>
              <w:t xml:space="preserve"> do </w:t>
            </w:r>
            <w:r w:rsidRPr="009D1BDD">
              <w:rPr>
                <w:rFonts w:ascii="Lato" w:eastAsia="Arial" w:hAnsi="Lato" w:cs="Arial"/>
                <w:sz w:val="18"/>
                <w:szCs w:val="18"/>
              </w:rPr>
              <w:t>wydział</w:t>
            </w:r>
            <w:r>
              <w:rPr>
                <w:rFonts w:ascii="Lato" w:eastAsia="Arial" w:hAnsi="Lato" w:cs="Arial"/>
                <w:sz w:val="18"/>
                <w:szCs w:val="18"/>
              </w:rPr>
              <w:t>ów</w:t>
            </w:r>
            <w:r w:rsidRPr="009D1BDD">
              <w:rPr>
                <w:rFonts w:ascii="Lato" w:eastAsia="Arial" w:hAnsi="Lato" w:cs="Arial"/>
                <w:sz w:val="18"/>
                <w:szCs w:val="18"/>
              </w:rPr>
              <w:t xml:space="preserve"> ksiąg wieczystych właściwego miejscowo sądu rejonowego - </w:t>
            </w:r>
            <w:r>
              <w:rPr>
                <w:rFonts w:ascii="Lato" w:eastAsia="Arial" w:hAnsi="Lato" w:cs="Arial"/>
                <w:sz w:val="18"/>
                <w:szCs w:val="18"/>
              </w:rPr>
              <w:t>poprzez zintegrowany system informacji o nieruchomościach (ZSIN)</w:t>
            </w:r>
            <w:r w:rsidRPr="009D1BDD">
              <w:rPr>
                <w:rFonts w:ascii="Lato" w:eastAsia="Arial" w:hAnsi="Lato" w:cs="Arial"/>
                <w:sz w:val="18"/>
                <w:szCs w:val="18"/>
              </w:rPr>
              <w:t>.</w:t>
            </w:r>
          </w:p>
          <w:p w14:paraId="5FE2B45E" w14:textId="499D1479" w:rsidR="004854EC" w:rsidRPr="004854EC" w:rsidRDefault="004854EC" w:rsidP="004854EC">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Niezrozumiałym jest również stwierdzenie, że </w:t>
            </w:r>
            <w:r w:rsidR="00DC59A3">
              <w:rPr>
                <w:rFonts w:ascii="Lato" w:eastAsia="Arial" w:hAnsi="Lato" w:cs="Arial"/>
                <w:sz w:val="18"/>
                <w:szCs w:val="18"/>
              </w:rPr>
              <w:t>proponowane rozwiązania</w:t>
            </w:r>
            <w:r w:rsidRPr="004854EC">
              <w:rPr>
                <w:rFonts w:ascii="Lato" w:eastAsia="Arial" w:hAnsi="Lato" w:cs="Arial"/>
                <w:i/>
                <w:iCs/>
                <w:sz w:val="18"/>
                <w:szCs w:val="18"/>
              </w:rPr>
              <w:t xml:space="preserve"> pozostaje w oczywistej sprzeczności z art. 27 ust. 2 i 3 ustawy z dnia 6 lipca 1982 r. o księgach wieczystych i hipotece (dalej: </w:t>
            </w:r>
            <w:proofErr w:type="spellStart"/>
            <w:r w:rsidRPr="004854EC">
              <w:rPr>
                <w:rFonts w:ascii="Lato" w:eastAsia="Arial" w:hAnsi="Lato" w:cs="Arial"/>
                <w:i/>
                <w:iCs/>
                <w:sz w:val="18"/>
                <w:szCs w:val="18"/>
              </w:rPr>
              <w:t>u.k.w.h</w:t>
            </w:r>
            <w:proofErr w:type="spellEnd"/>
            <w:r w:rsidRPr="004854EC">
              <w:rPr>
                <w:rFonts w:ascii="Lato" w:eastAsia="Arial" w:hAnsi="Lato" w:cs="Arial"/>
                <w:i/>
                <w:iCs/>
                <w:sz w:val="18"/>
                <w:szCs w:val="18"/>
              </w:rPr>
              <w:t xml:space="preserve">.), które jednoznacznie rozróżniają zawiadomienie jednostki prowadzącej kataster nieruchomości - jako przesłankę wszczęcia postępowania z urzędu - oraz wypis z operatu katastralnego, </w:t>
            </w:r>
            <w:proofErr w:type="spellStart"/>
            <w:r w:rsidRPr="004854EC">
              <w:rPr>
                <w:rFonts w:ascii="Lato" w:eastAsia="Arial" w:hAnsi="Lato" w:cs="Arial"/>
                <w:i/>
                <w:iCs/>
                <w:sz w:val="18"/>
                <w:szCs w:val="18"/>
              </w:rPr>
              <w:t>wyrys</w:t>
            </w:r>
            <w:proofErr w:type="spellEnd"/>
            <w:r w:rsidRPr="004854EC">
              <w:rPr>
                <w:rFonts w:ascii="Lato" w:eastAsia="Arial" w:hAnsi="Lato" w:cs="Arial"/>
                <w:i/>
                <w:iCs/>
                <w:sz w:val="18"/>
                <w:szCs w:val="18"/>
              </w:rPr>
              <w:t xml:space="preserve"> z mapy katastralnej lub inny dokument - jako wyłączną podstawę sprostowania oznaczenia nieruchomości w księdze wieczystej</w:t>
            </w:r>
            <w:r>
              <w:rPr>
                <w:rFonts w:ascii="Lato" w:eastAsia="Arial" w:hAnsi="Lato" w:cs="Arial"/>
                <w:i/>
                <w:iCs/>
                <w:sz w:val="18"/>
                <w:szCs w:val="18"/>
              </w:rPr>
              <w:t>.</w:t>
            </w:r>
            <w:r>
              <w:rPr>
                <w:rFonts w:ascii="Lato" w:eastAsia="Arial" w:hAnsi="Lato" w:cs="Arial"/>
                <w:sz w:val="18"/>
                <w:szCs w:val="18"/>
              </w:rPr>
              <w:t xml:space="preserve"> Należy wskazać, że powołane powyżej przepisy stanowią</w:t>
            </w:r>
            <w:r w:rsidR="00DC59A3">
              <w:rPr>
                <w:rFonts w:ascii="Lato" w:eastAsia="Arial" w:hAnsi="Lato" w:cs="Arial"/>
                <w:sz w:val="18"/>
                <w:szCs w:val="18"/>
              </w:rPr>
              <w:t xml:space="preserve"> wręcz</w:t>
            </w:r>
            <w:r>
              <w:rPr>
                <w:rFonts w:ascii="Lato" w:eastAsia="Arial" w:hAnsi="Lato" w:cs="Arial"/>
                <w:sz w:val="18"/>
                <w:szCs w:val="18"/>
              </w:rPr>
              <w:t xml:space="preserve"> potwierdzenie zgodności proponowanych w projekcie ustawy regulacji z przepisami dotyczącymi prowadzenia ksiąg wieczystych. W ww. przepisach art. 27 ust. 2 i 3 </w:t>
            </w:r>
            <w:r w:rsidR="00DC59A3">
              <w:rPr>
                <w:rFonts w:ascii="Lato" w:eastAsia="Arial" w:hAnsi="Lato" w:cs="Arial"/>
                <w:sz w:val="18"/>
                <w:szCs w:val="18"/>
              </w:rPr>
              <w:t xml:space="preserve">ustawy </w:t>
            </w:r>
            <w:r w:rsidR="00DC59A3" w:rsidRPr="00DC59A3">
              <w:rPr>
                <w:rFonts w:ascii="Lato" w:eastAsia="Arial" w:hAnsi="Lato" w:cs="Arial"/>
                <w:sz w:val="18"/>
                <w:szCs w:val="18"/>
              </w:rPr>
              <w:t xml:space="preserve">o księgach wieczystych i hipotece </w:t>
            </w:r>
            <w:r>
              <w:rPr>
                <w:rFonts w:ascii="Lato" w:eastAsia="Arial" w:hAnsi="Lato" w:cs="Arial"/>
                <w:sz w:val="18"/>
                <w:szCs w:val="18"/>
              </w:rPr>
              <w:t xml:space="preserve">nie ma bowiem ani słowa o </w:t>
            </w:r>
            <w:r w:rsidR="00DC59A3">
              <w:rPr>
                <w:rFonts w:ascii="Lato" w:eastAsia="Arial" w:hAnsi="Lato" w:cs="Arial"/>
                <w:sz w:val="18"/>
                <w:szCs w:val="18"/>
              </w:rPr>
              <w:t xml:space="preserve">wymaganej </w:t>
            </w:r>
            <w:r>
              <w:rPr>
                <w:rFonts w:ascii="Lato" w:eastAsia="Arial" w:hAnsi="Lato" w:cs="Arial"/>
                <w:sz w:val="18"/>
                <w:szCs w:val="18"/>
              </w:rPr>
              <w:t>formie (papierowej czy elektronicznej) przekazywan</w:t>
            </w:r>
            <w:r w:rsidR="00DC59A3">
              <w:rPr>
                <w:rFonts w:ascii="Lato" w:eastAsia="Arial" w:hAnsi="Lato" w:cs="Arial"/>
                <w:sz w:val="18"/>
                <w:szCs w:val="18"/>
              </w:rPr>
              <w:t>ych do sądu z ewidencji gruntów i budynków dokumentów. Brak ograniczenia przez ustawodawcę w ww. przepisach formy przekazywania zawiadomień oraz wpisów i wyrysów z operatu ewidencyjnego wyłącznie do postaci papierowej, wskazuje, że przekazywanie dokumentów może również być dokonywane w formie elektronicznej.</w:t>
            </w:r>
            <w:r>
              <w:rPr>
                <w:rFonts w:ascii="Lato" w:eastAsia="Arial" w:hAnsi="Lato" w:cs="Arial"/>
                <w:sz w:val="18"/>
                <w:szCs w:val="18"/>
              </w:rPr>
              <w:t xml:space="preserve"> </w:t>
            </w:r>
          </w:p>
          <w:p w14:paraId="2FE24796" w14:textId="18A0253E" w:rsidR="004854EC" w:rsidRPr="00DC59A3" w:rsidRDefault="00DC59A3" w:rsidP="004854EC">
            <w:pPr>
              <w:pStyle w:val="Inne0"/>
              <w:spacing w:before="120" w:after="120"/>
              <w:ind w:left="131" w:right="138"/>
              <w:rPr>
                <w:rFonts w:ascii="Lato" w:eastAsia="Arial" w:hAnsi="Lato" w:cs="Arial"/>
                <w:sz w:val="18"/>
                <w:szCs w:val="18"/>
              </w:rPr>
            </w:pPr>
            <w:r>
              <w:rPr>
                <w:rFonts w:ascii="Lato" w:eastAsia="Arial" w:hAnsi="Lato" w:cs="Arial"/>
                <w:sz w:val="18"/>
                <w:szCs w:val="18"/>
              </w:rPr>
              <w:t>Potwierdzeniem tego są</w:t>
            </w:r>
            <w:r w:rsidR="004854EC">
              <w:rPr>
                <w:rFonts w:ascii="Lato" w:eastAsia="Arial" w:hAnsi="Lato" w:cs="Arial"/>
                <w:sz w:val="18"/>
                <w:szCs w:val="18"/>
              </w:rPr>
              <w:t xml:space="preserve"> przepisy </w:t>
            </w:r>
            <w:r>
              <w:rPr>
                <w:rFonts w:ascii="Lato" w:eastAsia="Arial" w:hAnsi="Lato" w:cs="Arial"/>
                <w:sz w:val="18"/>
                <w:szCs w:val="18"/>
              </w:rPr>
              <w:t>obowiązującego</w:t>
            </w:r>
            <w:r w:rsidR="004854EC" w:rsidRPr="009D1BDD">
              <w:rPr>
                <w:rFonts w:ascii="Lato" w:eastAsia="Arial" w:hAnsi="Lato" w:cs="Arial"/>
                <w:sz w:val="18"/>
                <w:szCs w:val="18"/>
              </w:rPr>
              <w:t xml:space="preserve"> zarządzenia </w:t>
            </w:r>
            <w:r w:rsidR="004854EC">
              <w:rPr>
                <w:rFonts w:ascii="Lato" w:eastAsia="Arial" w:hAnsi="Lato" w:cs="Arial"/>
                <w:sz w:val="18"/>
                <w:szCs w:val="18"/>
              </w:rPr>
              <w:t>M</w:t>
            </w:r>
            <w:r w:rsidR="004854EC" w:rsidRPr="009D1BDD">
              <w:rPr>
                <w:rFonts w:ascii="Lato" w:eastAsia="Arial" w:hAnsi="Lato" w:cs="Arial"/>
                <w:sz w:val="18"/>
                <w:szCs w:val="18"/>
              </w:rPr>
              <w:t xml:space="preserve">inistra </w:t>
            </w:r>
            <w:r w:rsidR="004854EC">
              <w:rPr>
                <w:rFonts w:ascii="Lato" w:eastAsia="Arial" w:hAnsi="Lato" w:cs="Arial"/>
                <w:sz w:val="18"/>
                <w:szCs w:val="18"/>
              </w:rPr>
              <w:t>S</w:t>
            </w:r>
            <w:r w:rsidR="004854EC" w:rsidRPr="009D1BDD">
              <w:rPr>
                <w:rFonts w:ascii="Lato" w:eastAsia="Arial" w:hAnsi="Lato" w:cs="Arial"/>
                <w:sz w:val="18"/>
                <w:szCs w:val="18"/>
              </w:rPr>
              <w:t xml:space="preserve">prawiedliwości z 19 czerwca 2019 r. </w:t>
            </w:r>
            <w:hyperlink r:id="rId8" w:tgtFrame="_blank" w:history="1">
              <w:r w:rsidR="004854EC" w:rsidRPr="009D1BDD">
                <w:rPr>
                  <w:rFonts w:ascii="Lato" w:eastAsia="Arial" w:hAnsi="Lato" w:cs="Arial"/>
                  <w:sz w:val="18"/>
                  <w:szCs w:val="18"/>
                </w:rPr>
                <w:t>w sprawie organizacji i zakresu działania sekretariatów sądowych oraz innych działów administracji sądowej</w:t>
              </w:r>
            </w:hyperlink>
            <w:r w:rsidR="004854EC">
              <w:rPr>
                <w:rFonts w:ascii="Lato" w:eastAsia="Arial" w:hAnsi="Lato" w:cs="Arial"/>
                <w:sz w:val="18"/>
                <w:szCs w:val="18"/>
              </w:rPr>
              <w:t xml:space="preserve"> (Dz.U. M.S. poz. 138), które w § 259 i </w:t>
            </w:r>
            <w:r w:rsidR="004854EC" w:rsidRPr="009D1BDD">
              <w:rPr>
                <w:rFonts w:ascii="Lato" w:eastAsia="Arial" w:hAnsi="Lato" w:cs="Arial"/>
                <w:sz w:val="18"/>
                <w:szCs w:val="18"/>
              </w:rPr>
              <w:t>§ 267 ust. 5 jasno wskazują, że</w:t>
            </w:r>
            <w:r w:rsidR="004854EC">
              <w:rPr>
                <w:rFonts w:ascii="Lato" w:eastAsia="Arial" w:hAnsi="Lato" w:cs="Arial"/>
                <w:sz w:val="18"/>
                <w:szCs w:val="18"/>
              </w:rPr>
              <w:t xml:space="preserve"> z</w:t>
            </w:r>
            <w:r w:rsidR="004854EC" w:rsidRPr="009D1BDD">
              <w:rPr>
                <w:rFonts w:ascii="Lato" w:eastAsia="Arial" w:hAnsi="Lato" w:cs="Arial"/>
                <w:sz w:val="18"/>
                <w:szCs w:val="18"/>
              </w:rPr>
              <w:t xml:space="preserve">awiadomienia o zmianie danych w </w:t>
            </w:r>
            <w:r w:rsidR="004854EC">
              <w:rPr>
                <w:rFonts w:ascii="Lato" w:eastAsia="Arial" w:hAnsi="Lato" w:cs="Arial"/>
                <w:sz w:val="18"/>
                <w:szCs w:val="18"/>
              </w:rPr>
              <w:t>ewidencji gruntów i budynków</w:t>
            </w:r>
            <w:r w:rsidR="004854EC" w:rsidRPr="009D1BDD">
              <w:rPr>
                <w:rFonts w:ascii="Lato" w:eastAsia="Arial" w:hAnsi="Lato" w:cs="Arial"/>
                <w:sz w:val="18"/>
                <w:szCs w:val="18"/>
              </w:rPr>
              <w:t xml:space="preserve">, przekazywane w formie dokumentów elektronicznych w ramach infrastruktury </w:t>
            </w:r>
            <w:r w:rsidR="004854EC">
              <w:rPr>
                <w:rFonts w:ascii="Lato" w:eastAsia="Arial" w:hAnsi="Lato" w:cs="Arial"/>
                <w:sz w:val="18"/>
                <w:szCs w:val="18"/>
              </w:rPr>
              <w:lastRenderedPageBreak/>
              <w:t xml:space="preserve">ZSIN powinny być </w:t>
            </w:r>
            <w:r w:rsidR="004854EC" w:rsidRPr="009D1BDD">
              <w:rPr>
                <w:rFonts w:ascii="Lato" w:eastAsia="Arial" w:hAnsi="Lato" w:cs="Arial"/>
                <w:sz w:val="18"/>
                <w:szCs w:val="18"/>
              </w:rPr>
              <w:t>automatycznie rejestrowane pod kolejnymi numerami dziennika</w:t>
            </w:r>
            <w:r w:rsidR="004854EC">
              <w:rPr>
                <w:rFonts w:ascii="Lato" w:eastAsia="Arial" w:hAnsi="Lato" w:cs="Arial"/>
                <w:sz w:val="18"/>
                <w:szCs w:val="18"/>
              </w:rPr>
              <w:t xml:space="preserve"> i </w:t>
            </w:r>
            <w:r w:rsidR="004854EC" w:rsidRPr="009D1BDD">
              <w:rPr>
                <w:rFonts w:ascii="Lato" w:eastAsia="Arial" w:hAnsi="Lato" w:cs="Arial"/>
                <w:sz w:val="18"/>
                <w:szCs w:val="18"/>
              </w:rPr>
              <w:t xml:space="preserve">dokumenty </w:t>
            </w:r>
            <w:r w:rsidR="004854EC">
              <w:rPr>
                <w:rFonts w:ascii="Lato" w:eastAsia="Arial" w:hAnsi="Lato" w:cs="Arial"/>
                <w:sz w:val="18"/>
                <w:szCs w:val="18"/>
              </w:rPr>
              <w:t>te</w:t>
            </w:r>
            <w:r w:rsidR="004854EC" w:rsidRPr="009D1BDD">
              <w:rPr>
                <w:rFonts w:ascii="Lato" w:eastAsia="Arial" w:hAnsi="Lato" w:cs="Arial"/>
                <w:sz w:val="18"/>
                <w:szCs w:val="18"/>
              </w:rPr>
              <w:t xml:space="preserve"> podlegają niezwłocznemu wydrukowaniu i dołączeniu w porządku chronologicznym do akt właściwej księgi wieczystej</w:t>
            </w:r>
            <w:r w:rsidR="004854EC">
              <w:rPr>
                <w:rFonts w:ascii="Lato" w:eastAsia="Arial" w:hAnsi="Lato" w:cs="Arial"/>
                <w:sz w:val="18"/>
                <w:szCs w:val="18"/>
              </w:rPr>
              <w:t xml:space="preserve">. Powyższe zarządzenie zostało wydane na podstawie ustawy </w:t>
            </w:r>
            <w:r w:rsidR="004854EC" w:rsidRPr="00F16BFF">
              <w:rPr>
                <w:rFonts w:ascii="Lato" w:eastAsia="Arial" w:hAnsi="Lato" w:cs="Arial"/>
                <w:sz w:val="18"/>
                <w:szCs w:val="18"/>
              </w:rPr>
              <w:t>z dnia 27 lipca 2001 r. – Prawo o ustroju sądów powszechnych</w:t>
            </w:r>
            <w:r w:rsidR="004854EC">
              <w:rPr>
                <w:rFonts w:ascii="Lato" w:eastAsia="Arial" w:hAnsi="Lato" w:cs="Arial"/>
                <w:sz w:val="18"/>
                <w:szCs w:val="18"/>
              </w:rPr>
              <w:t>, które reguluje funkcjonowanie i organizację sądów wieczysto-księgowych.</w:t>
            </w:r>
            <w:r>
              <w:rPr>
                <w:rFonts w:ascii="Lato" w:eastAsia="Arial" w:hAnsi="Lato" w:cs="Arial"/>
                <w:sz w:val="18"/>
                <w:szCs w:val="18"/>
              </w:rPr>
              <w:t xml:space="preserve"> Gdyby przepisy ustawy </w:t>
            </w:r>
            <w:r w:rsidRPr="00DC59A3">
              <w:rPr>
                <w:rFonts w:ascii="Lato" w:eastAsia="Arial" w:hAnsi="Lato" w:cs="Arial"/>
                <w:sz w:val="18"/>
                <w:szCs w:val="18"/>
              </w:rPr>
              <w:t>o księgach wieczystych i hipotece</w:t>
            </w:r>
            <w:r>
              <w:rPr>
                <w:rFonts w:ascii="Lato" w:eastAsia="Arial" w:hAnsi="Lato" w:cs="Arial"/>
                <w:sz w:val="18"/>
                <w:szCs w:val="18"/>
              </w:rPr>
              <w:t xml:space="preserve"> nie dopuszczały elektronicznej formy przekazywania dokumentów będących podstawą wpisów w księgach wieczystych – Minister Sprawiedliwości nie zawarłby powyższych wytycznych w zarządzeniu regulującym </w:t>
            </w:r>
            <w:hyperlink r:id="rId9" w:tgtFrame="_blank" w:history="1">
              <w:r w:rsidRPr="009D1BDD">
                <w:rPr>
                  <w:rFonts w:ascii="Lato" w:eastAsia="Arial" w:hAnsi="Lato" w:cs="Arial"/>
                  <w:sz w:val="18"/>
                  <w:szCs w:val="18"/>
                </w:rPr>
                <w:t xml:space="preserve"> organizacj</w:t>
              </w:r>
              <w:r>
                <w:rPr>
                  <w:rFonts w:ascii="Lato" w:eastAsia="Arial" w:hAnsi="Lato" w:cs="Arial"/>
                  <w:sz w:val="18"/>
                  <w:szCs w:val="18"/>
                </w:rPr>
                <w:t>ę</w:t>
              </w:r>
              <w:r w:rsidRPr="009D1BDD">
                <w:rPr>
                  <w:rFonts w:ascii="Lato" w:eastAsia="Arial" w:hAnsi="Lato" w:cs="Arial"/>
                  <w:sz w:val="18"/>
                  <w:szCs w:val="18"/>
                </w:rPr>
                <w:t xml:space="preserve"> i zakres działania sekretariatów sądowych oraz innych działów administracji sądowej</w:t>
              </w:r>
            </w:hyperlink>
            <w:r w:rsidRPr="00DC59A3">
              <w:rPr>
                <w:rFonts w:ascii="Lato" w:eastAsia="Arial" w:hAnsi="Lato" w:cs="Arial"/>
                <w:sz w:val="18"/>
                <w:szCs w:val="18"/>
              </w:rPr>
              <w:t xml:space="preserve">. </w:t>
            </w:r>
          </w:p>
          <w:p w14:paraId="646CC668" w14:textId="42C1AB11" w:rsidR="00DC59A3" w:rsidRDefault="00DC59A3" w:rsidP="004854EC">
            <w:pPr>
              <w:pStyle w:val="Inne0"/>
              <w:spacing w:before="120" w:after="120"/>
              <w:ind w:left="131" w:right="138"/>
              <w:rPr>
                <w:rFonts w:ascii="Lato" w:eastAsia="Arial" w:hAnsi="Lato" w:cs="Arial"/>
                <w:sz w:val="18"/>
                <w:szCs w:val="18"/>
              </w:rPr>
            </w:pPr>
            <w:r w:rsidRPr="00DC59A3">
              <w:rPr>
                <w:rFonts w:ascii="Lato" w:eastAsia="Arial" w:hAnsi="Lato" w:cs="Arial"/>
                <w:sz w:val="18"/>
                <w:szCs w:val="18"/>
              </w:rPr>
              <w:t xml:space="preserve">Nie znajduje również potwierdzenia w opinii projektodawcy zarzut, że </w:t>
            </w:r>
            <w:r>
              <w:rPr>
                <w:rFonts w:ascii="Lato" w:eastAsia="Arial" w:hAnsi="Lato" w:cs="Arial"/>
                <w:sz w:val="18"/>
                <w:szCs w:val="18"/>
              </w:rPr>
              <w:t>w</w:t>
            </w:r>
            <w:r w:rsidRPr="00DC59A3">
              <w:rPr>
                <w:rFonts w:ascii="Lato" w:eastAsia="Arial" w:hAnsi="Lato" w:cs="Arial"/>
                <w:sz w:val="18"/>
                <w:szCs w:val="18"/>
              </w:rPr>
              <w:t xml:space="preserve"> przypadku dokumentów urzędowych podstawę wpisu w księdze wieczystej stanowi oryginał takiego dokumentu albo jego urzędowy odpis sporządzony zgodnie z art. 250 § 1 </w:t>
            </w:r>
            <w:r w:rsidR="00605526">
              <w:rPr>
                <w:rFonts w:ascii="Lato" w:eastAsia="Arial" w:hAnsi="Lato" w:cs="Arial"/>
                <w:sz w:val="18"/>
                <w:szCs w:val="18"/>
              </w:rPr>
              <w:t>kodeksu postępowania cywilnego</w:t>
            </w:r>
            <w:r w:rsidRPr="00DC59A3">
              <w:rPr>
                <w:rFonts w:ascii="Lato" w:eastAsia="Arial" w:hAnsi="Lato" w:cs="Arial"/>
                <w:sz w:val="18"/>
                <w:szCs w:val="18"/>
              </w:rPr>
              <w:t>.</w:t>
            </w:r>
            <w:r w:rsidR="00605526">
              <w:rPr>
                <w:rFonts w:ascii="Lato" w:eastAsia="Arial" w:hAnsi="Lato" w:cs="Arial"/>
                <w:sz w:val="18"/>
                <w:szCs w:val="18"/>
              </w:rPr>
              <w:t xml:space="preserve"> Po pierwsze, powyższy przepis dotyczy urzędowego poświadczania dokumentów znajdujących się aktach organów lub podmiotów, natomiast wypisy z rejestru gruntów i wyrysy z mapy ewidencyjnej stanowią raporty/wydruki z bazy danych ewidencji gruntów i budynków, nie stanowią one zatem odpisów/wyciągów z dokumentów będących w posiadaniu organów administracji geodezyjnej i kartograficznej.</w:t>
            </w:r>
            <w:r w:rsidR="0011409F">
              <w:rPr>
                <w:rFonts w:ascii="Lato" w:eastAsia="Arial" w:hAnsi="Lato" w:cs="Arial"/>
                <w:sz w:val="18"/>
                <w:szCs w:val="18"/>
              </w:rPr>
              <w:t xml:space="preserve"> Po drugie powyższe przepisy art. 250 kodeksu postępowania cywilnego nie wskazują formy wydawania przez organy dokumentów. Należy wskazać, że art. 254 § 2</w:t>
            </w:r>
            <w:r w:rsidR="0011409F" w:rsidRPr="0011409F">
              <w:rPr>
                <w:rFonts w:ascii="Lato" w:eastAsia="Arial" w:hAnsi="Lato" w:cs="Arial"/>
                <w:sz w:val="18"/>
                <w:szCs w:val="18"/>
                <w:vertAlign w:val="superscript"/>
              </w:rPr>
              <w:t>1</w:t>
            </w:r>
            <w:r w:rsidR="0011409F">
              <w:rPr>
                <w:rFonts w:ascii="Lato" w:eastAsia="Arial" w:hAnsi="Lato" w:cs="Arial"/>
                <w:sz w:val="18"/>
                <w:szCs w:val="18"/>
              </w:rPr>
              <w:t xml:space="preserve"> kodeksu postępowania cywilnego jednoznacznie stanowi, że „</w:t>
            </w:r>
            <w:r w:rsidR="0011409F" w:rsidRPr="0011409F">
              <w:rPr>
                <w:rFonts w:ascii="Lato" w:eastAsia="Arial" w:hAnsi="Lato" w:cs="Arial"/>
                <w:i/>
                <w:iCs/>
                <w:sz w:val="18"/>
                <w:szCs w:val="18"/>
              </w:rPr>
              <w:t>Sąd w razie potrzeby może wezwać wystawcę dokumentu sporządzonego w postaci elektronicznej do udostępnienia informatycznego nośnika danych, na którym ten dokument został zapisany</w:t>
            </w:r>
            <w:r w:rsidR="0011409F">
              <w:rPr>
                <w:rFonts w:ascii="Lato" w:eastAsia="Arial" w:hAnsi="Lato" w:cs="Arial"/>
                <w:sz w:val="18"/>
                <w:szCs w:val="18"/>
              </w:rPr>
              <w:t xml:space="preserve">”, co oznacza, że kodeks dopuszcza przekazywanie dokumentów do sądu w postaci elektronicznej. </w:t>
            </w:r>
          </w:p>
          <w:p w14:paraId="6F3A403E" w14:textId="2F4F9879" w:rsidR="00052537" w:rsidRDefault="00052537" w:rsidP="00052537">
            <w:pPr>
              <w:pStyle w:val="Inne0"/>
              <w:spacing w:before="120" w:after="120"/>
              <w:ind w:left="131" w:right="138"/>
              <w:rPr>
                <w:rFonts w:ascii="Lato" w:eastAsia="Arial" w:hAnsi="Lato" w:cs="Arial"/>
                <w:sz w:val="18"/>
                <w:szCs w:val="18"/>
              </w:rPr>
            </w:pPr>
            <w:r>
              <w:rPr>
                <w:rFonts w:ascii="Lato" w:eastAsia="Arial" w:hAnsi="Lato" w:cs="Arial"/>
                <w:sz w:val="18"/>
                <w:szCs w:val="18"/>
              </w:rPr>
              <w:t>Odnosząc się do zarzutu, że zgodnie z</w:t>
            </w:r>
            <w:r w:rsidRPr="00BD21D3">
              <w:rPr>
                <w:rFonts w:ascii="Lato" w:eastAsia="Arial" w:hAnsi="Lato" w:cs="Arial"/>
                <w:sz w:val="18"/>
                <w:szCs w:val="18"/>
              </w:rPr>
              <w:t xml:space="preserve"> utrwalonym orzecznictwe</w:t>
            </w:r>
            <w:r>
              <w:rPr>
                <w:rFonts w:ascii="Lato" w:eastAsia="Arial" w:hAnsi="Lato" w:cs="Arial"/>
                <w:sz w:val="18"/>
                <w:szCs w:val="18"/>
              </w:rPr>
              <w:t>m</w:t>
            </w:r>
            <w:r w:rsidRPr="00BD21D3">
              <w:rPr>
                <w:rFonts w:ascii="Lato" w:eastAsia="Arial" w:hAnsi="Lato" w:cs="Arial"/>
                <w:sz w:val="18"/>
                <w:szCs w:val="18"/>
              </w:rPr>
              <w:t xml:space="preserve"> Sądu Najwyższego</w:t>
            </w:r>
            <w:r>
              <w:rPr>
                <w:rFonts w:ascii="Lato" w:eastAsia="Arial" w:hAnsi="Lato" w:cs="Arial"/>
                <w:sz w:val="18"/>
                <w:szCs w:val="18"/>
              </w:rPr>
              <w:t xml:space="preserve"> </w:t>
            </w:r>
            <w:r w:rsidRPr="00BD21D3">
              <w:rPr>
                <w:rFonts w:ascii="Lato" w:eastAsia="Arial" w:hAnsi="Lato" w:cs="Arial"/>
                <w:sz w:val="18"/>
                <w:szCs w:val="18"/>
              </w:rPr>
              <w:t>dokument</w:t>
            </w:r>
            <w:r>
              <w:rPr>
                <w:rFonts w:ascii="Lato" w:eastAsia="Arial" w:hAnsi="Lato" w:cs="Arial"/>
                <w:sz w:val="18"/>
                <w:szCs w:val="18"/>
              </w:rPr>
              <w:t>y</w:t>
            </w:r>
            <w:r w:rsidRPr="00BD21D3">
              <w:rPr>
                <w:rFonts w:ascii="Lato" w:eastAsia="Arial" w:hAnsi="Lato" w:cs="Arial"/>
                <w:sz w:val="18"/>
                <w:szCs w:val="18"/>
              </w:rPr>
              <w:t xml:space="preserve"> stanowiąc</w:t>
            </w:r>
            <w:r>
              <w:rPr>
                <w:rFonts w:ascii="Lato" w:eastAsia="Arial" w:hAnsi="Lato" w:cs="Arial"/>
                <w:sz w:val="18"/>
                <w:szCs w:val="18"/>
              </w:rPr>
              <w:t>e</w:t>
            </w:r>
            <w:r w:rsidRPr="00BD21D3">
              <w:rPr>
                <w:rFonts w:ascii="Lato" w:eastAsia="Arial" w:hAnsi="Lato" w:cs="Arial"/>
                <w:sz w:val="18"/>
                <w:szCs w:val="18"/>
              </w:rPr>
              <w:t xml:space="preserve"> podstawę wpisu do księgi wieczystej </w:t>
            </w:r>
            <w:r>
              <w:rPr>
                <w:rFonts w:ascii="Lato" w:eastAsia="Arial" w:hAnsi="Lato" w:cs="Arial"/>
                <w:sz w:val="18"/>
                <w:szCs w:val="18"/>
              </w:rPr>
              <w:t xml:space="preserve">mają </w:t>
            </w:r>
            <w:r w:rsidRPr="00BD21D3">
              <w:rPr>
                <w:rFonts w:ascii="Lato" w:eastAsia="Arial" w:hAnsi="Lato" w:cs="Arial"/>
                <w:sz w:val="18"/>
                <w:szCs w:val="18"/>
              </w:rPr>
              <w:t xml:space="preserve">szczególny charakter </w:t>
            </w:r>
            <w:r>
              <w:rPr>
                <w:rFonts w:ascii="Lato" w:eastAsia="Arial" w:hAnsi="Lato" w:cs="Arial"/>
                <w:sz w:val="18"/>
                <w:szCs w:val="18"/>
              </w:rPr>
              <w:t>i jest</w:t>
            </w:r>
            <w:r w:rsidRPr="00BD21D3">
              <w:rPr>
                <w:rFonts w:ascii="Lato" w:eastAsia="Arial" w:hAnsi="Lato" w:cs="Arial"/>
                <w:sz w:val="18"/>
                <w:szCs w:val="18"/>
              </w:rPr>
              <w:t xml:space="preserve"> konieczność ich przechowywania w aktach księgi wieczystej w postaci oryginałów</w:t>
            </w:r>
            <w:r>
              <w:rPr>
                <w:rFonts w:ascii="Lato" w:eastAsia="Arial" w:hAnsi="Lato" w:cs="Arial"/>
                <w:sz w:val="18"/>
                <w:szCs w:val="18"/>
              </w:rPr>
              <w:t xml:space="preserve">, należy w pierwszej kolejności wskazać, że w powołanych wyrokach nie ma wzmianek wskazujących, że dokumenty mogące stanowić podstawę wpisu w księgach wieczystych muszą być przekazywane do ksiąg </w:t>
            </w:r>
            <w:r>
              <w:rPr>
                <w:rFonts w:ascii="Lato" w:eastAsia="Arial" w:hAnsi="Lato" w:cs="Arial"/>
                <w:sz w:val="18"/>
                <w:szCs w:val="18"/>
              </w:rPr>
              <w:lastRenderedPageBreak/>
              <w:t xml:space="preserve">wieczystych w formie papierowej. Powyższe orzecznictwo skupia się na kwestii obowiązku przekazywania do sądu oryginałów dokumentów i co takim oryginałem może być. W tym miejscu należy wyjaśnić, że elektroniczny wypis z rejestru gruntów i </w:t>
            </w:r>
            <w:proofErr w:type="spellStart"/>
            <w:r>
              <w:rPr>
                <w:rFonts w:ascii="Lato" w:eastAsia="Arial" w:hAnsi="Lato" w:cs="Arial"/>
                <w:sz w:val="18"/>
                <w:szCs w:val="18"/>
              </w:rPr>
              <w:t>wyrys</w:t>
            </w:r>
            <w:proofErr w:type="spellEnd"/>
            <w:r>
              <w:rPr>
                <w:rFonts w:ascii="Lato" w:eastAsia="Arial" w:hAnsi="Lato" w:cs="Arial"/>
                <w:sz w:val="18"/>
                <w:szCs w:val="18"/>
              </w:rPr>
              <w:t xml:space="preserve"> z mapy ewidencyjnej jest oryginałem dokumentu, w rozumieniu powyższego orzecznictwa. Jednocześnie również należy zwrócić uwagę, że przytoczone orzecznictwo sądu najwyższego </w:t>
            </w:r>
            <w:r w:rsidR="00A95457">
              <w:rPr>
                <w:rFonts w:ascii="Lato" w:eastAsia="Arial" w:hAnsi="Lato" w:cs="Arial"/>
                <w:sz w:val="18"/>
                <w:szCs w:val="18"/>
              </w:rPr>
              <w:t>dotyczy aktualizacji działu II-IV ksiąg wieczystych, które objęte są rękojmią wiary publicznej ksiąg wieczystych (</w:t>
            </w:r>
            <w:r w:rsidR="00A95457" w:rsidRPr="00A95457">
              <w:rPr>
                <w:rFonts w:ascii="Lato" w:eastAsia="Arial" w:hAnsi="Lato" w:cs="Arial"/>
                <w:sz w:val="18"/>
                <w:szCs w:val="18"/>
              </w:rPr>
              <w:t>dział</w:t>
            </w:r>
            <w:r w:rsidR="00A95457">
              <w:rPr>
                <w:rFonts w:ascii="Lato" w:eastAsia="Arial" w:hAnsi="Lato" w:cs="Arial"/>
                <w:sz w:val="18"/>
                <w:szCs w:val="18"/>
              </w:rPr>
              <w:t xml:space="preserve">y: </w:t>
            </w:r>
            <w:r w:rsidR="00A95457" w:rsidRPr="00A95457">
              <w:rPr>
                <w:rFonts w:ascii="Lato" w:eastAsia="Arial" w:hAnsi="Lato" w:cs="Arial"/>
                <w:sz w:val="18"/>
                <w:szCs w:val="18"/>
              </w:rPr>
              <w:t>własność</w:t>
            </w:r>
            <w:r w:rsidR="00A95457">
              <w:rPr>
                <w:rFonts w:ascii="Lato" w:eastAsia="Arial" w:hAnsi="Lato" w:cs="Arial"/>
                <w:sz w:val="18"/>
                <w:szCs w:val="18"/>
              </w:rPr>
              <w:t xml:space="preserve">, </w:t>
            </w:r>
            <w:r w:rsidR="00A95457" w:rsidRPr="00A95457">
              <w:rPr>
                <w:rFonts w:ascii="Lato" w:eastAsia="Arial" w:hAnsi="Lato" w:cs="Arial"/>
                <w:sz w:val="18"/>
                <w:szCs w:val="18"/>
              </w:rPr>
              <w:t>prawa i roszczenia oraz hipoteki)</w:t>
            </w:r>
            <w:r w:rsidR="00A95457">
              <w:rPr>
                <w:rFonts w:ascii="Lato" w:eastAsia="Arial" w:hAnsi="Lato" w:cs="Arial"/>
                <w:sz w:val="18"/>
                <w:szCs w:val="18"/>
              </w:rPr>
              <w:t>, zgodnie z art. 5 ustawy o księgach wieczystych i hipotece.</w:t>
            </w:r>
            <w:r w:rsidR="00A95457" w:rsidRPr="00A95457">
              <w:rPr>
                <w:rFonts w:ascii="Lato" w:eastAsia="Arial" w:hAnsi="Lato" w:cs="Arial"/>
                <w:sz w:val="18"/>
                <w:szCs w:val="18"/>
              </w:rPr>
              <w:t xml:space="preserve"> Rękojmia ta obejmuje </w:t>
            </w:r>
            <w:r w:rsidR="00A95457">
              <w:rPr>
                <w:rFonts w:ascii="Lato" w:eastAsia="Arial" w:hAnsi="Lato" w:cs="Arial"/>
                <w:sz w:val="18"/>
                <w:szCs w:val="18"/>
              </w:rPr>
              <w:t xml:space="preserve">jednak informacji zawartych w dziale </w:t>
            </w:r>
            <w:r w:rsidR="00A95457" w:rsidRPr="00A95457">
              <w:rPr>
                <w:rFonts w:ascii="Lato" w:eastAsia="Arial" w:hAnsi="Lato" w:cs="Arial"/>
                <w:sz w:val="18"/>
                <w:szCs w:val="18"/>
              </w:rPr>
              <w:t xml:space="preserve">I </w:t>
            </w:r>
            <w:r w:rsidR="00A95457">
              <w:rPr>
                <w:rFonts w:ascii="Lato" w:eastAsia="Arial" w:hAnsi="Lato" w:cs="Arial"/>
                <w:sz w:val="18"/>
                <w:szCs w:val="18"/>
              </w:rPr>
              <w:t xml:space="preserve">księgi wieczystej </w:t>
            </w:r>
            <w:r w:rsidR="00A95457" w:rsidRPr="00A95457">
              <w:rPr>
                <w:rFonts w:ascii="Lato" w:eastAsia="Arial" w:hAnsi="Lato" w:cs="Arial"/>
                <w:sz w:val="18"/>
                <w:szCs w:val="18"/>
              </w:rPr>
              <w:t>(</w:t>
            </w:r>
            <w:r w:rsidR="00A95457">
              <w:rPr>
                <w:rFonts w:ascii="Lato" w:eastAsia="Arial" w:hAnsi="Lato" w:cs="Arial"/>
                <w:sz w:val="18"/>
                <w:szCs w:val="18"/>
              </w:rPr>
              <w:t>oznaczenie nieruchomości), które wpisywane są na podstawie informacji z ewidencji gruntów i budynków</w:t>
            </w:r>
            <w:r w:rsidR="00A95457" w:rsidRPr="00A95457">
              <w:rPr>
                <w:rFonts w:ascii="Lato" w:eastAsia="Arial" w:hAnsi="Lato" w:cs="Arial"/>
                <w:sz w:val="18"/>
                <w:szCs w:val="18"/>
              </w:rPr>
              <w:t>.</w:t>
            </w:r>
            <w:r w:rsidR="00A95457">
              <w:rPr>
                <w:rFonts w:ascii="Lato" w:eastAsia="Arial" w:hAnsi="Lato" w:cs="Arial"/>
                <w:sz w:val="18"/>
                <w:szCs w:val="18"/>
              </w:rPr>
              <w:t xml:space="preserve"> Oznacza to, że wpisy w księdze wieczystej dotyczące </w:t>
            </w:r>
            <w:r w:rsidR="00A95457" w:rsidRPr="00A95457">
              <w:rPr>
                <w:rFonts w:ascii="Lato" w:eastAsia="Arial" w:hAnsi="Lato" w:cs="Arial"/>
                <w:sz w:val="18"/>
                <w:szCs w:val="18"/>
              </w:rPr>
              <w:t>powierzchni, położenia czy granic nieruchomości</w:t>
            </w:r>
            <w:r w:rsidR="00A95457">
              <w:rPr>
                <w:rFonts w:ascii="Lato" w:eastAsia="Arial" w:hAnsi="Lato" w:cs="Arial"/>
                <w:sz w:val="18"/>
                <w:szCs w:val="18"/>
              </w:rPr>
              <w:t xml:space="preserve"> nie podlegają ochronie ksiąg wieczystych</w:t>
            </w:r>
            <w:r w:rsidR="00A95457" w:rsidRPr="00A95457">
              <w:rPr>
                <w:rFonts w:ascii="Lato" w:eastAsia="Arial" w:hAnsi="Lato" w:cs="Arial"/>
                <w:sz w:val="18"/>
                <w:szCs w:val="18"/>
              </w:rPr>
              <w:t>. Rękojmia chroni wyłącznie stan prawny (własność, prawa rzeczowe) wpisany w działach II-IV.</w:t>
            </w:r>
            <w:r w:rsidR="00A95457">
              <w:rPr>
                <w:rFonts w:ascii="Lato" w:eastAsia="Arial" w:hAnsi="Lato" w:cs="Arial"/>
                <w:sz w:val="18"/>
                <w:szCs w:val="18"/>
              </w:rPr>
              <w:t xml:space="preserve"> Mając na względzie powyższe, przytoczone orzecznictwo sądu najwyższego, nie znajduje przełożenia na dokumenty przekazywane przez organy prowadzące ewidencję gruntów i budynków.</w:t>
            </w:r>
          </w:p>
          <w:p w14:paraId="6271BC01" w14:textId="7A8ECF8B" w:rsidR="00015BF2" w:rsidRDefault="00FE4344" w:rsidP="00FE4344">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Odnosząc się do braku </w:t>
            </w:r>
            <w:r w:rsidRPr="00BD21D3">
              <w:rPr>
                <w:rFonts w:ascii="Lato" w:eastAsia="Arial" w:hAnsi="Lato" w:cs="Arial"/>
                <w:sz w:val="18"/>
                <w:szCs w:val="18"/>
              </w:rPr>
              <w:t>odpowiednio długiego vacatio legis</w:t>
            </w:r>
            <w:r>
              <w:rPr>
                <w:rFonts w:ascii="Lato" w:eastAsia="Arial" w:hAnsi="Lato" w:cs="Arial"/>
                <w:sz w:val="18"/>
                <w:szCs w:val="18"/>
              </w:rPr>
              <w:t xml:space="preserve">, należy wskazać, że w wyniku uwzględnienia uwag Komisji Wspólnej Rządu i Samorządu Terytorialnego vacatio legis zostało wydłużone do 6 miesięcy. Natomiast odnośnie braku określenia </w:t>
            </w:r>
            <w:r w:rsidRPr="00BD21D3">
              <w:rPr>
                <w:rFonts w:ascii="Lato" w:eastAsia="Arial" w:hAnsi="Lato" w:cs="Arial"/>
                <w:sz w:val="18"/>
                <w:szCs w:val="18"/>
              </w:rPr>
              <w:t>kosztów związanych z nałożeniem na sądy wieczystoksięgowe nowych obowiązków organizacyjnych, dodatkowych obciążeń ani zakresu niezbędnych zmian w systemach teleinformatycznych</w:t>
            </w:r>
            <w:r>
              <w:rPr>
                <w:rFonts w:ascii="Lato" w:eastAsia="Arial" w:hAnsi="Lato" w:cs="Arial"/>
                <w:sz w:val="18"/>
                <w:szCs w:val="18"/>
              </w:rPr>
              <w:t xml:space="preserve"> – projektodawca podtrzymuje stanowisko, że obowiązujące przepisy nie nakładają na sądy prowadzące księgi wieczyste obowiązku prowadzenia akt księgi wieczystej wyłącznie w postaci papierowej</w:t>
            </w:r>
            <w:r w:rsidRPr="00BD21D3">
              <w:rPr>
                <w:rFonts w:ascii="Lato" w:eastAsia="Arial" w:hAnsi="Lato" w:cs="Arial"/>
                <w:sz w:val="18"/>
                <w:szCs w:val="18"/>
              </w:rPr>
              <w:t>.</w:t>
            </w:r>
            <w:r>
              <w:rPr>
                <w:rFonts w:ascii="Lato" w:eastAsia="Arial" w:hAnsi="Lato" w:cs="Arial"/>
                <w:sz w:val="18"/>
                <w:szCs w:val="18"/>
              </w:rPr>
              <w:t xml:space="preserve"> Przepisy ustawy o księgach wieczystych i hipotece nie zwiera</w:t>
            </w:r>
            <w:r w:rsidR="00015BF2">
              <w:rPr>
                <w:rFonts w:ascii="Lato" w:eastAsia="Arial" w:hAnsi="Lato" w:cs="Arial"/>
                <w:sz w:val="18"/>
                <w:szCs w:val="18"/>
              </w:rPr>
              <w:t>ją regulacji, które jednoznacznie by zakazywały prowadzenie akt księgi wieczystej w postaci hybrydowej</w:t>
            </w:r>
            <w:r>
              <w:rPr>
                <w:rFonts w:ascii="Lato" w:eastAsia="Arial" w:hAnsi="Lato" w:cs="Arial"/>
                <w:sz w:val="18"/>
                <w:szCs w:val="18"/>
              </w:rPr>
              <w:t xml:space="preserve">. </w:t>
            </w:r>
            <w:r w:rsidR="00015BF2">
              <w:rPr>
                <w:rFonts w:ascii="Lato" w:eastAsia="Arial" w:hAnsi="Lato" w:cs="Arial"/>
                <w:sz w:val="18"/>
                <w:szCs w:val="18"/>
              </w:rPr>
              <w:t>Przepisy art. 36</w:t>
            </w:r>
            <w:r w:rsidR="00015BF2" w:rsidRPr="00015BF2">
              <w:rPr>
                <w:rFonts w:ascii="Lato" w:eastAsia="Arial" w:hAnsi="Lato" w:cs="Arial"/>
                <w:sz w:val="18"/>
                <w:szCs w:val="18"/>
                <w:vertAlign w:val="superscript"/>
              </w:rPr>
              <w:t xml:space="preserve">1 </w:t>
            </w:r>
            <w:r w:rsidR="00015BF2">
              <w:rPr>
                <w:rFonts w:ascii="Lato" w:eastAsia="Arial" w:hAnsi="Lato" w:cs="Arial"/>
                <w:sz w:val="18"/>
                <w:szCs w:val="18"/>
              </w:rPr>
              <w:t>ust. 1-3 ww. ustawy stanowią bowiem jedynie, że:</w:t>
            </w:r>
          </w:p>
          <w:p w14:paraId="09C9828F" w14:textId="1803A7A6" w:rsidR="00FE4344" w:rsidRDefault="00015BF2" w:rsidP="00015BF2">
            <w:pPr>
              <w:pStyle w:val="Inne0"/>
              <w:numPr>
                <w:ilvl w:val="0"/>
                <w:numId w:val="53"/>
              </w:numPr>
              <w:spacing w:before="120" w:after="120"/>
              <w:ind w:right="138"/>
              <w:rPr>
                <w:rFonts w:ascii="Lato" w:eastAsia="Arial" w:hAnsi="Lato" w:cs="Arial"/>
                <w:sz w:val="18"/>
                <w:szCs w:val="18"/>
              </w:rPr>
            </w:pPr>
            <w:r w:rsidRPr="00015BF2">
              <w:rPr>
                <w:rFonts w:ascii="Lato" w:eastAsia="Arial" w:hAnsi="Lato" w:cs="Arial"/>
                <w:i/>
                <w:iCs/>
                <w:sz w:val="18"/>
                <w:szCs w:val="18"/>
              </w:rPr>
              <w:t>akta ksiąg wieczystych przechowuje się w sądzi</w:t>
            </w:r>
            <w:r w:rsidRPr="00015BF2">
              <w:rPr>
                <w:rFonts w:ascii="Lato" w:eastAsia="Arial" w:hAnsi="Lato" w:cs="Arial"/>
                <w:sz w:val="18"/>
                <w:szCs w:val="18"/>
              </w:rPr>
              <w:t>e</w:t>
            </w:r>
            <w:r>
              <w:rPr>
                <w:rFonts w:ascii="Lato" w:eastAsia="Arial" w:hAnsi="Lato" w:cs="Arial"/>
                <w:sz w:val="18"/>
                <w:szCs w:val="18"/>
              </w:rPr>
              <w:t xml:space="preserve"> - mogą to być zatem zarówno akta papierowe, hybrydowe, jak i elektroniczne,  </w:t>
            </w:r>
          </w:p>
          <w:p w14:paraId="73F8EE5A" w14:textId="68331124" w:rsidR="00015BF2" w:rsidRDefault="00015BF2" w:rsidP="00015BF2">
            <w:pPr>
              <w:pStyle w:val="Inne0"/>
              <w:numPr>
                <w:ilvl w:val="0"/>
                <w:numId w:val="53"/>
              </w:numPr>
              <w:spacing w:before="120" w:after="120"/>
              <w:ind w:right="138"/>
              <w:rPr>
                <w:rFonts w:ascii="Lato" w:eastAsia="Arial" w:hAnsi="Lato" w:cs="Arial"/>
                <w:sz w:val="18"/>
                <w:szCs w:val="18"/>
              </w:rPr>
            </w:pPr>
            <w:r w:rsidRPr="00015BF2">
              <w:rPr>
                <w:rFonts w:ascii="Lato" w:eastAsia="Arial" w:hAnsi="Lato" w:cs="Arial"/>
                <w:i/>
                <w:iCs/>
                <w:sz w:val="18"/>
                <w:szCs w:val="18"/>
              </w:rPr>
              <w:t xml:space="preserve">akta księgi wieczystej może przeglądać, w obecności pracownika sądu, osoba mająca interes </w:t>
            </w:r>
            <w:r w:rsidRPr="00015BF2">
              <w:rPr>
                <w:rFonts w:ascii="Lato" w:eastAsia="Arial" w:hAnsi="Lato" w:cs="Arial"/>
                <w:i/>
                <w:iCs/>
                <w:sz w:val="18"/>
                <w:szCs w:val="18"/>
              </w:rPr>
              <w:lastRenderedPageBreak/>
              <w:t>prawny oraz notariusz</w:t>
            </w:r>
            <w:r>
              <w:rPr>
                <w:rFonts w:ascii="Lato" w:eastAsia="Arial" w:hAnsi="Lato" w:cs="Arial"/>
                <w:sz w:val="18"/>
                <w:szCs w:val="18"/>
              </w:rPr>
              <w:t xml:space="preserve"> – przeglądanie akt księgi wieczystej przechowywanych w postaci elektronicznej mieści się w powyższych regulacjach,</w:t>
            </w:r>
          </w:p>
          <w:p w14:paraId="5BD48392" w14:textId="0EDC7946" w:rsidR="00015BF2" w:rsidRDefault="00015BF2" w:rsidP="00015BF2">
            <w:pPr>
              <w:pStyle w:val="Inne0"/>
              <w:numPr>
                <w:ilvl w:val="0"/>
                <w:numId w:val="53"/>
              </w:numPr>
              <w:spacing w:before="120" w:after="120"/>
              <w:ind w:right="138"/>
              <w:rPr>
                <w:rFonts w:ascii="Lato" w:eastAsia="Arial" w:hAnsi="Lato" w:cs="Arial"/>
                <w:sz w:val="18"/>
                <w:szCs w:val="18"/>
              </w:rPr>
            </w:pPr>
            <w:r>
              <w:rPr>
                <w:rFonts w:ascii="Lato" w:eastAsia="Arial" w:hAnsi="Lato" w:cs="Arial"/>
                <w:i/>
                <w:iCs/>
                <w:sz w:val="18"/>
                <w:szCs w:val="18"/>
              </w:rPr>
              <w:t>n</w:t>
            </w:r>
            <w:r w:rsidRPr="00015BF2">
              <w:rPr>
                <w:rFonts w:ascii="Lato" w:eastAsia="Arial" w:hAnsi="Lato" w:cs="Arial"/>
                <w:i/>
                <w:iCs/>
                <w:sz w:val="18"/>
                <w:szCs w:val="18"/>
              </w:rPr>
              <w:t>ie wydaje się dokumentów znajdujących się w aktach ksiąg wieczystych, jeżeli dokumenty te stanowią podstawę wpisu</w:t>
            </w:r>
            <w:r>
              <w:rPr>
                <w:rFonts w:ascii="Lato" w:eastAsia="Arial" w:hAnsi="Lato" w:cs="Arial"/>
                <w:sz w:val="18"/>
                <w:szCs w:val="18"/>
              </w:rPr>
              <w:t xml:space="preserve"> – dokument elektroniczny może być podstawą wpisu i może być przechowywany w aktach księgi wieczystej. </w:t>
            </w:r>
          </w:p>
          <w:p w14:paraId="4248AE6E" w14:textId="77777777" w:rsidR="004854EC" w:rsidRDefault="004854EC" w:rsidP="00FE4344">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Mając na względzie powyższe </w:t>
            </w:r>
            <w:r w:rsidR="00A95457">
              <w:rPr>
                <w:rFonts w:ascii="Lato" w:eastAsia="Arial" w:hAnsi="Lato" w:cs="Arial"/>
                <w:sz w:val="18"/>
                <w:szCs w:val="18"/>
              </w:rPr>
              <w:t xml:space="preserve">projektodawca podtrzymuje swoje stanowisko, że obowiązujące </w:t>
            </w:r>
            <w:r w:rsidR="00FE4344">
              <w:rPr>
                <w:rFonts w:ascii="Lato" w:eastAsia="Arial" w:hAnsi="Lato" w:cs="Arial"/>
                <w:sz w:val="18"/>
                <w:szCs w:val="18"/>
              </w:rPr>
              <w:t xml:space="preserve">regulacje w zakresie </w:t>
            </w:r>
            <w:r w:rsidR="00A95457">
              <w:rPr>
                <w:rFonts w:ascii="Lato" w:eastAsia="Arial" w:hAnsi="Lato" w:cs="Arial"/>
                <w:sz w:val="18"/>
                <w:szCs w:val="18"/>
              </w:rPr>
              <w:t xml:space="preserve">prowadzenia ksiąg wieczystych, nie </w:t>
            </w:r>
            <w:r w:rsidR="00FE4344">
              <w:rPr>
                <w:rFonts w:ascii="Lato" w:eastAsia="Arial" w:hAnsi="Lato" w:cs="Arial"/>
                <w:sz w:val="18"/>
                <w:szCs w:val="18"/>
              </w:rPr>
              <w:t xml:space="preserve">obligują organów do przekazywania dokumentów do sądów wieczysto-księgowych wyłącznie w postaci papierowej, dopuszczając tym samym możliwość przekazywania dokumentów w postaci elektronicznej, co znajduje potwierdzenie w </w:t>
            </w:r>
            <w:r w:rsidR="00FE4344" w:rsidRPr="009D1BDD">
              <w:rPr>
                <w:rFonts w:ascii="Lato" w:eastAsia="Arial" w:hAnsi="Lato" w:cs="Arial"/>
                <w:sz w:val="18"/>
                <w:szCs w:val="18"/>
              </w:rPr>
              <w:t>zarządzeni</w:t>
            </w:r>
            <w:r w:rsidR="00FE4344">
              <w:rPr>
                <w:rFonts w:ascii="Lato" w:eastAsia="Arial" w:hAnsi="Lato" w:cs="Arial"/>
                <w:sz w:val="18"/>
                <w:szCs w:val="18"/>
              </w:rPr>
              <w:t>u</w:t>
            </w:r>
            <w:r w:rsidR="00FE4344" w:rsidRPr="009D1BDD">
              <w:rPr>
                <w:rFonts w:ascii="Lato" w:eastAsia="Arial" w:hAnsi="Lato" w:cs="Arial"/>
                <w:sz w:val="18"/>
                <w:szCs w:val="18"/>
              </w:rPr>
              <w:t xml:space="preserve"> </w:t>
            </w:r>
            <w:r w:rsidR="00FE4344">
              <w:rPr>
                <w:rFonts w:ascii="Lato" w:eastAsia="Arial" w:hAnsi="Lato" w:cs="Arial"/>
                <w:sz w:val="18"/>
                <w:szCs w:val="18"/>
              </w:rPr>
              <w:t>M</w:t>
            </w:r>
            <w:r w:rsidR="00FE4344" w:rsidRPr="009D1BDD">
              <w:rPr>
                <w:rFonts w:ascii="Lato" w:eastAsia="Arial" w:hAnsi="Lato" w:cs="Arial"/>
                <w:sz w:val="18"/>
                <w:szCs w:val="18"/>
              </w:rPr>
              <w:t xml:space="preserve">inistra </w:t>
            </w:r>
            <w:r w:rsidR="00FE4344">
              <w:rPr>
                <w:rFonts w:ascii="Lato" w:eastAsia="Arial" w:hAnsi="Lato" w:cs="Arial"/>
                <w:sz w:val="18"/>
                <w:szCs w:val="18"/>
              </w:rPr>
              <w:t>S</w:t>
            </w:r>
            <w:r w:rsidR="00FE4344" w:rsidRPr="009D1BDD">
              <w:rPr>
                <w:rFonts w:ascii="Lato" w:eastAsia="Arial" w:hAnsi="Lato" w:cs="Arial"/>
                <w:sz w:val="18"/>
                <w:szCs w:val="18"/>
              </w:rPr>
              <w:t xml:space="preserve">prawiedliwości z 19 czerwca 2019 r. </w:t>
            </w:r>
            <w:hyperlink r:id="rId10" w:tgtFrame="_blank" w:history="1">
              <w:r w:rsidR="00FE4344" w:rsidRPr="009D1BDD">
                <w:rPr>
                  <w:rFonts w:ascii="Lato" w:eastAsia="Arial" w:hAnsi="Lato" w:cs="Arial"/>
                  <w:sz w:val="18"/>
                  <w:szCs w:val="18"/>
                </w:rPr>
                <w:t>w sprawie organizacji i zakresu działania sekretariatów sądowych oraz innych działów administracji sądowej</w:t>
              </w:r>
            </w:hyperlink>
            <w:r w:rsidR="00FE4344">
              <w:t xml:space="preserve">. </w:t>
            </w:r>
            <w:r w:rsidR="00FE4344">
              <w:rPr>
                <w:rFonts w:ascii="Lato" w:eastAsia="Arial" w:hAnsi="Lato" w:cs="Arial"/>
                <w:sz w:val="18"/>
                <w:szCs w:val="18"/>
              </w:rPr>
              <w:t>P</w:t>
            </w:r>
            <w:r>
              <w:rPr>
                <w:rFonts w:ascii="Lato" w:eastAsia="Arial" w:hAnsi="Lato" w:cs="Arial"/>
                <w:sz w:val="18"/>
                <w:szCs w:val="18"/>
              </w:rPr>
              <w:t>rojektowane przepisy nie nakładają</w:t>
            </w:r>
            <w:r w:rsidR="00FE4344">
              <w:rPr>
                <w:rFonts w:ascii="Lato" w:eastAsia="Arial" w:hAnsi="Lato" w:cs="Arial"/>
                <w:sz w:val="18"/>
                <w:szCs w:val="18"/>
              </w:rPr>
              <w:t xml:space="preserve"> zatem</w:t>
            </w:r>
            <w:r>
              <w:rPr>
                <w:rFonts w:ascii="Lato" w:eastAsia="Arial" w:hAnsi="Lato" w:cs="Arial"/>
                <w:sz w:val="18"/>
                <w:szCs w:val="18"/>
              </w:rPr>
              <w:t xml:space="preserve"> na sądy wieczysto-księgowe nowych obowiązków ani nie wprowadzają przepisów sprzecznych z obowiązującymi regulacjami – egzekwują jedynie od sądów wieczysto-księgowych stosowanie obowiązujących przepisów prawa.</w:t>
            </w:r>
          </w:p>
          <w:p w14:paraId="79587970" w14:textId="77777777" w:rsidR="00DC63DB" w:rsidRDefault="00DC63DB" w:rsidP="00DC63DB">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W opinii projektodawcy projektowane przepisy nie wprowadzają zatem dodatkowych obciążeń po stronie sądów, a tym bardziej konieczności dokonania </w:t>
            </w:r>
            <w:r w:rsidRPr="00DC63DB">
              <w:rPr>
                <w:rFonts w:ascii="Lato" w:eastAsia="Arial" w:hAnsi="Lato" w:cs="Arial"/>
                <w:i/>
                <w:iCs/>
                <w:sz w:val="18"/>
                <w:szCs w:val="18"/>
              </w:rPr>
              <w:t>zmian w systemach teleinformatycznych</w:t>
            </w:r>
            <w:r>
              <w:rPr>
                <w:rFonts w:ascii="Lato" w:eastAsia="Arial" w:hAnsi="Lato" w:cs="Arial"/>
                <w:sz w:val="18"/>
                <w:szCs w:val="18"/>
              </w:rPr>
              <w:t>, które zgłasza resort sprawiedliwości. Należy w tym miejscu zauważyć, że fakt prowadzenia przez sądy systemów teleinformatycznych do prowadzenia akt ksiąg wieczystych, przeczy zgłaszanym zarzutom, że akta ksiąg wieczystych są prowadzone wyłącznie w postaci papierowej.</w:t>
            </w:r>
          </w:p>
          <w:p w14:paraId="5237C8D4" w14:textId="77777777" w:rsidR="00DC63DB" w:rsidRDefault="00DC63DB" w:rsidP="00DC63DB">
            <w:pPr>
              <w:pStyle w:val="Inne0"/>
              <w:spacing w:before="120" w:after="120"/>
              <w:ind w:left="131" w:right="138"/>
              <w:rPr>
                <w:rFonts w:ascii="Lato" w:eastAsia="Arial" w:hAnsi="Lato" w:cs="Arial"/>
                <w:sz w:val="18"/>
                <w:szCs w:val="18"/>
              </w:rPr>
            </w:pPr>
            <w:r>
              <w:rPr>
                <w:rFonts w:ascii="Lato" w:eastAsia="Arial" w:hAnsi="Lato" w:cs="Arial"/>
                <w:sz w:val="18"/>
                <w:szCs w:val="18"/>
              </w:rPr>
              <w:t>Jeżeli jednak w opinii Ministerstwa Sprawiedliwości projektowane regulacje będą powodowały koszty po stronie sądów, projektodawca wnosi o ich obliczenie i przekazanie celem uzupełnienia OSR. W przeciwnym razie należy uznać, że projektowane zmian nie będą powodowały kosztów.</w:t>
            </w:r>
          </w:p>
          <w:p w14:paraId="40B72E48" w14:textId="2E9EC8EF" w:rsidR="00DC63DB" w:rsidRPr="0037774A" w:rsidRDefault="00DC63DB" w:rsidP="00FE4344">
            <w:pPr>
              <w:pStyle w:val="Inne0"/>
              <w:spacing w:before="120" w:after="120"/>
              <w:ind w:left="131" w:right="138"/>
              <w:rPr>
                <w:rFonts w:ascii="Lato" w:eastAsia="Arial" w:hAnsi="Lato" w:cs="Arial"/>
                <w:sz w:val="18"/>
                <w:szCs w:val="18"/>
              </w:rPr>
            </w:pPr>
          </w:p>
        </w:tc>
      </w:tr>
      <w:tr w:rsidR="00BD21D3" w:rsidRPr="0037774A" w14:paraId="308A5758" w14:textId="1B9BFEEB" w:rsidTr="00A1261B">
        <w:trPr>
          <w:trHeight w:val="20"/>
        </w:trPr>
        <w:tc>
          <w:tcPr>
            <w:tcW w:w="709" w:type="dxa"/>
            <w:tcBorders>
              <w:top w:val="single" w:sz="4" w:space="0" w:color="auto"/>
              <w:left w:val="single" w:sz="4" w:space="0" w:color="auto"/>
              <w:bottom w:val="single" w:sz="4" w:space="0" w:color="auto"/>
            </w:tcBorders>
            <w:shd w:val="clear" w:color="auto" w:fill="FFFFFF"/>
          </w:tcPr>
          <w:p w14:paraId="76E1AA49" w14:textId="77777777" w:rsidR="00BD21D3" w:rsidRPr="0037774A" w:rsidRDefault="00BD21D3" w:rsidP="00BD21D3">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A4EB1BF" w14:textId="291818A4" w:rsidR="00BD21D3" w:rsidRPr="0037774A" w:rsidRDefault="00BD21D3" w:rsidP="00BD21D3">
            <w:pPr>
              <w:pStyle w:val="Inne0"/>
              <w:shd w:val="clear" w:color="auto" w:fill="auto"/>
              <w:spacing w:before="120" w:after="120"/>
              <w:ind w:left="140" w:right="132"/>
              <w:rPr>
                <w:rFonts w:ascii="Lato" w:eastAsia="Arial" w:hAnsi="Lato" w:cs="Arial"/>
                <w:sz w:val="18"/>
                <w:szCs w:val="18"/>
              </w:rPr>
            </w:pPr>
            <w:r w:rsidRPr="000E5A04">
              <w:rPr>
                <w:rFonts w:ascii="Lato" w:eastAsia="Arial" w:hAnsi="Lato" w:cs="Arial"/>
                <w:sz w:val="18"/>
                <w:szCs w:val="18"/>
              </w:rPr>
              <w:t>Minister Sprawiedliwości</w:t>
            </w:r>
          </w:p>
        </w:tc>
        <w:tc>
          <w:tcPr>
            <w:tcW w:w="4536" w:type="dxa"/>
            <w:tcBorders>
              <w:top w:val="single" w:sz="4" w:space="0" w:color="auto"/>
              <w:left w:val="single" w:sz="4" w:space="0" w:color="auto"/>
              <w:bottom w:val="single" w:sz="4" w:space="0" w:color="auto"/>
            </w:tcBorders>
            <w:shd w:val="clear" w:color="auto" w:fill="FFFFFF"/>
          </w:tcPr>
          <w:p w14:paraId="6ACB9BF2" w14:textId="358D70A6"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 xml:space="preserve">Podtrzymuję uwagę dotyczącą projektowanego art. 48 ust. 1b (art. 1 pkt 78 projektu), obecnie art. 48a ust. 1b - 1e (art. 1 pkt 73 projektu). Uwaga ta nie została uwzględniona, a wnioskodawca nie przedstawił merytorycznych ani prawnych argumentów (uzasadnienia), z powodu których odmówił jej uwzględnienia. Stwierdził jedynie, że kara </w:t>
            </w:r>
            <w:r w:rsidRPr="00BD21D3">
              <w:rPr>
                <w:rFonts w:ascii="Lato" w:eastAsia="Arial" w:hAnsi="Lato" w:cs="Arial"/>
                <w:sz w:val="18"/>
                <w:szCs w:val="18"/>
              </w:rPr>
              <w:lastRenderedPageBreak/>
              <w:t>za obydwa naruszenia z art. 48a ust. 1b projektowanej ustawy powinna mieć taką samą wysokość.</w:t>
            </w:r>
          </w:p>
          <w:p w14:paraId="202A85DB" w14:textId="77777777" w:rsidR="00BD21D3" w:rsidRPr="00BD21D3"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Przedmiotowa uwaga odnosi się do przepisów, które przewidują m.in. administracyjną karę pieniężną bezwzględnie oznaczoną (w wysokości dziesięciokrotności opłaty zryczałtowanej) za:</w:t>
            </w:r>
          </w:p>
          <w:p w14:paraId="1A5DEE9D" w14:textId="77777777" w:rsidR="00BD21D3" w:rsidRPr="00BD21D3" w:rsidRDefault="00BD21D3" w:rsidP="00BD21D3">
            <w:pPr>
              <w:pStyle w:val="Inne0"/>
              <w:spacing w:before="120" w:after="120"/>
              <w:ind w:left="414" w:right="139" w:hanging="282"/>
              <w:rPr>
                <w:rFonts w:ascii="Lato" w:eastAsia="Arial" w:hAnsi="Lato" w:cs="Arial"/>
                <w:sz w:val="18"/>
                <w:szCs w:val="18"/>
              </w:rPr>
            </w:pPr>
            <w:r w:rsidRPr="00BD21D3">
              <w:rPr>
                <w:rFonts w:ascii="Lato" w:eastAsia="Arial" w:hAnsi="Lato" w:cs="Arial"/>
                <w:sz w:val="18"/>
                <w:szCs w:val="18"/>
              </w:rPr>
              <w:t>1)</w:t>
            </w:r>
            <w:r w:rsidRPr="00BD21D3">
              <w:rPr>
                <w:rFonts w:ascii="Lato" w:eastAsia="Arial" w:hAnsi="Lato" w:cs="Arial"/>
                <w:sz w:val="18"/>
                <w:szCs w:val="18"/>
              </w:rPr>
              <w:tab/>
              <w:t>niezgłoszenie prac geodezyjnych do organu Służby Geodezyjnej i Kartograficznej wbrew przepisom art. 12 ust. 1;</w:t>
            </w:r>
          </w:p>
          <w:p w14:paraId="2097BE86" w14:textId="77777777" w:rsidR="00BD21D3" w:rsidRPr="00BD21D3" w:rsidRDefault="00BD21D3" w:rsidP="00BD21D3">
            <w:pPr>
              <w:pStyle w:val="Inne0"/>
              <w:spacing w:before="120" w:after="120"/>
              <w:ind w:left="414" w:right="139" w:hanging="282"/>
              <w:rPr>
                <w:rFonts w:ascii="Lato" w:eastAsia="Arial" w:hAnsi="Lato" w:cs="Arial"/>
                <w:sz w:val="18"/>
                <w:szCs w:val="18"/>
              </w:rPr>
            </w:pPr>
            <w:r w:rsidRPr="00BD21D3">
              <w:rPr>
                <w:rFonts w:ascii="Lato" w:eastAsia="Arial" w:hAnsi="Lato" w:cs="Arial"/>
                <w:sz w:val="18"/>
                <w:szCs w:val="18"/>
              </w:rPr>
              <w:t>2)</w:t>
            </w:r>
            <w:r w:rsidRPr="00BD21D3">
              <w:rPr>
                <w:rFonts w:ascii="Lato" w:eastAsia="Arial" w:hAnsi="Lato" w:cs="Arial"/>
                <w:sz w:val="18"/>
                <w:szCs w:val="18"/>
              </w:rPr>
              <w:tab/>
              <w:t>zgłoszenie prac geodezyjnych później niż w terminie 5 dni roboczych od dnia rozpoczęcia tych prac wbrew przepisom art. 12 ust. 1a.</w:t>
            </w:r>
          </w:p>
          <w:p w14:paraId="4805D6B6" w14:textId="7874EB13" w:rsidR="00BD21D3" w:rsidRPr="0037774A" w:rsidRDefault="00BD21D3" w:rsidP="00BD21D3">
            <w:pPr>
              <w:pStyle w:val="Inne0"/>
              <w:spacing w:before="120" w:after="120"/>
              <w:ind w:left="132" w:right="139"/>
              <w:rPr>
                <w:rFonts w:ascii="Lato" w:eastAsia="Arial" w:hAnsi="Lato" w:cs="Arial"/>
                <w:sz w:val="18"/>
                <w:szCs w:val="18"/>
              </w:rPr>
            </w:pPr>
            <w:r w:rsidRPr="00BD21D3">
              <w:rPr>
                <w:rFonts w:ascii="Lato" w:eastAsia="Arial" w:hAnsi="Lato" w:cs="Arial"/>
                <w:sz w:val="18"/>
                <w:szCs w:val="18"/>
              </w:rPr>
              <w:t>Mając na uwadze zasadę proporcjonalności, celowe wydaje się określenie niższej wysokości administracyjnej kary pieniężnej za popełnienie deliktu administracyjnego polegającego na zgłoszeniu prac geodezyjnych później niż w terminie 5 dni roboczych od dnia rozpoczęcia tych prac wbrew przepisom art. 12 ust. 1a, gdyż zgłoszenie po terminie ww. prac stanowi „mniejsze” naruszenie prawa, niż w ogóle niedokonanie tego zgłoszenia.</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30AD44B" w14:textId="77777777" w:rsidR="00BD21D3" w:rsidRPr="0037774A" w:rsidRDefault="00BD21D3" w:rsidP="00BD21D3">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C515A24" w14:textId="77777777" w:rsidR="00BE17C8" w:rsidRDefault="00EF1407" w:rsidP="00EF1407">
            <w:pPr>
              <w:pStyle w:val="Inne0"/>
              <w:spacing w:before="120" w:after="120"/>
              <w:ind w:left="131" w:right="138"/>
              <w:rPr>
                <w:rFonts w:ascii="Lato" w:eastAsia="Arial" w:hAnsi="Lato" w:cs="Arial"/>
                <w:sz w:val="18"/>
                <w:szCs w:val="18"/>
              </w:rPr>
            </w:pPr>
            <w:r w:rsidRPr="00EF1407">
              <w:rPr>
                <w:rFonts w:ascii="Lato" w:eastAsia="Arial" w:hAnsi="Lato" w:cs="Arial"/>
                <w:sz w:val="18"/>
                <w:szCs w:val="18"/>
              </w:rPr>
              <w:t xml:space="preserve">Uwaga </w:t>
            </w:r>
            <w:r>
              <w:rPr>
                <w:rFonts w:ascii="Lato" w:eastAsia="Arial" w:hAnsi="Lato" w:cs="Arial"/>
                <w:sz w:val="18"/>
                <w:szCs w:val="18"/>
              </w:rPr>
              <w:t xml:space="preserve">została </w:t>
            </w:r>
            <w:r w:rsidRPr="00EF1407">
              <w:rPr>
                <w:rFonts w:ascii="Lato" w:eastAsia="Arial" w:hAnsi="Lato" w:cs="Arial"/>
                <w:sz w:val="18"/>
                <w:szCs w:val="18"/>
              </w:rPr>
              <w:t>uwzględniona</w:t>
            </w:r>
            <w:r>
              <w:rPr>
                <w:rFonts w:ascii="Lato" w:eastAsia="Arial" w:hAnsi="Lato" w:cs="Arial"/>
                <w:sz w:val="18"/>
                <w:szCs w:val="18"/>
              </w:rPr>
              <w:t xml:space="preserve">. </w:t>
            </w:r>
          </w:p>
          <w:p w14:paraId="0DA508DD" w14:textId="42B95DD4" w:rsidR="00EF1407" w:rsidRPr="0037774A" w:rsidRDefault="00EF1407" w:rsidP="00EF1407">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Dokonano obniżenia </w:t>
            </w:r>
            <w:r w:rsidRPr="00EF1407">
              <w:rPr>
                <w:rFonts w:ascii="Lato" w:eastAsia="Arial" w:hAnsi="Lato" w:cs="Arial"/>
                <w:sz w:val="18"/>
                <w:szCs w:val="18"/>
              </w:rPr>
              <w:t xml:space="preserve">wysokości administracyjnej kary pieniężnej za popełnienie deliktu administracyjnego polegającego na zgłoszeniu prac geodezyjnych później niż w terminie 5 dni roboczych od dnia rozpoczęcia tych </w:t>
            </w:r>
            <w:r w:rsidRPr="00EF1407">
              <w:rPr>
                <w:rFonts w:ascii="Lato" w:eastAsia="Arial" w:hAnsi="Lato" w:cs="Arial"/>
                <w:sz w:val="18"/>
                <w:szCs w:val="18"/>
              </w:rPr>
              <w:lastRenderedPageBreak/>
              <w:t>prac</w:t>
            </w:r>
            <w:r>
              <w:rPr>
                <w:rFonts w:ascii="Lato" w:eastAsia="Arial" w:hAnsi="Lato" w:cs="Arial"/>
                <w:sz w:val="18"/>
                <w:szCs w:val="18"/>
              </w:rPr>
              <w:t>.</w:t>
            </w:r>
          </w:p>
          <w:p w14:paraId="4A8F3E7C" w14:textId="51950995" w:rsidR="00BD21D3" w:rsidRPr="0037774A" w:rsidRDefault="00BD21D3" w:rsidP="00EF1407">
            <w:pPr>
              <w:pStyle w:val="Inne0"/>
              <w:shd w:val="clear" w:color="auto" w:fill="auto"/>
              <w:spacing w:before="120" w:after="120"/>
              <w:ind w:left="131" w:right="138"/>
              <w:rPr>
                <w:rFonts w:ascii="Lato" w:eastAsia="Arial" w:hAnsi="Lato" w:cs="Arial"/>
                <w:sz w:val="18"/>
                <w:szCs w:val="18"/>
              </w:rPr>
            </w:pPr>
          </w:p>
        </w:tc>
      </w:tr>
      <w:tr w:rsidR="00BD21D3" w:rsidRPr="0037774A" w14:paraId="03CB7C65" w14:textId="745CEEF7" w:rsidTr="00A1261B">
        <w:trPr>
          <w:trHeight w:val="20"/>
        </w:trPr>
        <w:tc>
          <w:tcPr>
            <w:tcW w:w="709" w:type="dxa"/>
            <w:tcBorders>
              <w:top w:val="single" w:sz="4" w:space="0" w:color="auto"/>
              <w:left w:val="single" w:sz="4" w:space="0" w:color="auto"/>
              <w:bottom w:val="single" w:sz="4" w:space="0" w:color="auto"/>
            </w:tcBorders>
            <w:shd w:val="clear" w:color="auto" w:fill="FFFFFF"/>
          </w:tcPr>
          <w:p w14:paraId="358B8941" w14:textId="77777777" w:rsidR="00BD21D3" w:rsidRPr="0037774A" w:rsidRDefault="00BD21D3" w:rsidP="00BD21D3">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451D46B9" w14:textId="1C760892" w:rsidR="00BD21D3" w:rsidRPr="0037774A" w:rsidRDefault="00BD21D3" w:rsidP="00BD21D3">
            <w:pPr>
              <w:pStyle w:val="Inne0"/>
              <w:shd w:val="clear" w:color="auto" w:fill="auto"/>
              <w:spacing w:before="120" w:after="120"/>
              <w:ind w:left="140" w:right="132"/>
              <w:rPr>
                <w:rFonts w:ascii="Lato" w:eastAsia="Arial" w:hAnsi="Lato" w:cs="Arial"/>
                <w:sz w:val="18"/>
                <w:szCs w:val="18"/>
              </w:rPr>
            </w:pPr>
            <w:r w:rsidRPr="000E5A04">
              <w:rPr>
                <w:rFonts w:ascii="Lato" w:eastAsia="Arial" w:hAnsi="Lato" w:cs="Arial"/>
                <w:sz w:val="18"/>
                <w:szCs w:val="18"/>
              </w:rPr>
              <w:t>Minister Sprawiedliwości</w:t>
            </w:r>
          </w:p>
        </w:tc>
        <w:tc>
          <w:tcPr>
            <w:tcW w:w="4536" w:type="dxa"/>
            <w:tcBorders>
              <w:top w:val="single" w:sz="4" w:space="0" w:color="auto"/>
              <w:left w:val="single" w:sz="4" w:space="0" w:color="auto"/>
              <w:bottom w:val="single" w:sz="4" w:space="0" w:color="auto"/>
            </w:tcBorders>
            <w:shd w:val="clear" w:color="auto" w:fill="FFFFFF"/>
          </w:tcPr>
          <w:p w14:paraId="0F2F0552" w14:textId="7E9CE541" w:rsidR="00BD21D3" w:rsidRPr="0037774A" w:rsidRDefault="00BD21D3" w:rsidP="00BD21D3">
            <w:pPr>
              <w:pStyle w:val="Teksttreci0"/>
              <w:shd w:val="clear" w:color="auto" w:fill="auto"/>
              <w:tabs>
                <w:tab w:val="left" w:pos="314"/>
              </w:tabs>
              <w:spacing w:before="120" w:after="120"/>
              <w:ind w:left="132" w:right="139"/>
              <w:rPr>
                <w:rFonts w:ascii="Lato" w:eastAsia="Arial" w:hAnsi="Lato" w:cs="Arial"/>
                <w:sz w:val="18"/>
                <w:szCs w:val="18"/>
              </w:rPr>
            </w:pPr>
            <w:r w:rsidRPr="00BD21D3">
              <w:rPr>
                <w:rFonts w:ascii="Lato" w:eastAsia="Arial" w:hAnsi="Lato" w:cs="Arial"/>
                <w:sz w:val="18"/>
                <w:szCs w:val="18"/>
              </w:rPr>
              <w:t xml:space="preserve">Kolejno podnieść należy, iż Minister Sprawiedliwości opiniując projekt ustawy w jego wcześniejszej wersji wskazał na potrzebę dostosowania terminu wejścia w życie regulacji odnoszących się do nowego sposobu przekazywania starostom wypisów niektórych aktów notarialnych, aktów poświadczenia dziedziczenia oraz zarejestrowanych europejskich poświadczeń spadkowych, do konieczności dostosowania systemu CREWAN, prowadzonego przez Krajową Radę Notarialną. W związku z odstąpieniem od wprowadzenia regulacji dotyczącej zastąpienia tradycyjnej formy przekazywania przez notariuszy wypisów czynności notarialnych starostom, z wykorzystaniem w tym zakresie rozszerzonych funkcjonalności CREWAN, wskazano, że uwagi wskazujące na potrzebę dostosowania terminu stały się bezprzedmiotowe. Natomiast w aktualnej wersji projektu ustawy o zmianie ustawy - Prawo geodezyjne i kartograficzne oraz ustawy o infrastrukturze informacji przestrzennej (UD60), zgodnie z projektowanym art. 23 ust. 2 </w:t>
            </w:r>
            <w:proofErr w:type="spellStart"/>
            <w:r w:rsidRPr="00BD21D3">
              <w:rPr>
                <w:rFonts w:ascii="Lato" w:eastAsia="Arial" w:hAnsi="Lato" w:cs="Arial"/>
                <w:sz w:val="18"/>
                <w:szCs w:val="18"/>
              </w:rPr>
              <w:t>p.g.i.k</w:t>
            </w:r>
            <w:proofErr w:type="spellEnd"/>
            <w:r w:rsidRPr="00BD21D3">
              <w:rPr>
                <w:rFonts w:ascii="Lato" w:eastAsia="Arial" w:hAnsi="Lato" w:cs="Arial"/>
                <w:sz w:val="18"/>
                <w:szCs w:val="18"/>
              </w:rPr>
              <w:t xml:space="preserve">., obowiązek przekazywania przez notariuszy </w:t>
            </w:r>
            <w:r w:rsidRPr="00BD21D3">
              <w:rPr>
                <w:rFonts w:ascii="Lato" w:eastAsia="Arial" w:hAnsi="Lato" w:cs="Arial"/>
                <w:sz w:val="18"/>
                <w:szCs w:val="18"/>
              </w:rPr>
              <w:lastRenderedPageBreak/>
              <w:t xml:space="preserve">papierowych odpisów notarialnych zastąpiono obowiązkiem przekazywania przez notariuszy elektronicznych wypisów aktów notarialnych. Zatem, odstąpiono od wcześniejszej propozycji wskazującej na przekazywanie starostom wypisów czynności notarialnych za pomocą systemu CREWAN, a jednocześnie, w ocenie Ministra Sprawiedliwości, nie wskazano regulacji, które precyzowałyby, w jaki sposób notariusze będą wykonywać obowiązek przekazywania elektronicznych wypisów czynności notarialnych według nowej regulacji. Co do zasady, projektowane zapisy mające na celu udostępnianie elektronicznych wypisów aktów notarialnych i aktów poświadczenia dziedziczenia przez notariuszy, niewątpliwie przyczynią się do redukcji obciążeń organizacyjnych kancelarii, przy jednoczesnym usprawnieniu aktualizacji ewidencji gruntów i budynków, z uwagi na sprawniejszy obieg dokumentów przetworzonych elektronicznie. Jednak Minister Sprawiedliwości nie dostrzega uregulowań wskazujących za pomocą jakiego systemu teleinformatycznego ma nastąpić przekazywanie starostom dokumentów elektronicznych, bowiem w projekcie - w jego obecnym brzmieniu - brak jest odniesienia do systemu, który umożliwiałby przesyłanie przez notariuszy dokumentów elektronicznych do jednostek samorządu terytorialnego. Co do zasady Krajowa Rada Notarialna w zakresie i na zasadach określonych w przepisach szczególnych zapewnia notariuszom, sądom oraz innym organom państwowym uprawnionym na podstawie tych przepisów dostęp do Centralnego Repozytorium Elektronicznych Wypisów Aktów Notarialnych (dalej: Repozytorium) oraz bezpieczeństwo Repozytorium, w szczególności ochronę danych zgromadzonych w Repozytorium przed nieuprawnionym dostępem, przetwarzaniem, zmianą lub utratą. Krajowa Rada Notarialna prowadzi CREWAN, w którym przechowuje się elektroniczne wypisy i wyciągi z aktów notarialnych sporządzonych na terytorium Rzeczypospolitej Polskiej. Natomiast wobec odstąpienia od poprzedniej regulacji, która przewidywała, że Krajowa Rada Notarialna zapewnia niezwłoczne przekazywanie za pośrednictwem systemu teleinformatycznego do zintegrowanego systemu informacji o nieruchomościach wypisy czynności, istotne jest doprecyzowanie, w jaki sposób elektroniczne wypisy aktów notarialnych, </w:t>
            </w:r>
            <w:r w:rsidRPr="00BD21D3">
              <w:rPr>
                <w:rFonts w:ascii="Lato" w:eastAsia="Arial" w:hAnsi="Lato" w:cs="Arial"/>
                <w:sz w:val="18"/>
                <w:szCs w:val="18"/>
              </w:rPr>
              <w:lastRenderedPageBreak/>
              <w:t>zarejestrowanych aktów poświadczenia dziedziczenia i zarejestrowanych europejskich poświadczeń spadkowych, o których mowa w art. 23 ust. 2 pkt 1 i 2 ustawy zmienianej, mają być przesyłane.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19EBD3AA" w14:textId="77777777" w:rsidR="00BD21D3" w:rsidRPr="0037774A" w:rsidRDefault="00BD21D3" w:rsidP="00BD21D3">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50DF020B" w14:textId="29BFC8DA" w:rsidR="00BE17C8" w:rsidRDefault="00BE17C8" w:rsidP="00BE17C8">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Należy wskazać, że po uzgodnieniach z Komisją Wspólną Rządu i Samorządu Terytorialnego wydłużono termin wejścia w życie przepisów ustawy do 6 miesięcy. Jedynie dla przepisów dotyczących prowadzenia postępowań w zakresie gleboznawczej klasyfikacji gruntów termin został wydłużony do 12 miesięcy.</w:t>
            </w:r>
          </w:p>
          <w:p w14:paraId="0B190482" w14:textId="10B4AA2E" w:rsidR="008F5EA2" w:rsidRDefault="00BE17C8" w:rsidP="009D777D">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Odnośnie pytania za pomocą jakiego systemu ma być dokonywane </w:t>
            </w:r>
            <w:r w:rsidRPr="00BD21D3">
              <w:rPr>
                <w:rFonts w:ascii="Lato" w:eastAsia="Arial" w:hAnsi="Lato" w:cs="Arial"/>
                <w:sz w:val="18"/>
                <w:szCs w:val="18"/>
              </w:rPr>
              <w:t xml:space="preserve">przekazywanie starostom </w:t>
            </w:r>
            <w:r>
              <w:rPr>
                <w:rFonts w:ascii="Lato" w:eastAsia="Arial" w:hAnsi="Lato" w:cs="Arial"/>
                <w:sz w:val="18"/>
                <w:szCs w:val="18"/>
              </w:rPr>
              <w:t xml:space="preserve">elektronicznych wypisów </w:t>
            </w:r>
            <w:r w:rsidRPr="00BE17C8">
              <w:rPr>
                <w:rFonts w:ascii="Lato" w:eastAsia="Arial" w:hAnsi="Lato" w:cs="Arial"/>
                <w:sz w:val="18"/>
                <w:szCs w:val="18"/>
              </w:rPr>
              <w:t>aktów notarialnych</w:t>
            </w:r>
            <w:r>
              <w:rPr>
                <w:rFonts w:ascii="Lato" w:eastAsia="Arial" w:hAnsi="Lato" w:cs="Arial"/>
                <w:sz w:val="18"/>
                <w:szCs w:val="18"/>
              </w:rPr>
              <w:t xml:space="preserve"> i </w:t>
            </w:r>
            <w:r w:rsidRPr="00BE17C8">
              <w:rPr>
                <w:rFonts w:ascii="Lato" w:eastAsia="Arial" w:hAnsi="Lato" w:cs="Arial"/>
                <w:sz w:val="18"/>
                <w:szCs w:val="18"/>
              </w:rPr>
              <w:t>aktów poświadczenia dziedziczenia</w:t>
            </w:r>
            <w:r w:rsidRPr="00BD21D3">
              <w:rPr>
                <w:rFonts w:ascii="Lato" w:eastAsia="Arial" w:hAnsi="Lato" w:cs="Arial"/>
                <w:sz w:val="18"/>
                <w:szCs w:val="18"/>
              </w:rPr>
              <w:t>,</w:t>
            </w:r>
            <w:r>
              <w:rPr>
                <w:rFonts w:ascii="Lato" w:eastAsia="Arial" w:hAnsi="Lato" w:cs="Arial"/>
                <w:sz w:val="18"/>
                <w:szCs w:val="18"/>
              </w:rPr>
              <w:t xml:space="preserve"> należy wskazać, że projekt ustawy </w:t>
            </w:r>
            <w:r w:rsidR="008F5EA2">
              <w:rPr>
                <w:rFonts w:ascii="Lato" w:eastAsia="Arial" w:hAnsi="Lato" w:cs="Arial"/>
                <w:sz w:val="18"/>
                <w:szCs w:val="18"/>
              </w:rPr>
              <w:t xml:space="preserve">celowo </w:t>
            </w:r>
            <w:r>
              <w:rPr>
                <w:rFonts w:ascii="Lato" w:eastAsia="Arial" w:hAnsi="Lato" w:cs="Arial"/>
                <w:sz w:val="18"/>
                <w:szCs w:val="18"/>
              </w:rPr>
              <w:t>nie reguluje przedmiotowej kwestii</w:t>
            </w:r>
            <w:r w:rsidR="008F5EA2">
              <w:rPr>
                <w:rFonts w:ascii="Lato" w:eastAsia="Arial" w:hAnsi="Lato" w:cs="Arial"/>
                <w:sz w:val="18"/>
                <w:szCs w:val="18"/>
              </w:rPr>
              <w:t>, N</w:t>
            </w:r>
            <w:r>
              <w:rPr>
                <w:rFonts w:ascii="Lato" w:eastAsia="Arial" w:hAnsi="Lato" w:cs="Arial"/>
                <w:sz w:val="18"/>
                <w:szCs w:val="18"/>
              </w:rPr>
              <w:t xml:space="preserve">otariusze </w:t>
            </w:r>
            <w:r w:rsidR="008F5EA2">
              <w:rPr>
                <w:rFonts w:ascii="Lato" w:eastAsia="Arial" w:hAnsi="Lato" w:cs="Arial"/>
                <w:sz w:val="18"/>
                <w:szCs w:val="18"/>
              </w:rPr>
              <w:t>będą mogli przesyłać</w:t>
            </w:r>
            <w:r>
              <w:rPr>
                <w:rFonts w:ascii="Lato" w:eastAsia="Arial" w:hAnsi="Lato" w:cs="Arial"/>
                <w:sz w:val="18"/>
                <w:szCs w:val="18"/>
              </w:rPr>
              <w:t xml:space="preserve"> przedmiotowe dokumenty przez wybrany przez siebie </w:t>
            </w:r>
            <w:r w:rsidR="008F5EA2">
              <w:rPr>
                <w:rFonts w:ascii="Lato" w:eastAsia="Arial" w:hAnsi="Lato" w:cs="Arial"/>
                <w:sz w:val="18"/>
                <w:szCs w:val="18"/>
              </w:rPr>
              <w:t>środek przekazu i nie będą mieli narzuconego obowiązku ich przekazywania w systemach teleinformatycznych, co jest zgodne z a</w:t>
            </w:r>
            <w:r w:rsidR="008F5EA2" w:rsidRPr="008F5EA2">
              <w:rPr>
                <w:rFonts w:ascii="Lato" w:eastAsia="Arial" w:hAnsi="Lato" w:cs="Arial"/>
                <w:sz w:val="18"/>
                <w:szCs w:val="18"/>
              </w:rPr>
              <w:t xml:space="preserve">rt. 111 </w:t>
            </w:r>
            <w:r w:rsidR="009D777D">
              <w:rPr>
                <w:rFonts w:ascii="Lato" w:eastAsia="Arial" w:hAnsi="Lato" w:cs="Arial"/>
                <w:sz w:val="18"/>
                <w:szCs w:val="18"/>
              </w:rPr>
              <w:t xml:space="preserve">§2 ustawy </w:t>
            </w:r>
            <w:r w:rsidR="009D777D" w:rsidRPr="009D777D">
              <w:rPr>
                <w:rFonts w:ascii="Lato" w:eastAsia="Arial" w:hAnsi="Lato" w:cs="Arial"/>
                <w:sz w:val="18"/>
                <w:szCs w:val="18"/>
              </w:rPr>
              <w:t>z dnia 14 lutego 1991 r.</w:t>
            </w:r>
            <w:r w:rsidR="009D777D">
              <w:rPr>
                <w:rFonts w:ascii="Lato" w:eastAsia="Arial" w:hAnsi="Lato" w:cs="Arial"/>
                <w:sz w:val="18"/>
                <w:szCs w:val="18"/>
              </w:rPr>
              <w:t xml:space="preserve"> - </w:t>
            </w:r>
            <w:r w:rsidR="009D777D" w:rsidRPr="009D777D">
              <w:rPr>
                <w:rFonts w:ascii="Lato" w:eastAsia="Arial" w:hAnsi="Lato" w:cs="Arial"/>
                <w:sz w:val="18"/>
                <w:szCs w:val="18"/>
              </w:rPr>
              <w:t>Prawo o notariacie</w:t>
            </w:r>
            <w:r w:rsidR="009D777D">
              <w:rPr>
                <w:rFonts w:ascii="Lato" w:eastAsia="Arial" w:hAnsi="Lato" w:cs="Arial"/>
                <w:sz w:val="18"/>
                <w:szCs w:val="18"/>
              </w:rPr>
              <w:t>.</w:t>
            </w:r>
          </w:p>
          <w:p w14:paraId="2C48645B" w14:textId="744D4551" w:rsidR="00BD21D3" w:rsidRPr="0037774A" w:rsidRDefault="009D777D" w:rsidP="00BD21D3">
            <w:pPr>
              <w:pStyle w:val="Inne0"/>
              <w:shd w:val="clear" w:color="auto" w:fill="auto"/>
              <w:spacing w:before="120" w:after="120"/>
              <w:ind w:left="131" w:right="138"/>
              <w:rPr>
                <w:rFonts w:ascii="Lato" w:eastAsia="Arial" w:hAnsi="Lato" w:cs="Arial"/>
                <w:sz w:val="18"/>
                <w:szCs w:val="18"/>
              </w:rPr>
            </w:pPr>
            <w:r>
              <w:rPr>
                <w:rFonts w:ascii="Lato" w:eastAsia="Arial" w:hAnsi="Lato" w:cs="Arial"/>
                <w:sz w:val="18"/>
                <w:szCs w:val="18"/>
              </w:rPr>
              <w:t>W tym miejscu n</w:t>
            </w:r>
            <w:r w:rsidR="008F5EA2">
              <w:rPr>
                <w:rFonts w:ascii="Lato" w:eastAsia="Arial" w:hAnsi="Lato" w:cs="Arial"/>
                <w:sz w:val="18"/>
                <w:szCs w:val="18"/>
              </w:rPr>
              <w:t xml:space="preserve">ależy zwrócić uwagę, że ewidencja gruntów i budynków jak i sam powiatowy zasób geodezyjny i kartograficzny są prowadzone w 380 jednostkach w kraju, w różnych systemach dostarczanych przez różnych producentów </w:t>
            </w:r>
            <w:proofErr w:type="spellStart"/>
            <w:r w:rsidR="008F5EA2">
              <w:rPr>
                <w:rFonts w:ascii="Lato" w:eastAsia="Arial" w:hAnsi="Lato" w:cs="Arial"/>
                <w:sz w:val="18"/>
                <w:szCs w:val="18"/>
              </w:rPr>
              <w:lastRenderedPageBreak/>
              <w:t>oprogramowań</w:t>
            </w:r>
            <w:proofErr w:type="spellEnd"/>
            <w:r w:rsidR="008F5EA2">
              <w:rPr>
                <w:rFonts w:ascii="Lato" w:eastAsia="Arial" w:hAnsi="Lato" w:cs="Arial"/>
                <w:sz w:val="18"/>
                <w:szCs w:val="18"/>
              </w:rPr>
              <w:t>, nie istnieje bowiem obecnie jeden centralny system do prowadzenia ww. baz danych i zasobów.</w:t>
            </w:r>
          </w:p>
        </w:tc>
      </w:tr>
      <w:tr w:rsidR="00BD21D3" w:rsidRPr="0037774A" w14:paraId="37F4803C" w14:textId="703EBCD0" w:rsidTr="00A1261B">
        <w:trPr>
          <w:trHeight w:val="20"/>
        </w:trPr>
        <w:tc>
          <w:tcPr>
            <w:tcW w:w="709" w:type="dxa"/>
            <w:tcBorders>
              <w:top w:val="single" w:sz="4" w:space="0" w:color="auto"/>
              <w:left w:val="single" w:sz="4" w:space="0" w:color="auto"/>
              <w:bottom w:val="single" w:sz="4" w:space="0" w:color="auto"/>
            </w:tcBorders>
            <w:shd w:val="clear" w:color="auto" w:fill="FFFFFF"/>
          </w:tcPr>
          <w:p w14:paraId="5BBE6049" w14:textId="77777777" w:rsidR="00BD21D3" w:rsidRPr="0037774A" w:rsidRDefault="00BD21D3" w:rsidP="00BD21D3">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3180AB42" w14:textId="77339D55" w:rsidR="00BD21D3" w:rsidRPr="0037774A" w:rsidRDefault="00BD21D3" w:rsidP="00BD21D3">
            <w:pPr>
              <w:pStyle w:val="Inne0"/>
              <w:shd w:val="clear" w:color="auto" w:fill="auto"/>
              <w:spacing w:before="120" w:after="120"/>
              <w:ind w:left="140" w:right="132"/>
              <w:rPr>
                <w:rFonts w:ascii="Lato" w:eastAsia="Arial" w:hAnsi="Lato" w:cs="Arial"/>
                <w:sz w:val="18"/>
                <w:szCs w:val="18"/>
              </w:rPr>
            </w:pPr>
            <w:r w:rsidRPr="000E5A04">
              <w:rPr>
                <w:rFonts w:ascii="Lato" w:eastAsia="Arial" w:hAnsi="Lato" w:cs="Arial"/>
                <w:sz w:val="18"/>
                <w:szCs w:val="18"/>
              </w:rPr>
              <w:t>Minister Sprawiedliwości</w:t>
            </w:r>
          </w:p>
        </w:tc>
        <w:tc>
          <w:tcPr>
            <w:tcW w:w="4536" w:type="dxa"/>
            <w:tcBorders>
              <w:top w:val="single" w:sz="4" w:space="0" w:color="auto"/>
              <w:left w:val="single" w:sz="4" w:space="0" w:color="auto"/>
              <w:bottom w:val="single" w:sz="4" w:space="0" w:color="auto"/>
            </w:tcBorders>
            <w:shd w:val="clear" w:color="auto" w:fill="FFFFFF"/>
          </w:tcPr>
          <w:p w14:paraId="0F482EAE" w14:textId="77777777" w:rsidR="00BD21D3" w:rsidRPr="00BD21D3" w:rsidRDefault="00BD21D3" w:rsidP="00BD21D3">
            <w:pPr>
              <w:pStyle w:val="Teksttreci0"/>
              <w:tabs>
                <w:tab w:val="left" w:pos="314"/>
              </w:tabs>
              <w:spacing w:before="120" w:after="120"/>
              <w:ind w:left="132" w:right="139"/>
              <w:rPr>
                <w:rFonts w:ascii="Lato" w:hAnsi="Lato"/>
                <w:sz w:val="18"/>
                <w:szCs w:val="18"/>
              </w:rPr>
            </w:pPr>
            <w:r w:rsidRPr="00BD21D3">
              <w:rPr>
                <w:rFonts w:ascii="Lato" w:hAnsi="Lato"/>
                <w:sz w:val="18"/>
                <w:szCs w:val="18"/>
              </w:rPr>
              <w:t>Wątpliwości budzi nowe brzmienie projektowanego przepisu art. 7a ust. 1 pkt 5a, w myśl którego Główny Geodeta Kraju wykonuje zadania określone w ustawie, a w szczególności: tworzy i utrzymuje system teleinformatyczny zapewniający bezpośredni dostęp do baz danych prowadzonych przez starostę, o których mowa w art. 4 ust. 1a pkt 2, 3, 7, 10 i 12, w celu:</w:t>
            </w:r>
          </w:p>
          <w:p w14:paraId="5F33878D" w14:textId="77777777" w:rsidR="00BD21D3" w:rsidRPr="00BD21D3" w:rsidRDefault="00BD21D3" w:rsidP="00BD21D3">
            <w:pPr>
              <w:pStyle w:val="Teksttreci0"/>
              <w:numPr>
                <w:ilvl w:val="0"/>
                <w:numId w:val="47"/>
              </w:numPr>
              <w:spacing w:before="120" w:after="120"/>
              <w:ind w:left="414" w:right="139" w:hanging="284"/>
              <w:rPr>
                <w:rFonts w:ascii="Lato" w:hAnsi="Lato"/>
                <w:sz w:val="18"/>
                <w:szCs w:val="18"/>
              </w:rPr>
            </w:pPr>
            <w:r w:rsidRPr="00BD21D3">
              <w:rPr>
                <w:rFonts w:ascii="Lato" w:hAnsi="Lato"/>
                <w:sz w:val="18"/>
                <w:szCs w:val="18"/>
              </w:rPr>
              <w:t>realizacji zadań, o których mowa w ust. 1 pkt 1,</w:t>
            </w:r>
          </w:p>
          <w:p w14:paraId="56E40ADB" w14:textId="77777777" w:rsidR="00BD21D3" w:rsidRPr="00BD21D3" w:rsidRDefault="00BD21D3" w:rsidP="00BD21D3">
            <w:pPr>
              <w:pStyle w:val="Teksttreci0"/>
              <w:numPr>
                <w:ilvl w:val="0"/>
                <w:numId w:val="47"/>
              </w:numPr>
              <w:spacing w:before="120" w:after="120"/>
              <w:ind w:left="414" w:right="139" w:hanging="284"/>
              <w:rPr>
                <w:rFonts w:ascii="Lato" w:hAnsi="Lato"/>
                <w:sz w:val="18"/>
                <w:szCs w:val="18"/>
              </w:rPr>
            </w:pPr>
            <w:r w:rsidRPr="00BD21D3">
              <w:rPr>
                <w:rFonts w:ascii="Lato" w:hAnsi="Lato"/>
                <w:sz w:val="18"/>
                <w:szCs w:val="18"/>
              </w:rPr>
              <w:t>aktualizacji centralnego repozytorium kopii zbiorów danych ewidencji gruntów i budynków, o którym mowa w art. 24b ust. 1 pkt 1 ustawy,</w:t>
            </w:r>
          </w:p>
          <w:p w14:paraId="05815D36" w14:textId="77777777" w:rsidR="00BD21D3" w:rsidRPr="00BD21D3" w:rsidRDefault="00BD21D3" w:rsidP="00BD21D3">
            <w:pPr>
              <w:pStyle w:val="Teksttreci0"/>
              <w:numPr>
                <w:ilvl w:val="0"/>
                <w:numId w:val="47"/>
              </w:numPr>
              <w:spacing w:before="120" w:after="120"/>
              <w:ind w:left="414" w:right="139" w:hanging="284"/>
              <w:rPr>
                <w:rFonts w:ascii="Lato" w:hAnsi="Lato"/>
                <w:sz w:val="18"/>
                <w:szCs w:val="18"/>
              </w:rPr>
            </w:pPr>
            <w:r w:rsidRPr="00BD21D3">
              <w:rPr>
                <w:rFonts w:ascii="Lato" w:hAnsi="Lato"/>
                <w:sz w:val="18"/>
                <w:szCs w:val="18"/>
              </w:rPr>
              <w:t>utworzenia i obsługi sieci usług, o których mowa w art. 9 ust. 1 ustawy z dnia 4 marca 2010 r. o infrastrukturze informacji przestrzennej przez Głównego Geodetę Kraju.</w:t>
            </w:r>
          </w:p>
          <w:p w14:paraId="4EE19870" w14:textId="77777777" w:rsidR="00BD21D3" w:rsidRPr="00BD21D3" w:rsidRDefault="00BD21D3" w:rsidP="00BD21D3">
            <w:pPr>
              <w:pStyle w:val="Teksttreci0"/>
              <w:tabs>
                <w:tab w:val="left" w:pos="314"/>
              </w:tabs>
              <w:spacing w:before="120" w:after="120"/>
              <w:ind w:left="132" w:right="139"/>
              <w:rPr>
                <w:rFonts w:ascii="Lato" w:hAnsi="Lato"/>
                <w:sz w:val="18"/>
                <w:szCs w:val="18"/>
              </w:rPr>
            </w:pPr>
            <w:r w:rsidRPr="00BD21D3">
              <w:rPr>
                <w:rFonts w:ascii="Lato" w:hAnsi="Lato"/>
                <w:sz w:val="18"/>
                <w:szCs w:val="18"/>
              </w:rPr>
              <w:t xml:space="preserve">Z przepisu tego usunięto wywołujące wątpliwości interpretacyjne sformułowanie pkt b „w celu zapewnienia sądom prowadzącym księgi wieczyste bezpośredniego dostępu do bazy danych ewidencji gruntów i budynków, o którym mowa w art. 27 ust. 4 </w:t>
            </w:r>
            <w:proofErr w:type="spellStart"/>
            <w:r w:rsidRPr="00BD21D3">
              <w:rPr>
                <w:rFonts w:ascii="Lato" w:hAnsi="Lato"/>
                <w:sz w:val="18"/>
                <w:szCs w:val="18"/>
              </w:rPr>
              <w:t>u.k.w.h</w:t>
            </w:r>
            <w:proofErr w:type="spellEnd"/>
            <w:r w:rsidRPr="00BD21D3">
              <w:rPr>
                <w:rFonts w:ascii="Lato" w:hAnsi="Lato"/>
                <w:sz w:val="18"/>
                <w:szCs w:val="18"/>
              </w:rPr>
              <w:t>.</w:t>
            </w:r>
          </w:p>
          <w:p w14:paraId="3FA1E6E4" w14:textId="77777777" w:rsidR="00BD21D3" w:rsidRPr="00BD21D3" w:rsidRDefault="00BD21D3" w:rsidP="00BD21D3">
            <w:pPr>
              <w:pStyle w:val="Teksttreci0"/>
              <w:tabs>
                <w:tab w:val="left" w:pos="314"/>
              </w:tabs>
              <w:spacing w:before="120" w:after="120"/>
              <w:ind w:left="132" w:right="139"/>
              <w:rPr>
                <w:rFonts w:ascii="Lato" w:hAnsi="Lato"/>
                <w:sz w:val="18"/>
                <w:szCs w:val="18"/>
              </w:rPr>
            </w:pPr>
            <w:r w:rsidRPr="00BD21D3">
              <w:rPr>
                <w:rFonts w:ascii="Lato" w:hAnsi="Lato"/>
                <w:sz w:val="18"/>
                <w:szCs w:val="18"/>
              </w:rPr>
              <w:t xml:space="preserve">Pomimo powyższego usunięcia, w pkt 4 OSR projektu ustawy (Podmioty, na które oddziałuje projekt), w części w której wymienia się sądy rejonowe na które oddziałuje ustawa, określając sposób oddziaływania wskazuje się: „Nadanie dostępu dla Głównego Geodety Kraju do baz danych starosty w celu m.in. zapewnienia sądom możliwości weryfikacji zgodności oznaczeń nieruchomości w ewidencji gruntów i budynków z księgami wieczystymi” - co sugeruje, że dostęp dla sądów prowadzących księgi wieczyste do bazy danych katastru nieruchomości poprzez ZSIN (o którym mowa w art. 27 ust. 4 </w:t>
            </w:r>
            <w:proofErr w:type="spellStart"/>
            <w:r w:rsidRPr="00BD21D3">
              <w:rPr>
                <w:rFonts w:ascii="Lato" w:hAnsi="Lato"/>
                <w:sz w:val="18"/>
                <w:szCs w:val="18"/>
              </w:rPr>
              <w:t>u.k.w.h</w:t>
            </w:r>
            <w:proofErr w:type="spellEnd"/>
            <w:r w:rsidRPr="00BD21D3">
              <w:rPr>
                <w:rFonts w:ascii="Lato" w:hAnsi="Lato"/>
                <w:sz w:val="18"/>
                <w:szCs w:val="18"/>
              </w:rPr>
              <w:t xml:space="preserve">.) zapewnia Główny Geodeta Kraju a nie organ prowadzący kataster nieruchomości, czyli starosta. Co więcej, z uzasadnienia projektu wynika, że „Model udostępniania przez starostów danych ewidencji gruntów i budynków w postaci usług prowadzi do </w:t>
            </w:r>
            <w:r w:rsidRPr="00BD21D3">
              <w:rPr>
                <w:rFonts w:ascii="Lato" w:hAnsi="Lato"/>
                <w:sz w:val="18"/>
                <w:szCs w:val="18"/>
              </w:rPr>
              <w:lastRenderedPageBreak/>
              <w:t>rozproszonego zarządzania danymi oraz różnic w zakresie jakości i terminowości ich udostępniania. Wprowadzenie bezpośredniego dostępu GGK do baz danych pozwoliłoby na centralizację udostępniania danych ZSIN, eliminując konieczność pośrednictwa starostów w tym zakresie. W efekcie dane byłyby szybciej i bardziej efektywnie integrowane z systemem, co zwiększyłoby ich wiarygodność oraz użyteczność dla administracji publicznej”.</w:t>
            </w:r>
          </w:p>
          <w:p w14:paraId="3036DB8B" w14:textId="6EE16978" w:rsidR="00BD21D3" w:rsidRPr="0037774A" w:rsidRDefault="00BD21D3" w:rsidP="00EF1407">
            <w:pPr>
              <w:pStyle w:val="Teksttreci0"/>
              <w:tabs>
                <w:tab w:val="left" w:pos="314"/>
              </w:tabs>
              <w:spacing w:before="120" w:after="120"/>
              <w:ind w:left="132" w:right="139"/>
              <w:rPr>
                <w:rFonts w:ascii="Lato" w:hAnsi="Lato"/>
                <w:sz w:val="18"/>
                <w:szCs w:val="18"/>
              </w:rPr>
            </w:pPr>
            <w:r w:rsidRPr="00BD21D3">
              <w:rPr>
                <w:rFonts w:ascii="Lato" w:hAnsi="Lato"/>
                <w:sz w:val="18"/>
                <w:szCs w:val="18"/>
              </w:rPr>
              <w:t xml:space="preserve">W dalszym ciągu aktualne jest więc pytanie, jaki organ będzie umożliwiał sądom dostęp do katastru nieruchomości, o którym mowa w art. 27 ust. 4 </w:t>
            </w:r>
            <w:proofErr w:type="spellStart"/>
            <w:r w:rsidRPr="00BD21D3">
              <w:rPr>
                <w:rFonts w:ascii="Lato" w:hAnsi="Lato"/>
                <w:sz w:val="18"/>
                <w:szCs w:val="18"/>
              </w:rPr>
              <w:t>u.k.w.h</w:t>
            </w:r>
            <w:proofErr w:type="spellEnd"/>
            <w:r w:rsidRPr="00BD21D3">
              <w:rPr>
                <w:rFonts w:ascii="Lato" w:hAnsi="Lato"/>
                <w:sz w:val="18"/>
                <w:szCs w:val="18"/>
              </w:rPr>
              <w:t>. Zgodnie z tym przepisem organ prowadzący kataster nieruchomości zapewni nieodpłatnie sądom prowadzącym księgi wieczyste, w celu sprawdzenia oznaczenia nieruchomości, bezpośredni dostęp do bazy danych katastru nieruchomości poprzez zintegrowany system informacji o nieruchomościach. Zgodnie natomiast z art. 7d pkt 1a obecnie obowiązującego brzmienia Prawa geodezyjnego i kartograficznego do zadań starosty należy m.in. prowadzenie powiatowego zasobu geodezyjnego i kartograficznego, w tym prowadzenie dla obszaru powiatu: ewidencji gruntów i budynków (katastru nieruchomości), o której mowa w art. 4 ust. 1a pkt 2. Zwrócić także należy uwagę, że zgodnie z projektowanym art. 7d pkt 1a, do zadań starosty</w:t>
            </w:r>
            <w:r w:rsidR="00EF1407">
              <w:rPr>
                <w:rFonts w:ascii="Lato" w:hAnsi="Lato"/>
                <w:sz w:val="18"/>
                <w:szCs w:val="18"/>
              </w:rPr>
              <w:t xml:space="preserve"> </w:t>
            </w:r>
            <w:r w:rsidRPr="00BD21D3">
              <w:rPr>
                <w:rFonts w:ascii="Lato" w:hAnsi="Lato"/>
                <w:sz w:val="18"/>
                <w:szCs w:val="18"/>
              </w:rPr>
              <w:t>należeć będzie w szczególności zapewnienie Głównemu Geodecie Kraju bezpośredniego dostępu do baz danych, o których mowa w art. 4 ust. 1a pkt 2, 3, 7, 10 i 12. Tym samym do zadań starosty należeć będzie zapewnienie Głównemu Geodecie Kraju bezpośredniego dostępu do bazy danych ewidencji gruntów i budynków (katastru nieruchomości) - art. 4 ust. 1 pkt 2. 6</w:t>
            </w:r>
            <w:r w:rsidR="00EF1407">
              <w:rPr>
                <w:rFonts w:ascii="Lato" w:hAnsi="Lato"/>
                <w:sz w:val="18"/>
                <w:szCs w:val="18"/>
              </w:rPr>
              <w:t xml:space="preserve"> </w:t>
            </w:r>
            <w:r w:rsidRPr="00BD21D3">
              <w:rPr>
                <w:rFonts w:ascii="Lato" w:hAnsi="Lato"/>
                <w:sz w:val="18"/>
                <w:szCs w:val="18"/>
              </w:rPr>
              <w:t xml:space="preserve">Wydaje się zatem, że w dalszym ciągu to starosta będzie prowadził kataster nieruchomości (ewidencję gruntów i budynków). Natomiast Główny Geodeta Kraju będzie miał dostęp do bazy danych tego rejestru oraz utworzy i będzie utrzymywać system teleinformatyczny zapewniający bezpośredni dostęp do baz danych prowadzonych przez starostę. Powstaje więc pytanie, jak w świetle art. 27 ust. 4 </w:t>
            </w:r>
            <w:proofErr w:type="spellStart"/>
            <w:r w:rsidRPr="00BD21D3">
              <w:rPr>
                <w:rFonts w:ascii="Lato" w:hAnsi="Lato"/>
                <w:sz w:val="18"/>
                <w:szCs w:val="18"/>
              </w:rPr>
              <w:t>u.k.w.h</w:t>
            </w:r>
            <w:proofErr w:type="spellEnd"/>
            <w:r w:rsidRPr="00BD21D3">
              <w:rPr>
                <w:rFonts w:ascii="Lato" w:hAnsi="Lato"/>
                <w:sz w:val="18"/>
                <w:szCs w:val="18"/>
              </w:rPr>
              <w:t xml:space="preserve">., będzie realizowany w ramach ZSIN przez sądy prowadzące księgi wieczyste dostęp do danych ewidencji gruntów i budynków. W sytuacji, gdy przepis art. 27 ust. 4 ustawy o księgach wieczystych i hipotece zobowiązuje organy prowadzące ewidencje </w:t>
            </w:r>
            <w:r w:rsidRPr="00BD21D3">
              <w:rPr>
                <w:rFonts w:ascii="Lato" w:hAnsi="Lato"/>
                <w:sz w:val="18"/>
                <w:szCs w:val="18"/>
              </w:rPr>
              <w:lastRenderedPageBreak/>
              <w:t>gruntów i budynków (a więc starostów) do zapewnienia tego dostępu a w uzasadnieniu projektu wskazuje się na „centralizację udostępniania danych ZSIN i eliminacje konieczności pośrednictwa starostów w tym zakresie”.</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439131CC" w14:textId="77777777" w:rsidR="00BD21D3" w:rsidRPr="0037774A" w:rsidRDefault="00BD21D3" w:rsidP="00BD21D3">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shd w:val="clear" w:color="auto" w:fill="FFFFFF"/>
          </w:tcPr>
          <w:p w14:paraId="38FCAA9F" w14:textId="68604D1F" w:rsidR="00EF1407" w:rsidRPr="00EF1407" w:rsidRDefault="00EF1407" w:rsidP="00EF1407">
            <w:pPr>
              <w:pStyle w:val="Inne0"/>
              <w:spacing w:before="120" w:after="120"/>
              <w:ind w:left="131" w:right="138"/>
              <w:rPr>
                <w:rFonts w:ascii="Lato" w:eastAsia="Arial" w:hAnsi="Lato" w:cs="Arial"/>
                <w:sz w:val="18"/>
                <w:szCs w:val="18"/>
              </w:rPr>
            </w:pPr>
            <w:r w:rsidRPr="00EF1407">
              <w:rPr>
                <w:rFonts w:ascii="Lato" w:eastAsia="Arial" w:hAnsi="Lato" w:cs="Arial"/>
                <w:sz w:val="18"/>
                <w:szCs w:val="18"/>
              </w:rPr>
              <w:t>Uwaga nie</w:t>
            </w:r>
            <w:r>
              <w:rPr>
                <w:rFonts w:ascii="Lato" w:eastAsia="Arial" w:hAnsi="Lato" w:cs="Arial"/>
                <w:sz w:val="18"/>
                <w:szCs w:val="18"/>
              </w:rPr>
              <w:t xml:space="preserve"> została </w:t>
            </w:r>
            <w:r w:rsidRPr="00EF1407">
              <w:rPr>
                <w:rFonts w:ascii="Lato" w:eastAsia="Arial" w:hAnsi="Lato" w:cs="Arial"/>
                <w:sz w:val="18"/>
                <w:szCs w:val="18"/>
              </w:rPr>
              <w:t>uwzględniona</w:t>
            </w:r>
            <w:r>
              <w:rPr>
                <w:rFonts w:ascii="Lato" w:eastAsia="Arial" w:hAnsi="Lato" w:cs="Arial"/>
                <w:sz w:val="18"/>
                <w:szCs w:val="18"/>
              </w:rPr>
              <w:t>.</w:t>
            </w:r>
          </w:p>
          <w:p w14:paraId="502A6988" w14:textId="3692C0D8" w:rsidR="00EF1407" w:rsidRPr="00EF1407" w:rsidRDefault="00EF1407" w:rsidP="00EF1407">
            <w:pPr>
              <w:pStyle w:val="Inne0"/>
              <w:spacing w:before="120" w:after="120"/>
              <w:ind w:left="131" w:right="138"/>
              <w:rPr>
                <w:rFonts w:ascii="Lato" w:eastAsia="Arial" w:hAnsi="Lato" w:cs="Arial"/>
                <w:sz w:val="18"/>
                <w:szCs w:val="18"/>
              </w:rPr>
            </w:pPr>
            <w:r w:rsidRPr="00EF1407">
              <w:rPr>
                <w:rFonts w:ascii="Lato" w:eastAsia="Arial" w:hAnsi="Lato" w:cs="Arial"/>
                <w:sz w:val="18"/>
                <w:szCs w:val="18"/>
              </w:rPr>
              <w:t xml:space="preserve">Projektowana zmiana nie wpływa na podział kompetencji pomiędzy starostą a Głównym Geodetą Kraju w zakresie prowadzenia i udostępniania danych ewidencji gruntów i budynków. Zarówno przed zmianą, jak i po zmianie, to starosta pozostaje organem prowadzącym </w:t>
            </w:r>
            <w:r>
              <w:rPr>
                <w:rFonts w:ascii="Lato" w:eastAsia="Arial" w:hAnsi="Lato" w:cs="Arial"/>
                <w:sz w:val="18"/>
                <w:szCs w:val="18"/>
              </w:rPr>
              <w:t>ewidencję gruntów i budynków</w:t>
            </w:r>
            <w:r w:rsidRPr="00EF1407">
              <w:rPr>
                <w:rFonts w:ascii="Lato" w:eastAsia="Arial" w:hAnsi="Lato" w:cs="Arial"/>
                <w:sz w:val="18"/>
                <w:szCs w:val="18"/>
              </w:rPr>
              <w:t xml:space="preserve"> (katast</w:t>
            </w:r>
            <w:r>
              <w:rPr>
                <w:rFonts w:ascii="Lato" w:eastAsia="Arial" w:hAnsi="Lato" w:cs="Arial"/>
                <w:sz w:val="18"/>
                <w:szCs w:val="18"/>
              </w:rPr>
              <w:t>e</w:t>
            </w:r>
            <w:r w:rsidRPr="00EF1407">
              <w:rPr>
                <w:rFonts w:ascii="Lato" w:eastAsia="Arial" w:hAnsi="Lato" w:cs="Arial"/>
                <w:sz w:val="18"/>
                <w:szCs w:val="18"/>
              </w:rPr>
              <w:t>r nieruchomości) i to on</w:t>
            </w:r>
            <w:r>
              <w:rPr>
                <w:rFonts w:ascii="Lato" w:eastAsia="Arial" w:hAnsi="Lato" w:cs="Arial"/>
                <w:sz w:val="18"/>
                <w:szCs w:val="18"/>
              </w:rPr>
              <w:t xml:space="preserve">, </w:t>
            </w:r>
            <w:r w:rsidRPr="00EF1407">
              <w:rPr>
                <w:rFonts w:ascii="Lato" w:eastAsia="Arial" w:hAnsi="Lato" w:cs="Arial"/>
                <w:sz w:val="18"/>
                <w:szCs w:val="18"/>
              </w:rPr>
              <w:t xml:space="preserve">zgodnie z art. 27 ust. 4 </w:t>
            </w:r>
            <w:r>
              <w:rPr>
                <w:rFonts w:ascii="Lato" w:eastAsia="Arial" w:hAnsi="Lato" w:cs="Arial"/>
                <w:sz w:val="18"/>
                <w:szCs w:val="18"/>
              </w:rPr>
              <w:t xml:space="preserve">ustawy </w:t>
            </w:r>
            <w:r w:rsidRPr="00EF1407">
              <w:rPr>
                <w:rFonts w:ascii="Lato" w:eastAsia="Arial" w:hAnsi="Lato" w:cs="Arial"/>
                <w:sz w:val="18"/>
                <w:szCs w:val="18"/>
              </w:rPr>
              <w:t>dnia 6 lipca 1982 r. o księgach wieczystych i hipotece</w:t>
            </w:r>
            <w:r>
              <w:rPr>
                <w:rFonts w:ascii="Lato" w:eastAsia="Arial" w:hAnsi="Lato" w:cs="Arial"/>
                <w:sz w:val="18"/>
                <w:szCs w:val="18"/>
              </w:rPr>
              <w:t>,</w:t>
            </w:r>
            <w:r w:rsidRPr="00EF1407">
              <w:rPr>
                <w:rFonts w:ascii="Lato" w:eastAsia="Arial" w:hAnsi="Lato" w:cs="Arial"/>
                <w:sz w:val="18"/>
                <w:szCs w:val="18"/>
              </w:rPr>
              <w:t xml:space="preserve"> jest zobowiązany do zapewnienia sądom prowadzącym księgi wieczyste bezpośredniego dostępu do danych. Wprowadzenie </w:t>
            </w:r>
            <w:r>
              <w:rPr>
                <w:rFonts w:ascii="Lato" w:eastAsia="Arial" w:hAnsi="Lato" w:cs="Arial"/>
                <w:sz w:val="18"/>
                <w:szCs w:val="18"/>
              </w:rPr>
              <w:t>proponowanego przepisu</w:t>
            </w:r>
            <w:r w:rsidRPr="00EF1407">
              <w:rPr>
                <w:rFonts w:ascii="Lato" w:eastAsia="Arial" w:hAnsi="Lato" w:cs="Arial"/>
                <w:sz w:val="18"/>
                <w:szCs w:val="18"/>
              </w:rPr>
              <w:t xml:space="preserve"> stanowi </w:t>
            </w:r>
            <w:proofErr w:type="spellStart"/>
            <w:r w:rsidRPr="00EF1407">
              <w:rPr>
                <w:rFonts w:ascii="Lato" w:eastAsia="Arial" w:hAnsi="Lato" w:cs="Arial"/>
                <w:sz w:val="18"/>
                <w:szCs w:val="18"/>
              </w:rPr>
              <w:t>uspójnienie</w:t>
            </w:r>
            <w:proofErr w:type="spellEnd"/>
            <w:r w:rsidRPr="00EF1407">
              <w:rPr>
                <w:rFonts w:ascii="Lato" w:eastAsia="Arial" w:hAnsi="Lato" w:cs="Arial"/>
                <w:sz w:val="18"/>
                <w:szCs w:val="18"/>
              </w:rPr>
              <w:t xml:space="preserve"> </w:t>
            </w:r>
            <w:r>
              <w:rPr>
                <w:rFonts w:ascii="Lato" w:eastAsia="Arial" w:hAnsi="Lato" w:cs="Arial"/>
                <w:sz w:val="18"/>
                <w:szCs w:val="18"/>
              </w:rPr>
              <w:t>regulacji</w:t>
            </w:r>
            <w:r w:rsidRPr="00EF1407">
              <w:rPr>
                <w:rFonts w:ascii="Lato" w:eastAsia="Arial" w:hAnsi="Lato" w:cs="Arial"/>
                <w:sz w:val="18"/>
                <w:szCs w:val="18"/>
              </w:rPr>
              <w:t xml:space="preserve"> w kontekście bezpośredniego dostępu do danych powiatowych wynikającego z brzmienia art. 27 ust. 4 </w:t>
            </w:r>
            <w:r>
              <w:rPr>
                <w:rFonts w:ascii="Lato" w:eastAsia="Arial" w:hAnsi="Lato" w:cs="Arial"/>
                <w:sz w:val="18"/>
                <w:szCs w:val="18"/>
              </w:rPr>
              <w:t xml:space="preserve">ustawy </w:t>
            </w:r>
            <w:r w:rsidRPr="00EF1407">
              <w:rPr>
                <w:rFonts w:ascii="Lato" w:eastAsia="Arial" w:hAnsi="Lato" w:cs="Arial"/>
                <w:sz w:val="18"/>
                <w:szCs w:val="18"/>
              </w:rPr>
              <w:t>o księgach wieczystych i hipotece.</w:t>
            </w:r>
          </w:p>
          <w:p w14:paraId="36FA592F" w14:textId="646E7EBB" w:rsidR="00EF1407" w:rsidRPr="00EF1407" w:rsidRDefault="00EF1407" w:rsidP="00EF1407">
            <w:pPr>
              <w:pStyle w:val="Inne0"/>
              <w:spacing w:before="120" w:after="120"/>
              <w:ind w:left="131" w:right="138"/>
              <w:rPr>
                <w:rFonts w:ascii="Lato" w:eastAsia="Arial" w:hAnsi="Lato" w:cs="Arial"/>
                <w:sz w:val="18"/>
                <w:szCs w:val="18"/>
              </w:rPr>
            </w:pPr>
            <w:r w:rsidRPr="00EF1407">
              <w:rPr>
                <w:rFonts w:ascii="Lato" w:eastAsia="Arial" w:hAnsi="Lato" w:cs="Arial"/>
                <w:sz w:val="18"/>
                <w:szCs w:val="18"/>
              </w:rPr>
              <w:t xml:space="preserve">Zmiana dotyczy wyłącznie sposobu technicznego zasilania i utrzymania </w:t>
            </w:r>
            <w:r w:rsidR="00174018">
              <w:rPr>
                <w:rFonts w:ascii="Lato" w:eastAsia="Arial" w:hAnsi="Lato" w:cs="Arial"/>
                <w:sz w:val="18"/>
                <w:szCs w:val="18"/>
              </w:rPr>
              <w:t>zintegrowanego systemu informacji o nieruchomościach (</w:t>
            </w:r>
            <w:r w:rsidRPr="00EF1407">
              <w:rPr>
                <w:rFonts w:ascii="Lato" w:eastAsia="Arial" w:hAnsi="Lato" w:cs="Arial"/>
                <w:sz w:val="18"/>
                <w:szCs w:val="18"/>
              </w:rPr>
              <w:t>ZSIN</w:t>
            </w:r>
            <w:r w:rsidR="00174018">
              <w:rPr>
                <w:rFonts w:ascii="Lato" w:eastAsia="Arial" w:hAnsi="Lato" w:cs="Arial"/>
                <w:sz w:val="18"/>
                <w:szCs w:val="18"/>
              </w:rPr>
              <w:t xml:space="preserve">). </w:t>
            </w:r>
            <w:r w:rsidRPr="00EF1407">
              <w:rPr>
                <w:rFonts w:ascii="Lato" w:eastAsia="Arial" w:hAnsi="Lato" w:cs="Arial"/>
                <w:sz w:val="18"/>
                <w:szCs w:val="18"/>
              </w:rPr>
              <w:t xml:space="preserve">Główny Geodeta Kraju tworzy i utrzymuje system teleinformatyczny, który stanowi narzędzie umożliwiające realizację dostępu, natomiast nie przejmuje odpowiedzialności starosty za prowadzenie ani udostępnianie danych </w:t>
            </w:r>
            <w:r w:rsidR="00174018">
              <w:rPr>
                <w:rFonts w:ascii="Lato" w:eastAsia="Arial" w:hAnsi="Lato" w:cs="Arial"/>
                <w:sz w:val="18"/>
                <w:szCs w:val="18"/>
              </w:rPr>
              <w:t>ewidencji gruntów i budynków</w:t>
            </w:r>
            <w:r w:rsidRPr="00EF1407">
              <w:rPr>
                <w:rFonts w:ascii="Lato" w:eastAsia="Arial" w:hAnsi="Lato" w:cs="Arial"/>
                <w:sz w:val="18"/>
                <w:szCs w:val="18"/>
              </w:rPr>
              <w:t>.</w:t>
            </w:r>
            <w:r w:rsidR="00174018">
              <w:rPr>
                <w:rFonts w:ascii="Lato" w:eastAsia="Arial" w:hAnsi="Lato" w:cs="Arial"/>
                <w:sz w:val="18"/>
                <w:szCs w:val="18"/>
              </w:rPr>
              <w:t xml:space="preserve"> </w:t>
            </w:r>
            <w:r w:rsidRPr="00EF1407">
              <w:rPr>
                <w:rFonts w:ascii="Lato" w:eastAsia="Arial" w:hAnsi="Lato" w:cs="Arial"/>
                <w:sz w:val="18"/>
                <w:szCs w:val="18"/>
              </w:rPr>
              <w:t xml:space="preserve">Centralizacja infrastruktury systemowej nie oznacza zmiany organu odpowiedzialnego za udostępnianie danych katastru. Odpowiedzialność starosty pozostaje niezmienna, a rolą </w:t>
            </w:r>
            <w:r w:rsidR="00174018">
              <w:rPr>
                <w:rFonts w:ascii="Lato" w:eastAsia="Arial" w:hAnsi="Lato" w:cs="Arial"/>
                <w:sz w:val="18"/>
                <w:szCs w:val="18"/>
              </w:rPr>
              <w:t>Głównego Geodety Kraju</w:t>
            </w:r>
            <w:r w:rsidRPr="00EF1407">
              <w:rPr>
                <w:rFonts w:ascii="Lato" w:eastAsia="Arial" w:hAnsi="Lato" w:cs="Arial"/>
                <w:sz w:val="18"/>
                <w:szCs w:val="18"/>
              </w:rPr>
              <w:t xml:space="preserve"> jest utrzymanie i rozwijanie systemu ZSIN wykorzystywanego do tego celu.</w:t>
            </w:r>
          </w:p>
          <w:p w14:paraId="31DE7BE3" w14:textId="2FE52359" w:rsidR="00BD21D3" w:rsidRPr="0037774A" w:rsidRDefault="00BD21D3" w:rsidP="00BD21D3">
            <w:pPr>
              <w:pStyle w:val="Inne0"/>
              <w:shd w:val="clear" w:color="auto" w:fill="auto"/>
              <w:spacing w:before="120" w:after="120"/>
              <w:ind w:left="131" w:right="138"/>
              <w:rPr>
                <w:rFonts w:ascii="Lato" w:eastAsia="Arial" w:hAnsi="Lato" w:cs="Arial"/>
                <w:sz w:val="18"/>
                <w:szCs w:val="18"/>
              </w:rPr>
            </w:pPr>
          </w:p>
        </w:tc>
      </w:tr>
      <w:tr w:rsidR="00BD21D3" w:rsidRPr="0037774A" w14:paraId="0D26AAA6" w14:textId="3F4384EA" w:rsidTr="00DC63DB">
        <w:trPr>
          <w:trHeight w:val="20"/>
        </w:trPr>
        <w:tc>
          <w:tcPr>
            <w:tcW w:w="709" w:type="dxa"/>
            <w:tcBorders>
              <w:top w:val="single" w:sz="4" w:space="0" w:color="auto"/>
              <w:left w:val="single" w:sz="4" w:space="0" w:color="auto"/>
              <w:bottom w:val="single" w:sz="4" w:space="0" w:color="auto"/>
            </w:tcBorders>
            <w:shd w:val="clear" w:color="auto" w:fill="FFFFFF"/>
          </w:tcPr>
          <w:p w14:paraId="39E85F0E" w14:textId="77777777" w:rsidR="00BD21D3" w:rsidRPr="0037774A" w:rsidRDefault="00BD21D3" w:rsidP="00BD21D3">
            <w:pPr>
              <w:pStyle w:val="Inne0"/>
              <w:numPr>
                <w:ilvl w:val="0"/>
                <w:numId w:val="17"/>
              </w:numPr>
              <w:shd w:val="clear" w:color="auto" w:fill="auto"/>
              <w:spacing w:before="120" w:after="120"/>
              <w:ind w:hanging="803"/>
              <w:rPr>
                <w:rFonts w:ascii="Lato" w:eastAsia="Arial" w:hAnsi="Lato" w:cs="Arial"/>
                <w:b/>
                <w:bCs/>
                <w:sz w:val="18"/>
                <w:szCs w:val="18"/>
              </w:rPr>
            </w:pPr>
          </w:p>
        </w:tc>
        <w:tc>
          <w:tcPr>
            <w:tcW w:w="1701" w:type="dxa"/>
            <w:tcBorders>
              <w:top w:val="single" w:sz="4" w:space="0" w:color="auto"/>
              <w:left w:val="single" w:sz="4" w:space="0" w:color="auto"/>
              <w:bottom w:val="single" w:sz="4" w:space="0" w:color="auto"/>
            </w:tcBorders>
            <w:shd w:val="clear" w:color="auto" w:fill="FFFFFF"/>
          </w:tcPr>
          <w:p w14:paraId="22936D16" w14:textId="1227ACFC" w:rsidR="00BD21D3" w:rsidRPr="0037774A" w:rsidRDefault="00BD21D3" w:rsidP="00BD21D3">
            <w:pPr>
              <w:pStyle w:val="Inne0"/>
              <w:shd w:val="clear" w:color="auto" w:fill="auto"/>
              <w:spacing w:before="120" w:after="120"/>
              <w:ind w:left="140" w:right="132"/>
              <w:rPr>
                <w:rFonts w:ascii="Lato" w:eastAsia="Arial" w:hAnsi="Lato" w:cs="Arial"/>
                <w:sz w:val="18"/>
                <w:szCs w:val="18"/>
              </w:rPr>
            </w:pPr>
            <w:r w:rsidRPr="000E5A04">
              <w:rPr>
                <w:rFonts w:ascii="Lato" w:eastAsia="Arial" w:hAnsi="Lato" w:cs="Arial"/>
                <w:sz w:val="18"/>
                <w:szCs w:val="18"/>
              </w:rPr>
              <w:t>Minister Sprawiedliwości</w:t>
            </w:r>
          </w:p>
        </w:tc>
        <w:tc>
          <w:tcPr>
            <w:tcW w:w="4536" w:type="dxa"/>
            <w:tcBorders>
              <w:top w:val="single" w:sz="4" w:space="0" w:color="auto"/>
              <w:left w:val="single" w:sz="4" w:space="0" w:color="auto"/>
              <w:bottom w:val="single" w:sz="4" w:space="0" w:color="auto"/>
            </w:tcBorders>
            <w:shd w:val="clear" w:color="auto" w:fill="FFFFFF"/>
          </w:tcPr>
          <w:p w14:paraId="0CCCA609" w14:textId="2412251E" w:rsidR="00BD21D3" w:rsidRPr="0037774A" w:rsidRDefault="00BD21D3" w:rsidP="00BD21D3">
            <w:pPr>
              <w:pStyle w:val="Teksttreci0"/>
              <w:shd w:val="clear" w:color="auto" w:fill="auto"/>
              <w:tabs>
                <w:tab w:val="left" w:pos="411"/>
              </w:tabs>
              <w:spacing w:before="120" w:after="120"/>
              <w:ind w:left="130" w:right="139"/>
              <w:rPr>
                <w:rFonts w:ascii="Lato" w:hAnsi="Lato"/>
                <w:sz w:val="18"/>
                <w:szCs w:val="18"/>
              </w:rPr>
            </w:pPr>
            <w:r w:rsidRPr="00BD21D3">
              <w:rPr>
                <w:rFonts w:ascii="Lato" w:hAnsi="Lato"/>
                <w:sz w:val="18"/>
                <w:szCs w:val="18"/>
              </w:rPr>
              <w:t>W zakresie OSR projektu, Minister Sprawiedliwości zauważa, że w dalszym ciągu nie wynika z niego, czy nowe rozwiązania przewidziane w ustawie o zmianie ustawy - Prawo geodezyjne i kartograficzne oraz ustawy o infrastrukturze informacji przestrzennej nie wpłyną na obciążenie sądów wieczystoksięgowych nowymi sprawami. Innymi słowy, czy nowe rozwiązania przewidziane w projekcie nie spowodują konieczności aktualizacji działu I-O księgi wieczystej (oznaczenie nieruchomości). Dlatego też należy podtrzymać w tym zakresie uwagę, co do Oceny Skutków Regulacji.</w:t>
            </w:r>
          </w:p>
        </w:tc>
        <w:tc>
          <w:tcPr>
            <w:tcW w:w="4111" w:type="dxa"/>
            <w:tcBorders>
              <w:top w:val="single" w:sz="4" w:space="0" w:color="auto"/>
              <w:left w:val="single" w:sz="4" w:space="0" w:color="auto"/>
              <w:bottom w:val="single" w:sz="4" w:space="0" w:color="auto"/>
              <w:right w:val="single" w:sz="4" w:space="0" w:color="auto"/>
            </w:tcBorders>
            <w:shd w:val="clear" w:color="auto" w:fill="FFFFFF"/>
          </w:tcPr>
          <w:p w14:paraId="220A4DDC" w14:textId="77777777" w:rsidR="00BD21D3" w:rsidRPr="0037774A" w:rsidRDefault="00BD21D3" w:rsidP="00BD21D3">
            <w:pPr>
              <w:pStyle w:val="Inne0"/>
              <w:shd w:val="clear" w:color="auto" w:fill="auto"/>
              <w:spacing w:before="120" w:after="120"/>
              <w:ind w:left="125" w:right="136"/>
              <w:rPr>
                <w:rFonts w:ascii="Lato" w:eastAsia="Arial" w:hAnsi="Lato" w:cs="Arial"/>
                <w:sz w:val="18"/>
                <w:szCs w:val="18"/>
              </w:rPr>
            </w:pPr>
          </w:p>
        </w:tc>
        <w:tc>
          <w:tcPr>
            <w:tcW w:w="4820" w:type="dxa"/>
            <w:tcBorders>
              <w:top w:val="single" w:sz="4" w:space="0" w:color="auto"/>
              <w:left w:val="single" w:sz="4" w:space="0" w:color="auto"/>
              <w:bottom w:val="single" w:sz="4" w:space="0" w:color="auto"/>
              <w:right w:val="single" w:sz="4" w:space="0" w:color="auto"/>
            </w:tcBorders>
          </w:tcPr>
          <w:p w14:paraId="053A64D8" w14:textId="7AF60792" w:rsidR="008E51DE" w:rsidRDefault="008E51DE" w:rsidP="00DC63DB">
            <w:pPr>
              <w:pStyle w:val="Inne0"/>
              <w:spacing w:before="120" w:after="120"/>
              <w:ind w:left="131" w:right="138"/>
              <w:rPr>
                <w:rFonts w:ascii="Lato" w:eastAsia="Arial" w:hAnsi="Lato" w:cs="Arial"/>
                <w:sz w:val="18"/>
                <w:szCs w:val="18"/>
              </w:rPr>
            </w:pPr>
            <w:r>
              <w:rPr>
                <w:rFonts w:ascii="Lato" w:eastAsia="Arial" w:hAnsi="Lato" w:cs="Arial"/>
                <w:sz w:val="18"/>
                <w:szCs w:val="18"/>
              </w:rPr>
              <w:t xml:space="preserve">Należy wskazać, że przepisy projektu ustawy nie nakładają nowych obowiązków czy zadań, które spowodowałyby zwiększenie liczby dokonywanych przez sądy wieczysto-księgowe </w:t>
            </w:r>
            <w:r w:rsidRPr="008E51DE">
              <w:rPr>
                <w:rFonts w:ascii="Lato" w:eastAsia="Arial" w:hAnsi="Lato" w:cs="Arial"/>
                <w:sz w:val="18"/>
                <w:szCs w:val="18"/>
              </w:rPr>
              <w:t>aktualizacji działu I-O księgi wieczystej (oznaczenie nieruchomości).</w:t>
            </w:r>
          </w:p>
          <w:p w14:paraId="4EEFC276" w14:textId="412315AD" w:rsidR="00DC63DB" w:rsidRDefault="00DC63DB" w:rsidP="00DC63DB">
            <w:pPr>
              <w:pStyle w:val="Inne0"/>
              <w:spacing w:before="120" w:after="120"/>
              <w:ind w:left="131" w:right="138"/>
              <w:rPr>
                <w:rFonts w:ascii="Lato" w:eastAsia="Arial" w:hAnsi="Lato" w:cs="Arial"/>
                <w:sz w:val="18"/>
                <w:szCs w:val="18"/>
              </w:rPr>
            </w:pPr>
            <w:r>
              <w:rPr>
                <w:rFonts w:ascii="Lato" w:eastAsia="Arial" w:hAnsi="Lato" w:cs="Arial"/>
                <w:sz w:val="18"/>
                <w:szCs w:val="18"/>
              </w:rPr>
              <w:t>W opinii projektodawcy projektowane przepisy nie wprowadzają dodatkowych obciążeń po stronie sądów</w:t>
            </w:r>
            <w:r w:rsidR="008E51DE">
              <w:rPr>
                <w:rFonts w:ascii="Lato" w:eastAsia="Arial" w:hAnsi="Lato" w:cs="Arial"/>
                <w:sz w:val="18"/>
                <w:szCs w:val="18"/>
              </w:rPr>
              <w:t xml:space="preserve">. </w:t>
            </w:r>
            <w:r>
              <w:rPr>
                <w:rFonts w:ascii="Lato" w:eastAsia="Arial" w:hAnsi="Lato" w:cs="Arial"/>
                <w:sz w:val="18"/>
                <w:szCs w:val="18"/>
              </w:rPr>
              <w:t xml:space="preserve">Jeżeli jednak w opinii Ministerstwa Sprawiedliwości projektowane regulacje będą powodowały </w:t>
            </w:r>
            <w:r w:rsidR="008E51DE">
              <w:rPr>
                <w:rFonts w:ascii="Lato" w:eastAsia="Arial" w:hAnsi="Lato" w:cs="Arial"/>
                <w:sz w:val="18"/>
                <w:szCs w:val="18"/>
              </w:rPr>
              <w:t>takie obciążenia/</w:t>
            </w:r>
            <w:r>
              <w:rPr>
                <w:rFonts w:ascii="Lato" w:eastAsia="Arial" w:hAnsi="Lato" w:cs="Arial"/>
                <w:sz w:val="18"/>
                <w:szCs w:val="18"/>
              </w:rPr>
              <w:t xml:space="preserve">koszty po stronie sądów, projektodawca wnosi o ich </w:t>
            </w:r>
            <w:r w:rsidR="008E51DE">
              <w:rPr>
                <w:rFonts w:ascii="Lato" w:eastAsia="Arial" w:hAnsi="Lato" w:cs="Arial"/>
                <w:sz w:val="18"/>
                <w:szCs w:val="18"/>
              </w:rPr>
              <w:t xml:space="preserve">opisanie, </w:t>
            </w:r>
            <w:r>
              <w:rPr>
                <w:rFonts w:ascii="Lato" w:eastAsia="Arial" w:hAnsi="Lato" w:cs="Arial"/>
                <w:sz w:val="18"/>
                <w:szCs w:val="18"/>
              </w:rPr>
              <w:t xml:space="preserve">obliczenie i przekazanie celem uzupełnienia OSR. W przeciwnym razie należy uznać, że projektowane zmian nie będą powodowały </w:t>
            </w:r>
            <w:r w:rsidR="008E51DE">
              <w:rPr>
                <w:rFonts w:ascii="Lato" w:eastAsia="Arial" w:hAnsi="Lato" w:cs="Arial"/>
                <w:sz w:val="18"/>
                <w:szCs w:val="18"/>
              </w:rPr>
              <w:t>takich skutków</w:t>
            </w:r>
            <w:r>
              <w:rPr>
                <w:rFonts w:ascii="Lato" w:eastAsia="Arial" w:hAnsi="Lato" w:cs="Arial"/>
                <w:sz w:val="18"/>
                <w:szCs w:val="18"/>
              </w:rPr>
              <w:t>.</w:t>
            </w:r>
          </w:p>
          <w:p w14:paraId="1C4EC97F" w14:textId="4EEBC482" w:rsidR="00DC63DB" w:rsidRPr="0037774A" w:rsidRDefault="00DC63DB" w:rsidP="00BD21D3">
            <w:pPr>
              <w:pStyle w:val="Inne0"/>
              <w:shd w:val="clear" w:color="auto" w:fill="auto"/>
              <w:spacing w:before="120" w:after="120"/>
              <w:ind w:left="131" w:right="138"/>
              <w:rPr>
                <w:rFonts w:ascii="Lato" w:eastAsia="Arial" w:hAnsi="Lato" w:cs="Arial"/>
                <w:sz w:val="18"/>
                <w:szCs w:val="18"/>
              </w:rPr>
            </w:pPr>
          </w:p>
        </w:tc>
      </w:tr>
    </w:tbl>
    <w:p w14:paraId="188C6DC6" w14:textId="77777777" w:rsidR="004C0D89" w:rsidRPr="0037774A" w:rsidRDefault="004C0D89">
      <w:pPr>
        <w:rPr>
          <w:sz w:val="18"/>
          <w:szCs w:val="18"/>
        </w:rPr>
      </w:pPr>
    </w:p>
    <w:sectPr w:rsidR="004C0D89" w:rsidRPr="0037774A" w:rsidSect="00A1261B">
      <w:pgSz w:w="16838" w:h="11906" w:orient="landscape" w:code="9"/>
      <w:pgMar w:top="720" w:right="720" w:bottom="720" w:left="720" w:header="987" w:footer="987"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E4BF3" w14:textId="77777777" w:rsidR="00475FFB" w:rsidRDefault="00475FFB">
      <w:r>
        <w:separator/>
      </w:r>
    </w:p>
  </w:endnote>
  <w:endnote w:type="continuationSeparator" w:id="0">
    <w:p w14:paraId="5F1C504A" w14:textId="77777777" w:rsidR="00475FFB" w:rsidRDefault="00475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Times">
    <w:altName w:val="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A396A1" w14:textId="77777777" w:rsidR="00475FFB" w:rsidRDefault="00475FFB"/>
  </w:footnote>
  <w:footnote w:type="continuationSeparator" w:id="0">
    <w:p w14:paraId="6114F1B4" w14:textId="77777777" w:rsidR="00475FFB" w:rsidRDefault="00475FF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227BC"/>
    <w:multiLevelType w:val="hybridMultilevel"/>
    <w:tmpl w:val="619ACAC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6470784"/>
    <w:multiLevelType w:val="multilevel"/>
    <w:tmpl w:val="124A273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D07B36"/>
    <w:multiLevelType w:val="multilevel"/>
    <w:tmpl w:val="32206BBC"/>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D56B7"/>
    <w:multiLevelType w:val="multilevel"/>
    <w:tmpl w:val="053E91A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A78410C"/>
    <w:multiLevelType w:val="hybridMultilevel"/>
    <w:tmpl w:val="6D96819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E1B5125"/>
    <w:multiLevelType w:val="multilevel"/>
    <w:tmpl w:val="69F2E31E"/>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A50C68"/>
    <w:multiLevelType w:val="multilevel"/>
    <w:tmpl w:val="34E22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196562"/>
    <w:multiLevelType w:val="hybridMultilevel"/>
    <w:tmpl w:val="7B2260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F276E18"/>
    <w:multiLevelType w:val="hybridMultilevel"/>
    <w:tmpl w:val="B29A2D08"/>
    <w:lvl w:ilvl="0" w:tplc="04150011">
      <w:start w:val="1"/>
      <w:numFmt w:val="decimal"/>
      <w:lvlText w:val="%1)"/>
      <w:lvlJc w:val="left"/>
      <w:pPr>
        <w:ind w:left="848" w:hanging="360"/>
      </w:pPr>
    </w:lvl>
    <w:lvl w:ilvl="1" w:tplc="04150019" w:tentative="1">
      <w:start w:val="1"/>
      <w:numFmt w:val="lowerLetter"/>
      <w:lvlText w:val="%2."/>
      <w:lvlJc w:val="left"/>
      <w:pPr>
        <w:ind w:left="1568" w:hanging="360"/>
      </w:pPr>
    </w:lvl>
    <w:lvl w:ilvl="2" w:tplc="0415001B" w:tentative="1">
      <w:start w:val="1"/>
      <w:numFmt w:val="lowerRoman"/>
      <w:lvlText w:val="%3."/>
      <w:lvlJc w:val="right"/>
      <w:pPr>
        <w:ind w:left="2288" w:hanging="180"/>
      </w:pPr>
    </w:lvl>
    <w:lvl w:ilvl="3" w:tplc="0415000F" w:tentative="1">
      <w:start w:val="1"/>
      <w:numFmt w:val="decimal"/>
      <w:lvlText w:val="%4."/>
      <w:lvlJc w:val="left"/>
      <w:pPr>
        <w:ind w:left="3008" w:hanging="360"/>
      </w:pPr>
    </w:lvl>
    <w:lvl w:ilvl="4" w:tplc="04150019" w:tentative="1">
      <w:start w:val="1"/>
      <w:numFmt w:val="lowerLetter"/>
      <w:lvlText w:val="%5."/>
      <w:lvlJc w:val="left"/>
      <w:pPr>
        <w:ind w:left="3728" w:hanging="360"/>
      </w:pPr>
    </w:lvl>
    <w:lvl w:ilvl="5" w:tplc="0415001B" w:tentative="1">
      <w:start w:val="1"/>
      <w:numFmt w:val="lowerRoman"/>
      <w:lvlText w:val="%6."/>
      <w:lvlJc w:val="right"/>
      <w:pPr>
        <w:ind w:left="4448" w:hanging="180"/>
      </w:pPr>
    </w:lvl>
    <w:lvl w:ilvl="6" w:tplc="0415000F" w:tentative="1">
      <w:start w:val="1"/>
      <w:numFmt w:val="decimal"/>
      <w:lvlText w:val="%7."/>
      <w:lvlJc w:val="left"/>
      <w:pPr>
        <w:ind w:left="5168" w:hanging="360"/>
      </w:pPr>
    </w:lvl>
    <w:lvl w:ilvl="7" w:tplc="04150019" w:tentative="1">
      <w:start w:val="1"/>
      <w:numFmt w:val="lowerLetter"/>
      <w:lvlText w:val="%8."/>
      <w:lvlJc w:val="left"/>
      <w:pPr>
        <w:ind w:left="5888" w:hanging="360"/>
      </w:pPr>
    </w:lvl>
    <w:lvl w:ilvl="8" w:tplc="0415001B" w:tentative="1">
      <w:start w:val="1"/>
      <w:numFmt w:val="lowerRoman"/>
      <w:lvlText w:val="%9."/>
      <w:lvlJc w:val="right"/>
      <w:pPr>
        <w:ind w:left="6608" w:hanging="180"/>
      </w:pPr>
    </w:lvl>
  </w:abstractNum>
  <w:abstractNum w:abstractNumId="9" w15:restartNumberingAfterBreak="0">
    <w:nsid w:val="0FAD0109"/>
    <w:multiLevelType w:val="hybridMultilevel"/>
    <w:tmpl w:val="DE88C1FC"/>
    <w:lvl w:ilvl="0" w:tplc="9D2C0646">
      <w:start w:val="1"/>
      <w:numFmt w:val="bullet"/>
      <w:lvlText w:val="-"/>
      <w:lvlJc w:val="left"/>
      <w:pPr>
        <w:ind w:left="859" w:hanging="360"/>
      </w:pPr>
      <w:rPr>
        <w:rFonts w:hint="default"/>
      </w:rPr>
    </w:lvl>
    <w:lvl w:ilvl="1" w:tplc="04150003" w:tentative="1">
      <w:start w:val="1"/>
      <w:numFmt w:val="bullet"/>
      <w:lvlText w:val="o"/>
      <w:lvlJc w:val="left"/>
      <w:pPr>
        <w:ind w:left="1579" w:hanging="360"/>
      </w:pPr>
      <w:rPr>
        <w:rFonts w:ascii="Courier New" w:hAnsi="Courier New" w:cs="Courier New" w:hint="default"/>
      </w:rPr>
    </w:lvl>
    <w:lvl w:ilvl="2" w:tplc="04150005" w:tentative="1">
      <w:start w:val="1"/>
      <w:numFmt w:val="bullet"/>
      <w:lvlText w:val=""/>
      <w:lvlJc w:val="left"/>
      <w:pPr>
        <w:ind w:left="2299" w:hanging="360"/>
      </w:pPr>
      <w:rPr>
        <w:rFonts w:ascii="Wingdings" w:hAnsi="Wingdings" w:hint="default"/>
      </w:rPr>
    </w:lvl>
    <w:lvl w:ilvl="3" w:tplc="04150001" w:tentative="1">
      <w:start w:val="1"/>
      <w:numFmt w:val="bullet"/>
      <w:lvlText w:val=""/>
      <w:lvlJc w:val="left"/>
      <w:pPr>
        <w:ind w:left="3019" w:hanging="360"/>
      </w:pPr>
      <w:rPr>
        <w:rFonts w:ascii="Symbol" w:hAnsi="Symbol" w:hint="default"/>
      </w:rPr>
    </w:lvl>
    <w:lvl w:ilvl="4" w:tplc="04150003" w:tentative="1">
      <w:start w:val="1"/>
      <w:numFmt w:val="bullet"/>
      <w:lvlText w:val="o"/>
      <w:lvlJc w:val="left"/>
      <w:pPr>
        <w:ind w:left="3739" w:hanging="360"/>
      </w:pPr>
      <w:rPr>
        <w:rFonts w:ascii="Courier New" w:hAnsi="Courier New" w:cs="Courier New" w:hint="default"/>
      </w:rPr>
    </w:lvl>
    <w:lvl w:ilvl="5" w:tplc="04150005" w:tentative="1">
      <w:start w:val="1"/>
      <w:numFmt w:val="bullet"/>
      <w:lvlText w:val=""/>
      <w:lvlJc w:val="left"/>
      <w:pPr>
        <w:ind w:left="4459" w:hanging="360"/>
      </w:pPr>
      <w:rPr>
        <w:rFonts w:ascii="Wingdings" w:hAnsi="Wingdings" w:hint="default"/>
      </w:rPr>
    </w:lvl>
    <w:lvl w:ilvl="6" w:tplc="04150001" w:tentative="1">
      <w:start w:val="1"/>
      <w:numFmt w:val="bullet"/>
      <w:lvlText w:val=""/>
      <w:lvlJc w:val="left"/>
      <w:pPr>
        <w:ind w:left="5179" w:hanging="360"/>
      </w:pPr>
      <w:rPr>
        <w:rFonts w:ascii="Symbol" w:hAnsi="Symbol" w:hint="default"/>
      </w:rPr>
    </w:lvl>
    <w:lvl w:ilvl="7" w:tplc="04150003" w:tentative="1">
      <w:start w:val="1"/>
      <w:numFmt w:val="bullet"/>
      <w:lvlText w:val="o"/>
      <w:lvlJc w:val="left"/>
      <w:pPr>
        <w:ind w:left="5899" w:hanging="360"/>
      </w:pPr>
      <w:rPr>
        <w:rFonts w:ascii="Courier New" w:hAnsi="Courier New" w:cs="Courier New" w:hint="default"/>
      </w:rPr>
    </w:lvl>
    <w:lvl w:ilvl="8" w:tplc="04150005" w:tentative="1">
      <w:start w:val="1"/>
      <w:numFmt w:val="bullet"/>
      <w:lvlText w:val=""/>
      <w:lvlJc w:val="left"/>
      <w:pPr>
        <w:ind w:left="6619" w:hanging="360"/>
      </w:pPr>
      <w:rPr>
        <w:rFonts w:ascii="Wingdings" w:hAnsi="Wingdings" w:hint="default"/>
      </w:rPr>
    </w:lvl>
  </w:abstractNum>
  <w:abstractNum w:abstractNumId="10" w15:restartNumberingAfterBreak="0">
    <w:nsid w:val="13263B39"/>
    <w:multiLevelType w:val="hybridMultilevel"/>
    <w:tmpl w:val="2AE2665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68F2D9D"/>
    <w:multiLevelType w:val="multilevel"/>
    <w:tmpl w:val="59D6D62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8343F25"/>
    <w:multiLevelType w:val="multilevel"/>
    <w:tmpl w:val="682028A6"/>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522A90"/>
    <w:multiLevelType w:val="multilevel"/>
    <w:tmpl w:val="30F0EF92"/>
    <w:lvl w:ilvl="0">
      <w:start w:val="1"/>
      <w:numFmt w:val="lowerLetter"/>
      <w:lvlText w:val="%1)"/>
      <w:lvlJc w:val="left"/>
      <w:rPr>
        <w:rFonts w:ascii="Arial" w:eastAsia="Arial" w:hAnsi="Arial" w:cs="Arial"/>
        <w:b/>
        <w:bCs/>
        <w:i w:val="0"/>
        <w:iCs w:val="0"/>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C9960FB"/>
    <w:multiLevelType w:val="hybridMultilevel"/>
    <w:tmpl w:val="AF6E9DD0"/>
    <w:lvl w:ilvl="0" w:tplc="04150017">
      <w:start w:val="1"/>
      <w:numFmt w:val="lowerLetter"/>
      <w:lvlText w:val="%1)"/>
      <w:lvlJc w:val="left"/>
      <w:pPr>
        <w:ind w:left="1230" w:hanging="360"/>
      </w:pPr>
    </w:lvl>
    <w:lvl w:ilvl="1" w:tplc="04150019" w:tentative="1">
      <w:start w:val="1"/>
      <w:numFmt w:val="lowerLetter"/>
      <w:lvlText w:val="%2."/>
      <w:lvlJc w:val="left"/>
      <w:pPr>
        <w:ind w:left="1950" w:hanging="360"/>
      </w:pPr>
    </w:lvl>
    <w:lvl w:ilvl="2" w:tplc="0415001B" w:tentative="1">
      <w:start w:val="1"/>
      <w:numFmt w:val="lowerRoman"/>
      <w:lvlText w:val="%3."/>
      <w:lvlJc w:val="right"/>
      <w:pPr>
        <w:ind w:left="2670" w:hanging="180"/>
      </w:pPr>
    </w:lvl>
    <w:lvl w:ilvl="3" w:tplc="0415000F" w:tentative="1">
      <w:start w:val="1"/>
      <w:numFmt w:val="decimal"/>
      <w:lvlText w:val="%4."/>
      <w:lvlJc w:val="left"/>
      <w:pPr>
        <w:ind w:left="3390" w:hanging="360"/>
      </w:pPr>
    </w:lvl>
    <w:lvl w:ilvl="4" w:tplc="04150019" w:tentative="1">
      <w:start w:val="1"/>
      <w:numFmt w:val="lowerLetter"/>
      <w:lvlText w:val="%5."/>
      <w:lvlJc w:val="left"/>
      <w:pPr>
        <w:ind w:left="4110" w:hanging="360"/>
      </w:pPr>
    </w:lvl>
    <w:lvl w:ilvl="5" w:tplc="0415001B" w:tentative="1">
      <w:start w:val="1"/>
      <w:numFmt w:val="lowerRoman"/>
      <w:lvlText w:val="%6."/>
      <w:lvlJc w:val="right"/>
      <w:pPr>
        <w:ind w:left="4830" w:hanging="180"/>
      </w:pPr>
    </w:lvl>
    <w:lvl w:ilvl="6" w:tplc="0415000F" w:tentative="1">
      <w:start w:val="1"/>
      <w:numFmt w:val="decimal"/>
      <w:lvlText w:val="%7."/>
      <w:lvlJc w:val="left"/>
      <w:pPr>
        <w:ind w:left="5550" w:hanging="360"/>
      </w:pPr>
    </w:lvl>
    <w:lvl w:ilvl="7" w:tplc="04150019" w:tentative="1">
      <w:start w:val="1"/>
      <w:numFmt w:val="lowerLetter"/>
      <w:lvlText w:val="%8."/>
      <w:lvlJc w:val="left"/>
      <w:pPr>
        <w:ind w:left="6270" w:hanging="360"/>
      </w:pPr>
    </w:lvl>
    <w:lvl w:ilvl="8" w:tplc="0415001B" w:tentative="1">
      <w:start w:val="1"/>
      <w:numFmt w:val="lowerRoman"/>
      <w:lvlText w:val="%9."/>
      <w:lvlJc w:val="right"/>
      <w:pPr>
        <w:ind w:left="6990" w:hanging="180"/>
      </w:pPr>
    </w:lvl>
  </w:abstractNum>
  <w:abstractNum w:abstractNumId="15" w15:restartNumberingAfterBreak="0">
    <w:nsid w:val="1E86369B"/>
    <w:multiLevelType w:val="hybridMultilevel"/>
    <w:tmpl w:val="48F2C2BC"/>
    <w:lvl w:ilvl="0" w:tplc="F79CE0CA">
      <w:start w:val="1"/>
      <w:numFmt w:val="bullet"/>
      <w:lvlText w:val=""/>
      <w:lvlJc w:val="left"/>
      <w:pPr>
        <w:ind w:left="851" w:hanging="360"/>
      </w:pPr>
      <w:rPr>
        <w:rFonts w:ascii="Symbol" w:hAnsi="Symbol" w:hint="default"/>
      </w:rPr>
    </w:lvl>
    <w:lvl w:ilvl="1" w:tplc="04150003" w:tentative="1">
      <w:start w:val="1"/>
      <w:numFmt w:val="bullet"/>
      <w:lvlText w:val="o"/>
      <w:lvlJc w:val="left"/>
      <w:pPr>
        <w:ind w:left="1571" w:hanging="360"/>
      </w:pPr>
      <w:rPr>
        <w:rFonts w:ascii="Courier New" w:hAnsi="Courier New" w:cs="Courier New" w:hint="default"/>
      </w:rPr>
    </w:lvl>
    <w:lvl w:ilvl="2" w:tplc="04150005" w:tentative="1">
      <w:start w:val="1"/>
      <w:numFmt w:val="bullet"/>
      <w:lvlText w:val=""/>
      <w:lvlJc w:val="left"/>
      <w:pPr>
        <w:ind w:left="2291" w:hanging="360"/>
      </w:pPr>
      <w:rPr>
        <w:rFonts w:ascii="Wingdings" w:hAnsi="Wingdings" w:hint="default"/>
      </w:rPr>
    </w:lvl>
    <w:lvl w:ilvl="3" w:tplc="04150001" w:tentative="1">
      <w:start w:val="1"/>
      <w:numFmt w:val="bullet"/>
      <w:lvlText w:val=""/>
      <w:lvlJc w:val="left"/>
      <w:pPr>
        <w:ind w:left="3011" w:hanging="360"/>
      </w:pPr>
      <w:rPr>
        <w:rFonts w:ascii="Symbol" w:hAnsi="Symbol" w:hint="default"/>
      </w:rPr>
    </w:lvl>
    <w:lvl w:ilvl="4" w:tplc="04150003" w:tentative="1">
      <w:start w:val="1"/>
      <w:numFmt w:val="bullet"/>
      <w:lvlText w:val="o"/>
      <w:lvlJc w:val="left"/>
      <w:pPr>
        <w:ind w:left="3731" w:hanging="360"/>
      </w:pPr>
      <w:rPr>
        <w:rFonts w:ascii="Courier New" w:hAnsi="Courier New" w:cs="Courier New" w:hint="default"/>
      </w:rPr>
    </w:lvl>
    <w:lvl w:ilvl="5" w:tplc="04150005" w:tentative="1">
      <w:start w:val="1"/>
      <w:numFmt w:val="bullet"/>
      <w:lvlText w:val=""/>
      <w:lvlJc w:val="left"/>
      <w:pPr>
        <w:ind w:left="4451" w:hanging="360"/>
      </w:pPr>
      <w:rPr>
        <w:rFonts w:ascii="Wingdings" w:hAnsi="Wingdings" w:hint="default"/>
      </w:rPr>
    </w:lvl>
    <w:lvl w:ilvl="6" w:tplc="04150001" w:tentative="1">
      <w:start w:val="1"/>
      <w:numFmt w:val="bullet"/>
      <w:lvlText w:val=""/>
      <w:lvlJc w:val="left"/>
      <w:pPr>
        <w:ind w:left="5171" w:hanging="360"/>
      </w:pPr>
      <w:rPr>
        <w:rFonts w:ascii="Symbol" w:hAnsi="Symbol" w:hint="default"/>
      </w:rPr>
    </w:lvl>
    <w:lvl w:ilvl="7" w:tplc="04150003" w:tentative="1">
      <w:start w:val="1"/>
      <w:numFmt w:val="bullet"/>
      <w:lvlText w:val="o"/>
      <w:lvlJc w:val="left"/>
      <w:pPr>
        <w:ind w:left="5891" w:hanging="360"/>
      </w:pPr>
      <w:rPr>
        <w:rFonts w:ascii="Courier New" w:hAnsi="Courier New" w:cs="Courier New" w:hint="default"/>
      </w:rPr>
    </w:lvl>
    <w:lvl w:ilvl="8" w:tplc="04150005" w:tentative="1">
      <w:start w:val="1"/>
      <w:numFmt w:val="bullet"/>
      <w:lvlText w:val=""/>
      <w:lvlJc w:val="left"/>
      <w:pPr>
        <w:ind w:left="6611" w:hanging="360"/>
      </w:pPr>
      <w:rPr>
        <w:rFonts w:ascii="Wingdings" w:hAnsi="Wingdings" w:hint="default"/>
      </w:rPr>
    </w:lvl>
  </w:abstractNum>
  <w:abstractNum w:abstractNumId="16" w15:restartNumberingAfterBreak="0">
    <w:nsid w:val="1EA84A93"/>
    <w:multiLevelType w:val="multilevel"/>
    <w:tmpl w:val="5664C3A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0365F21"/>
    <w:multiLevelType w:val="multilevel"/>
    <w:tmpl w:val="5EB23AF2"/>
    <w:lvl w:ilvl="0">
      <w:start w:val="4"/>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CE6439"/>
    <w:multiLevelType w:val="multilevel"/>
    <w:tmpl w:val="5B9E4B6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9542EB"/>
    <w:multiLevelType w:val="hybridMultilevel"/>
    <w:tmpl w:val="4FD630C8"/>
    <w:lvl w:ilvl="0" w:tplc="6D1A0B92">
      <w:start w:val="1"/>
      <w:numFmt w:val="decimal"/>
      <w:lvlText w:val="%1)"/>
      <w:lvlJc w:val="left"/>
      <w:pPr>
        <w:ind w:left="580" w:hanging="360"/>
      </w:pPr>
      <w:rPr>
        <w:rFonts w:hint="default"/>
      </w:rPr>
    </w:lvl>
    <w:lvl w:ilvl="1" w:tplc="04150019" w:tentative="1">
      <w:start w:val="1"/>
      <w:numFmt w:val="lowerLetter"/>
      <w:lvlText w:val="%2."/>
      <w:lvlJc w:val="left"/>
      <w:pPr>
        <w:ind w:left="1300" w:hanging="360"/>
      </w:pPr>
    </w:lvl>
    <w:lvl w:ilvl="2" w:tplc="0415001B" w:tentative="1">
      <w:start w:val="1"/>
      <w:numFmt w:val="lowerRoman"/>
      <w:lvlText w:val="%3."/>
      <w:lvlJc w:val="right"/>
      <w:pPr>
        <w:ind w:left="2020" w:hanging="180"/>
      </w:pPr>
    </w:lvl>
    <w:lvl w:ilvl="3" w:tplc="0415000F" w:tentative="1">
      <w:start w:val="1"/>
      <w:numFmt w:val="decimal"/>
      <w:lvlText w:val="%4."/>
      <w:lvlJc w:val="left"/>
      <w:pPr>
        <w:ind w:left="2740" w:hanging="360"/>
      </w:pPr>
    </w:lvl>
    <w:lvl w:ilvl="4" w:tplc="04150019" w:tentative="1">
      <w:start w:val="1"/>
      <w:numFmt w:val="lowerLetter"/>
      <w:lvlText w:val="%5."/>
      <w:lvlJc w:val="left"/>
      <w:pPr>
        <w:ind w:left="3460" w:hanging="360"/>
      </w:pPr>
    </w:lvl>
    <w:lvl w:ilvl="5" w:tplc="0415001B" w:tentative="1">
      <w:start w:val="1"/>
      <w:numFmt w:val="lowerRoman"/>
      <w:lvlText w:val="%6."/>
      <w:lvlJc w:val="right"/>
      <w:pPr>
        <w:ind w:left="4180" w:hanging="180"/>
      </w:pPr>
    </w:lvl>
    <w:lvl w:ilvl="6" w:tplc="0415000F" w:tentative="1">
      <w:start w:val="1"/>
      <w:numFmt w:val="decimal"/>
      <w:lvlText w:val="%7."/>
      <w:lvlJc w:val="left"/>
      <w:pPr>
        <w:ind w:left="4900" w:hanging="360"/>
      </w:pPr>
    </w:lvl>
    <w:lvl w:ilvl="7" w:tplc="04150019" w:tentative="1">
      <w:start w:val="1"/>
      <w:numFmt w:val="lowerLetter"/>
      <w:lvlText w:val="%8."/>
      <w:lvlJc w:val="left"/>
      <w:pPr>
        <w:ind w:left="5620" w:hanging="360"/>
      </w:pPr>
    </w:lvl>
    <w:lvl w:ilvl="8" w:tplc="0415001B" w:tentative="1">
      <w:start w:val="1"/>
      <w:numFmt w:val="lowerRoman"/>
      <w:lvlText w:val="%9."/>
      <w:lvlJc w:val="right"/>
      <w:pPr>
        <w:ind w:left="6340" w:hanging="180"/>
      </w:pPr>
    </w:lvl>
  </w:abstractNum>
  <w:abstractNum w:abstractNumId="20" w15:restartNumberingAfterBreak="0">
    <w:nsid w:val="32F81EB3"/>
    <w:multiLevelType w:val="multilevel"/>
    <w:tmpl w:val="BFE0A5BA"/>
    <w:lvl w:ilvl="0">
      <w:start w:val="1"/>
      <w:numFmt w:val="decimal"/>
      <w:lvlText w:val="%1)"/>
      <w:lvlJc w:val="left"/>
      <w:rPr>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31018BE"/>
    <w:multiLevelType w:val="hybridMultilevel"/>
    <w:tmpl w:val="BD1A35F2"/>
    <w:lvl w:ilvl="0" w:tplc="1B26DA84">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22" w15:restartNumberingAfterBreak="0">
    <w:nsid w:val="34101477"/>
    <w:multiLevelType w:val="hybridMultilevel"/>
    <w:tmpl w:val="9E665BE4"/>
    <w:lvl w:ilvl="0" w:tplc="04150011">
      <w:start w:val="1"/>
      <w:numFmt w:val="decimal"/>
      <w:lvlText w:val="%1)"/>
      <w:lvlJc w:val="left"/>
      <w:pPr>
        <w:ind w:left="858" w:hanging="360"/>
      </w:pPr>
    </w:lvl>
    <w:lvl w:ilvl="1" w:tplc="04150019" w:tentative="1">
      <w:start w:val="1"/>
      <w:numFmt w:val="lowerLetter"/>
      <w:lvlText w:val="%2."/>
      <w:lvlJc w:val="left"/>
      <w:pPr>
        <w:ind w:left="1578" w:hanging="360"/>
      </w:pPr>
    </w:lvl>
    <w:lvl w:ilvl="2" w:tplc="0415001B" w:tentative="1">
      <w:start w:val="1"/>
      <w:numFmt w:val="lowerRoman"/>
      <w:lvlText w:val="%3."/>
      <w:lvlJc w:val="right"/>
      <w:pPr>
        <w:ind w:left="2298" w:hanging="180"/>
      </w:pPr>
    </w:lvl>
    <w:lvl w:ilvl="3" w:tplc="0415000F" w:tentative="1">
      <w:start w:val="1"/>
      <w:numFmt w:val="decimal"/>
      <w:lvlText w:val="%4."/>
      <w:lvlJc w:val="left"/>
      <w:pPr>
        <w:ind w:left="3018" w:hanging="360"/>
      </w:pPr>
    </w:lvl>
    <w:lvl w:ilvl="4" w:tplc="04150019" w:tentative="1">
      <w:start w:val="1"/>
      <w:numFmt w:val="lowerLetter"/>
      <w:lvlText w:val="%5."/>
      <w:lvlJc w:val="left"/>
      <w:pPr>
        <w:ind w:left="3738" w:hanging="360"/>
      </w:pPr>
    </w:lvl>
    <w:lvl w:ilvl="5" w:tplc="0415001B" w:tentative="1">
      <w:start w:val="1"/>
      <w:numFmt w:val="lowerRoman"/>
      <w:lvlText w:val="%6."/>
      <w:lvlJc w:val="right"/>
      <w:pPr>
        <w:ind w:left="4458" w:hanging="180"/>
      </w:pPr>
    </w:lvl>
    <w:lvl w:ilvl="6" w:tplc="0415000F" w:tentative="1">
      <w:start w:val="1"/>
      <w:numFmt w:val="decimal"/>
      <w:lvlText w:val="%7."/>
      <w:lvlJc w:val="left"/>
      <w:pPr>
        <w:ind w:left="5178" w:hanging="360"/>
      </w:pPr>
    </w:lvl>
    <w:lvl w:ilvl="7" w:tplc="04150019" w:tentative="1">
      <w:start w:val="1"/>
      <w:numFmt w:val="lowerLetter"/>
      <w:lvlText w:val="%8."/>
      <w:lvlJc w:val="left"/>
      <w:pPr>
        <w:ind w:left="5898" w:hanging="360"/>
      </w:pPr>
    </w:lvl>
    <w:lvl w:ilvl="8" w:tplc="0415001B" w:tentative="1">
      <w:start w:val="1"/>
      <w:numFmt w:val="lowerRoman"/>
      <w:lvlText w:val="%9."/>
      <w:lvlJc w:val="right"/>
      <w:pPr>
        <w:ind w:left="6618" w:hanging="180"/>
      </w:pPr>
    </w:lvl>
  </w:abstractNum>
  <w:abstractNum w:abstractNumId="23" w15:restartNumberingAfterBreak="0">
    <w:nsid w:val="372831D9"/>
    <w:multiLevelType w:val="multilevel"/>
    <w:tmpl w:val="065C46AA"/>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94F5494"/>
    <w:multiLevelType w:val="hybridMultilevel"/>
    <w:tmpl w:val="C8CE0F58"/>
    <w:lvl w:ilvl="0" w:tplc="90A6D318">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25" w15:restartNumberingAfterBreak="0">
    <w:nsid w:val="3A517A83"/>
    <w:multiLevelType w:val="multilevel"/>
    <w:tmpl w:val="7E68E798"/>
    <w:lvl w:ilvl="0">
      <w:start w:val="1"/>
      <w:numFmt w:val="decimal"/>
      <w:lvlText w:val="%1."/>
      <w:lvlJc w:val="left"/>
      <w:rPr>
        <w:rFonts w:ascii="Calibri" w:eastAsia="Calibri" w:hAnsi="Calibri" w:cs="Calibri"/>
        <w:b/>
        <w:bCs/>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E452627"/>
    <w:multiLevelType w:val="hybridMultilevel"/>
    <w:tmpl w:val="B4B8A9C0"/>
    <w:lvl w:ilvl="0" w:tplc="B7ACB3DC">
      <w:start w:val="5"/>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F1D02A6"/>
    <w:multiLevelType w:val="hybridMultilevel"/>
    <w:tmpl w:val="FE50ED40"/>
    <w:lvl w:ilvl="0" w:tplc="4AB2E732">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28" w15:restartNumberingAfterBreak="0">
    <w:nsid w:val="42B00E14"/>
    <w:multiLevelType w:val="multilevel"/>
    <w:tmpl w:val="9DF2DC6E"/>
    <w:lvl w:ilvl="0">
      <w:start w:val="1"/>
      <w:numFmt w:val="lowerLetter"/>
      <w:lvlText w:val="%1)"/>
      <w:lvlJc w:val="left"/>
      <w:rPr>
        <w:rFonts w:ascii="Arial" w:eastAsia="Arial" w:hAnsi="Arial" w:cs="Arial"/>
        <w:b w:val="0"/>
        <w:bCs w:val="0"/>
        <w:i/>
        <w:iCs/>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3D57E38"/>
    <w:multiLevelType w:val="multilevel"/>
    <w:tmpl w:val="DFD48028"/>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A4030ED"/>
    <w:multiLevelType w:val="hybridMultilevel"/>
    <w:tmpl w:val="ADAAC640"/>
    <w:lvl w:ilvl="0" w:tplc="F1108CCA">
      <w:start w:val="1"/>
      <w:numFmt w:val="decimal"/>
      <w:lvlText w:val="%1)"/>
      <w:lvlJc w:val="left"/>
      <w:pPr>
        <w:ind w:left="491" w:hanging="360"/>
      </w:pPr>
      <w:rPr>
        <w:rFonts w:hint="default"/>
      </w:rPr>
    </w:lvl>
    <w:lvl w:ilvl="1" w:tplc="04150019" w:tentative="1">
      <w:start w:val="1"/>
      <w:numFmt w:val="lowerLetter"/>
      <w:lvlText w:val="%2."/>
      <w:lvlJc w:val="left"/>
      <w:pPr>
        <w:ind w:left="1211" w:hanging="360"/>
      </w:pPr>
    </w:lvl>
    <w:lvl w:ilvl="2" w:tplc="0415001B" w:tentative="1">
      <w:start w:val="1"/>
      <w:numFmt w:val="lowerRoman"/>
      <w:lvlText w:val="%3."/>
      <w:lvlJc w:val="right"/>
      <w:pPr>
        <w:ind w:left="1931" w:hanging="180"/>
      </w:pPr>
    </w:lvl>
    <w:lvl w:ilvl="3" w:tplc="0415000F" w:tentative="1">
      <w:start w:val="1"/>
      <w:numFmt w:val="decimal"/>
      <w:lvlText w:val="%4."/>
      <w:lvlJc w:val="left"/>
      <w:pPr>
        <w:ind w:left="2651" w:hanging="360"/>
      </w:pPr>
    </w:lvl>
    <w:lvl w:ilvl="4" w:tplc="04150019" w:tentative="1">
      <w:start w:val="1"/>
      <w:numFmt w:val="lowerLetter"/>
      <w:lvlText w:val="%5."/>
      <w:lvlJc w:val="left"/>
      <w:pPr>
        <w:ind w:left="3371" w:hanging="360"/>
      </w:pPr>
    </w:lvl>
    <w:lvl w:ilvl="5" w:tplc="0415001B" w:tentative="1">
      <w:start w:val="1"/>
      <w:numFmt w:val="lowerRoman"/>
      <w:lvlText w:val="%6."/>
      <w:lvlJc w:val="right"/>
      <w:pPr>
        <w:ind w:left="4091" w:hanging="180"/>
      </w:pPr>
    </w:lvl>
    <w:lvl w:ilvl="6" w:tplc="0415000F" w:tentative="1">
      <w:start w:val="1"/>
      <w:numFmt w:val="decimal"/>
      <w:lvlText w:val="%7."/>
      <w:lvlJc w:val="left"/>
      <w:pPr>
        <w:ind w:left="4811" w:hanging="360"/>
      </w:pPr>
    </w:lvl>
    <w:lvl w:ilvl="7" w:tplc="04150019" w:tentative="1">
      <w:start w:val="1"/>
      <w:numFmt w:val="lowerLetter"/>
      <w:lvlText w:val="%8."/>
      <w:lvlJc w:val="left"/>
      <w:pPr>
        <w:ind w:left="5531" w:hanging="360"/>
      </w:pPr>
    </w:lvl>
    <w:lvl w:ilvl="8" w:tplc="0415001B" w:tentative="1">
      <w:start w:val="1"/>
      <w:numFmt w:val="lowerRoman"/>
      <w:lvlText w:val="%9."/>
      <w:lvlJc w:val="right"/>
      <w:pPr>
        <w:ind w:left="6251" w:hanging="180"/>
      </w:pPr>
    </w:lvl>
  </w:abstractNum>
  <w:abstractNum w:abstractNumId="31" w15:restartNumberingAfterBreak="0">
    <w:nsid w:val="4D46356E"/>
    <w:multiLevelType w:val="hybridMultilevel"/>
    <w:tmpl w:val="FAA67644"/>
    <w:lvl w:ilvl="0" w:tplc="76A4FB3E">
      <w:start w:val="1"/>
      <w:numFmt w:val="bullet"/>
      <w:lvlText w:val=""/>
      <w:lvlJc w:val="left"/>
      <w:pPr>
        <w:ind w:left="851" w:hanging="360"/>
      </w:pPr>
      <w:rPr>
        <w:rFonts w:ascii="Symbol" w:hAnsi="Symbol" w:hint="default"/>
      </w:rPr>
    </w:lvl>
    <w:lvl w:ilvl="1" w:tplc="04150003" w:tentative="1">
      <w:start w:val="1"/>
      <w:numFmt w:val="bullet"/>
      <w:lvlText w:val="o"/>
      <w:lvlJc w:val="left"/>
      <w:pPr>
        <w:ind w:left="1571" w:hanging="360"/>
      </w:pPr>
      <w:rPr>
        <w:rFonts w:ascii="Courier New" w:hAnsi="Courier New" w:cs="Courier New" w:hint="default"/>
      </w:rPr>
    </w:lvl>
    <w:lvl w:ilvl="2" w:tplc="04150005" w:tentative="1">
      <w:start w:val="1"/>
      <w:numFmt w:val="bullet"/>
      <w:lvlText w:val=""/>
      <w:lvlJc w:val="left"/>
      <w:pPr>
        <w:ind w:left="2291" w:hanging="360"/>
      </w:pPr>
      <w:rPr>
        <w:rFonts w:ascii="Wingdings" w:hAnsi="Wingdings" w:hint="default"/>
      </w:rPr>
    </w:lvl>
    <w:lvl w:ilvl="3" w:tplc="04150001" w:tentative="1">
      <w:start w:val="1"/>
      <w:numFmt w:val="bullet"/>
      <w:lvlText w:val=""/>
      <w:lvlJc w:val="left"/>
      <w:pPr>
        <w:ind w:left="3011" w:hanging="360"/>
      </w:pPr>
      <w:rPr>
        <w:rFonts w:ascii="Symbol" w:hAnsi="Symbol" w:hint="default"/>
      </w:rPr>
    </w:lvl>
    <w:lvl w:ilvl="4" w:tplc="04150003" w:tentative="1">
      <w:start w:val="1"/>
      <w:numFmt w:val="bullet"/>
      <w:lvlText w:val="o"/>
      <w:lvlJc w:val="left"/>
      <w:pPr>
        <w:ind w:left="3731" w:hanging="360"/>
      </w:pPr>
      <w:rPr>
        <w:rFonts w:ascii="Courier New" w:hAnsi="Courier New" w:cs="Courier New" w:hint="default"/>
      </w:rPr>
    </w:lvl>
    <w:lvl w:ilvl="5" w:tplc="04150005" w:tentative="1">
      <w:start w:val="1"/>
      <w:numFmt w:val="bullet"/>
      <w:lvlText w:val=""/>
      <w:lvlJc w:val="left"/>
      <w:pPr>
        <w:ind w:left="4451" w:hanging="360"/>
      </w:pPr>
      <w:rPr>
        <w:rFonts w:ascii="Wingdings" w:hAnsi="Wingdings" w:hint="default"/>
      </w:rPr>
    </w:lvl>
    <w:lvl w:ilvl="6" w:tplc="04150001" w:tentative="1">
      <w:start w:val="1"/>
      <w:numFmt w:val="bullet"/>
      <w:lvlText w:val=""/>
      <w:lvlJc w:val="left"/>
      <w:pPr>
        <w:ind w:left="5171" w:hanging="360"/>
      </w:pPr>
      <w:rPr>
        <w:rFonts w:ascii="Symbol" w:hAnsi="Symbol" w:hint="default"/>
      </w:rPr>
    </w:lvl>
    <w:lvl w:ilvl="7" w:tplc="04150003" w:tentative="1">
      <w:start w:val="1"/>
      <w:numFmt w:val="bullet"/>
      <w:lvlText w:val="o"/>
      <w:lvlJc w:val="left"/>
      <w:pPr>
        <w:ind w:left="5891" w:hanging="360"/>
      </w:pPr>
      <w:rPr>
        <w:rFonts w:ascii="Courier New" w:hAnsi="Courier New" w:cs="Courier New" w:hint="default"/>
      </w:rPr>
    </w:lvl>
    <w:lvl w:ilvl="8" w:tplc="04150005" w:tentative="1">
      <w:start w:val="1"/>
      <w:numFmt w:val="bullet"/>
      <w:lvlText w:val=""/>
      <w:lvlJc w:val="left"/>
      <w:pPr>
        <w:ind w:left="6611" w:hanging="360"/>
      </w:pPr>
      <w:rPr>
        <w:rFonts w:ascii="Wingdings" w:hAnsi="Wingdings" w:hint="default"/>
      </w:rPr>
    </w:lvl>
  </w:abstractNum>
  <w:abstractNum w:abstractNumId="32" w15:restartNumberingAfterBreak="0">
    <w:nsid w:val="4EB074E8"/>
    <w:multiLevelType w:val="hybridMultilevel"/>
    <w:tmpl w:val="8C7839E0"/>
    <w:lvl w:ilvl="0" w:tplc="C598F5B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3" w15:restartNumberingAfterBreak="0">
    <w:nsid w:val="4F1478D4"/>
    <w:multiLevelType w:val="hybridMultilevel"/>
    <w:tmpl w:val="9A5AF85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552636"/>
    <w:multiLevelType w:val="hybridMultilevel"/>
    <w:tmpl w:val="34D41920"/>
    <w:lvl w:ilvl="0" w:tplc="533EF348">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0C16443"/>
    <w:multiLevelType w:val="hybridMultilevel"/>
    <w:tmpl w:val="33CC6158"/>
    <w:lvl w:ilvl="0" w:tplc="07A8197A">
      <w:start w:val="1"/>
      <w:numFmt w:val="decimal"/>
      <w:lvlText w:val="­"/>
      <w:lvlJc w:val="left"/>
      <w:pPr>
        <w:ind w:left="720" w:hanging="360"/>
      </w:pPr>
    </w:lvl>
    <w:lvl w:ilvl="1" w:tplc="AC34DB9A">
      <w:start w:val="1"/>
      <w:numFmt w:val="lowerLetter"/>
      <w:lvlText w:val="%2."/>
      <w:lvlJc w:val="left"/>
      <w:pPr>
        <w:ind w:left="1440" w:hanging="360"/>
      </w:pPr>
    </w:lvl>
    <w:lvl w:ilvl="2" w:tplc="3920D546">
      <w:start w:val="1"/>
      <w:numFmt w:val="lowerRoman"/>
      <w:lvlText w:val="%3."/>
      <w:lvlJc w:val="right"/>
      <w:pPr>
        <w:ind w:left="2160" w:hanging="180"/>
      </w:pPr>
    </w:lvl>
    <w:lvl w:ilvl="3" w:tplc="62083AD6">
      <w:start w:val="1"/>
      <w:numFmt w:val="decimal"/>
      <w:lvlText w:val="%4."/>
      <w:lvlJc w:val="left"/>
      <w:pPr>
        <w:ind w:left="2880" w:hanging="360"/>
      </w:pPr>
    </w:lvl>
    <w:lvl w:ilvl="4" w:tplc="8884A74A">
      <w:start w:val="1"/>
      <w:numFmt w:val="lowerLetter"/>
      <w:lvlText w:val="%5."/>
      <w:lvlJc w:val="left"/>
      <w:pPr>
        <w:ind w:left="3600" w:hanging="360"/>
      </w:pPr>
    </w:lvl>
    <w:lvl w:ilvl="5" w:tplc="3EE43056">
      <w:start w:val="1"/>
      <w:numFmt w:val="lowerRoman"/>
      <w:lvlText w:val="%6."/>
      <w:lvlJc w:val="right"/>
      <w:pPr>
        <w:ind w:left="4320" w:hanging="180"/>
      </w:pPr>
    </w:lvl>
    <w:lvl w:ilvl="6" w:tplc="AC18A170">
      <w:start w:val="1"/>
      <w:numFmt w:val="decimal"/>
      <w:lvlText w:val="%7."/>
      <w:lvlJc w:val="left"/>
      <w:pPr>
        <w:ind w:left="5040" w:hanging="360"/>
      </w:pPr>
    </w:lvl>
    <w:lvl w:ilvl="7" w:tplc="BA168EF0">
      <w:start w:val="1"/>
      <w:numFmt w:val="lowerLetter"/>
      <w:lvlText w:val="%8."/>
      <w:lvlJc w:val="left"/>
      <w:pPr>
        <w:ind w:left="5760" w:hanging="360"/>
      </w:pPr>
    </w:lvl>
    <w:lvl w:ilvl="8" w:tplc="0764F94C">
      <w:start w:val="1"/>
      <w:numFmt w:val="lowerRoman"/>
      <w:lvlText w:val="%9."/>
      <w:lvlJc w:val="right"/>
      <w:pPr>
        <w:ind w:left="6480" w:hanging="180"/>
      </w:pPr>
    </w:lvl>
  </w:abstractNum>
  <w:abstractNum w:abstractNumId="36" w15:restartNumberingAfterBreak="0">
    <w:nsid w:val="524442F3"/>
    <w:multiLevelType w:val="hybridMultilevel"/>
    <w:tmpl w:val="2C5E6A4A"/>
    <w:lvl w:ilvl="0" w:tplc="0415000F">
      <w:start w:val="1"/>
      <w:numFmt w:val="decimal"/>
      <w:lvlText w:val="%1."/>
      <w:lvlJc w:val="left"/>
      <w:pPr>
        <w:ind w:left="861" w:hanging="360"/>
      </w:pPr>
    </w:lvl>
    <w:lvl w:ilvl="1" w:tplc="04150019" w:tentative="1">
      <w:start w:val="1"/>
      <w:numFmt w:val="lowerLetter"/>
      <w:lvlText w:val="%2."/>
      <w:lvlJc w:val="left"/>
      <w:pPr>
        <w:ind w:left="1581" w:hanging="360"/>
      </w:pPr>
    </w:lvl>
    <w:lvl w:ilvl="2" w:tplc="0415001B" w:tentative="1">
      <w:start w:val="1"/>
      <w:numFmt w:val="lowerRoman"/>
      <w:lvlText w:val="%3."/>
      <w:lvlJc w:val="right"/>
      <w:pPr>
        <w:ind w:left="2301" w:hanging="180"/>
      </w:pPr>
    </w:lvl>
    <w:lvl w:ilvl="3" w:tplc="0415000F" w:tentative="1">
      <w:start w:val="1"/>
      <w:numFmt w:val="decimal"/>
      <w:lvlText w:val="%4."/>
      <w:lvlJc w:val="left"/>
      <w:pPr>
        <w:ind w:left="3021" w:hanging="360"/>
      </w:pPr>
    </w:lvl>
    <w:lvl w:ilvl="4" w:tplc="04150019" w:tentative="1">
      <w:start w:val="1"/>
      <w:numFmt w:val="lowerLetter"/>
      <w:lvlText w:val="%5."/>
      <w:lvlJc w:val="left"/>
      <w:pPr>
        <w:ind w:left="3741" w:hanging="360"/>
      </w:pPr>
    </w:lvl>
    <w:lvl w:ilvl="5" w:tplc="0415001B" w:tentative="1">
      <w:start w:val="1"/>
      <w:numFmt w:val="lowerRoman"/>
      <w:lvlText w:val="%6."/>
      <w:lvlJc w:val="right"/>
      <w:pPr>
        <w:ind w:left="4461" w:hanging="180"/>
      </w:pPr>
    </w:lvl>
    <w:lvl w:ilvl="6" w:tplc="0415000F" w:tentative="1">
      <w:start w:val="1"/>
      <w:numFmt w:val="decimal"/>
      <w:lvlText w:val="%7."/>
      <w:lvlJc w:val="left"/>
      <w:pPr>
        <w:ind w:left="5181" w:hanging="360"/>
      </w:pPr>
    </w:lvl>
    <w:lvl w:ilvl="7" w:tplc="04150019" w:tentative="1">
      <w:start w:val="1"/>
      <w:numFmt w:val="lowerLetter"/>
      <w:lvlText w:val="%8."/>
      <w:lvlJc w:val="left"/>
      <w:pPr>
        <w:ind w:left="5901" w:hanging="360"/>
      </w:pPr>
    </w:lvl>
    <w:lvl w:ilvl="8" w:tplc="0415001B" w:tentative="1">
      <w:start w:val="1"/>
      <w:numFmt w:val="lowerRoman"/>
      <w:lvlText w:val="%9."/>
      <w:lvlJc w:val="right"/>
      <w:pPr>
        <w:ind w:left="6621" w:hanging="180"/>
      </w:pPr>
    </w:lvl>
  </w:abstractNum>
  <w:abstractNum w:abstractNumId="37" w15:restartNumberingAfterBreak="0">
    <w:nsid w:val="53867CCA"/>
    <w:multiLevelType w:val="multilevel"/>
    <w:tmpl w:val="12EE7E04"/>
    <w:lvl w:ilvl="0">
      <w:start w:val="1"/>
      <w:numFmt w:val="decimal"/>
      <w:lvlText w:val="%1)"/>
      <w:lvlJc w:val="left"/>
      <w:rPr>
        <w:rFonts w:ascii="Lato" w:eastAsia="Times New Roman" w:hAnsi="Lato" w:cs="Times New Roman"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614C679A"/>
    <w:multiLevelType w:val="multilevel"/>
    <w:tmpl w:val="AE72FF14"/>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66E77DFA"/>
    <w:multiLevelType w:val="hybridMultilevel"/>
    <w:tmpl w:val="5EBE2A9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68456858"/>
    <w:multiLevelType w:val="multilevel"/>
    <w:tmpl w:val="69D0B944"/>
    <w:lvl w:ilvl="0">
      <w:start w:val="1"/>
      <w:numFmt w:val="decimal"/>
      <w:lvlText w:val="%1."/>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AB90910"/>
    <w:multiLevelType w:val="hybridMultilevel"/>
    <w:tmpl w:val="BF686A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D534F67"/>
    <w:multiLevelType w:val="multilevel"/>
    <w:tmpl w:val="DFBE3D3A"/>
    <w:lvl w:ilvl="0">
      <w:start w:val="2"/>
      <w:numFmt w:val="decimal"/>
      <w:lvlText w:val="%1."/>
      <w:lvlJc w:val="left"/>
      <w:rPr>
        <w:rFonts w:ascii="Arial" w:eastAsia="Arial" w:hAnsi="Arial" w:cs="Arial"/>
        <w:b w:val="0"/>
        <w:bCs w:val="0"/>
        <w:i/>
        <w:iCs/>
        <w:smallCaps w:val="0"/>
        <w:strike w:val="0"/>
        <w:color w:val="000000"/>
        <w:spacing w:val="0"/>
        <w:w w:val="100"/>
        <w:position w:val="0"/>
        <w:sz w:val="18"/>
        <w:szCs w:val="18"/>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6E3A73A3"/>
    <w:multiLevelType w:val="multilevel"/>
    <w:tmpl w:val="BEE296F0"/>
    <w:lvl w:ilvl="0">
      <w:start w:val="1"/>
      <w:numFmt w:val="bullet"/>
      <w:lvlText w:val="-"/>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73990BE4"/>
    <w:multiLevelType w:val="hybridMultilevel"/>
    <w:tmpl w:val="8930A176"/>
    <w:lvl w:ilvl="0" w:tplc="F79CE0CA">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45" w15:restartNumberingAfterBreak="0">
    <w:nsid w:val="757D1D0D"/>
    <w:multiLevelType w:val="multilevel"/>
    <w:tmpl w:val="4226F862"/>
    <w:lvl w:ilvl="0">
      <w:start w:val="2"/>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77460995"/>
    <w:multiLevelType w:val="multilevel"/>
    <w:tmpl w:val="903CB8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8355ADF"/>
    <w:multiLevelType w:val="multilevel"/>
    <w:tmpl w:val="BEA8CC4A"/>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78650ED5"/>
    <w:multiLevelType w:val="hybridMultilevel"/>
    <w:tmpl w:val="1B10A1E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8D60C76"/>
    <w:multiLevelType w:val="multilevel"/>
    <w:tmpl w:val="93328856"/>
    <w:lvl w:ilvl="0">
      <w:start w:val="1"/>
      <w:numFmt w:val="decimal"/>
      <w:lvlText w:val="%1)"/>
      <w:lvlJc w:val="left"/>
      <w:rPr>
        <w:rFonts w:ascii="Arial" w:eastAsia="Arial" w:hAnsi="Arial" w:cs="Arial"/>
        <w:b w:val="0"/>
        <w:bCs w:val="0"/>
        <w:i/>
        <w:iCs/>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7910371F"/>
    <w:multiLevelType w:val="multilevel"/>
    <w:tmpl w:val="C1E03FF6"/>
    <w:lvl w:ilvl="0">
      <w:start w:val="3"/>
      <w:numFmt w:val="decimal"/>
      <w:lvlText w:val="%1."/>
      <w:lvlJc w:val="left"/>
      <w:rPr>
        <w:rFonts w:ascii="Times New Roman" w:eastAsia="Times New Roman" w:hAnsi="Times New Roman" w:cs="Times New Roman"/>
        <w:b w:val="0"/>
        <w:bCs w:val="0"/>
        <w:i w:val="0"/>
        <w:iCs w:val="0"/>
        <w:smallCaps w:val="0"/>
        <w:strike w:val="0"/>
        <w:color w:val="0000FF"/>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7B605CA2"/>
    <w:multiLevelType w:val="multilevel"/>
    <w:tmpl w:val="0D66831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7DF32A72"/>
    <w:multiLevelType w:val="hybridMultilevel"/>
    <w:tmpl w:val="E616985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482304616">
    <w:abstractNumId w:val="50"/>
  </w:num>
  <w:num w:numId="2" w16cid:durableId="1779249810">
    <w:abstractNumId w:val="17"/>
  </w:num>
  <w:num w:numId="3" w16cid:durableId="1063482940">
    <w:abstractNumId w:val="38"/>
  </w:num>
  <w:num w:numId="4" w16cid:durableId="1293485984">
    <w:abstractNumId w:val="45"/>
  </w:num>
  <w:num w:numId="5" w16cid:durableId="1775779402">
    <w:abstractNumId w:val="36"/>
  </w:num>
  <w:num w:numId="6" w16cid:durableId="1877086558">
    <w:abstractNumId w:val="41"/>
  </w:num>
  <w:num w:numId="7" w16cid:durableId="240649826">
    <w:abstractNumId w:val="14"/>
  </w:num>
  <w:num w:numId="8" w16cid:durableId="1764187179">
    <w:abstractNumId w:val="26"/>
  </w:num>
  <w:num w:numId="9" w16cid:durableId="1778718726">
    <w:abstractNumId w:val="34"/>
  </w:num>
  <w:num w:numId="10" w16cid:durableId="1775056903">
    <w:abstractNumId w:val="19"/>
  </w:num>
  <w:num w:numId="11" w16cid:durableId="1277566040">
    <w:abstractNumId w:val="6"/>
  </w:num>
  <w:num w:numId="12" w16cid:durableId="662662495">
    <w:abstractNumId w:val="48"/>
  </w:num>
  <w:num w:numId="13" w16cid:durableId="941914894">
    <w:abstractNumId w:val="4"/>
  </w:num>
  <w:num w:numId="14" w16cid:durableId="2079861130">
    <w:abstractNumId w:val="33"/>
  </w:num>
  <w:num w:numId="15" w16cid:durableId="2134442669">
    <w:abstractNumId w:val="23"/>
  </w:num>
  <w:num w:numId="16" w16cid:durableId="1770157329">
    <w:abstractNumId w:val="20"/>
  </w:num>
  <w:num w:numId="17" w16cid:durableId="1135222664">
    <w:abstractNumId w:val="39"/>
  </w:num>
  <w:num w:numId="18" w16cid:durableId="553345992">
    <w:abstractNumId w:val="13"/>
  </w:num>
  <w:num w:numId="19" w16cid:durableId="55789476">
    <w:abstractNumId w:val="8"/>
  </w:num>
  <w:num w:numId="20" w16cid:durableId="1235047071">
    <w:abstractNumId w:val="32"/>
  </w:num>
  <w:num w:numId="21" w16cid:durableId="1842692330">
    <w:abstractNumId w:val="1"/>
  </w:num>
  <w:num w:numId="22" w16cid:durableId="2052529904">
    <w:abstractNumId w:val="10"/>
  </w:num>
  <w:num w:numId="23" w16cid:durableId="1166215290">
    <w:abstractNumId w:val="5"/>
  </w:num>
  <w:num w:numId="24" w16cid:durableId="496192609">
    <w:abstractNumId w:val="29"/>
  </w:num>
  <w:num w:numId="25" w16cid:durableId="1498958872">
    <w:abstractNumId w:val="49"/>
  </w:num>
  <w:num w:numId="26" w16cid:durableId="248539025">
    <w:abstractNumId w:val="40"/>
  </w:num>
  <w:num w:numId="27" w16cid:durableId="1105270848">
    <w:abstractNumId w:val="3"/>
  </w:num>
  <w:num w:numId="28" w16cid:durableId="606473775">
    <w:abstractNumId w:val="43"/>
  </w:num>
  <w:num w:numId="29" w16cid:durableId="756092670">
    <w:abstractNumId w:val="2"/>
  </w:num>
  <w:num w:numId="30" w16cid:durableId="735708196">
    <w:abstractNumId w:val="12"/>
  </w:num>
  <w:num w:numId="31" w16cid:durableId="1008680748">
    <w:abstractNumId w:val="51"/>
  </w:num>
  <w:num w:numId="32" w16cid:durableId="1647853372">
    <w:abstractNumId w:val="27"/>
  </w:num>
  <w:num w:numId="33" w16cid:durableId="140654246">
    <w:abstractNumId w:val="18"/>
  </w:num>
  <w:num w:numId="34" w16cid:durableId="2017071845">
    <w:abstractNumId w:val="37"/>
  </w:num>
  <w:num w:numId="35" w16cid:durableId="1847669763">
    <w:abstractNumId w:val="7"/>
  </w:num>
  <w:num w:numId="36" w16cid:durableId="1744066308">
    <w:abstractNumId w:val="46"/>
  </w:num>
  <w:num w:numId="37" w16cid:durableId="1530336197">
    <w:abstractNumId w:val="16"/>
  </w:num>
  <w:num w:numId="38" w16cid:durableId="1136603849">
    <w:abstractNumId w:val="0"/>
  </w:num>
  <w:num w:numId="39" w16cid:durableId="916599721">
    <w:abstractNumId w:val="21"/>
  </w:num>
  <w:num w:numId="40" w16cid:durableId="1114054268">
    <w:abstractNumId w:val="35"/>
  </w:num>
  <w:num w:numId="41" w16cid:durableId="1460295823">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48505805">
    <w:abstractNumId w:val="22"/>
  </w:num>
  <w:num w:numId="43" w16cid:durableId="1823766909">
    <w:abstractNumId w:val="9"/>
  </w:num>
  <w:num w:numId="44" w16cid:durableId="1631008683">
    <w:abstractNumId w:val="11"/>
  </w:num>
  <w:num w:numId="45" w16cid:durableId="739446133">
    <w:abstractNumId w:val="44"/>
  </w:num>
  <w:num w:numId="46" w16cid:durableId="17436961">
    <w:abstractNumId w:val="25"/>
  </w:num>
  <w:num w:numId="47" w16cid:durableId="546914378">
    <w:abstractNumId w:val="47"/>
  </w:num>
  <w:num w:numId="48" w16cid:durableId="883558830">
    <w:abstractNumId w:val="30"/>
  </w:num>
  <w:num w:numId="49" w16cid:durableId="1788768294">
    <w:abstractNumId w:val="15"/>
  </w:num>
  <w:num w:numId="50" w16cid:durableId="620649025">
    <w:abstractNumId w:val="24"/>
  </w:num>
  <w:num w:numId="51" w16cid:durableId="968052833">
    <w:abstractNumId w:val="28"/>
  </w:num>
  <w:num w:numId="52" w16cid:durableId="1274167363">
    <w:abstractNumId w:val="42"/>
  </w:num>
  <w:num w:numId="53" w16cid:durableId="1155416737">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462"/>
    <w:rsid w:val="0000342F"/>
    <w:rsid w:val="00003700"/>
    <w:rsid w:val="00003B7A"/>
    <w:rsid w:val="000123D5"/>
    <w:rsid w:val="00015BF2"/>
    <w:rsid w:val="00020C56"/>
    <w:rsid w:val="000256A4"/>
    <w:rsid w:val="000337DF"/>
    <w:rsid w:val="00041BB8"/>
    <w:rsid w:val="0004467D"/>
    <w:rsid w:val="00046E73"/>
    <w:rsid w:val="0005063C"/>
    <w:rsid w:val="00052537"/>
    <w:rsid w:val="0005539B"/>
    <w:rsid w:val="00070C87"/>
    <w:rsid w:val="00072D00"/>
    <w:rsid w:val="000800D9"/>
    <w:rsid w:val="00085DFD"/>
    <w:rsid w:val="00086628"/>
    <w:rsid w:val="0009506D"/>
    <w:rsid w:val="0009751E"/>
    <w:rsid w:val="000A0C40"/>
    <w:rsid w:val="000A7F07"/>
    <w:rsid w:val="000B29AE"/>
    <w:rsid w:val="000D3830"/>
    <w:rsid w:val="000D38AE"/>
    <w:rsid w:val="000E467D"/>
    <w:rsid w:val="000E79BF"/>
    <w:rsid w:val="000F3F7C"/>
    <w:rsid w:val="000F5FDB"/>
    <w:rsid w:val="0010560A"/>
    <w:rsid w:val="00110B93"/>
    <w:rsid w:val="0011409F"/>
    <w:rsid w:val="00114B38"/>
    <w:rsid w:val="001165FF"/>
    <w:rsid w:val="00123F74"/>
    <w:rsid w:val="001270E5"/>
    <w:rsid w:val="0013011E"/>
    <w:rsid w:val="00131ACB"/>
    <w:rsid w:val="00135700"/>
    <w:rsid w:val="00136704"/>
    <w:rsid w:val="00144D43"/>
    <w:rsid w:val="00146BEF"/>
    <w:rsid w:val="00150163"/>
    <w:rsid w:val="0015105A"/>
    <w:rsid w:val="00152521"/>
    <w:rsid w:val="001548B6"/>
    <w:rsid w:val="00160F73"/>
    <w:rsid w:val="001678F1"/>
    <w:rsid w:val="00167C19"/>
    <w:rsid w:val="00172440"/>
    <w:rsid w:val="00174018"/>
    <w:rsid w:val="001766B2"/>
    <w:rsid w:val="0018193E"/>
    <w:rsid w:val="0018453D"/>
    <w:rsid w:val="001A0E67"/>
    <w:rsid w:val="001A57F3"/>
    <w:rsid w:val="001A6D74"/>
    <w:rsid w:val="001B20B3"/>
    <w:rsid w:val="001C137B"/>
    <w:rsid w:val="001C551C"/>
    <w:rsid w:val="001D2FBE"/>
    <w:rsid w:val="001D39EA"/>
    <w:rsid w:val="001D4A92"/>
    <w:rsid w:val="001D4C5A"/>
    <w:rsid w:val="001D6320"/>
    <w:rsid w:val="0020254C"/>
    <w:rsid w:val="00202C63"/>
    <w:rsid w:val="00207174"/>
    <w:rsid w:val="00207432"/>
    <w:rsid w:val="00210447"/>
    <w:rsid w:val="00213C38"/>
    <w:rsid w:val="0021598C"/>
    <w:rsid w:val="00215DF2"/>
    <w:rsid w:val="0022750A"/>
    <w:rsid w:val="002335BA"/>
    <w:rsid w:val="00242A21"/>
    <w:rsid w:val="00245FF1"/>
    <w:rsid w:val="00252B61"/>
    <w:rsid w:val="00253503"/>
    <w:rsid w:val="002569D1"/>
    <w:rsid w:val="002605B8"/>
    <w:rsid w:val="0026086C"/>
    <w:rsid w:val="00260E91"/>
    <w:rsid w:val="00262296"/>
    <w:rsid w:val="0027125F"/>
    <w:rsid w:val="00282C7C"/>
    <w:rsid w:val="0028686B"/>
    <w:rsid w:val="00297BA2"/>
    <w:rsid w:val="002B2C02"/>
    <w:rsid w:val="002B469B"/>
    <w:rsid w:val="002B4E17"/>
    <w:rsid w:val="002C565B"/>
    <w:rsid w:val="002D362E"/>
    <w:rsid w:val="002D3CCF"/>
    <w:rsid w:val="002E09CC"/>
    <w:rsid w:val="002E2692"/>
    <w:rsid w:val="002E6B9B"/>
    <w:rsid w:val="002F0FAF"/>
    <w:rsid w:val="002F5E05"/>
    <w:rsid w:val="002F74CC"/>
    <w:rsid w:val="00310866"/>
    <w:rsid w:val="00312230"/>
    <w:rsid w:val="00314A02"/>
    <w:rsid w:val="00321B55"/>
    <w:rsid w:val="00321D70"/>
    <w:rsid w:val="003260F1"/>
    <w:rsid w:val="00327255"/>
    <w:rsid w:val="00333442"/>
    <w:rsid w:val="0033786E"/>
    <w:rsid w:val="00337942"/>
    <w:rsid w:val="00343B58"/>
    <w:rsid w:val="00344D22"/>
    <w:rsid w:val="00347CBF"/>
    <w:rsid w:val="0035030C"/>
    <w:rsid w:val="00354C31"/>
    <w:rsid w:val="00356876"/>
    <w:rsid w:val="00363FCA"/>
    <w:rsid w:val="00365E08"/>
    <w:rsid w:val="0037208A"/>
    <w:rsid w:val="00376D2D"/>
    <w:rsid w:val="0037774A"/>
    <w:rsid w:val="0038500B"/>
    <w:rsid w:val="003865A1"/>
    <w:rsid w:val="00393C9C"/>
    <w:rsid w:val="003A1B79"/>
    <w:rsid w:val="003A1CE8"/>
    <w:rsid w:val="003B28BF"/>
    <w:rsid w:val="003B61F5"/>
    <w:rsid w:val="003C0F0B"/>
    <w:rsid w:val="003C1165"/>
    <w:rsid w:val="003C2608"/>
    <w:rsid w:val="003C2CAE"/>
    <w:rsid w:val="003C4530"/>
    <w:rsid w:val="003D0C6C"/>
    <w:rsid w:val="003D229E"/>
    <w:rsid w:val="003E0052"/>
    <w:rsid w:val="003F2E7C"/>
    <w:rsid w:val="003F2F81"/>
    <w:rsid w:val="003F433F"/>
    <w:rsid w:val="003F7B79"/>
    <w:rsid w:val="00401287"/>
    <w:rsid w:val="0040312D"/>
    <w:rsid w:val="00404117"/>
    <w:rsid w:val="00404CAD"/>
    <w:rsid w:val="0041099F"/>
    <w:rsid w:val="004118A4"/>
    <w:rsid w:val="004137D2"/>
    <w:rsid w:val="00417027"/>
    <w:rsid w:val="00420D08"/>
    <w:rsid w:val="004240E6"/>
    <w:rsid w:val="00425F4D"/>
    <w:rsid w:val="004571CD"/>
    <w:rsid w:val="00462093"/>
    <w:rsid w:val="0046594B"/>
    <w:rsid w:val="00466577"/>
    <w:rsid w:val="00475FFB"/>
    <w:rsid w:val="00477BD7"/>
    <w:rsid w:val="0048125A"/>
    <w:rsid w:val="004821BB"/>
    <w:rsid w:val="00482E88"/>
    <w:rsid w:val="004854EC"/>
    <w:rsid w:val="0049500E"/>
    <w:rsid w:val="004A1BDC"/>
    <w:rsid w:val="004A38E4"/>
    <w:rsid w:val="004B6430"/>
    <w:rsid w:val="004C030E"/>
    <w:rsid w:val="004C0D89"/>
    <w:rsid w:val="004C4073"/>
    <w:rsid w:val="004D1DCA"/>
    <w:rsid w:val="004D4FEB"/>
    <w:rsid w:val="004E45A6"/>
    <w:rsid w:val="004E6C7C"/>
    <w:rsid w:val="004F7790"/>
    <w:rsid w:val="0050030B"/>
    <w:rsid w:val="00502AD4"/>
    <w:rsid w:val="0051054A"/>
    <w:rsid w:val="00522CF2"/>
    <w:rsid w:val="0052399E"/>
    <w:rsid w:val="00530C95"/>
    <w:rsid w:val="00533274"/>
    <w:rsid w:val="00544108"/>
    <w:rsid w:val="00551944"/>
    <w:rsid w:val="00552DA0"/>
    <w:rsid w:val="00554F5B"/>
    <w:rsid w:val="0056084B"/>
    <w:rsid w:val="005715CA"/>
    <w:rsid w:val="005715D6"/>
    <w:rsid w:val="0057191A"/>
    <w:rsid w:val="00573CA7"/>
    <w:rsid w:val="005904DA"/>
    <w:rsid w:val="00593E76"/>
    <w:rsid w:val="0059757B"/>
    <w:rsid w:val="005A1438"/>
    <w:rsid w:val="005A1DAE"/>
    <w:rsid w:val="005A3F2B"/>
    <w:rsid w:val="005A61A3"/>
    <w:rsid w:val="005C2586"/>
    <w:rsid w:val="005C2D75"/>
    <w:rsid w:val="005C558E"/>
    <w:rsid w:val="005C5AF8"/>
    <w:rsid w:val="005C6D51"/>
    <w:rsid w:val="005D059D"/>
    <w:rsid w:val="005E3851"/>
    <w:rsid w:val="005F0335"/>
    <w:rsid w:val="005F652A"/>
    <w:rsid w:val="005F7047"/>
    <w:rsid w:val="00602577"/>
    <w:rsid w:val="00603164"/>
    <w:rsid w:val="00605526"/>
    <w:rsid w:val="00611566"/>
    <w:rsid w:val="006139FD"/>
    <w:rsid w:val="00615806"/>
    <w:rsid w:val="006158D6"/>
    <w:rsid w:val="00620F1D"/>
    <w:rsid w:val="00622418"/>
    <w:rsid w:val="00623152"/>
    <w:rsid w:val="00624404"/>
    <w:rsid w:val="00625442"/>
    <w:rsid w:val="00625C5B"/>
    <w:rsid w:val="006264BD"/>
    <w:rsid w:val="00635A91"/>
    <w:rsid w:val="0063781A"/>
    <w:rsid w:val="00642228"/>
    <w:rsid w:val="00651938"/>
    <w:rsid w:val="006557AC"/>
    <w:rsid w:val="00656F3C"/>
    <w:rsid w:val="006615D1"/>
    <w:rsid w:val="006673B7"/>
    <w:rsid w:val="00672577"/>
    <w:rsid w:val="006741A7"/>
    <w:rsid w:val="00685FA8"/>
    <w:rsid w:val="00690AA8"/>
    <w:rsid w:val="006A2BC5"/>
    <w:rsid w:val="006B46F1"/>
    <w:rsid w:val="006C3C0B"/>
    <w:rsid w:val="006C6BAA"/>
    <w:rsid w:val="006D00B5"/>
    <w:rsid w:val="006D5615"/>
    <w:rsid w:val="006E044C"/>
    <w:rsid w:val="006E3708"/>
    <w:rsid w:val="006E3C94"/>
    <w:rsid w:val="006E3F94"/>
    <w:rsid w:val="006F2F90"/>
    <w:rsid w:val="006F5ED2"/>
    <w:rsid w:val="0070061A"/>
    <w:rsid w:val="00701CB3"/>
    <w:rsid w:val="0071113B"/>
    <w:rsid w:val="0071131A"/>
    <w:rsid w:val="0071269F"/>
    <w:rsid w:val="00716999"/>
    <w:rsid w:val="00716A21"/>
    <w:rsid w:val="007307BB"/>
    <w:rsid w:val="00732704"/>
    <w:rsid w:val="00740B5A"/>
    <w:rsid w:val="007443D6"/>
    <w:rsid w:val="007466B0"/>
    <w:rsid w:val="007512B7"/>
    <w:rsid w:val="0075252C"/>
    <w:rsid w:val="00763326"/>
    <w:rsid w:val="00770D96"/>
    <w:rsid w:val="00773FC0"/>
    <w:rsid w:val="0078029D"/>
    <w:rsid w:val="00783F8D"/>
    <w:rsid w:val="00785269"/>
    <w:rsid w:val="007857CC"/>
    <w:rsid w:val="00787601"/>
    <w:rsid w:val="00787CC8"/>
    <w:rsid w:val="00796BEF"/>
    <w:rsid w:val="007A57F0"/>
    <w:rsid w:val="007B1A59"/>
    <w:rsid w:val="007B4B69"/>
    <w:rsid w:val="007C53F1"/>
    <w:rsid w:val="007C5837"/>
    <w:rsid w:val="007C5D5A"/>
    <w:rsid w:val="007D1765"/>
    <w:rsid w:val="007D279B"/>
    <w:rsid w:val="007D2B75"/>
    <w:rsid w:val="007D43AE"/>
    <w:rsid w:val="007D4A6D"/>
    <w:rsid w:val="007D7605"/>
    <w:rsid w:val="007D7C1E"/>
    <w:rsid w:val="007E1998"/>
    <w:rsid w:val="007E2C66"/>
    <w:rsid w:val="007E6446"/>
    <w:rsid w:val="007F1E39"/>
    <w:rsid w:val="007F2446"/>
    <w:rsid w:val="007F5699"/>
    <w:rsid w:val="007F606C"/>
    <w:rsid w:val="008036B3"/>
    <w:rsid w:val="008057FC"/>
    <w:rsid w:val="00811D56"/>
    <w:rsid w:val="00813292"/>
    <w:rsid w:val="00815735"/>
    <w:rsid w:val="008178A3"/>
    <w:rsid w:val="00822D4D"/>
    <w:rsid w:val="00825C36"/>
    <w:rsid w:val="008261A0"/>
    <w:rsid w:val="00831E40"/>
    <w:rsid w:val="00832174"/>
    <w:rsid w:val="008333E7"/>
    <w:rsid w:val="00834420"/>
    <w:rsid w:val="0083493B"/>
    <w:rsid w:val="00835860"/>
    <w:rsid w:val="00836444"/>
    <w:rsid w:val="008431A0"/>
    <w:rsid w:val="00847B90"/>
    <w:rsid w:val="00852DC2"/>
    <w:rsid w:val="00853D24"/>
    <w:rsid w:val="00856036"/>
    <w:rsid w:val="00857BD1"/>
    <w:rsid w:val="00857CC5"/>
    <w:rsid w:val="00862C10"/>
    <w:rsid w:val="008771EC"/>
    <w:rsid w:val="008832B3"/>
    <w:rsid w:val="008846F4"/>
    <w:rsid w:val="008936CB"/>
    <w:rsid w:val="00893988"/>
    <w:rsid w:val="00893CE1"/>
    <w:rsid w:val="008954DE"/>
    <w:rsid w:val="00897D9A"/>
    <w:rsid w:val="008A0915"/>
    <w:rsid w:val="008A1326"/>
    <w:rsid w:val="008B13E4"/>
    <w:rsid w:val="008B579D"/>
    <w:rsid w:val="008B5DE5"/>
    <w:rsid w:val="008B779F"/>
    <w:rsid w:val="008C0562"/>
    <w:rsid w:val="008C400D"/>
    <w:rsid w:val="008C78A4"/>
    <w:rsid w:val="008D3515"/>
    <w:rsid w:val="008D6C35"/>
    <w:rsid w:val="008E36AA"/>
    <w:rsid w:val="008E51DE"/>
    <w:rsid w:val="008E714B"/>
    <w:rsid w:val="008F2F3D"/>
    <w:rsid w:val="008F5E4D"/>
    <w:rsid w:val="008F5EA2"/>
    <w:rsid w:val="008F7D9F"/>
    <w:rsid w:val="00913C4C"/>
    <w:rsid w:val="009145AE"/>
    <w:rsid w:val="009161C3"/>
    <w:rsid w:val="0092261C"/>
    <w:rsid w:val="00924DEA"/>
    <w:rsid w:val="0093413A"/>
    <w:rsid w:val="009368A8"/>
    <w:rsid w:val="009372E9"/>
    <w:rsid w:val="009402E7"/>
    <w:rsid w:val="00941613"/>
    <w:rsid w:val="00943A6C"/>
    <w:rsid w:val="009440D3"/>
    <w:rsid w:val="00951303"/>
    <w:rsid w:val="009619C9"/>
    <w:rsid w:val="00964A50"/>
    <w:rsid w:val="00965646"/>
    <w:rsid w:val="009666CC"/>
    <w:rsid w:val="0097143B"/>
    <w:rsid w:val="0098479F"/>
    <w:rsid w:val="009858C3"/>
    <w:rsid w:val="00995C34"/>
    <w:rsid w:val="009A2065"/>
    <w:rsid w:val="009A6DE6"/>
    <w:rsid w:val="009B06B7"/>
    <w:rsid w:val="009B175B"/>
    <w:rsid w:val="009B2225"/>
    <w:rsid w:val="009B30D6"/>
    <w:rsid w:val="009C0989"/>
    <w:rsid w:val="009C1519"/>
    <w:rsid w:val="009C6AF4"/>
    <w:rsid w:val="009D1BDD"/>
    <w:rsid w:val="009D61EC"/>
    <w:rsid w:val="009D777D"/>
    <w:rsid w:val="009D7D31"/>
    <w:rsid w:val="009D7FB0"/>
    <w:rsid w:val="009F0C8E"/>
    <w:rsid w:val="009F51CC"/>
    <w:rsid w:val="00A060D6"/>
    <w:rsid w:val="00A1261B"/>
    <w:rsid w:val="00A16182"/>
    <w:rsid w:val="00A167C5"/>
    <w:rsid w:val="00A20262"/>
    <w:rsid w:val="00A2519F"/>
    <w:rsid w:val="00A35DDB"/>
    <w:rsid w:val="00A37990"/>
    <w:rsid w:val="00A440C8"/>
    <w:rsid w:val="00A4428E"/>
    <w:rsid w:val="00A457C6"/>
    <w:rsid w:val="00A4728A"/>
    <w:rsid w:val="00A50C43"/>
    <w:rsid w:val="00A52195"/>
    <w:rsid w:val="00A5531D"/>
    <w:rsid w:val="00A564C5"/>
    <w:rsid w:val="00A60627"/>
    <w:rsid w:val="00A67978"/>
    <w:rsid w:val="00A726B0"/>
    <w:rsid w:val="00A72ADB"/>
    <w:rsid w:val="00A8078F"/>
    <w:rsid w:val="00A827B4"/>
    <w:rsid w:val="00A82C45"/>
    <w:rsid w:val="00A82C8C"/>
    <w:rsid w:val="00A85320"/>
    <w:rsid w:val="00A87EB1"/>
    <w:rsid w:val="00A95457"/>
    <w:rsid w:val="00A95D8E"/>
    <w:rsid w:val="00A974F5"/>
    <w:rsid w:val="00AA0953"/>
    <w:rsid w:val="00AA1304"/>
    <w:rsid w:val="00AA483F"/>
    <w:rsid w:val="00AC0F24"/>
    <w:rsid w:val="00AE10B7"/>
    <w:rsid w:val="00AF0669"/>
    <w:rsid w:val="00AF1C92"/>
    <w:rsid w:val="00AF4D2D"/>
    <w:rsid w:val="00B026B7"/>
    <w:rsid w:val="00B026BD"/>
    <w:rsid w:val="00B0327C"/>
    <w:rsid w:val="00B07378"/>
    <w:rsid w:val="00B214E5"/>
    <w:rsid w:val="00B334EC"/>
    <w:rsid w:val="00B34BB9"/>
    <w:rsid w:val="00B41C5B"/>
    <w:rsid w:val="00B41D9E"/>
    <w:rsid w:val="00B42596"/>
    <w:rsid w:val="00B47243"/>
    <w:rsid w:val="00B52459"/>
    <w:rsid w:val="00B674A2"/>
    <w:rsid w:val="00B752D1"/>
    <w:rsid w:val="00B75458"/>
    <w:rsid w:val="00B77263"/>
    <w:rsid w:val="00B82746"/>
    <w:rsid w:val="00B92890"/>
    <w:rsid w:val="00B92892"/>
    <w:rsid w:val="00BA0201"/>
    <w:rsid w:val="00BB740A"/>
    <w:rsid w:val="00BC200C"/>
    <w:rsid w:val="00BC7438"/>
    <w:rsid w:val="00BD21D3"/>
    <w:rsid w:val="00BD2BBE"/>
    <w:rsid w:val="00BD4D14"/>
    <w:rsid w:val="00BD5403"/>
    <w:rsid w:val="00BE17C8"/>
    <w:rsid w:val="00BE2C35"/>
    <w:rsid w:val="00BE7212"/>
    <w:rsid w:val="00BF3525"/>
    <w:rsid w:val="00BF4462"/>
    <w:rsid w:val="00C00CF7"/>
    <w:rsid w:val="00C02FF4"/>
    <w:rsid w:val="00C10003"/>
    <w:rsid w:val="00C10DE2"/>
    <w:rsid w:val="00C205D1"/>
    <w:rsid w:val="00C206B9"/>
    <w:rsid w:val="00C250B1"/>
    <w:rsid w:val="00C2557D"/>
    <w:rsid w:val="00C31862"/>
    <w:rsid w:val="00C32C31"/>
    <w:rsid w:val="00C335A6"/>
    <w:rsid w:val="00C4497D"/>
    <w:rsid w:val="00C45BE5"/>
    <w:rsid w:val="00C46F43"/>
    <w:rsid w:val="00C510DC"/>
    <w:rsid w:val="00C576F1"/>
    <w:rsid w:val="00C6097A"/>
    <w:rsid w:val="00C615C0"/>
    <w:rsid w:val="00C62439"/>
    <w:rsid w:val="00C6358F"/>
    <w:rsid w:val="00C64C63"/>
    <w:rsid w:val="00C661D8"/>
    <w:rsid w:val="00C66FC0"/>
    <w:rsid w:val="00C72E50"/>
    <w:rsid w:val="00C73279"/>
    <w:rsid w:val="00C73599"/>
    <w:rsid w:val="00C7378A"/>
    <w:rsid w:val="00C818FB"/>
    <w:rsid w:val="00C8296E"/>
    <w:rsid w:val="00C84465"/>
    <w:rsid w:val="00C85C60"/>
    <w:rsid w:val="00C90E86"/>
    <w:rsid w:val="00C92225"/>
    <w:rsid w:val="00C926D1"/>
    <w:rsid w:val="00CA41C5"/>
    <w:rsid w:val="00CA5338"/>
    <w:rsid w:val="00CA5D57"/>
    <w:rsid w:val="00CA65E2"/>
    <w:rsid w:val="00CA6B69"/>
    <w:rsid w:val="00CB18CE"/>
    <w:rsid w:val="00CC08D3"/>
    <w:rsid w:val="00CD0432"/>
    <w:rsid w:val="00CD19D8"/>
    <w:rsid w:val="00CD2813"/>
    <w:rsid w:val="00CD2C5D"/>
    <w:rsid w:val="00CE023E"/>
    <w:rsid w:val="00CE7647"/>
    <w:rsid w:val="00D05C8F"/>
    <w:rsid w:val="00D06C3F"/>
    <w:rsid w:val="00D12E8E"/>
    <w:rsid w:val="00D16C9D"/>
    <w:rsid w:val="00D21271"/>
    <w:rsid w:val="00D21907"/>
    <w:rsid w:val="00D27735"/>
    <w:rsid w:val="00D303F1"/>
    <w:rsid w:val="00D37D55"/>
    <w:rsid w:val="00D41357"/>
    <w:rsid w:val="00D435BF"/>
    <w:rsid w:val="00D47E24"/>
    <w:rsid w:val="00D50888"/>
    <w:rsid w:val="00D50C46"/>
    <w:rsid w:val="00D538F1"/>
    <w:rsid w:val="00D53961"/>
    <w:rsid w:val="00D54ADC"/>
    <w:rsid w:val="00D56582"/>
    <w:rsid w:val="00D57C54"/>
    <w:rsid w:val="00D642BE"/>
    <w:rsid w:val="00D65BBB"/>
    <w:rsid w:val="00D718E5"/>
    <w:rsid w:val="00D74456"/>
    <w:rsid w:val="00D7475F"/>
    <w:rsid w:val="00D76405"/>
    <w:rsid w:val="00D863CF"/>
    <w:rsid w:val="00D937CE"/>
    <w:rsid w:val="00D95C7E"/>
    <w:rsid w:val="00DA32A8"/>
    <w:rsid w:val="00DB3132"/>
    <w:rsid w:val="00DC18FA"/>
    <w:rsid w:val="00DC59A3"/>
    <w:rsid w:val="00DC63DB"/>
    <w:rsid w:val="00DD20E9"/>
    <w:rsid w:val="00DD2F7D"/>
    <w:rsid w:val="00DE792E"/>
    <w:rsid w:val="00DF068B"/>
    <w:rsid w:val="00DF431B"/>
    <w:rsid w:val="00DF4330"/>
    <w:rsid w:val="00DF57DD"/>
    <w:rsid w:val="00E06B89"/>
    <w:rsid w:val="00E24A59"/>
    <w:rsid w:val="00E27894"/>
    <w:rsid w:val="00E27B2D"/>
    <w:rsid w:val="00E30379"/>
    <w:rsid w:val="00E31EDC"/>
    <w:rsid w:val="00E36B0C"/>
    <w:rsid w:val="00E406EA"/>
    <w:rsid w:val="00E45D3A"/>
    <w:rsid w:val="00E57968"/>
    <w:rsid w:val="00E60FBC"/>
    <w:rsid w:val="00E80C06"/>
    <w:rsid w:val="00E8225B"/>
    <w:rsid w:val="00E85323"/>
    <w:rsid w:val="00E91C94"/>
    <w:rsid w:val="00EA147A"/>
    <w:rsid w:val="00EA2AC2"/>
    <w:rsid w:val="00EA302A"/>
    <w:rsid w:val="00EA7E0F"/>
    <w:rsid w:val="00EB1B71"/>
    <w:rsid w:val="00EB1E62"/>
    <w:rsid w:val="00EB4F5F"/>
    <w:rsid w:val="00EC2D84"/>
    <w:rsid w:val="00EC3B37"/>
    <w:rsid w:val="00EC3E8D"/>
    <w:rsid w:val="00EC5723"/>
    <w:rsid w:val="00EC7658"/>
    <w:rsid w:val="00ED0223"/>
    <w:rsid w:val="00ED255B"/>
    <w:rsid w:val="00ED4E8F"/>
    <w:rsid w:val="00ED4F02"/>
    <w:rsid w:val="00EE12C3"/>
    <w:rsid w:val="00EE1940"/>
    <w:rsid w:val="00EE3A46"/>
    <w:rsid w:val="00EE590E"/>
    <w:rsid w:val="00EE6CCF"/>
    <w:rsid w:val="00EF1407"/>
    <w:rsid w:val="00EF4A28"/>
    <w:rsid w:val="00F010FC"/>
    <w:rsid w:val="00F01485"/>
    <w:rsid w:val="00F04F08"/>
    <w:rsid w:val="00F063E0"/>
    <w:rsid w:val="00F16BFF"/>
    <w:rsid w:val="00F22A79"/>
    <w:rsid w:val="00F2306D"/>
    <w:rsid w:val="00F260DE"/>
    <w:rsid w:val="00F3251C"/>
    <w:rsid w:val="00F402ED"/>
    <w:rsid w:val="00F458D6"/>
    <w:rsid w:val="00F45AFC"/>
    <w:rsid w:val="00F47239"/>
    <w:rsid w:val="00F47923"/>
    <w:rsid w:val="00F5145D"/>
    <w:rsid w:val="00F64C86"/>
    <w:rsid w:val="00F7319E"/>
    <w:rsid w:val="00F8095C"/>
    <w:rsid w:val="00F900F5"/>
    <w:rsid w:val="00F9313D"/>
    <w:rsid w:val="00F97EB4"/>
    <w:rsid w:val="00FA234D"/>
    <w:rsid w:val="00FB2E70"/>
    <w:rsid w:val="00FB70CF"/>
    <w:rsid w:val="00FC3274"/>
    <w:rsid w:val="00FC3E97"/>
    <w:rsid w:val="00FD061A"/>
    <w:rsid w:val="00FE221D"/>
    <w:rsid w:val="00FE4344"/>
    <w:rsid w:val="00FE7D9A"/>
    <w:rsid w:val="00FF2366"/>
    <w:rsid w:val="00FF50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71433"/>
  <w15:docId w15:val="{5A391CA5-BAE9-4730-842F-BAE67CA3CF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Inne">
    <w:name w:val="Inne_"/>
    <w:basedOn w:val="Domylnaczcionkaakapitu"/>
    <w:link w:val="Inne0"/>
    <w:rPr>
      <w:rFonts w:ascii="Times New Roman" w:eastAsia="Times New Roman" w:hAnsi="Times New Roman" w:cs="Times New Roman"/>
      <w:b w:val="0"/>
      <w:bCs w:val="0"/>
      <w:i w:val="0"/>
      <w:iCs w:val="0"/>
      <w:smallCaps w:val="0"/>
      <w:strike w:val="0"/>
      <w:sz w:val="20"/>
      <w:szCs w:val="20"/>
      <w:u w:val="none"/>
    </w:rPr>
  </w:style>
  <w:style w:type="character" w:customStyle="1" w:styleId="Teksttreci">
    <w:name w:val="Tekst treści_"/>
    <w:basedOn w:val="Domylnaczcionkaakapitu"/>
    <w:link w:val="Teksttreci0"/>
    <w:rPr>
      <w:rFonts w:ascii="Times New Roman" w:eastAsia="Times New Roman" w:hAnsi="Times New Roman" w:cs="Times New Roman"/>
      <w:b w:val="0"/>
      <w:bCs w:val="0"/>
      <w:i w:val="0"/>
      <w:iCs w:val="0"/>
      <w:smallCaps w:val="0"/>
      <w:strike w:val="0"/>
      <w:sz w:val="20"/>
      <w:szCs w:val="20"/>
      <w:u w:val="none"/>
    </w:rPr>
  </w:style>
  <w:style w:type="paragraph" w:customStyle="1" w:styleId="Inne0">
    <w:name w:val="Inne"/>
    <w:basedOn w:val="Normalny"/>
    <w:link w:val="Inne"/>
    <w:pPr>
      <w:shd w:val="clear" w:color="auto" w:fill="FFFFFF"/>
    </w:pPr>
    <w:rPr>
      <w:rFonts w:ascii="Times New Roman" w:eastAsia="Times New Roman" w:hAnsi="Times New Roman" w:cs="Times New Roman"/>
      <w:sz w:val="20"/>
      <w:szCs w:val="20"/>
    </w:rPr>
  </w:style>
  <w:style w:type="paragraph" w:customStyle="1" w:styleId="Teksttreci0">
    <w:name w:val="Tekst treści"/>
    <w:basedOn w:val="Normalny"/>
    <w:link w:val="Teksttreci"/>
    <w:pPr>
      <w:shd w:val="clear" w:color="auto" w:fill="FFFFFF"/>
      <w:spacing w:after="140"/>
    </w:pPr>
    <w:rPr>
      <w:rFonts w:ascii="Times New Roman" w:eastAsia="Times New Roman" w:hAnsi="Times New Roman" w:cs="Times New Roman"/>
      <w:sz w:val="20"/>
      <w:szCs w:val="20"/>
    </w:rPr>
  </w:style>
  <w:style w:type="paragraph" w:customStyle="1" w:styleId="PKTpunkt">
    <w:name w:val="PKT – punkt"/>
    <w:uiPriority w:val="13"/>
    <w:qFormat/>
    <w:rsid w:val="00B47243"/>
    <w:pPr>
      <w:widowControl/>
      <w:spacing w:line="360" w:lineRule="auto"/>
      <w:ind w:left="510" w:hanging="510"/>
      <w:jc w:val="both"/>
    </w:pPr>
    <w:rPr>
      <w:rFonts w:ascii="Times" w:eastAsiaTheme="minorEastAsia" w:hAnsi="Times" w:cs="Arial"/>
      <w:bCs/>
      <w:szCs w:val="20"/>
      <w:lang w:bidi="ar-SA"/>
    </w:rPr>
  </w:style>
  <w:style w:type="paragraph" w:customStyle="1" w:styleId="LITlitera">
    <w:name w:val="LIT – litera"/>
    <w:basedOn w:val="PKTpunkt"/>
    <w:uiPriority w:val="14"/>
    <w:qFormat/>
    <w:rsid w:val="00B47243"/>
    <w:pPr>
      <w:ind w:left="986" w:hanging="476"/>
    </w:pPr>
  </w:style>
  <w:style w:type="paragraph" w:customStyle="1" w:styleId="ZLITPKTzmpktliter">
    <w:name w:val="Z_LIT/PKT – zm. pkt literą"/>
    <w:basedOn w:val="PKTpunkt"/>
    <w:uiPriority w:val="47"/>
    <w:qFormat/>
    <w:rsid w:val="00B47243"/>
    <w:pPr>
      <w:ind w:left="1497"/>
    </w:pPr>
  </w:style>
  <w:style w:type="paragraph" w:customStyle="1" w:styleId="ZLITLITwPKTzmlitwpktliter">
    <w:name w:val="Z_LIT/LIT_w_PKT – zm. lit. w pkt literą"/>
    <w:basedOn w:val="LITlitera"/>
    <w:uiPriority w:val="48"/>
    <w:qFormat/>
    <w:rsid w:val="00B47243"/>
    <w:pPr>
      <w:ind w:left="1973"/>
    </w:pPr>
  </w:style>
  <w:style w:type="paragraph" w:customStyle="1" w:styleId="ZUSTzmustartykuempunktem">
    <w:name w:val="Z/UST(§) – zm. us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PKTzmpktartykuempunktem">
    <w:name w:val="Z/PKT – zm. pkt artykułem (punktem)"/>
    <w:basedOn w:val="PKTpunkt"/>
    <w:uiPriority w:val="31"/>
    <w:qFormat/>
    <w:rsid w:val="00C02FF4"/>
    <w:pPr>
      <w:ind w:left="1020"/>
    </w:pPr>
  </w:style>
  <w:style w:type="paragraph" w:customStyle="1" w:styleId="ZARTzmartartykuempunktem">
    <w:name w:val="Z/ART(§) – zm. art. (§) artykułem (punktem)"/>
    <w:basedOn w:val="Normalny"/>
    <w:uiPriority w:val="30"/>
    <w:qFormat/>
    <w:rsid w:val="00C02FF4"/>
    <w:pPr>
      <w:widowControl/>
      <w:suppressAutoHyphens/>
      <w:autoSpaceDE w:val="0"/>
      <w:autoSpaceDN w:val="0"/>
      <w:adjustRightInd w:val="0"/>
      <w:spacing w:line="360" w:lineRule="auto"/>
      <w:ind w:left="510" w:firstLine="510"/>
      <w:jc w:val="both"/>
    </w:pPr>
    <w:rPr>
      <w:rFonts w:ascii="Times" w:eastAsiaTheme="minorEastAsia" w:hAnsi="Times" w:cs="Arial"/>
      <w:color w:val="auto"/>
      <w:szCs w:val="20"/>
      <w:lang w:bidi="ar-SA"/>
    </w:rPr>
  </w:style>
  <w:style w:type="paragraph" w:customStyle="1" w:styleId="ZLITUSTzmustliter">
    <w:name w:val="Z_LIT/UST(§) – zm. ust. (§) literą"/>
    <w:basedOn w:val="Normalny"/>
    <w:uiPriority w:val="46"/>
    <w:qFormat/>
    <w:rsid w:val="00462093"/>
    <w:pPr>
      <w:widowControl/>
      <w:suppressAutoHyphens/>
      <w:autoSpaceDE w:val="0"/>
      <w:autoSpaceDN w:val="0"/>
      <w:adjustRightInd w:val="0"/>
      <w:spacing w:line="360" w:lineRule="auto"/>
      <w:ind w:left="987" w:firstLine="510"/>
      <w:jc w:val="both"/>
    </w:pPr>
    <w:rPr>
      <w:rFonts w:ascii="Times" w:eastAsiaTheme="minorEastAsia" w:hAnsi="Times" w:cs="Arial"/>
      <w:bCs/>
      <w:color w:val="auto"/>
      <w:szCs w:val="20"/>
      <w:lang w:bidi="ar-SA"/>
    </w:rPr>
  </w:style>
  <w:style w:type="paragraph" w:styleId="Tekstkomentarza">
    <w:name w:val="annotation text"/>
    <w:basedOn w:val="Normalny"/>
    <w:link w:val="TekstkomentarzaZnak"/>
    <w:uiPriority w:val="99"/>
    <w:unhideWhenUsed/>
    <w:rsid w:val="00150163"/>
    <w:rPr>
      <w:sz w:val="20"/>
      <w:szCs w:val="20"/>
    </w:rPr>
  </w:style>
  <w:style w:type="character" w:customStyle="1" w:styleId="TekstkomentarzaZnak">
    <w:name w:val="Tekst komentarza Znak"/>
    <w:basedOn w:val="Domylnaczcionkaakapitu"/>
    <w:link w:val="Tekstkomentarza"/>
    <w:uiPriority w:val="99"/>
    <w:rsid w:val="00150163"/>
    <w:rPr>
      <w:color w:val="000000"/>
      <w:sz w:val="20"/>
      <w:szCs w:val="20"/>
    </w:rPr>
  </w:style>
  <w:style w:type="character" w:styleId="Odwoaniedokomentarza">
    <w:name w:val="annotation reference"/>
    <w:basedOn w:val="Domylnaczcionkaakapitu"/>
    <w:uiPriority w:val="99"/>
    <w:semiHidden/>
    <w:rsid w:val="00150163"/>
    <w:rPr>
      <w:sz w:val="16"/>
      <w:szCs w:val="16"/>
    </w:rPr>
  </w:style>
  <w:style w:type="paragraph" w:styleId="Akapitzlist">
    <w:name w:val="List Paragraph"/>
    <w:aliases w:val="Numerowanie"/>
    <w:basedOn w:val="Normalny"/>
    <w:uiPriority w:val="34"/>
    <w:qFormat/>
    <w:rsid w:val="00FE7D9A"/>
    <w:pPr>
      <w:ind w:left="720"/>
      <w:contextualSpacing/>
    </w:pPr>
  </w:style>
  <w:style w:type="paragraph" w:styleId="Poprawka">
    <w:name w:val="Revision"/>
    <w:hidden/>
    <w:uiPriority w:val="99"/>
    <w:semiHidden/>
    <w:rsid w:val="000E79BF"/>
    <w:pPr>
      <w:widowControl/>
    </w:pPr>
    <w:rPr>
      <w:color w:val="000000"/>
    </w:rPr>
  </w:style>
  <w:style w:type="paragraph" w:customStyle="1" w:styleId="ARTartustawynprozporzdzenia">
    <w:name w:val="ART(§) – art. ustawy (§ np. rozporządzenia)"/>
    <w:uiPriority w:val="11"/>
    <w:qFormat/>
    <w:rsid w:val="00F402ED"/>
    <w:pPr>
      <w:widowControl/>
      <w:suppressAutoHyphens/>
      <w:autoSpaceDE w:val="0"/>
      <w:autoSpaceDN w:val="0"/>
      <w:adjustRightInd w:val="0"/>
      <w:spacing w:before="120" w:line="360" w:lineRule="auto"/>
      <w:ind w:firstLine="510"/>
      <w:jc w:val="both"/>
    </w:pPr>
    <w:rPr>
      <w:rFonts w:ascii="Times" w:eastAsiaTheme="minorEastAsia" w:hAnsi="Times" w:cs="Arial"/>
      <w:szCs w:val="20"/>
      <w:lang w:bidi="ar-SA"/>
    </w:rPr>
  </w:style>
  <w:style w:type="character" w:customStyle="1" w:styleId="Ppogrubienie">
    <w:name w:val="_P_ – pogrubienie"/>
    <w:basedOn w:val="Domylnaczcionkaakapitu"/>
    <w:uiPriority w:val="1"/>
    <w:qFormat/>
    <w:rsid w:val="00F402ED"/>
    <w:rPr>
      <w:b/>
    </w:rPr>
  </w:style>
  <w:style w:type="paragraph" w:styleId="Tematkomentarza">
    <w:name w:val="annotation subject"/>
    <w:basedOn w:val="Tekstkomentarza"/>
    <w:next w:val="Tekstkomentarza"/>
    <w:link w:val="TematkomentarzaZnak"/>
    <w:uiPriority w:val="99"/>
    <w:semiHidden/>
    <w:unhideWhenUsed/>
    <w:rsid w:val="00F458D6"/>
    <w:rPr>
      <w:b/>
      <w:bCs/>
    </w:rPr>
  </w:style>
  <w:style w:type="character" w:customStyle="1" w:styleId="TematkomentarzaZnak">
    <w:name w:val="Temat komentarza Znak"/>
    <w:basedOn w:val="TekstkomentarzaZnak"/>
    <w:link w:val="Tematkomentarza"/>
    <w:uiPriority w:val="99"/>
    <w:semiHidden/>
    <w:rsid w:val="00F458D6"/>
    <w:rPr>
      <w:b/>
      <w:bCs/>
      <w:color w:val="000000"/>
      <w:sz w:val="20"/>
      <w:szCs w:val="20"/>
    </w:rPr>
  </w:style>
  <w:style w:type="paragraph" w:customStyle="1" w:styleId="ZCZWSPLITwPKTzmczciwsplitwpktartykuempunktem">
    <w:name w:val="Z/CZ_WSP_LIT_w_PKT – zm. części wsp. lit. w pkt artykułem (punktem)"/>
    <w:basedOn w:val="Normalny"/>
    <w:next w:val="ZARTzmartartykuempunktem"/>
    <w:uiPriority w:val="35"/>
    <w:qFormat/>
    <w:rsid w:val="00831E40"/>
    <w:pPr>
      <w:widowControl/>
      <w:spacing w:line="360" w:lineRule="auto"/>
      <w:ind w:left="1021"/>
      <w:jc w:val="both"/>
    </w:pPr>
    <w:rPr>
      <w:rFonts w:ascii="Times" w:eastAsiaTheme="minorEastAsia" w:hAnsi="Times" w:cs="Arial"/>
      <w:bCs/>
      <w:color w:val="auto"/>
      <w:lang w:bidi="ar-SA"/>
    </w:rPr>
  </w:style>
  <w:style w:type="paragraph" w:customStyle="1" w:styleId="ZLITLITzmlitliter">
    <w:name w:val="Z_LIT/LIT – zm. lit. literą"/>
    <w:basedOn w:val="LITlitera"/>
    <w:uiPriority w:val="48"/>
    <w:qFormat/>
    <w:rsid w:val="00831E40"/>
    <w:pPr>
      <w:ind w:left="1463"/>
    </w:pPr>
  </w:style>
  <w:style w:type="paragraph" w:customStyle="1" w:styleId="ZFRAGzmfragmentunpzdaniaartykuempunktem">
    <w:name w:val="Z/FRAG – zm. fragmentu (np. zdania) artykułem (punktem)"/>
    <w:basedOn w:val="ZARTzmartartykuempunktem"/>
    <w:next w:val="PKTpunkt"/>
    <w:uiPriority w:val="36"/>
    <w:qFormat/>
    <w:rsid w:val="00BD5403"/>
    <w:pPr>
      <w:ind w:firstLine="0"/>
    </w:pPr>
    <w:rPr>
      <w:rFonts w:ascii="Times New Roman" w:hAnsi="Times New Roman"/>
    </w:rPr>
  </w:style>
  <w:style w:type="character" w:customStyle="1" w:styleId="Stopka">
    <w:name w:val="Stopka_"/>
    <w:basedOn w:val="Domylnaczcionkaakapitu"/>
    <w:link w:val="Stopka1"/>
    <w:rsid w:val="00CD2C5D"/>
    <w:rPr>
      <w:rFonts w:ascii="Calibri" w:eastAsia="Calibri" w:hAnsi="Calibri" w:cs="Calibri"/>
      <w:sz w:val="20"/>
      <w:szCs w:val="20"/>
      <w:shd w:val="clear" w:color="auto" w:fill="FFFFFF"/>
    </w:rPr>
  </w:style>
  <w:style w:type="paragraph" w:customStyle="1" w:styleId="Stopka1">
    <w:name w:val="Stopka1"/>
    <w:basedOn w:val="Normalny"/>
    <w:link w:val="Stopka"/>
    <w:rsid w:val="00CD2C5D"/>
    <w:pPr>
      <w:shd w:val="clear" w:color="auto" w:fill="FFFFFF"/>
    </w:pPr>
    <w:rPr>
      <w:rFonts w:ascii="Calibri" w:eastAsia="Calibri" w:hAnsi="Calibri" w:cs="Calibri"/>
      <w:color w:val="auto"/>
      <w:sz w:val="20"/>
      <w:szCs w:val="20"/>
    </w:rPr>
  </w:style>
  <w:style w:type="paragraph" w:customStyle="1" w:styleId="ZCZWSPPKTzmczciwsppktartykuempunktem">
    <w:name w:val="Z/CZ_WSP_PKT – zm. części wsp. pkt artykułem (punktem)"/>
    <w:basedOn w:val="Normalny"/>
    <w:next w:val="Normalny"/>
    <w:uiPriority w:val="34"/>
    <w:qFormat/>
    <w:rsid w:val="00FC3274"/>
    <w:pPr>
      <w:widowControl/>
      <w:spacing w:line="360" w:lineRule="auto"/>
      <w:ind w:left="510"/>
      <w:jc w:val="both"/>
    </w:pPr>
    <w:rPr>
      <w:rFonts w:ascii="Times" w:eastAsiaTheme="minorEastAsia" w:hAnsi="Times" w:cs="Arial"/>
      <w:bCs/>
      <w:color w:val="auto"/>
      <w:szCs w:val="20"/>
      <w:lang w:bidi="ar-SA"/>
    </w:rPr>
  </w:style>
  <w:style w:type="paragraph" w:styleId="Stopka0">
    <w:name w:val="footer"/>
    <w:basedOn w:val="Normalny"/>
    <w:link w:val="StopkaZnak"/>
    <w:uiPriority w:val="99"/>
    <w:unhideWhenUsed/>
    <w:rsid w:val="007307BB"/>
    <w:pPr>
      <w:widowControl/>
      <w:tabs>
        <w:tab w:val="center" w:pos="4536"/>
        <w:tab w:val="right" w:pos="9072"/>
      </w:tabs>
    </w:pPr>
    <w:rPr>
      <w:rFonts w:asciiTheme="minorHAnsi" w:eastAsiaTheme="minorHAnsi" w:hAnsiTheme="minorHAnsi" w:cstheme="minorBidi"/>
      <w:color w:val="auto"/>
      <w:sz w:val="22"/>
      <w:szCs w:val="22"/>
      <w:lang w:eastAsia="en-US" w:bidi="ar-SA"/>
    </w:rPr>
  </w:style>
  <w:style w:type="character" w:customStyle="1" w:styleId="StopkaZnak">
    <w:name w:val="Stopka Znak"/>
    <w:basedOn w:val="Domylnaczcionkaakapitu"/>
    <w:link w:val="Stopka0"/>
    <w:uiPriority w:val="99"/>
    <w:rsid w:val="007307BB"/>
    <w:rPr>
      <w:rFonts w:asciiTheme="minorHAnsi" w:eastAsiaTheme="minorHAnsi" w:hAnsiTheme="minorHAnsi" w:cstheme="minorBidi"/>
      <w:sz w:val="22"/>
      <w:szCs w:val="22"/>
      <w:lang w:eastAsia="en-US" w:bidi="ar-SA"/>
    </w:rPr>
  </w:style>
  <w:style w:type="character" w:customStyle="1" w:styleId="Teksttreci2">
    <w:name w:val="Tekst treści (2)_"/>
    <w:basedOn w:val="Domylnaczcionkaakapitu"/>
    <w:link w:val="Teksttreci20"/>
    <w:rsid w:val="00F9313D"/>
    <w:rPr>
      <w:rFonts w:ascii="Arial" w:eastAsia="Arial" w:hAnsi="Arial" w:cs="Arial"/>
      <w:sz w:val="16"/>
      <w:szCs w:val="16"/>
      <w:shd w:val="clear" w:color="auto" w:fill="FFFFFF"/>
    </w:rPr>
  </w:style>
  <w:style w:type="paragraph" w:customStyle="1" w:styleId="Teksttreci20">
    <w:name w:val="Tekst treści (2)"/>
    <w:basedOn w:val="Normalny"/>
    <w:link w:val="Teksttreci2"/>
    <w:rsid w:val="00F9313D"/>
    <w:pPr>
      <w:shd w:val="clear" w:color="auto" w:fill="FFFFFF"/>
      <w:spacing w:after="100"/>
    </w:pPr>
    <w:rPr>
      <w:rFonts w:ascii="Arial" w:eastAsia="Arial" w:hAnsi="Arial" w:cs="Arial"/>
      <w:color w:val="auto"/>
      <w:sz w:val="16"/>
      <w:szCs w:val="16"/>
    </w:rPr>
  </w:style>
  <w:style w:type="character" w:customStyle="1" w:styleId="Nagwek2">
    <w:name w:val="Nagłówek #2_"/>
    <w:basedOn w:val="Domylnaczcionkaakapitu"/>
    <w:link w:val="Nagwek20"/>
    <w:rsid w:val="00F9313D"/>
    <w:rPr>
      <w:rFonts w:ascii="Arial" w:eastAsia="Arial" w:hAnsi="Arial" w:cs="Arial"/>
      <w:b/>
      <w:bCs/>
      <w:sz w:val="19"/>
      <w:szCs w:val="19"/>
      <w:shd w:val="clear" w:color="auto" w:fill="FFFFFF"/>
    </w:rPr>
  </w:style>
  <w:style w:type="paragraph" w:customStyle="1" w:styleId="Nagwek20">
    <w:name w:val="Nagłówek #2"/>
    <w:basedOn w:val="Normalny"/>
    <w:link w:val="Nagwek2"/>
    <w:rsid w:val="00F9313D"/>
    <w:pPr>
      <w:shd w:val="clear" w:color="auto" w:fill="FFFFFF"/>
      <w:ind w:left="4560"/>
      <w:outlineLvl w:val="1"/>
    </w:pPr>
    <w:rPr>
      <w:rFonts w:ascii="Arial" w:eastAsia="Arial" w:hAnsi="Arial" w:cs="Arial"/>
      <w:b/>
      <w:bCs/>
      <w:color w:val="auto"/>
      <w:sz w:val="19"/>
      <w:szCs w:val="19"/>
    </w:rPr>
  </w:style>
  <w:style w:type="paragraph" w:styleId="Tekstprzypisudolnego">
    <w:name w:val="footnote text"/>
    <w:basedOn w:val="Normalny"/>
    <w:link w:val="TekstprzypisudolnegoZnak"/>
    <w:uiPriority w:val="99"/>
    <w:semiHidden/>
    <w:unhideWhenUsed/>
    <w:rsid w:val="005A61A3"/>
    <w:pPr>
      <w:widowControl/>
    </w:pPr>
    <w:rPr>
      <w:rFonts w:asciiTheme="minorHAnsi" w:eastAsiaTheme="minorHAnsi" w:hAnsiTheme="minorHAnsi" w:cstheme="minorBidi"/>
      <w:color w:val="auto"/>
      <w:sz w:val="20"/>
      <w:szCs w:val="20"/>
      <w:lang w:eastAsia="en-US" w:bidi="ar-SA"/>
    </w:rPr>
  </w:style>
  <w:style w:type="character" w:customStyle="1" w:styleId="TekstprzypisudolnegoZnak">
    <w:name w:val="Tekst przypisu dolnego Znak"/>
    <w:basedOn w:val="Domylnaczcionkaakapitu"/>
    <w:link w:val="Tekstprzypisudolnego"/>
    <w:uiPriority w:val="99"/>
    <w:semiHidden/>
    <w:rsid w:val="005A61A3"/>
    <w:rPr>
      <w:rFonts w:asciiTheme="minorHAnsi" w:eastAsiaTheme="minorHAnsi" w:hAnsiTheme="minorHAnsi" w:cstheme="minorBidi"/>
      <w:sz w:val="20"/>
      <w:szCs w:val="20"/>
      <w:lang w:eastAsia="en-US" w:bidi="ar-SA"/>
    </w:rPr>
  </w:style>
  <w:style w:type="character" w:styleId="Odwoanieprzypisudolnego">
    <w:name w:val="footnote reference"/>
    <w:basedOn w:val="Domylnaczcionkaakapitu"/>
    <w:uiPriority w:val="99"/>
    <w:semiHidden/>
    <w:unhideWhenUsed/>
    <w:rsid w:val="005A61A3"/>
    <w:rPr>
      <w:vertAlign w:val="superscript"/>
    </w:rPr>
  </w:style>
  <w:style w:type="paragraph" w:customStyle="1" w:styleId="Default">
    <w:name w:val="Default"/>
    <w:basedOn w:val="Normalny"/>
    <w:uiPriority w:val="1"/>
    <w:rsid w:val="009B06B7"/>
    <w:pPr>
      <w:widowControl/>
    </w:pPr>
    <w:rPr>
      <w:rFonts w:ascii="Times New Roman" w:hAnsi="Times New Roman" w:cs="Times New Roman"/>
      <w:lang w:bidi="ar-SA"/>
    </w:rPr>
  </w:style>
  <w:style w:type="paragraph" w:styleId="Tekstprzypisukocowego">
    <w:name w:val="endnote text"/>
    <w:basedOn w:val="Normalny"/>
    <w:link w:val="TekstprzypisukocowegoZnak"/>
    <w:uiPriority w:val="99"/>
    <w:semiHidden/>
    <w:unhideWhenUsed/>
    <w:rsid w:val="00ED0223"/>
    <w:rPr>
      <w:sz w:val="20"/>
      <w:szCs w:val="20"/>
    </w:rPr>
  </w:style>
  <w:style w:type="character" w:customStyle="1" w:styleId="TekstprzypisukocowegoZnak">
    <w:name w:val="Tekst przypisu końcowego Znak"/>
    <w:basedOn w:val="Domylnaczcionkaakapitu"/>
    <w:link w:val="Tekstprzypisukocowego"/>
    <w:uiPriority w:val="99"/>
    <w:semiHidden/>
    <w:rsid w:val="00ED0223"/>
    <w:rPr>
      <w:color w:val="000000"/>
      <w:sz w:val="20"/>
      <w:szCs w:val="20"/>
    </w:rPr>
  </w:style>
  <w:style w:type="character" w:styleId="Odwoanieprzypisukocowego">
    <w:name w:val="endnote reference"/>
    <w:basedOn w:val="Domylnaczcionkaakapitu"/>
    <w:uiPriority w:val="99"/>
    <w:semiHidden/>
    <w:unhideWhenUsed/>
    <w:rsid w:val="00ED0223"/>
    <w:rPr>
      <w:vertAlign w:val="superscript"/>
    </w:rPr>
  </w:style>
  <w:style w:type="paragraph" w:styleId="Nagwek">
    <w:name w:val="header"/>
    <w:basedOn w:val="Normalny"/>
    <w:link w:val="NagwekZnak"/>
    <w:uiPriority w:val="99"/>
    <w:unhideWhenUsed/>
    <w:rsid w:val="00857BD1"/>
    <w:pPr>
      <w:tabs>
        <w:tab w:val="center" w:pos="4536"/>
        <w:tab w:val="right" w:pos="9072"/>
      </w:tabs>
    </w:pPr>
  </w:style>
  <w:style w:type="character" w:customStyle="1" w:styleId="NagwekZnak">
    <w:name w:val="Nagłówek Znak"/>
    <w:basedOn w:val="Domylnaczcionkaakapitu"/>
    <w:link w:val="Nagwek"/>
    <w:uiPriority w:val="99"/>
    <w:rsid w:val="00857BD1"/>
    <w:rPr>
      <w:color w:val="000000"/>
    </w:rPr>
  </w:style>
  <w:style w:type="character" w:styleId="Hipercze">
    <w:name w:val="Hyperlink"/>
    <w:basedOn w:val="Domylnaczcionkaakapitu"/>
    <w:uiPriority w:val="99"/>
    <w:unhideWhenUsed/>
    <w:rsid w:val="009D1BDD"/>
    <w:rPr>
      <w:color w:val="0563C1" w:themeColor="hyperlink"/>
      <w:u w:val="single"/>
    </w:rPr>
  </w:style>
  <w:style w:type="character" w:styleId="Nierozpoznanawzmianka">
    <w:name w:val="Unresolved Mention"/>
    <w:basedOn w:val="Domylnaczcionkaakapitu"/>
    <w:uiPriority w:val="99"/>
    <w:semiHidden/>
    <w:unhideWhenUsed/>
    <w:rsid w:val="009D1BDD"/>
    <w:rPr>
      <w:color w:val="605E5C"/>
      <w:shd w:val="clear" w:color="auto" w:fill="E1DFDD"/>
    </w:rPr>
  </w:style>
  <w:style w:type="table" w:styleId="Tabela-Siatka">
    <w:name w:val="Table Grid"/>
    <w:basedOn w:val="Standardowy"/>
    <w:rsid w:val="00E91C94"/>
    <w:pPr>
      <w:widowControl/>
    </w:pPr>
    <w:rPr>
      <w:rFonts w:ascii="Times New Roman" w:eastAsia="Times New Roma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205193">
      <w:bodyDiv w:val="1"/>
      <w:marLeft w:val="0"/>
      <w:marRight w:val="0"/>
      <w:marTop w:val="0"/>
      <w:marBottom w:val="0"/>
      <w:divBdr>
        <w:top w:val="none" w:sz="0" w:space="0" w:color="auto"/>
        <w:left w:val="none" w:sz="0" w:space="0" w:color="auto"/>
        <w:bottom w:val="none" w:sz="0" w:space="0" w:color="auto"/>
        <w:right w:val="none" w:sz="0" w:space="0" w:color="auto"/>
      </w:divBdr>
      <w:divsChild>
        <w:div w:id="257520636">
          <w:marLeft w:val="0"/>
          <w:marRight w:val="0"/>
          <w:marTop w:val="0"/>
          <w:marBottom w:val="0"/>
          <w:divBdr>
            <w:top w:val="none" w:sz="0" w:space="0" w:color="auto"/>
            <w:left w:val="none" w:sz="0" w:space="0" w:color="auto"/>
            <w:bottom w:val="none" w:sz="0" w:space="0" w:color="auto"/>
            <w:right w:val="none" w:sz="0" w:space="0" w:color="auto"/>
          </w:divBdr>
          <w:divsChild>
            <w:div w:id="573784382">
              <w:marLeft w:val="0"/>
              <w:marRight w:val="0"/>
              <w:marTop w:val="0"/>
              <w:marBottom w:val="0"/>
              <w:divBdr>
                <w:top w:val="none" w:sz="0" w:space="0" w:color="auto"/>
                <w:left w:val="none" w:sz="0" w:space="0" w:color="auto"/>
                <w:bottom w:val="none" w:sz="0" w:space="0" w:color="auto"/>
                <w:right w:val="none" w:sz="0" w:space="0" w:color="auto"/>
              </w:divBdr>
            </w:div>
          </w:divsChild>
        </w:div>
        <w:div w:id="727802287">
          <w:marLeft w:val="0"/>
          <w:marRight w:val="0"/>
          <w:marTop w:val="0"/>
          <w:marBottom w:val="0"/>
          <w:divBdr>
            <w:top w:val="none" w:sz="0" w:space="0" w:color="auto"/>
            <w:left w:val="none" w:sz="0" w:space="0" w:color="auto"/>
            <w:bottom w:val="none" w:sz="0" w:space="0" w:color="auto"/>
            <w:right w:val="none" w:sz="0" w:space="0" w:color="auto"/>
          </w:divBdr>
          <w:divsChild>
            <w:div w:id="731345319">
              <w:marLeft w:val="0"/>
              <w:marRight w:val="0"/>
              <w:marTop w:val="0"/>
              <w:marBottom w:val="0"/>
              <w:divBdr>
                <w:top w:val="none" w:sz="0" w:space="0" w:color="auto"/>
                <w:left w:val="none" w:sz="0" w:space="0" w:color="auto"/>
                <w:bottom w:val="none" w:sz="0" w:space="0" w:color="auto"/>
                <w:right w:val="none" w:sz="0" w:space="0" w:color="auto"/>
              </w:divBdr>
            </w:div>
          </w:divsChild>
        </w:div>
        <w:div w:id="254288762">
          <w:marLeft w:val="0"/>
          <w:marRight w:val="0"/>
          <w:marTop w:val="0"/>
          <w:marBottom w:val="0"/>
          <w:divBdr>
            <w:top w:val="none" w:sz="0" w:space="0" w:color="auto"/>
            <w:left w:val="none" w:sz="0" w:space="0" w:color="auto"/>
            <w:bottom w:val="none" w:sz="0" w:space="0" w:color="auto"/>
            <w:right w:val="none" w:sz="0" w:space="0" w:color="auto"/>
          </w:divBdr>
          <w:divsChild>
            <w:div w:id="358121031">
              <w:marLeft w:val="0"/>
              <w:marRight w:val="0"/>
              <w:marTop w:val="0"/>
              <w:marBottom w:val="0"/>
              <w:divBdr>
                <w:top w:val="none" w:sz="0" w:space="0" w:color="auto"/>
                <w:left w:val="none" w:sz="0" w:space="0" w:color="auto"/>
                <w:bottom w:val="none" w:sz="0" w:space="0" w:color="auto"/>
                <w:right w:val="none" w:sz="0" w:space="0" w:color="auto"/>
              </w:divBdr>
            </w:div>
          </w:divsChild>
        </w:div>
        <w:div w:id="849758997">
          <w:marLeft w:val="0"/>
          <w:marRight w:val="0"/>
          <w:marTop w:val="0"/>
          <w:marBottom w:val="0"/>
          <w:divBdr>
            <w:top w:val="none" w:sz="0" w:space="0" w:color="auto"/>
            <w:left w:val="none" w:sz="0" w:space="0" w:color="auto"/>
            <w:bottom w:val="none" w:sz="0" w:space="0" w:color="auto"/>
            <w:right w:val="none" w:sz="0" w:space="0" w:color="auto"/>
          </w:divBdr>
          <w:divsChild>
            <w:div w:id="11417171">
              <w:marLeft w:val="0"/>
              <w:marRight w:val="0"/>
              <w:marTop w:val="0"/>
              <w:marBottom w:val="0"/>
              <w:divBdr>
                <w:top w:val="none" w:sz="0" w:space="0" w:color="auto"/>
                <w:left w:val="none" w:sz="0" w:space="0" w:color="auto"/>
                <w:bottom w:val="none" w:sz="0" w:space="0" w:color="auto"/>
                <w:right w:val="none" w:sz="0" w:space="0" w:color="auto"/>
              </w:divBdr>
            </w:div>
          </w:divsChild>
        </w:div>
        <w:div w:id="238289544">
          <w:marLeft w:val="0"/>
          <w:marRight w:val="0"/>
          <w:marTop w:val="0"/>
          <w:marBottom w:val="0"/>
          <w:divBdr>
            <w:top w:val="none" w:sz="0" w:space="0" w:color="auto"/>
            <w:left w:val="none" w:sz="0" w:space="0" w:color="auto"/>
            <w:bottom w:val="none" w:sz="0" w:space="0" w:color="auto"/>
            <w:right w:val="none" w:sz="0" w:space="0" w:color="auto"/>
          </w:divBdr>
        </w:div>
        <w:div w:id="1240211753">
          <w:marLeft w:val="0"/>
          <w:marRight w:val="0"/>
          <w:marTop w:val="0"/>
          <w:marBottom w:val="0"/>
          <w:divBdr>
            <w:top w:val="none" w:sz="0" w:space="0" w:color="auto"/>
            <w:left w:val="none" w:sz="0" w:space="0" w:color="auto"/>
            <w:bottom w:val="none" w:sz="0" w:space="0" w:color="auto"/>
            <w:right w:val="none" w:sz="0" w:space="0" w:color="auto"/>
          </w:divBdr>
          <w:divsChild>
            <w:div w:id="1025248746">
              <w:marLeft w:val="0"/>
              <w:marRight w:val="0"/>
              <w:marTop w:val="0"/>
              <w:marBottom w:val="0"/>
              <w:divBdr>
                <w:top w:val="none" w:sz="0" w:space="0" w:color="auto"/>
                <w:left w:val="none" w:sz="0" w:space="0" w:color="auto"/>
                <w:bottom w:val="none" w:sz="0" w:space="0" w:color="auto"/>
                <w:right w:val="none" w:sz="0" w:space="0" w:color="auto"/>
              </w:divBdr>
              <w:divsChild>
                <w:div w:id="3124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769385">
      <w:bodyDiv w:val="1"/>
      <w:marLeft w:val="0"/>
      <w:marRight w:val="0"/>
      <w:marTop w:val="0"/>
      <w:marBottom w:val="0"/>
      <w:divBdr>
        <w:top w:val="none" w:sz="0" w:space="0" w:color="auto"/>
        <w:left w:val="none" w:sz="0" w:space="0" w:color="auto"/>
        <w:bottom w:val="none" w:sz="0" w:space="0" w:color="auto"/>
        <w:right w:val="none" w:sz="0" w:space="0" w:color="auto"/>
      </w:divBdr>
      <w:divsChild>
        <w:div w:id="321469957">
          <w:marLeft w:val="0"/>
          <w:marRight w:val="0"/>
          <w:marTop w:val="0"/>
          <w:marBottom w:val="0"/>
          <w:divBdr>
            <w:top w:val="none" w:sz="0" w:space="0" w:color="auto"/>
            <w:left w:val="none" w:sz="0" w:space="0" w:color="auto"/>
            <w:bottom w:val="none" w:sz="0" w:space="0" w:color="auto"/>
            <w:right w:val="none" w:sz="0" w:space="0" w:color="auto"/>
          </w:divBdr>
          <w:divsChild>
            <w:div w:id="1657683099">
              <w:marLeft w:val="0"/>
              <w:marRight w:val="0"/>
              <w:marTop w:val="0"/>
              <w:marBottom w:val="0"/>
              <w:divBdr>
                <w:top w:val="none" w:sz="0" w:space="0" w:color="auto"/>
                <w:left w:val="none" w:sz="0" w:space="0" w:color="auto"/>
                <w:bottom w:val="none" w:sz="0" w:space="0" w:color="auto"/>
                <w:right w:val="none" w:sz="0" w:space="0" w:color="auto"/>
              </w:divBdr>
            </w:div>
          </w:divsChild>
        </w:div>
        <w:div w:id="406001687">
          <w:marLeft w:val="0"/>
          <w:marRight w:val="0"/>
          <w:marTop w:val="0"/>
          <w:marBottom w:val="0"/>
          <w:divBdr>
            <w:top w:val="none" w:sz="0" w:space="0" w:color="auto"/>
            <w:left w:val="none" w:sz="0" w:space="0" w:color="auto"/>
            <w:bottom w:val="none" w:sz="0" w:space="0" w:color="auto"/>
            <w:right w:val="none" w:sz="0" w:space="0" w:color="auto"/>
          </w:divBdr>
          <w:divsChild>
            <w:div w:id="1507790536">
              <w:marLeft w:val="0"/>
              <w:marRight w:val="0"/>
              <w:marTop w:val="0"/>
              <w:marBottom w:val="0"/>
              <w:divBdr>
                <w:top w:val="none" w:sz="0" w:space="0" w:color="auto"/>
                <w:left w:val="none" w:sz="0" w:space="0" w:color="auto"/>
                <w:bottom w:val="none" w:sz="0" w:space="0" w:color="auto"/>
                <w:right w:val="none" w:sz="0" w:space="0" w:color="auto"/>
              </w:divBdr>
            </w:div>
          </w:divsChild>
        </w:div>
        <w:div w:id="1662850384">
          <w:marLeft w:val="0"/>
          <w:marRight w:val="0"/>
          <w:marTop w:val="0"/>
          <w:marBottom w:val="0"/>
          <w:divBdr>
            <w:top w:val="none" w:sz="0" w:space="0" w:color="auto"/>
            <w:left w:val="none" w:sz="0" w:space="0" w:color="auto"/>
            <w:bottom w:val="none" w:sz="0" w:space="0" w:color="auto"/>
            <w:right w:val="none" w:sz="0" w:space="0" w:color="auto"/>
          </w:divBdr>
          <w:divsChild>
            <w:div w:id="1042900668">
              <w:marLeft w:val="0"/>
              <w:marRight w:val="0"/>
              <w:marTop w:val="0"/>
              <w:marBottom w:val="0"/>
              <w:divBdr>
                <w:top w:val="none" w:sz="0" w:space="0" w:color="auto"/>
                <w:left w:val="none" w:sz="0" w:space="0" w:color="auto"/>
                <w:bottom w:val="none" w:sz="0" w:space="0" w:color="auto"/>
                <w:right w:val="none" w:sz="0" w:space="0" w:color="auto"/>
              </w:divBdr>
            </w:div>
          </w:divsChild>
        </w:div>
        <w:div w:id="1003823669">
          <w:marLeft w:val="0"/>
          <w:marRight w:val="0"/>
          <w:marTop w:val="0"/>
          <w:marBottom w:val="0"/>
          <w:divBdr>
            <w:top w:val="none" w:sz="0" w:space="0" w:color="auto"/>
            <w:left w:val="none" w:sz="0" w:space="0" w:color="auto"/>
            <w:bottom w:val="none" w:sz="0" w:space="0" w:color="auto"/>
            <w:right w:val="none" w:sz="0" w:space="0" w:color="auto"/>
          </w:divBdr>
          <w:divsChild>
            <w:div w:id="657727138">
              <w:marLeft w:val="0"/>
              <w:marRight w:val="0"/>
              <w:marTop w:val="0"/>
              <w:marBottom w:val="0"/>
              <w:divBdr>
                <w:top w:val="none" w:sz="0" w:space="0" w:color="auto"/>
                <w:left w:val="none" w:sz="0" w:space="0" w:color="auto"/>
                <w:bottom w:val="none" w:sz="0" w:space="0" w:color="auto"/>
                <w:right w:val="none" w:sz="0" w:space="0" w:color="auto"/>
              </w:divBdr>
            </w:div>
          </w:divsChild>
        </w:div>
        <w:div w:id="1506438576">
          <w:marLeft w:val="0"/>
          <w:marRight w:val="0"/>
          <w:marTop w:val="0"/>
          <w:marBottom w:val="0"/>
          <w:divBdr>
            <w:top w:val="none" w:sz="0" w:space="0" w:color="auto"/>
            <w:left w:val="none" w:sz="0" w:space="0" w:color="auto"/>
            <w:bottom w:val="none" w:sz="0" w:space="0" w:color="auto"/>
            <w:right w:val="none" w:sz="0" w:space="0" w:color="auto"/>
          </w:divBdr>
        </w:div>
        <w:div w:id="1066533416">
          <w:marLeft w:val="0"/>
          <w:marRight w:val="0"/>
          <w:marTop w:val="0"/>
          <w:marBottom w:val="0"/>
          <w:divBdr>
            <w:top w:val="none" w:sz="0" w:space="0" w:color="auto"/>
            <w:left w:val="none" w:sz="0" w:space="0" w:color="auto"/>
            <w:bottom w:val="none" w:sz="0" w:space="0" w:color="auto"/>
            <w:right w:val="none" w:sz="0" w:space="0" w:color="auto"/>
          </w:divBdr>
          <w:divsChild>
            <w:div w:id="1182015305">
              <w:marLeft w:val="0"/>
              <w:marRight w:val="0"/>
              <w:marTop w:val="0"/>
              <w:marBottom w:val="0"/>
              <w:divBdr>
                <w:top w:val="none" w:sz="0" w:space="0" w:color="auto"/>
                <w:left w:val="none" w:sz="0" w:space="0" w:color="auto"/>
                <w:bottom w:val="none" w:sz="0" w:space="0" w:color="auto"/>
                <w:right w:val="none" w:sz="0" w:space="0" w:color="auto"/>
              </w:divBdr>
              <w:divsChild>
                <w:div w:id="767115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sprawiedliwosc/du-19-13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www.gov.pl/web/sprawiedliwosc/du-19-138" TargetMode="External"/><Relationship Id="rId4" Type="http://schemas.openxmlformats.org/officeDocument/2006/relationships/settings" Target="settings.xml"/><Relationship Id="rId9" Type="http://schemas.openxmlformats.org/officeDocument/2006/relationships/hyperlink" Target="https://www.gov.pl/web/sprawiedliwosc/du-19-138"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3D35FA-38F7-46E1-85DF-CD2F9ECE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22047</Words>
  <Characters>132282</Characters>
  <Application>Microsoft Office Word</Application>
  <DocSecurity>0</DocSecurity>
  <Lines>1102</Lines>
  <Paragraphs>308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154021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Jankowski Adolf</dc:creator>
  <cp:keywords/>
  <cp:lastModifiedBy>Adamska Aneta</cp:lastModifiedBy>
  <cp:revision>2</cp:revision>
  <dcterms:created xsi:type="dcterms:W3CDTF">2026-04-17T06:46:00Z</dcterms:created>
  <dcterms:modified xsi:type="dcterms:W3CDTF">2026-04-17T06:46:00Z</dcterms:modified>
</cp:coreProperties>
</file>