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DDC7C0" w14:textId="77777777" w:rsidR="00C015C0" w:rsidRDefault="00C015C0" w:rsidP="00A133F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5F0B1E7C" w14:textId="77777777" w:rsidR="00C015C0" w:rsidRDefault="00C015C0" w:rsidP="00A133F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448D24D" w14:textId="3E4D1A8F" w:rsidR="00A133F8" w:rsidRPr="00F360D6" w:rsidRDefault="00A133F8" w:rsidP="00F360D6">
      <w:pPr>
        <w:pStyle w:val="Nagwek1"/>
        <w:spacing w:before="0" w:after="100" w:afterAutospacing="1" w:line="360" w:lineRule="auto"/>
        <w:rPr>
          <w:color w:val="auto"/>
          <w:sz w:val="28"/>
          <w:szCs w:val="28"/>
        </w:rPr>
      </w:pPr>
      <w:r w:rsidRPr="00F360D6">
        <w:rPr>
          <w:color w:val="auto"/>
          <w:sz w:val="28"/>
          <w:szCs w:val="28"/>
        </w:rPr>
        <w:t xml:space="preserve">Założenia do zmiany zarządzenia Regionalnego Dyrektora Ochrony Środowiska w Olsztynie z dnia 19 stycznia 2015 r. w sprawie ustanowienia planu zadań ochronnych dla obszaru Natura 2000 Ostoja </w:t>
      </w:r>
      <w:proofErr w:type="spellStart"/>
      <w:r w:rsidRPr="00F360D6">
        <w:rPr>
          <w:color w:val="auto"/>
          <w:sz w:val="28"/>
          <w:szCs w:val="28"/>
        </w:rPr>
        <w:t>Północnomazurska</w:t>
      </w:r>
      <w:proofErr w:type="spellEnd"/>
      <w:r w:rsidRPr="00F360D6">
        <w:rPr>
          <w:color w:val="auto"/>
          <w:sz w:val="28"/>
          <w:szCs w:val="28"/>
        </w:rPr>
        <w:t xml:space="preserve"> PLH280045 (Dz. Urz. Woj. </w:t>
      </w:r>
      <w:proofErr w:type="spellStart"/>
      <w:r w:rsidRPr="00F360D6">
        <w:rPr>
          <w:color w:val="auto"/>
          <w:sz w:val="28"/>
          <w:szCs w:val="28"/>
        </w:rPr>
        <w:t>Warm</w:t>
      </w:r>
      <w:proofErr w:type="spellEnd"/>
      <w:r w:rsidRPr="00F360D6">
        <w:rPr>
          <w:color w:val="auto"/>
          <w:sz w:val="28"/>
          <w:szCs w:val="28"/>
        </w:rPr>
        <w:t>.-</w:t>
      </w:r>
      <w:proofErr w:type="spellStart"/>
      <w:r w:rsidRPr="00F360D6">
        <w:rPr>
          <w:color w:val="auto"/>
          <w:sz w:val="28"/>
          <w:szCs w:val="28"/>
        </w:rPr>
        <w:t>Maz</w:t>
      </w:r>
      <w:proofErr w:type="spellEnd"/>
      <w:r w:rsidRPr="00F360D6">
        <w:rPr>
          <w:color w:val="auto"/>
          <w:sz w:val="28"/>
          <w:szCs w:val="28"/>
        </w:rPr>
        <w:t>. z 2015 r., poz. 438).</w:t>
      </w:r>
    </w:p>
    <w:p w14:paraId="0FD1E513" w14:textId="14E0A57F" w:rsidR="00536F3A" w:rsidRPr="00F94EAD" w:rsidRDefault="00A133F8" w:rsidP="00F94EAD">
      <w:pPr>
        <w:spacing w:after="100" w:afterAutospacing="1" w:line="360" w:lineRule="auto"/>
        <w:rPr>
          <w:rFonts w:cstheme="minorHAnsi"/>
          <w:sz w:val="24"/>
          <w:szCs w:val="24"/>
        </w:rPr>
      </w:pPr>
      <w:r w:rsidRPr="00F94EAD">
        <w:rPr>
          <w:rFonts w:cstheme="minorHAnsi"/>
          <w:sz w:val="24"/>
          <w:szCs w:val="24"/>
        </w:rPr>
        <w:t>Zmiany dotyczyć będą głównie</w:t>
      </w:r>
      <w:r w:rsidR="00296189" w:rsidRPr="00F94EAD">
        <w:rPr>
          <w:rFonts w:cstheme="minorHAnsi"/>
          <w:sz w:val="24"/>
          <w:szCs w:val="24"/>
        </w:rPr>
        <w:t xml:space="preserve"> </w:t>
      </w:r>
      <w:r w:rsidR="00004354" w:rsidRPr="00F94EAD">
        <w:rPr>
          <w:rFonts w:cstheme="minorHAnsi"/>
          <w:sz w:val="24"/>
          <w:szCs w:val="24"/>
        </w:rPr>
        <w:t xml:space="preserve">weryfikacji zapisów </w:t>
      </w:r>
      <w:r w:rsidR="00296189" w:rsidRPr="00F94EAD">
        <w:rPr>
          <w:rFonts w:cstheme="minorHAnsi"/>
          <w:sz w:val="24"/>
          <w:szCs w:val="24"/>
        </w:rPr>
        <w:t xml:space="preserve">załącznika nr </w:t>
      </w:r>
      <w:r w:rsidR="00004354" w:rsidRPr="00F94EAD">
        <w:rPr>
          <w:rFonts w:cstheme="minorHAnsi"/>
          <w:sz w:val="24"/>
          <w:szCs w:val="24"/>
        </w:rPr>
        <w:t>4 do zarządzenia, zawierającego cele działań ochronnych. Jako nowe cele ochrony dla niżej wymienionych przedmiotów ochrony, proponuje się: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Załącznik nr 4 - cele działań ochronnych"/>
        <w:tblDescription w:val="Załącznik nr 4 - cele działań ochronnych"/>
      </w:tblPr>
      <w:tblGrid>
        <w:gridCol w:w="570"/>
        <w:gridCol w:w="2544"/>
        <w:gridCol w:w="5948"/>
      </w:tblGrid>
      <w:tr w:rsidR="00647E75" w:rsidRPr="005E5793" w14:paraId="3318FD6E" w14:textId="77777777" w:rsidTr="008F2545">
        <w:trPr>
          <w:tblHeader/>
        </w:trPr>
        <w:tc>
          <w:tcPr>
            <w:tcW w:w="570" w:type="dxa"/>
          </w:tcPr>
          <w:p w14:paraId="46A746B1" w14:textId="086EFE18" w:rsidR="00647E75" w:rsidRPr="005E5793" w:rsidRDefault="00647E75" w:rsidP="005E5793">
            <w:pPr>
              <w:spacing w:line="360" w:lineRule="auto"/>
              <w:rPr>
                <w:rFonts w:cstheme="minorHAnsi"/>
                <w:bCs/>
                <w:sz w:val="24"/>
                <w:szCs w:val="24"/>
              </w:rPr>
            </w:pPr>
            <w:r w:rsidRPr="005E5793">
              <w:rPr>
                <w:rFonts w:cstheme="minorHAnsi"/>
                <w:bCs/>
                <w:sz w:val="24"/>
                <w:szCs w:val="24"/>
              </w:rPr>
              <w:t>Lp.</w:t>
            </w:r>
          </w:p>
        </w:tc>
        <w:tc>
          <w:tcPr>
            <w:tcW w:w="2544" w:type="dxa"/>
          </w:tcPr>
          <w:p w14:paraId="1A4FDA48" w14:textId="7DA36483" w:rsidR="00647E75" w:rsidRPr="005E5793" w:rsidRDefault="00647E75" w:rsidP="005E5793">
            <w:pPr>
              <w:spacing w:line="360" w:lineRule="auto"/>
              <w:rPr>
                <w:rFonts w:cstheme="minorHAnsi"/>
                <w:bCs/>
                <w:sz w:val="24"/>
                <w:szCs w:val="24"/>
              </w:rPr>
            </w:pPr>
            <w:r w:rsidRPr="005E5793">
              <w:rPr>
                <w:rFonts w:cstheme="minorHAnsi"/>
                <w:bCs/>
                <w:sz w:val="24"/>
                <w:szCs w:val="24"/>
              </w:rPr>
              <w:t>Przedmiot ochrony</w:t>
            </w:r>
          </w:p>
        </w:tc>
        <w:tc>
          <w:tcPr>
            <w:tcW w:w="5948" w:type="dxa"/>
          </w:tcPr>
          <w:p w14:paraId="0475B7CE" w14:textId="21DD6E92" w:rsidR="00647E75" w:rsidRPr="005E5793" w:rsidRDefault="00647E75" w:rsidP="005E5793">
            <w:pPr>
              <w:spacing w:line="360" w:lineRule="auto"/>
              <w:rPr>
                <w:rFonts w:cstheme="minorHAnsi"/>
                <w:bCs/>
                <w:sz w:val="24"/>
                <w:szCs w:val="24"/>
              </w:rPr>
            </w:pPr>
            <w:r w:rsidRPr="005E5793">
              <w:rPr>
                <w:rFonts w:cstheme="minorHAnsi"/>
                <w:bCs/>
                <w:sz w:val="24"/>
                <w:szCs w:val="24"/>
              </w:rPr>
              <w:t>Cele działań ochronnych</w:t>
            </w:r>
          </w:p>
        </w:tc>
      </w:tr>
      <w:tr w:rsidR="00647E75" w:rsidRPr="005E5793" w14:paraId="40F102C9" w14:textId="77777777" w:rsidTr="007167E6">
        <w:tc>
          <w:tcPr>
            <w:tcW w:w="570" w:type="dxa"/>
          </w:tcPr>
          <w:p w14:paraId="60BF2326" w14:textId="209623B0" w:rsidR="00647E75" w:rsidRPr="005E5793" w:rsidRDefault="00647E75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1.</w:t>
            </w:r>
          </w:p>
        </w:tc>
        <w:tc>
          <w:tcPr>
            <w:tcW w:w="2544" w:type="dxa"/>
          </w:tcPr>
          <w:p w14:paraId="1FB45FDE" w14:textId="714B336E" w:rsidR="00647E75" w:rsidRPr="005E5793" w:rsidRDefault="00647E75" w:rsidP="005E5793">
            <w:pPr>
              <w:spacing w:line="360" w:lineRule="auto"/>
              <w:rPr>
                <w:rFonts w:cstheme="minorHAnsi"/>
                <w:bCs/>
                <w:sz w:val="24"/>
                <w:szCs w:val="24"/>
              </w:rPr>
            </w:pPr>
            <w:r w:rsidRPr="005E5793">
              <w:rPr>
                <w:rFonts w:cstheme="minorHAnsi"/>
                <w:bCs/>
                <w:sz w:val="24"/>
                <w:szCs w:val="24"/>
              </w:rPr>
              <w:t xml:space="preserve">3140 </w:t>
            </w:r>
            <w:proofErr w:type="spellStart"/>
            <w:r w:rsidRPr="005E5793">
              <w:rPr>
                <w:rFonts w:cstheme="minorHAnsi"/>
                <w:bCs/>
                <w:sz w:val="24"/>
                <w:szCs w:val="24"/>
              </w:rPr>
              <w:t>Twardowodne</w:t>
            </w:r>
            <w:proofErr w:type="spellEnd"/>
            <w:r w:rsidRPr="005E5793">
              <w:rPr>
                <w:rFonts w:cstheme="minorHAnsi"/>
                <w:bCs/>
                <w:sz w:val="24"/>
                <w:szCs w:val="24"/>
              </w:rPr>
              <w:t xml:space="preserve"> </w:t>
            </w:r>
            <w:proofErr w:type="spellStart"/>
            <w:r w:rsidRPr="005E5793">
              <w:rPr>
                <w:rFonts w:cstheme="minorHAnsi"/>
                <w:bCs/>
                <w:sz w:val="24"/>
                <w:szCs w:val="24"/>
              </w:rPr>
              <w:t>oligo</w:t>
            </w:r>
            <w:proofErr w:type="spellEnd"/>
            <w:r w:rsidRPr="005E5793">
              <w:rPr>
                <w:rFonts w:cstheme="minorHAnsi"/>
                <w:bCs/>
                <w:sz w:val="24"/>
                <w:szCs w:val="24"/>
              </w:rPr>
              <w:t>- i mezotroficzne zbiorniki wodne z</w:t>
            </w:r>
            <w:r w:rsidR="007167E6" w:rsidRPr="005E5793">
              <w:rPr>
                <w:rFonts w:cstheme="minorHAnsi"/>
                <w:bCs/>
                <w:sz w:val="24"/>
                <w:szCs w:val="24"/>
              </w:rPr>
              <w:t> </w:t>
            </w:r>
            <w:r w:rsidRPr="005E5793">
              <w:rPr>
                <w:rFonts w:cstheme="minorHAnsi"/>
                <w:bCs/>
                <w:sz w:val="24"/>
                <w:szCs w:val="24"/>
              </w:rPr>
              <w:t>podwodnymi łąkami ramienic (</w:t>
            </w:r>
            <w:proofErr w:type="spellStart"/>
            <w:r w:rsidRPr="005E5793">
              <w:rPr>
                <w:rFonts w:cstheme="minorHAnsi"/>
                <w:bCs/>
                <w:i/>
                <w:iCs/>
                <w:sz w:val="24"/>
                <w:szCs w:val="24"/>
              </w:rPr>
              <w:t>Charetea</w:t>
            </w:r>
            <w:proofErr w:type="spellEnd"/>
            <w:r w:rsidRPr="005E5793">
              <w:rPr>
                <w:rFonts w:cstheme="minorHAnsi"/>
                <w:bCs/>
                <w:sz w:val="24"/>
                <w:szCs w:val="24"/>
              </w:rPr>
              <w:t>)</w:t>
            </w:r>
          </w:p>
        </w:tc>
        <w:tc>
          <w:tcPr>
            <w:tcW w:w="5948" w:type="dxa"/>
          </w:tcPr>
          <w:p w14:paraId="30B48945" w14:textId="1B067F71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 xml:space="preserve">Powierzchnia siedliska: utrzymanie powierzchni siedliska w obszarze na poziomie min. 3100 ha </w:t>
            </w:r>
          </w:p>
          <w:p w14:paraId="1902E86C" w14:textId="16FE6163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 xml:space="preserve">Struktura roślinności </w:t>
            </w:r>
            <w:proofErr w:type="spellStart"/>
            <w:r w:rsidRPr="005E5793">
              <w:rPr>
                <w:rFonts w:cstheme="minorHAnsi"/>
                <w:sz w:val="24"/>
                <w:szCs w:val="24"/>
              </w:rPr>
              <w:t>ramienicowej</w:t>
            </w:r>
            <w:proofErr w:type="spellEnd"/>
            <w:r w:rsidRPr="005E5793">
              <w:rPr>
                <w:rFonts w:cstheme="minorHAnsi"/>
                <w:sz w:val="24"/>
                <w:szCs w:val="24"/>
              </w:rPr>
              <w:t xml:space="preserve">: utrzymanie wskaźnika, jakim jest udział ramienic w roślinności w łącznej powierzchni porośniętej </w:t>
            </w:r>
            <w:proofErr w:type="spellStart"/>
            <w:r w:rsidRPr="005E5793">
              <w:rPr>
                <w:rFonts w:cstheme="minorHAnsi"/>
                <w:sz w:val="24"/>
                <w:szCs w:val="24"/>
              </w:rPr>
              <w:t>nimfeidami</w:t>
            </w:r>
            <w:proofErr w:type="spellEnd"/>
            <w:r w:rsidRPr="005E5793">
              <w:rPr>
                <w:rFonts w:cstheme="minorHAnsi"/>
                <w:sz w:val="24"/>
                <w:szCs w:val="24"/>
              </w:rPr>
              <w:t xml:space="preserve"> i </w:t>
            </w:r>
            <w:proofErr w:type="spellStart"/>
            <w:r w:rsidRPr="005E5793">
              <w:rPr>
                <w:rFonts w:cstheme="minorHAnsi"/>
                <w:sz w:val="24"/>
                <w:szCs w:val="24"/>
              </w:rPr>
              <w:t>elodeidami</w:t>
            </w:r>
            <w:proofErr w:type="spellEnd"/>
            <w:r w:rsidRPr="005E5793">
              <w:rPr>
                <w:rFonts w:cstheme="minorHAnsi"/>
                <w:sz w:val="24"/>
                <w:szCs w:val="24"/>
              </w:rPr>
              <w:t xml:space="preserve"> przynajmniej na poziomie 40%</w:t>
            </w:r>
          </w:p>
          <w:p w14:paraId="1F9B2E3C" w14:textId="77777777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Gatunki charakterystyczne: utrzymanie wskaźnika na poziomie 2-3 gatunków (</w:t>
            </w:r>
            <w:r w:rsidRPr="005E5793">
              <w:rPr>
                <w:rFonts w:cstheme="minorHAnsi"/>
                <w:i/>
                <w:iCs/>
                <w:sz w:val="24"/>
                <w:szCs w:val="24"/>
              </w:rPr>
              <w:t xml:space="preserve">Chara </w:t>
            </w:r>
            <w:proofErr w:type="spellStart"/>
            <w:r w:rsidRPr="005E5793">
              <w:rPr>
                <w:rFonts w:cstheme="minorHAnsi"/>
                <w:i/>
                <w:iCs/>
                <w:sz w:val="24"/>
                <w:szCs w:val="24"/>
              </w:rPr>
              <w:t>tomentosa</w:t>
            </w:r>
            <w:proofErr w:type="spellEnd"/>
            <w:r w:rsidRPr="005E5793">
              <w:rPr>
                <w:rFonts w:cstheme="minorHAnsi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E5793">
              <w:rPr>
                <w:rFonts w:cstheme="minorHAnsi"/>
                <w:i/>
                <w:iCs/>
                <w:sz w:val="24"/>
                <w:szCs w:val="24"/>
              </w:rPr>
              <w:t>Nitellopsis</w:t>
            </w:r>
            <w:proofErr w:type="spellEnd"/>
            <w:r w:rsidRPr="005E5793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E5793">
              <w:rPr>
                <w:rFonts w:cstheme="minorHAnsi"/>
                <w:i/>
                <w:iCs/>
                <w:sz w:val="24"/>
                <w:szCs w:val="24"/>
              </w:rPr>
              <w:t>obtusa</w:t>
            </w:r>
            <w:proofErr w:type="spellEnd"/>
            <w:r w:rsidRPr="005E5793">
              <w:rPr>
                <w:rFonts w:cstheme="minorHAnsi"/>
                <w:i/>
                <w:iCs/>
                <w:sz w:val="24"/>
                <w:szCs w:val="24"/>
              </w:rPr>
              <w:t>)</w:t>
            </w:r>
          </w:p>
          <w:p w14:paraId="1F4973B7" w14:textId="77777777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Gatunki wskazujące na degenerację siedliska w tym obce gatunki inwazyjne: poprawa  wskaźnika do poziomu do 10% powierzchni zajmowanej przez gatunki ekspansywne</w:t>
            </w:r>
          </w:p>
          <w:p w14:paraId="5FE8E4A2" w14:textId="77777777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Maksymalna głębokość występowania łąk ramienicowych: utrzymanie wskaźnika na poziomie 5–2,5 m</w:t>
            </w:r>
          </w:p>
          <w:p w14:paraId="0497FAB0" w14:textId="77777777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lastRenderedPageBreak/>
              <w:t>Zasięg strefy świetlnej w jeziorze: poprawa wskaźnika do poziomu powyżej 15 m (obecnie 15-10 m)</w:t>
            </w:r>
          </w:p>
          <w:p w14:paraId="5578F1A0" w14:textId="20351910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Plankton (fitoplankton): poprawa wskaźnika do stanu, w którym dominować będą zielenice lub inne grupy (obecnie obecność sinic latem)</w:t>
            </w:r>
          </w:p>
          <w:p w14:paraId="65CE932D" w14:textId="260B5B48" w:rsidR="00647E75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Perspektywy ochrony: poprawa stanu siedliska poprzez zmniejszenie presji na zabudowę brzegów oraz intensyfikację rolnictwa.</w:t>
            </w:r>
          </w:p>
        </w:tc>
      </w:tr>
      <w:tr w:rsidR="00647E75" w:rsidRPr="005E5793" w14:paraId="57EC3677" w14:textId="77777777" w:rsidTr="007167E6">
        <w:tc>
          <w:tcPr>
            <w:tcW w:w="570" w:type="dxa"/>
          </w:tcPr>
          <w:p w14:paraId="79049FE6" w14:textId="2DFADEE6" w:rsidR="00647E75" w:rsidRPr="005E5793" w:rsidRDefault="00647E75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lastRenderedPageBreak/>
              <w:t>2.</w:t>
            </w:r>
          </w:p>
        </w:tc>
        <w:tc>
          <w:tcPr>
            <w:tcW w:w="2544" w:type="dxa"/>
          </w:tcPr>
          <w:p w14:paraId="41773450" w14:textId="582013D1" w:rsidR="00647E75" w:rsidRPr="005E5793" w:rsidRDefault="00430511" w:rsidP="005E5793">
            <w:pPr>
              <w:spacing w:line="360" w:lineRule="auto"/>
              <w:rPr>
                <w:rFonts w:cstheme="minorHAnsi"/>
                <w:bCs/>
                <w:sz w:val="24"/>
                <w:szCs w:val="24"/>
              </w:rPr>
            </w:pPr>
            <w:r w:rsidRPr="005E5793">
              <w:rPr>
                <w:rFonts w:cstheme="minorHAnsi"/>
                <w:bCs/>
                <w:sz w:val="24"/>
                <w:szCs w:val="24"/>
              </w:rPr>
              <w:t>3150 Starorzecza i</w:t>
            </w:r>
            <w:r w:rsidR="007167E6" w:rsidRPr="005E5793">
              <w:rPr>
                <w:rFonts w:cstheme="minorHAnsi"/>
                <w:bCs/>
                <w:sz w:val="24"/>
                <w:szCs w:val="24"/>
              </w:rPr>
              <w:t> </w:t>
            </w:r>
            <w:r w:rsidRPr="005E5793">
              <w:rPr>
                <w:rFonts w:cstheme="minorHAnsi"/>
                <w:bCs/>
                <w:sz w:val="24"/>
                <w:szCs w:val="24"/>
              </w:rPr>
              <w:t>naturalne eutroficzne zbiorniki wodne ze zbiorowiskami z </w:t>
            </w:r>
            <w:proofErr w:type="spellStart"/>
            <w:r w:rsidRPr="005E5793">
              <w:rPr>
                <w:rFonts w:cstheme="minorHAnsi"/>
                <w:bCs/>
                <w:i/>
                <w:iCs/>
                <w:sz w:val="24"/>
                <w:szCs w:val="24"/>
              </w:rPr>
              <w:t>Nymphaeion</w:t>
            </w:r>
            <w:proofErr w:type="spellEnd"/>
            <w:r w:rsidRPr="005E5793">
              <w:rPr>
                <w:rFonts w:cstheme="minorHAnsi"/>
                <w:bCs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E5793">
              <w:rPr>
                <w:rFonts w:cstheme="minorHAnsi"/>
                <w:bCs/>
                <w:i/>
                <w:iCs/>
                <w:sz w:val="24"/>
                <w:szCs w:val="24"/>
              </w:rPr>
              <w:t>Potamion</w:t>
            </w:r>
            <w:proofErr w:type="spellEnd"/>
          </w:p>
        </w:tc>
        <w:tc>
          <w:tcPr>
            <w:tcW w:w="5948" w:type="dxa"/>
          </w:tcPr>
          <w:p w14:paraId="718D0823" w14:textId="183D534E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Powierzchnia siedliska: utrzymanie powierzchni siedliska w</w:t>
            </w:r>
            <w:r w:rsidR="007167E6" w:rsidRPr="005E5793">
              <w:rPr>
                <w:rFonts w:cstheme="minorHAnsi"/>
                <w:sz w:val="24"/>
                <w:szCs w:val="24"/>
              </w:rPr>
              <w:t> </w:t>
            </w:r>
            <w:r w:rsidRPr="005E5793">
              <w:rPr>
                <w:rFonts w:cstheme="minorHAnsi"/>
                <w:sz w:val="24"/>
                <w:szCs w:val="24"/>
              </w:rPr>
              <w:t>obszarze na poziomie min. 7100 ha</w:t>
            </w:r>
          </w:p>
          <w:p w14:paraId="4A7E1B74" w14:textId="77777777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 xml:space="preserve">Charakterystyczna kombinacja zbiorowisk w obrębie </w:t>
            </w:r>
            <w:proofErr w:type="spellStart"/>
            <w:r w:rsidRPr="005E5793">
              <w:rPr>
                <w:rFonts w:cstheme="minorHAnsi"/>
                <w:sz w:val="24"/>
                <w:szCs w:val="24"/>
              </w:rPr>
              <w:t>transektu</w:t>
            </w:r>
            <w:proofErr w:type="spellEnd"/>
            <w:r w:rsidRPr="005E5793">
              <w:rPr>
                <w:rFonts w:cstheme="minorHAnsi"/>
                <w:sz w:val="24"/>
                <w:szCs w:val="24"/>
              </w:rPr>
              <w:t xml:space="preserve">: utrzymanie dużej różnorodność fitocenotycznej zbiorowisk - 5 gatunków ramienic, 10 gatunków ze związku </w:t>
            </w:r>
            <w:proofErr w:type="spellStart"/>
            <w:r w:rsidRPr="005E5793">
              <w:rPr>
                <w:rFonts w:cstheme="minorHAnsi"/>
                <w:i/>
                <w:iCs/>
                <w:sz w:val="24"/>
                <w:szCs w:val="24"/>
              </w:rPr>
              <w:t>Potamion</w:t>
            </w:r>
            <w:proofErr w:type="spellEnd"/>
            <w:r w:rsidRPr="005E5793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r w:rsidRPr="005E5793">
              <w:rPr>
                <w:rFonts w:cstheme="minorHAnsi"/>
                <w:sz w:val="24"/>
                <w:szCs w:val="24"/>
              </w:rPr>
              <w:t xml:space="preserve">i 3 gatunki ze związku </w:t>
            </w:r>
            <w:proofErr w:type="spellStart"/>
            <w:r w:rsidRPr="005E5793">
              <w:rPr>
                <w:rFonts w:cstheme="minorHAnsi"/>
                <w:i/>
                <w:iCs/>
                <w:sz w:val="24"/>
                <w:szCs w:val="24"/>
              </w:rPr>
              <w:t>Nymphaeion</w:t>
            </w:r>
            <w:proofErr w:type="spellEnd"/>
          </w:p>
          <w:p w14:paraId="62F00AFA" w14:textId="4DD39779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Gatunki wskazujące na degenerację: utrzymanie stanu, w</w:t>
            </w:r>
            <w:r w:rsidR="007167E6" w:rsidRPr="005E5793">
              <w:rPr>
                <w:rFonts w:cstheme="minorHAnsi"/>
                <w:sz w:val="24"/>
                <w:szCs w:val="24"/>
              </w:rPr>
              <w:t> </w:t>
            </w:r>
            <w:r w:rsidRPr="005E5793">
              <w:rPr>
                <w:rFonts w:cstheme="minorHAnsi"/>
                <w:sz w:val="24"/>
                <w:szCs w:val="24"/>
              </w:rPr>
              <w:t>którym brak gatunków obcych i inwazyjnych</w:t>
            </w:r>
          </w:p>
          <w:p w14:paraId="151EC159" w14:textId="2DE210DB" w:rsidR="00647E75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Barwa wody: utrzymanie właściwego stanu, w którym woda jest słabo zielona</w:t>
            </w:r>
          </w:p>
        </w:tc>
      </w:tr>
      <w:tr w:rsidR="00647E75" w:rsidRPr="005E5793" w14:paraId="7E6D1ACF" w14:textId="77777777" w:rsidTr="007167E6">
        <w:tc>
          <w:tcPr>
            <w:tcW w:w="570" w:type="dxa"/>
          </w:tcPr>
          <w:p w14:paraId="1BF269D8" w14:textId="0C45FAEB" w:rsidR="00647E75" w:rsidRPr="005E5793" w:rsidRDefault="00647E75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3.</w:t>
            </w:r>
          </w:p>
        </w:tc>
        <w:tc>
          <w:tcPr>
            <w:tcW w:w="2544" w:type="dxa"/>
          </w:tcPr>
          <w:p w14:paraId="3DD34B8D" w14:textId="30AE88C4" w:rsidR="00647E75" w:rsidRPr="005E5793" w:rsidRDefault="00430511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bCs/>
                <w:sz w:val="24"/>
                <w:szCs w:val="24"/>
              </w:rPr>
              <w:t>9170 Grąd środkowoeuropejski i</w:t>
            </w:r>
            <w:r w:rsidR="007167E6" w:rsidRPr="005E5793">
              <w:rPr>
                <w:rFonts w:cstheme="minorHAnsi"/>
                <w:bCs/>
                <w:sz w:val="24"/>
                <w:szCs w:val="24"/>
              </w:rPr>
              <w:t> </w:t>
            </w:r>
            <w:r w:rsidRPr="005E5793">
              <w:rPr>
                <w:rFonts w:cstheme="minorHAnsi"/>
                <w:bCs/>
                <w:sz w:val="24"/>
                <w:szCs w:val="24"/>
              </w:rPr>
              <w:t>subkontynentalny (</w:t>
            </w:r>
            <w:r w:rsidRPr="005E5793">
              <w:rPr>
                <w:rFonts w:cstheme="minorHAnsi"/>
                <w:bCs/>
                <w:i/>
                <w:iCs/>
                <w:sz w:val="24"/>
                <w:szCs w:val="24"/>
              </w:rPr>
              <w:t>Galio-Carpinetum, Tilio-Carpinetum</w:t>
            </w:r>
            <w:r w:rsidRPr="005E5793">
              <w:rPr>
                <w:rFonts w:cstheme="minorHAnsi"/>
                <w:bCs/>
                <w:sz w:val="24"/>
                <w:szCs w:val="24"/>
              </w:rPr>
              <w:t>)</w:t>
            </w:r>
          </w:p>
        </w:tc>
        <w:tc>
          <w:tcPr>
            <w:tcW w:w="5948" w:type="dxa"/>
          </w:tcPr>
          <w:p w14:paraId="3EF1906F" w14:textId="0C6A3DD5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Powierzchnia siedliska: utrzymanie powierzchni siedliska w</w:t>
            </w:r>
            <w:r w:rsidR="007167E6" w:rsidRPr="005E5793">
              <w:rPr>
                <w:rFonts w:cstheme="minorHAnsi"/>
                <w:sz w:val="24"/>
                <w:szCs w:val="24"/>
              </w:rPr>
              <w:t> </w:t>
            </w:r>
            <w:r w:rsidRPr="005E5793">
              <w:rPr>
                <w:rFonts w:cstheme="minorHAnsi"/>
                <w:sz w:val="24"/>
                <w:szCs w:val="24"/>
              </w:rPr>
              <w:t>obszarze na poziomie min. 1000 ha</w:t>
            </w:r>
          </w:p>
          <w:p w14:paraId="543EC784" w14:textId="77777777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Charakterystyczna kombinacja florystyczna: poprawa wskaźnika do typowej, właściwej dla siedliska przyrodniczego</w:t>
            </w:r>
          </w:p>
          <w:p w14:paraId="077900F4" w14:textId="77777777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 xml:space="preserve">Inwazyjne gatunki obce w podszycie i runie: poprawa wskaźnika do stanu, w którym niecierpek drobnokwiatowy nie występuje, obecnie stwierdzany sporadycznie (nie więcej niż 2% pokrycia </w:t>
            </w:r>
            <w:proofErr w:type="spellStart"/>
            <w:r w:rsidRPr="005E5793">
              <w:rPr>
                <w:rFonts w:cstheme="minorHAnsi"/>
                <w:sz w:val="24"/>
                <w:szCs w:val="24"/>
              </w:rPr>
              <w:t>transektu</w:t>
            </w:r>
            <w:proofErr w:type="spellEnd"/>
            <w:r w:rsidRPr="005E5793">
              <w:rPr>
                <w:rFonts w:cstheme="minorHAnsi"/>
                <w:sz w:val="24"/>
                <w:szCs w:val="24"/>
              </w:rPr>
              <w:t>)</w:t>
            </w:r>
          </w:p>
          <w:p w14:paraId="482636A1" w14:textId="77777777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 xml:space="preserve">Ekspansywne gatunki rodzime w runie: utrzymanie wskaźnika na właściwym poziomi, tj. brak gatunków </w:t>
            </w:r>
            <w:r w:rsidRPr="005E5793">
              <w:rPr>
                <w:rFonts w:cstheme="minorHAnsi"/>
                <w:sz w:val="24"/>
                <w:szCs w:val="24"/>
              </w:rPr>
              <w:lastRenderedPageBreak/>
              <w:t>ekspansywnych lub pojedyncze okazy gatunków nitrofilnych w runie</w:t>
            </w:r>
          </w:p>
          <w:p w14:paraId="7D0A9BD8" w14:textId="4C01E5F4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Struktura pionowa i przestrzenna roślinności: utrzymanie zróżnicowanej struktury, tj. &gt;50% powierzchni pokryte przez zwarty drzewostan, jednak obecne luki i</w:t>
            </w:r>
            <w:r w:rsidR="007167E6" w:rsidRPr="005E5793">
              <w:rPr>
                <w:rFonts w:cstheme="minorHAnsi"/>
                <w:sz w:val="24"/>
                <w:szCs w:val="24"/>
              </w:rPr>
              <w:t> </w:t>
            </w:r>
            <w:r w:rsidRPr="005E5793">
              <w:rPr>
                <w:rFonts w:cstheme="minorHAnsi"/>
                <w:sz w:val="24"/>
                <w:szCs w:val="24"/>
              </w:rPr>
              <w:t>prześwietlenia</w:t>
            </w:r>
          </w:p>
          <w:p w14:paraId="1B09BA1D" w14:textId="77777777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Wiek drzewostanu (udział starodrzewu): utrzymanie właściwego &gt;10% udziału drzew starszych niż 100 lat</w:t>
            </w:r>
          </w:p>
          <w:p w14:paraId="5F359BC3" w14:textId="77777777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Naturalne odnowienie drzewostanu: utrzymanie właściwego stanu, w którym odnowienia są obfite</w:t>
            </w:r>
          </w:p>
          <w:p w14:paraId="26A56EA5" w14:textId="77777777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Gatunki obce w drzewostanie: utrzymanie właściwego stanu, tj. &lt;1% gatunków obcych, nie odnawiających się</w:t>
            </w:r>
          </w:p>
          <w:p w14:paraId="33926B83" w14:textId="77777777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Martwe drewno (łączne zasoby): poprawa do stanu U1, tj. 10–20 m</w:t>
            </w:r>
            <w:r w:rsidRPr="005E5793">
              <w:rPr>
                <w:rFonts w:cstheme="minorHAnsi"/>
                <w:sz w:val="24"/>
                <w:szCs w:val="24"/>
                <w:vertAlign w:val="superscript"/>
              </w:rPr>
              <w:t>3</w:t>
            </w:r>
            <w:r w:rsidRPr="005E5793">
              <w:rPr>
                <w:rFonts w:cstheme="minorHAnsi"/>
                <w:sz w:val="24"/>
                <w:szCs w:val="24"/>
              </w:rPr>
              <w:t>/ha</w:t>
            </w:r>
          </w:p>
          <w:p w14:paraId="13334394" w14:textId="77777777" w:rsidR="00C759E8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Martwe drewno wielkowymiarowe: poprawa do stanu FV, tj. &gt;5 szt./ha</w:t>
            </w:r>
          </w:p>
          <w:p w14:paraId="6E063005" w14:textId="30B44714" w:rsidR="00647E75" w:rsidRPr="005E5793" w:rsidRDefault="00C759E8" w:rsidP="005E57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E5793">
              <w:rPr>
                <w:rFonts w:cstheme="minorHAnsi"/>
                <w:sz w:val="24"/>
                <w:szCs w:val="24"/>
              </w:rPr>
              <w:t>Inne zniekształcenia, w tym zniszczenia runa i gleby związane z pozyskaniem drewna: poprawa wskaźnika aby uniknąć zniszczeń notowanych sporadycznie, ale istotnie oddziaływujących na strukturę fitocenozy</w:t>
            </w:r>
          </w:p>
        </w:tc>
      </w:tr>
      <w:tr w:rsidR="00647E75" w:rsidRPr="00CC314E" w14:paraId="5B62DA3E" w14:textId="77777777" w:rsidTr="007167E6">
        <w:tc>
          <w:tcPr>
            <w:tcW w:w="570" w:type="dxa"/>
          </w:tcPr>
          <w:p w14:paraId="3AAA8617" w14:textId="73B7C948" w:rsidR="00647E75" w:rsidRPr="00CC314E" w:rsidRDefault="00647E75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lastRenderedPageBreak/>
              <w:t>4.</w:t>
            </w:r>
          </w:p>
        </w:tc>
        <w:tc>
          <w:tcPr>
            <w:tcW w:w="2544" w:type="dxa"/>
          </w:tcPr>
          <w:p w14:paraId="3AE6E2D1" w14:textId="4A501109" w:rsidR="00647E75" w:rsidRPr="00CC314E" w:rsidRDefault="00430511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bCs/>
                <w:sz w:val="24"/>
                <w:szCs w:val="24"/>
              </w:rPr>
              <w:t>91E0 Łęgi wierzbowe, topolowe, olszowe i</w:t>
            </w:r>
            <w:r w:rsidR="007167E6" w:rsidRPr="00CC314E">
              <w:rPr>
                <w:rFonts w:cstheme="minorHAnsi"/>
                <w:bCs/>
                <w:sz w:val="24"/>
                <w:szCs w:val="24"/>
              </w:rPr>
              <w:t> </w:t>
            </w:r>
            <w:r w:rsidRPr="00CC314E">
              <w:rPr>
                <w:rFonts w:cstheme="minorHAnsi"/>
                <w:bCs/>
                <w:sz w:val="24"/>
                <w:szCs w:val="24"/>
              </w:rPr>
              <w:t>jesionowe (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Salicetum</w:t>
            </w:r>
            <w:proofErr w:type="spellEnd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 xml:space="preserve"> albo-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fragilis</w:t>
            </w:r>
            <w:proofErr w:type="spellEnd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,</w:t>
            </w:r>
            <w:r w:rsidRPr="00CC314E">
              <w:rPr>
                <w:rFonts w:cstheme="minorHAnsi"/>
                <w:b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Populetum</w:t>
            </w:r>
            <w:proofErr w:type="spellEnd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albae</w:t>
            </w:r>
            <w:proofErr w:type="spellEnd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Alnenion</w:t>
            </w:r>
            <w:proofErr w:type="spellEnd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glutinosoincanae</w:t>
            </w:r>
            <w:proofErr w:type="spellEnd"/>
            <w:r w:rsidRPr="00CC314E">
              <w:rPr>
                <w:rFonts w:cstheme="minorHAnsi"/>
                <w:bCs/>
                <w:sz w:val="24"/>
                <w:szCs w:val="24"/>
              </w:rPr>
              <w:t>) i</w:t>
            </w:r>
            <w:r w:rsidR="007167E6" w:rsidRPr="00CC314E">
              <w:rPr>
                <w:rFonts w:cstheme="minorHAnsi"/>
                <w:bCs/>
                <w:sz w:val="24"/>
                <w:szCs w:val="24"/>
              </w:rPr>
              <w:t> </w:t>
            </w:r>
            <w:r w:rsidRPr="00CC314E">
              <w:rPr>
                <w:rFonts w:cstheme="minorHAnsi"/>
                <w:bCs/>
                <w:sz w:val="24"/>
                <w:szCs w:val="24"/>
              </w:rPr>
              <w:t>olsy źródliskowe</w:t>
            </w:r>
          </w:p>
        </w:tc>
        <w:tc>
          <w:tcPr>
            <w:tcW w:w="5948" w:type="dxa"/>
          </w:tcPr>
          <w:p w14:paraId="35817FED" w14:textId="410347DB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Powierzchnia siedliska: utrzymanie powierzchni siedliska w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obszarze na poziomie min. 100 ha</w:t>
            </w:r>
          </w:p>
          <w:p w14:paraId="441572A0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Gatunki charakterystyczne: utrzymanie właściwej kombinacji florystycznej typowej dla łęgu</w:t>
            </w:r>
          </w:p>
          <w:p w14:paraId="05DB4191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Gatunki dominujące: poprawa do stanu, w którym we wszystkich warstwach dominują gatunki typowe dla siedliska, bez dominacji facjalnej</w:t>
            </w:r>
          </w:p>
          <w:p w14:paraId="476EF832" w14:textId="2FF39B4F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Gatunki obce geograficznie w drzewostanie: utrzymanie właściwego stanu, w którym gatunki obce stanowią &lt;1% i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nie odnawiają się</w:t>
            </w:r>
          </w:p>
          <w:p w14:paraId="07346990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lastRenderedPageBreak/>
              <w:t>Inwazyjne gatunki obce w podszycie i runie: poprawa do właściwego stanu, w którym obecny najwyżej 1 gatunek obcy</w:t>
            </w:r>
          </w:p>
          <w:p w14:paraId="00C27329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Ekspansywne gatunki rodzime (</w:t>
            </w:r>
            <w:proofErr w:type="spellStart"/>
            <w:r w:rsidRPr="00CC314E">
              <w:rPr>
                <w:rFonts w:cstheme="minorHAnsi"/>
                <w:sz w:val="24"/>
                <w:szCs w:val="24"/>
              </w:rPr>
              <w:t>apofity</w:t>
            </w:r>
            <w:proofErr w:type="spellEnd"/>
            <w:r w:rsidRPr="00CC314E">
              <w:rPr>
                <w:rFonts w:cstheme="minorHAnsi"/>
                <w:sz w:val="24"/>
                <w:szCs w:val="24"/>
              </w:rPr>
              <w:t>) w runie: poprawa do stanu właściwego, w którym ekspansja gatunków rodzimych nie jest silna</w:t>
            </w:r>
          </w:p>
          <w:p w14:paraId="3EC8A810" w14:textId="4157A988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Martwe drewno: doprowadzenie do stanu U1, w którym zasoby martwego drewna odpowiadają jakościowo strukturze drzewostanu (są obecne całe martwe drzewa, a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nie tylko gałęzie), a ilościowo są pomiędzy 3% a 10% zasobności drzewostanu</w:t>
            </w:r>
          </w:p>
          <w:p w14:paraId="32E4422F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Martwe drewno wielkowymiarowe (leżące lub stojące &gt; 3 m długości i &gt;50 cm średnicy): utrzymanie prawidłowego stanu, tj. &gt;5 szt./ha</w:t>
            </w:r>
          </w:p>
          <w:p w14:paraId="79CBD83E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Naturalność koryta rzecznego (stosować tylko, jeżeli występowanie łęgu jest związane z ciekiem): doprowadzenie do stanu FV, gdzie brak regulacji lub ciek zupełnie zrenaturalizowany</w:t>
            </w:r>
          </w:p>
          <w:p w14:paraId="1C33B431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po dawniejszej regulacji</w:t>
            </w:r>
          </w:p>
          <w:p w14:paraId="06948469" w14:textId="7F10BEC0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Reżim wodny w tym rytm zalewów, jeśli występują: poprawa do stanu FV, w którym dynamika zalewów i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proofErr w:type="spellStart"/>
            <w:r w:rsidRPr="00CC314E">
              <w:rPr>
                <w:rFonts w:cstheme="minorHAnsi"/>
                <w:sz w:val="24"/>
                <w:szCs w:val="24"/>
              </w:rPr>
              <w:t>przewodnienie</w:t>
            </w:r>
            <w:proofErr w:type="spellEnd"/>
            <w:r w:rsidRPr="00CC314E">
              <w:rPr>
                <w:rFonts w:cstheme="minorHAnsi"/>
                <w:sz w:val="24"/>
                <w:szCs w:val="24"/>
              </w:rPr>
              <w:t xml:space="preserve"> podłoża jest normalne z punktu widzenia odpowiedniego ekosystemu / zbiorowiska roślinnego</w:t>
            </w:r>
          </w:p>
          <w:p w14:paraId="0AA86400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Wiek drzewostanu: poprawa do stanu U1, gdzie udział drzew starszych niż 100 lat &lt;20%,</w:t>
            </w:r>
          </w:p>
          <w:p w14:paraId="7910FBC9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 xml:space="preserve">ale udział drzew starszych niż 50 lat &gt;50% </w:t>
            </w:r>
          </w:p>
          <w:p w14:paraId="1B98392B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Pionowa struktura roślinności: poprawa do stanu, w którym pionowa struktura roślinności jest naturalna, zróżnicowana</w:t>
            </w:r>
          </w:p>
          <w:p w14:paraId="39D5F6DF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lastRenderedPageBreak/>
              <w:t>Naturalne odnowienie drzewostanu: utrzymanie właściwego, obfitego odnowienia</w:t>
            </w:r>
          </w:p>
          <w:p w14:paraId="606C9117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Zniszczenia runa i gleby związane z pozyskaniem drewna: utrzymanie właściwego stanu, w którym brak zniszczeń</w:t>
            </w:r>
          </w:p>
          <w:p w14:paraId="46984A2F" w14:textId="4245471A" w:rsidR="00647E75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Inne zniekształcenia: poprawa do stanu właściwego, w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którym brak zniekształceń</w:t>
            </w:r>
          </w:p>
        </w:tc>
      </w:tr>
      <w:tr w:rsidR="00647E75" w:rsidRPr="00CC314E" w14:paraId="6A5CC6CE" w14:textId="77777777" w:rsidTr="007167E6">
        <w:tc>
          <w:tcPr>
            <w:tcW w:w="570" w:type="dxa"/>
          </w:tcPr>
          <w:p w14:paraId="7A5B6F4F" w14:textId="6CB1CD09" w:rsidR="00647E75" w:rsidRPr="00CC314E" w:rsidRDefault="00647E75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lastRenderedPageBreak/>
              <w:t>5.</w:t>
            </w:r>
          </w:p>
        </w:tc>
        <w:tc>
          <w:tcPr>
            <w:tcW w:w="2544" w:type="dxa"/>
          </w:tcPr>
          <w:p w14:paraId="20CA3465" w14:textId="430CEB87" w:rsidR="00647E75" w:rsidRPr="00CC314E" w:rsidRDefault="00430511" w:rsidP="00CC314E">
            <w:pPr>
              <w:spacing w:line="360" w:lineRule="auto"/>
              <w:rPr>
                <w:rFonts w:cstheme="minorHAnsi"/>
                <w:bCs/>
                <w:sz w:val="24"/>
                <w:szCs w:val="24"/>
              </w:rPr>
            </w:pPr>
            <w:r w:rsidRPr="00CC314E">
              <w:rPr>
                <w:rFonts w:cstheme="minorHAnsi"/>
                <w:bCs/>
                <w:sz w:val="24"/>
                <w:szCs w:val="24"/>
              </w:rPr>
              <w:t>91F0 Łęgowe lasy dębowo-wiązowo-jesionowe (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Ficario-Ulmetum</w:t>
            </w:r>
            <w:proofErr w:type="spellEnd"/>
            <w:r w:rsidRPr="00CC314E">
              <w:rPr>
                <w:rFonts w:cstheme="minorHAnsi"/>
                <w:bCs/>
                <w:sz w:val="24"/>
                <w:szCs w:val="24"/>
              </w:rPr>
              <w:t>)</w:t>
            </w:r>
          </w:p>
        </w:tc>
        <w:tc>
          <w:tcPr>
            <w:tcW w:w="5948" w:type="dxa"/>
          </w:tcPr>
          <w:p w14:paraId="06CE59BC" w14:textId="112EFD06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Powierzchnia siedliska: utrzymanie powierzchni siedliska w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obszarze na poziomie min. 70 ha</w:t>
            </w:r>
          </w:p>
          <w:p w14:paraId="35554303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Charakterystyczna kombinacja florystyczna runa: utrzymanie typowej, właściwej dla siedliska przyrodniczego kombinacji florystycznej runa</w:t>
            </w:r>
          </w:p>
          <w:p w14:paraId="22F88908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Gatunki dominujące w poszczególnych warstwach fitocenozy: poprawa złego stanu U2 do stanu U1, gdzie we wszystkich warstwach fitocenozy dominują gatunki typowe dla siedliska,</w:t>
            </w:r>
          </w:p>
          <w:p w14:paraId="33ADC190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przy czym ewentualnie są zaburzone relacje ilościowe</w:t>
            </w:r>
          </w:p>
          <w:p w14:paraId="2BE779FF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Liczba gatunków z grupy „wiązy, dąb, jesion” występujących w drzewostanie: poprawa do właściwego stanu, w którym występuje 3 i więcej gatunków</w:t>
            </w:r>
          </w:p>
          <w:p w14:paraId="6A3FE674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Różnorodność gatunkowa warstwy krzewów: utrzymanie właściwego stanu, w którym występuje cztery i więcej gatunków</w:t>
            </w:r>
          </w:p>
          <w:p w14:paraId="3078E089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Gatunki obce ekologicznie w drzewostanie: utrzymanie właściwego stanu, w którym gatunki obce ekologicznie  stanowią &lt;10%</w:t>
            </w:r>
          </w:p>
          <w:p w14:paraId="284AACEE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Gatunki obce geograficznie w drzewostanie: utrzymanie właściwego stanu, w którym gatunki obce geograficznie stanowią &lt;1% i nie odnawiają się</w:t>
            </w:r>
          </w:p>
          <w:p w14:paraId="53D8F309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lastRenderedPageBreak/>
              <w:t>Martwe drewno (łączne zasoby): utrzymanie właściwego stanu, w którym martwe drewno stanowi &gt;10% miąższości żywego drzewostanu</w:t>
            </w:r>
          </w:p>
          <w:p w14:paraId="44F09289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Martwe drewno leżące lub stojące &gt;3 m długości i &gt;50 cm grubości: utrzymanie właściwego stanu, w którym martwe drewno stanowi &gt;5 szt./ha</w:t>
            </w:r>
          </w:p>
          <w:p w14:paraId="5C326BAF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Wiek drzewostanu (obecność starodrzewu): utrzymanie właściwego stanu, w którym jest &gt;10% udział objętościowy drzew starszych niż 100 lat</w:t>
            </w:r>
          </w:p>
          <w:p w14:paraId="1559F138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Naturalne odnowienie drzewostanu: utrzymanie właściwego stanu, w którym naturalne odnowienie jest obfite, reagujące na luki i prześwietlenia</w:t>
            </w:r>
          </w:p>
          <w:p w14:paraId="3687A040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Struktura pionowa i przestrzenna drzewostanu: poprawa do stanu właściwego, w którym struktura pionowa jest zróżnicowana; &gt;70% powierzchni pokryte jest przez zwarty drzewostan,</w:t>
            </w:r>
          </w:p>
          <w:p w14:paraId="0C1B85DA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jednak obecne są luki, prześwietlenia</w:t>
            </w:r>
          </w:p>
          <w:p w14:paraId="16EAC46E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 xml:space="preserve">Przejawy procesu </w:t>
            </w:r>
            <w:proofErr w:type="spellStart"/>
            <w:r w:rsidRPr="00CC314E">
              <w:rPr>
                <w:rFonts w:cstheme="minorHAnsi"/>
                <w:sz w:val="24"/>
                <w:szCs w:val="24"/>
              </w:rPr>
              <w:t>grądowienia</w:t>
            </w:r>
            <w:proofErr w:type="spellEnd"/>
            <w:r w:rsidRPr="00CC314E">
              <w:rPr>
                <w:rFonts w:cstheme="minorHAnsi"/>
                <w:sz w:val="24"/>
                <w:szCs w:val="24"/>
              </w:rPr>
              <w:t xml:space="preserve">: utrzymanie właściwego stanu – brak procesu </w:t>
            </w:r>
            <w:proofErr w:type="spellStart"/>
            <w:r w:rsidRPr="00CC314E">
              <w:rPr>
                <w:rFonts w:cstheme="minorHAnsi"/>
                <w:sz w:val="24"/>
                <w:szCs w:val="24"/>
              </w:rPr>
              <w:t>grądowienia</w:t>
            </w:r>
            <w:proofErr w:type="spellEnd"/>
          </w:p>
          <w:p w14:paraId="477E6755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Ekspansywne gatunki obce w podszycie i runie: poprawa do stanu właściwego, w którym obecny jest najwyżej jeden gatunek, nieliczny, sporadyczny</w:t>
            </w:r>
          </w:p>
          <w:p w14:paraId="574F0AA2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Ekspansywne gatunki rodzime (</w:t>
            </w:r>
            <w:proofErr w:type="spellStart"/>
            <w:r w:rsidRPr="00CC314E">
              <w:rPr>
                <w:rFonts w:cstheme="minorHAnsi"/>
                <w:sz w:val="24"/>
                <w:szCs w:val="24"/>
              </w:rPr>
              <w:t>apofity</w:t>
            </w:r>
            <w:proofErr w:type="spellEnd"/>
            <w:r w:rsidRPr="00CC314E">
              <w:rPr>
                <w:rFonts w:cstheme="minorHAnsi"/>
                <w:sz w:val="24"/>
                <w:szCs w:val="24"/>
              </w:rPr>
              <w:t>) w runie; w tym trzcinnik piaskowy, jeżyny: poprawa do stanu właściwego, w którym ekspansywne gatunki rodzime występują co najwyżej pojedynczo</w:t>
            </w:r>
          </w:p>
          <w:p w14:paraId="0E57D221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Stosunki wodno-wilgotnościowe: utrzymanie właściwego stanu, w którym zalewy wodami rzecznymi zdarzające się co najmniej raz na kilka lat</w:t>
            </w:r>
          </w:p>
          <w:p w14:paraId="5A24F755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lastRenderedPageBreak/>
              <w:t xml:space="preserve">Zniszczenia runa i gleby związane z pozyskaniem drewna: utrzymanie właściwego stanu, w którym brak zniszczeń </w:t>
            </w:r>
          </w:p>
          <w:p w14:paraId="0848C290" w14:textId="1949DAD4" w:rsidR="00647E75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Inne zniekształcenia (rozjeżdżenie, wydeptanie, zaśmiecenie): utrzymanie właściwego stanu, w którym brak zniekształceń</w:t>
            </w:r>
          </w:p>
        </w:tc>
      </w:tr>
      <w:tr w:rsidR="00647E75" w:rsidRPr="00CC314E" w14:paraId="125F2856" w14:textId="77777777" w:rsidTr="007167E6">
        <w:tc>
          <w:tcPr>
            <w:tcW w:w="570" w:type="dxa"/>
          </w:tcPr>
          <w:p w14:paraId="0443CB65" w14:textId="7C13B219" w:rsidR="00647E75" w:rsidRPr="00CC314E" w:rsidRDefault="00647E75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lastRenderedPageBreak/>
              <w:t>6.</w:t>
            </w:r>
          </w:p>
        </w:tc>
        <w:tc>
          <w:tcPr>
            <w:tcW w:w="2544" w:type="dxa"/>
          </w:tcPr>
          <w:p w14:paraId="37DE8D27" w14:textId="497FE6DC" w:rsidR="00647E75" w:rsidRPr="00CC314E" w:rsidRDefault="00430511" w:rsidP="00CC314E">
            <w:pPr>
              <w:spacing w:line="360" w:lineRule="auto"/>
              <w:rPr>
                <w:rFonts w:cstheme="minorHAnsi"/>
                <w:bCs/>
                <w:i/>
                <w:iCs/>
                <w:sz w:val="24"/>
                <w:szCs w:val="24"/>
              </w:rPr>
            </w:pPr>
            <w:r w:rsidRPr="00CC314E">
              <w:rPr>
                <w:rFonts w:cstheme="minorHAnsi"/>
                <w:bCs/>
                <w:sz w:val="24"/>
                <w:szCs w:val="24"/>
              </w:rPr>
              <w:t xml:space="preserve">1083 Jelonek rogacz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Lucanus</w:t>
            </w:r>
            <w:proofErr w:type="spellEnd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cervus</w:t>
            </w:r>
            <w:proofErr w:type="spellEnd"/>
          </w:p>
        </w:tc>
        <w:tc>
          <w:tcPr>
            <w:tcW w:w="5948" w:type="dxa"/>
          </w:tcPr>
          <w:p w14:paraId="1F7655FE" w14:textId="0C58F34D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Obecność gatunku: utrzymanie właściwego stanu (</w:t>
            </w:r>
            <w:r w:rsidR="001C5FE6" w:rsidRPr="00CC314E">
              <w:rPr>
                <w:rFonts w:cstheme="minorHAnsi"/>
                <w:sz w:val="24"/>
                <w:szCs w:val="24"/>
              </w:rPr>
              <w:t>obserwacja co najmniej 1-2 samców</w:t>
            </w:r>
            <w:r w:rsidRPr="00CC314E">
              <w:rPr>
                <w:rFonts w:cstheme="minorHAnsi"/>
                <w:sz w:val="24"/>
                <w:szCs w:val="24"/>
              </w:rPr>
              <w:t>)</w:t>
            </w:r>
          </w:p>
          <w:p w14:paraId="19CDC712" w14:textId="244F08F5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Struktura drzewostanu na stanowisku: poprawa do stanu FV, w którym dęby stanowią ponad 50% drzew w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drzewostanie</w:t>
            </w:r>
          </w:p>
          <w:p w14:paraId="065AB032" w14:textId="285BE0F9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Struktura drzewostanów otaczających: poprawa do stanu FV, w którym dęby stanowią ponad 30% drzew w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drzewostanie</w:t>
            </w:r>
          </w:p>
          <w:p w14:paraId="6026198C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Dostępność miejsc rozrodu: utrzymanie właściwego stanu, w którym stwierdzono obecność pniaków dębowych, martwych dębów oraz wiatrołomów</w:t>
            </w:r>
          </w:p>
          <w:p w14:paraId="6FD9D221" w14:textId="10D730E4" w:rsidR="00647E75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Termika i warunki świetlne: poprawa do stanu FV, w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którym drzewostan jest rozrzedzony</w:t>
            </w:r>
          </w:p>
        </w:tc>
      </w:tr>
      <w:tr w:rsidR="00647E75" w:rsidRPr="00CC314E" w14:paraId="5205D953" w14:textId="77777777" w:rsidTr="007167E6">
        <w:tc>
          <w:tcPr>
            <w:tcW w:w="570" w:type="dxa"/>
          </w:tcPr>
          <w:p w14:paraId="679B37E4" w14:textId="1AA47593" w:rsidR="00647E75" w:rsidRPr="00CC314E" w:rsidRDefault="00647E75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7.</w:t>
            </w:r>
          </w:p>
        </w:tc>
        <w:tc>
          <w:tcPr>
            <w:tcW w:w="2544" w:type="dxa"/>
          </w:tcPr>
          <w:p w14:paraId="48BC1F10" w14:textId="456FB8AA" w:rsidR="00647E75" w:rsidRPr="00CC314E" w:rsidRDefault="00430511" w:rsidP="00CC314E">
            <w:pPr>
              <w:spacing w:line="360" w:lineRule="auto"/>
              <w:rPr>
                <w:rFonts w:cstheme="minorHAnsi"/>
                <w:bCs/>
                <w:i/>
                <w:iCs/>
                <w:sz w:val="24"/>
                <w:szCs w:val="24"/>
              </w:rPr>
            </w:pPr>
            <w:r w:rsidRPr="00CC314E">
              <w:rPr>
                <w:rFonts w:cstheme="minorHAnsi"/>
                <w:bCs/>
                <w:sz w:val="24"/>
                <w:szCs w:val="24"/>
              </w:rPr>
              <w:t xml:space="preserve">1084 </w:t>
            </w:r>
            <w:proofErr w:type="spellStart"/>
            <w:r w:rsidRPr="00CC314E">
              <w:rPr>
                <w:rFonts w:cstheme="minorHAnsi"/>
                <w:bCs/>
                <w:sz w:val="24"/>
                <w:szCs w:val="24"/>
              </w:rPr>
              <w:t>Pachnica</w:t>
            </w:r>
            <w:proofErr w:type="spellEnd"/>
            <w:r w:rsidRPr="00CC314E">
              <w:rPr>
                <w:rFonts w:cstheme="minorHAnsi"/>
                <w:bCs/>
                <w:sz w:val="24"/>
                <w:szCs w:val="24"/>
              </w:rPr>
              <w:t xml:space="preserve"> dębowa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Osmoderma</w:t>
            </w:r>
            <w:proofErr w:type="spellEnd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 xml:space="preserve"> eremita</w:t>
            </w:r>
          </w:p>
        </w:tc>
        <w:tc>
          <w:tcPr>
            <w:tcW w:w="5948" w:type="dxa"/>
          </w:tcPr>
          <w:p w14:paraId="788E6606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Udział procentowy drzew zasiedlonych wśród drzew dziuplastych: utrzymanie właściwego stanu FV, w którym stwierdzono powyżej 15% drzew dziuplastych</w:t>
            </w:r>
          </w:p>
          <w:p w14:paraId="09ECEFE4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Udział procentowy drzew zasiedlonych wśród drzew dziuplastych dostępnych do kontroli: utrzymanie właściwego stanu FV, w którym stwierdzono powyżej 40% drzew zasiedlonych</w:t>
            </w:r>
          </w:p>
          <w:p w14:paraId="61BBAD1B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Liczba drzew zasiedlonych w przeliczeniu na 1 ha: utrzymanie właściwego stanu FV (≥2/ha)</w:t>
            </w:r>
          </w:p>
          <w:p w14:paraId="77ECD63F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Udział procentowy drzew dziuplastych wśród wszystkich drzew: utrzymanie właściwego stanu FV (≥20%)</w:t>
            </w:r>
          </w:p>
          <w:p w14:paraId="53E42F3D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lastRenderedPageBreak/>
              <w:t>Liczba drzew dziuplastych w przeliczeniu na 1 ha: utrzymanie właściwego stanu FV (≥10/ha)</w:t>
            </w:r>
          </w:p>
          <w:p w14:paraId="73F516D7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Udział procentowy drzew grubych wśród drzew dziuplastych (lipy o pierśnicy ≥90 cm i dęby o pierśnicy ≥110 cm i inne drzewa liściaste o pierśnicy ≥100 cm): utrzymanie właściwego stanu FV, w którym stwierdzono powyżej 5% drzew grubych wśród drzew dziuplastych</w:t>
            </w:r>
          </w:p>
          <w:p w14:paraId="1C7A3496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Liczba grubych drzew dziuplastych w przeliczeniu na 1 ha (kryteria uznania drzewa za grube jw.): utrzymanie właściwego stanu FV (≥4/ha)</w:t>
            </w:r>
          </w:p>
          <w:p w14:paraId="17402959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Izolacja (odległość do najbliższych aktualnych lub potencjalnych siedlisk): poprawa ze stanu niezadawalającego U1 do FV, w którym odległość ta wynosi ≤200 m</w:t>
            </w:r>
          </w:p>
          <w:p w14:paraId="74007E9A" w14:textId="58F346F0" w:rsidR="00647E75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Średnia z ocen zacienienia drzew na stanowisku: poprawa ze stanu niezadawalającego U1 do FV, w którym średnia z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ocen zacienienia drzew na stanowisku wynosi ≤1,5</w:t>
            </w:r>
          </w:p>
        </w:tc>
      </w:tr>
      <w:tr w:rsidR="00647E75" w:rsidRPr="00CC314E" w14:paraId="107C54A9" w14:textId="77777777" w:rsidTr="007167E6">
        <w:tc>
          <w:tcPr>
            <w:tcW w:w="570" w:type="dxa"/>
          </w:tcPr>
          <w:p w14:paraId="040F7E78" w14:textId="323F520F" w:rsidR="00647E75" w:rsidRPr="00CC314E" w:rsidRDefault="00647E75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lastRenderedPageBreak/>
              <w:t>8.</w:t>
            </w:r>
          </w:p>
        </w:tc>
        <w:tc>
          <w:tcPr>
            <w:tcW w:w="2544" w:type="dxa"/>
          </w:tcPr>
          <w:p w14:paraId="61736B07" w14:textId="0DD5F7AF" w:rsidR="00647E75" w:rsidRPr="00CC314E" w:rsidRDefault="00430511" w:rsidP="00CC314E">
            <w:pPr>
              <w:spacing w:line="360" w:lineRule="auto"/>
              <w:rPr>
                <w:rFonts w:cstheme="minorHAnsi"/>
                <w:bCs/>
                <w:i/>
                <w:iCs/>
                <w:sz w:val="24"/>
                <w:szCs w:val="24"/>
              </w:rPr>
            </w:pPr>
            <w:r w:rsidRPr="00CC314E">
              <w:rPr>
                <w:rFonts w:cstheme="minorHAnsi"/>
                <w:bCs/>
                <w:sz w:val="24"/>
                <w:szCs w:val="24"/>
              </w:rPr>
              <w:t xml:space="preserve">1086 Zgniotek cynobrowy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Cucujus</w:t>
            </w:r>
            <w:proofErr w:type="spellEnd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cinnaberinus</w:t>
            </w:r>
            <w:proofErr w:type="spellEnd"/>
          </w:p>
        </w:tc>
        <w:tc>
          <w:tcPr>
            <w:tcW w:w="5948" w:type="dxa"/>
          </w:tcPr>
          <w:p w14:paraId="2FD75525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Obecność gatunku na stanowisku: utrzymanie właściwego stanu FV, w którym stwierdza się obecność gatunku</w:t>
            </w:r>
          </w:p>
          <w:p w14:paraId="72EA2CA7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Areał zajmowany przez populację: poprawa do stanu niezadawalającego U1, w którym liczba stykających się ze sobą kwadratów siatki UTM 2x2 km wynosi od 2 do 4</w:t>
            </w:r>
          </w:p>
          <w:p w14:paraId="1CBFF60F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Ilość martwego drewna: poprawa ze stanu niezadawalającego U1 do FV, w którym ≥10/ha</w:t>
            </w:r>
          </w:p>
          <w:p w14:paraId="0B4F6CCD" w14:textId="65660DE3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Jakość martwego drewna: poprawa ze stanu niezadawalającego U1 do FV, w którym martwe drewno reprezentuje mniej więcej w jednakowej ilości wszystkie 4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klasy rozkładu</w:t>
            </w:r>
          </w:p>
          <w:p w14:paraId="010DB5AA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 xml:space="preserve">Struktura przestrzenna i wiekowa drzewostanu: poprawa ze stanu niezadawalającego U1 do FV, w którym w obrębie </w:t>
            </w:r>
            <w:r w:rsidRPr="00CC314E">
              <w:rPr>
                <w:rFonts w:cstheme="minorHAnsi"/>
                <w:sz w:val="24"/>
                <w:szCs w:val="24"/>
              </w:rPr>
              <w:lastRenderedPageBreak/>
              <w:t>całego stanowiska drzewostan panujący o naturalnie zróżnicowanej</w:t>
            </w:r>
          </w:p>
          <w:p w14:paraId="05FEEF49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strukturze wiekowej i przestrzennej oraz wyraźnie zróżnicowanej dymensji</w:t>
            </w:r>
          </w:p>
          <w:p w14:paraId="202E83A9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 xml:space="preserve">Stopień naturalności ekosystemu leśnego: poprawa ze stanu niezadawalającego U1 do FV, w którym stwierdza się występowania na stanowisku co najmniej jednego spośród następujących gatunków: </w:t>
            </w:r>
            <w:proofErr w:type="spellStart"/>
            <w:r w:rsidRPr="00CC314E">
              <w:rPr>
                <w:rFonts w:cstheme="minorHAnsi"/>
                <w:i/>
                <w:iCs/>
                <w:sz w:val="24"/>
                <w:szCs w:val="24"/>
              </w:rPr>
              <w:t>Ampedus</w:t>
            </w:r>
            <w:proofErr w:type="spellEnd"/>
            <w:r w:rsidRPr="00CC314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i/>
                <w:iCs/>
                <w:sz w:val="24"/>
                <w:szCs w:val="24"/>
              </w:rPr>
              <w:t>melanurus</w:t>
            </w:r>
            <w:proofErr w:type="spellEnd"/>
            <w:r w:rsidRPr="00CC314E">
              <w:rPr>
                <w:rFonts w:cstheme="minorHAnsi"/>
                <w:i/>
                <w:iCs/>
                <w:sz w:val="24"/>
                <w:szCs w:val="24"/>
              </w:rPr>
              <w:t>,</w:t>
            </w:r>
            <w:r w:rsidRPr="00CC314E">
              <w:rPr>
                <w:rFonts w:cstheme="minorHAnsi"/>
                <w:sz w:val="24"/>
                <w:szCs w:val="24"/>
              </w:rPr>
              <w:t xml:space="preserve"> </w:t>
            </w:r>
            <w:r w:rsidRPr="00CC314E">
              <w:rPr>
                <w:rFonts w:cstheme="minorHAnsi"/>
                <w:i/>
                <w:iCs/>
                <w:sz w:val="24"/>
                <w:szCs w:val="24"/>
              </w:rPr>
              <w:t xml:space="preserve">Boros </w:t>
            </w:r>
            <w:proofErr w:type="spellStart"/>
            <w:r w:rsidRPr="00CC314E">
              <w:rPr>
                <w:rFonts w:cstheme="minorHAnsi"/>
                <w:i/>
                <w:iCs/>
                <w:sz w:val="24"/>
                <w:szCs w:val="24"/>
              </w:rPr>
              <w:t>schneideri</w:t>
            </w:r>
            <w:proofErr w:type="spellEnd"/>
            <w:r w:rsidRPr="00CC314E">
              <w:rPr>
                <w:rFonts w:cstheme="minorHAnsi"/>
                <w:i/>
                <w:iCs/>
                <w:sz w:val="24"/>
                <w:szCs w:val="24"/>
              </w:rPr>
              <w:t>,</w:t>
            </w:r>
            <w:r w:rsidRPr="00CC314E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i/>
                <w:iCs/>
                <w:sz w:val="24"/>
                <w:szCs w:val="24"/>
              </w:rPr>
              <w:t>Cucujus</w:t>
            </w:r>
            <w:proofErr w:type="spellEnd"/>
            <w:r w:rsidRPr="00CC314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i/>
                <w:iCs/>
                <w:sz w:val="24"/>
                <w:szCs w:val="24"/>
              </w:rPr>
              <w:t>haematodes</w:t>
            </w:r>
            <w:proofErr w:type="spellEnd"/>
            <w:r w:rsidRPr="00CC314E">
              <w:rPr>
                <w:rFonts w:cstheme="minorHAnsi"/>
                <w:i/>
                <w:iCs/>
                <w:sz w:val="24"/>
                <w:szCs w:val="24"/>
              </w:rPr>
              <w:t>,</w:t>
            </w:r>
            <w:r w:rsidRPr="00CC314E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i/>
                <w:iCs/>
                <w:sz w:val="24"/>
                <w:szCs w:val="24"/>
              </w:rPr>
              <w:t>Lacon</w:t>
            </w:r>
            <w:proofErr w:type="spellEnd"/>
            <w:r w:rsidRPr="00CC314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i/>
                <w:iCs/>
                <w:sz w:val="24"/>
                <w:szCs w:val="24"/>
              </w:rPr>
              <w:t>lepidopterus</w:t>
            </w:r>
            <w:proofErr w:type="spellEnd"/>
            <w:r w:rsidRPr="00CC314E">
              <w:rPr>
                <w:rFonts w:cstheme="minorHAnsi"/>
                <w:i/>
                <w:iCs/>
                <w:sz w:val="24"/>
                <w:szCs w:val="24"/>
              </w:rPr>
              <w:t>,</w:t>
            </w:r>
            <w:r w:rsidRPr="00CC314E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i/>
                <w:iCs/>
                <w:sz w:val="24"/>
                <w:szCs w:val="24"/>
              </w:rPr>
              <w:t>Prostomis</w:t>
            </w:r>
            <w:proofErr w:type="spellEnd"/>
            <w:r w:rsidRPr="00CC314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i/>
                <w:iCs/>
                <w:sz w:val="24"/>
                <w:szCs w:val="24"/>
              </w:rPr>
              <w:t>mandibularis</w:t>
            </w:r>
            <w:proofErr w:type="spellEnd"/>
            <w:r w:rsidRPr="00CC314E">
              <w:rPr>
                <w:rFonts w:cstheme="minorHAnsi"/>
                <w:i/>
                <w:iCs/>
                <w:sz w:val="24"/>
                <w:szCs w:val="24"/>
              </w:rPr>
              <w:t>,</w:t>
            </w:r>
            <w:r w:rsidRPr="00CC314E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i/>
                <w:iCs/>
                <w:sz w:val="24"/>
                <w:szCs w:val="24"/>
              </w:rPr>
              <w:t>Rhysodes</w:t>
            </w:r>
            <w:proofErr w:type="spellEnd"/>
            <w:r w:rsidRPr="00CC314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i/>
                <w:iCs/>
                <w:sz w:val="24"/>
                <w:szCs w:val="24"/>
              </w:rPr>
              <w:t>sulcatus</w:t>
            </w:r>
            <w:proofErr w:type="spellEnd"/>
          </w:p>
          <w:p w14:paraId="23DDD68B" w14:textId="79A033C0" w:rsidR="00647E75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Intensywność gospodarowania: poprawa ze stanu niezadawalającego U1 do FV, w którym siedliska zupełnie albo prawie zupełnie będą wyłączone z gospodarki</w:t>
            </w:r>
          </w:p>
        </w:tc>
      </w:tr>
      <w:tr w:rsidR="00647E75" w:rsidRPr="00CC314E" w14:paraId="41D6FD1A" w14:textId="77777777" w:rsidTr="007167E6">
        <w:tc>
          <w:tcPr>
            <w:tcW w:w="570" w:type="dxa"/>
          </w:tcPr>
          <w:p w14:paraId="197525D2" w14:textId="423BD221" w:rsidR="00647E75" w:rsidRPr="00CC314E" w:rsidRDefault="00647E75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lastRenderedPageBreak/>
              <w:t>9.</w:t>
            </w:r>
          </w:p>
        </w:tc>
        <w:tc>
          <w:tcPr>
            <w:tcW w:w="2544" w:type="dxa"/>
          </w:tcPr>
          <w:p w14:paraId="3E38AFB9" w14:textId="45B715AF" w:rsidR="00647E75" w:rsidRPr="00CC314E" w:rsidRDefault="00430511" w:rsidP="00CC314E">
            <w:pPr>
              <w:spacing w:line="360" w:lineRule="auto"/>
              <w:rPr>
                <w:rFonts w:cstheme="minorHAnsi"/>
                <w:bCs/>
                <w:i/>
                <w:iCs/>
                <w:sz w:val="24"/>
                <w:szCs w:val="24"/>
              </w:rPr>
            </w:pPr>
            <w:r w:rsidRPr="00CC314E">
              <w:rPr>
                <w:rFonts w:cstheme="minorHAnsi"/>
                <w:bCs/>
                <w:sz w:val="24"/>
                <w:szCs w:val="24"/>
              </w:rPr>
              <w:t xml:space="preserve">5339 Różanka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Rhodeus</w:t>
            </w:r>
            <w:proofErr w:type="spellEnd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sericeus</w:t>
            </w:r>
            <w:proofErr w:type="spellEnd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amarus</w:t>
            </w:r>
            <w:proofErr w:type="spellEnd"/>
          </w:p>
        </w:tc>
        <w:tc>
          <w:tcPr>
            <w:tcW w:w="5948" w:type="dxa"/>
          </w:tcPr>
          <w:p w14:paraId="2944DE53" w14:textId="1AC33ADE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Względna liczebność: utrzymanie właściwego stanu, w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którym &gt;0,01 os./m</w:t>
            </w:r>
            <w:r w:rsidRPr="00CC314E">
              <w:rPr>
                <w:rFonts w:cstheme="minorHAnsi"/>
                <w:sz w:val="24"/>
                <w:szCs w:val="24"/>
                <w:vertAlign w:val="superscript"/>
              </w:rPr>
              <w:t>2</w:t>
            </w:r>
          </w:p>
          <w:p w14:paraId="5211EEFB" w14:textId="16014F85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Struktura wiekowa: utrzymanie właściwego stanu, w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którym &gt;25% udział osobników młodych (JUV+YOY) o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długości całkowitej poniżej 40 mm wśród wszystkich odłowionych osobników różanki</w:t>
            </w:r>
          </w:p>
          <w:p w14:paraId="1509E6B2" w14:textId="7DB2FC80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Udział gatunku w zespole ryb i minogów: utrzymanie właściwego stanu, w którym &gt;25% udział różanki w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całkowitej liczbie odłowionych ryb i minogów</w:t>
            </w:r>
          </w:p>
          <w:p w14:paraId="37E3EBD1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 xml:space="preserve">Jakość </w:t>
            </w:r>
            <w:proofErr w:type="spellStart"/>
            <w:r w:rsidRPr="00CC314E">
              <w:rPr>
                <w:rFonts w:cstheme="minorHAnsi"/>
                <w:sz w:val="24"/>
                <w:szCs w:val="24"/>
              </w:rPr>
              <w:t>hydromorfologiczna</w:t>
            </w:r>
            <w:proofErr w:type="spellEnd"/>
            <w:r w:rsidRPr="00CC314E">
              <w:rPr>
                <w:rFonts w:cstheme="minorHAnsi"/>
                <w:sz w:val="24"/>
                <w:szCs w:val="24"/>
              </w:rPr>
              <w:t xml:space="preserve">: poprawa ze stanu niezadawalającego U1 do FV, w którym średnia arytmetyczna z ocen 3 elementów </w:t>
            </w:r>
            <w:proofErr w:type="spellStart"/>
            <w:r w:rsidRPr="00CC314E">
              <w:rPr>
                <w:rFonts w:cstheme="minorHAnsi"/>
                <w:sz w:val="24"/>
                <w:szCs w:val="24"/>
              </w:rPr>
              <w:t>hydromorfologicznych</w:t>
            </w:r>
            <w:proofErr w:type="spellEnd"/>
            <w:r w:rsidRPr="00CC314E">
              <w:rPr>
                <w:rFonts w:cstheme="minorHAnsi"/>
                <w:sz w:val="24"/>
                <w:szCs w:val="24"/>
              </w:rPr>
              <w:t>: substrat denny, charakter i modyfikacja brzegów oraz ciągłość cieku, wynosi 1,0-2,5 (część parametrów siedliska nie dotyczy jezior)</w:t>
            </w:r>
          </w:p>
          <w:p w14:paraId="1FBA1C28" w14:textId="3DDA90C2" w:rsidR="00647E75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 xml:space="preserve">Stopień porośnięcia linii brzegowej przez roślinność: poprawa ze stanu niezadawalającego U1 do FV, w którym </w:t>
            </w:r>
            <w:r w:rsidRPr="00CC314E">
              <w:rPr>
                <w:rFonts w:cstheme="minorHAnsi"/>
                <w:sz w:val="24"/>
                <w:szCs w:val="24"/>
              </w:rPr>
              <w:lastRenderedPageBreak/>
              <w:t xml:space="preserve">&gt;50% </w:t>
            </w:r>
            <w:proofErr w:type="spellStart"/>
            <w:r w:rsidRPr="00CC314E">
              <w:rPr>
                <w:rFonts w:cstheme="minorHAnsi"/>
                <w:sz w:val="24"/>
                <w:szCs w:val="24"/>
              </w:rPr>
              <w:t>duział</w:t>
            </w:r>
            <w:proofErr w:type="spellEnd"/>
            <w:r w:rsidRPr="00CC314E">
              <w:rPr>
                <w:rFonts w:cstheme="minorHAnsi"/>
                <w:sz w:val="24"/>
                <w:szCs w:val="24"/>
              </w:rPr>
              <w:t xml:space="preserve"> zarośniętej linii brzegowej badanego odcinka cieku</w:t>
            </w:r>
          </w:p>
        </w:tc>
      </w:tr>
      <w:tr w:rsidR="00647E75" w:rsidRPr="00CC314E" w14:paraId="3C760404" w14:textId="77777777" w:rsidTr="007167E6">
        <w:tc>
          <w:tcPr>
            <w:tcW w:w="570" w:type="dxa"/>
          </w:tcPr>
          <w:p w14:paraId="26804CF7" w14:textId="0BF91D2C" w:rsidR="00647E75" w:rsidRPr="00CC314E" w:rsidRDefault="00647E75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lastRenderedPageBreak/>
              <w:t>10.</w:t>
            </w:r>
          </w:p>
        </w:tc>
        <w:tc>
          <w:tcPr>
            <w:tcW w:w="2544" w:type="dxa"/>
          </w:tcPr>
          <w:p w14:paraId="23156B0A" w14:textId="26F2BD08" w:rsidR="00647E75" w:rsidRPr="00CC314E" w:rsidRDefault="00430511" w:rsidP="00CC314E">
            <w:pPr>
              <w:spacing w:line="360" w:lineRule="auto"/>
              <w:rPr>
                <w:rFonts w:cstheme="minorHAnsi"/>
                <w:bCs/>
                <w:i/>
                <w:iCs/>
                <w:sz w:val="24"/>
                <w:szCs w:val="24"/>
              </w:rPr>
            </w:pPr>
            <w:r w:rsidRPr="00CC314E">
              <w:rPr>
                <w:rFonts w:cstheme="minorHAnsi"/>
                <w:bCs/>
                <w:sz w:val="24"/>
                <w:szCs w:val="24"/>
              </w:rPr>
              <w:t xml:space="preserve">1145 Piskorz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Misgurnus</w:t>
            </w:r>
            <w:proofErr w:type="spellEnd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fossilis</w:t>
            </w:r>
            <w:proofErr w:type="spellEnd"/>
          </w:p>
        </w:tc>
        <w:tc>
          <w:tcPr>
            <w:tcW w:w="5948" w:type="dxa"/>
          </w:tcPr>
          <w:p w14:paraId="53C344F9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Względna liczebność: : poprawa ze stanu złego U2 do stanu niezadawalającego U1, w którym 0,005-0,01 os./m</w:t>
            </w:r>
            <w:r w:rsidRPr="00CC314E">
              <w:rPr>
                <w:rFonts w:cstheme="minorHAnsi"/>
                <w:sz w:val="24"/>
                <w:szCs w:val="24"/>
                <w:vertAlign w:val="superscript"/>
              </w:rPr>
              <w:t>2</w:t>
            </w:r>
          </w:p>
          <w:p w14:paraId="0539E1BF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Udział gatunku w zespole ryb i minogów: poprawa ze stanu złego U2 do stanu niezadawalającego U1, w którym 1-3% udział piskorza w całkowitej liczbie odłowionych ryb i minogów</w:t>
            </w:r>
          </w:p>
          <w:p w14:paraId="07B817CF" w14:textId="18961556" w:rsidR="00647E75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 xml:space="preserve">Jakość </w:t>
            </w:r>
            <w:proofErr w:type="spellStart"/>
            <w:r w:rsidRPr="00CC314E">
              <w:rPr>
                <w:rFonts w:cstheme="minorHAnsi"/>
                <w:sz w:val="24"/>
                <w:szCs w:val="24"/>
              </w:rPr>
              <w:t>hydromorfologiczna</w:t>
            </w:r>
            <w:proofErr w:type="spellEnd"/>
            <w:r w:rsidRPr="00CC314E">
              <w:rPr>
                <w:rFonts w:cstheme="minorHAnsi"/>
                <w:sz w:val="24"/>
                <w:szCs w:val="24"/>
              </w:rPr>
              <w:t xml:space="preserve">: utrzymanie właściwego stanu FV, w którym średnia arytmetyczna z ocen 3 elementów </w:t>
            </w:r>
            <w:proofErr w:type="spellStart"/>
            <w:r w:rsidRPr="00CC314E">
              <w:rPr>
                <w:rFonts w:cstheme="minorHAnsi"/>
                <w:sz w:val="24"/>
                <w:szCs w:val="24"/>
              </w:rPr>
              <w:t>hydromorfologicznych</w:t>
            </w:r>
            <w:proofErr w:type="spellEnd"/>
            <w:r w:rsidRPr="00CC314E">
              <w:rPr>
                <w:rFonts w:cstheme="minorHAnsi"/>
                <w:sz w:val="24"/>
                <w:szCs w:val="24"/>
              </w:rPr>
              <w:t>: substrat denny, charakter i modyfikacja brzegów oraz ciągłość cieku, wynosi 1,0-2,5 (część parametrów siedliska nie dotyczy jezior)</w:t>
            </w:r>
          </w:p>
        </w:tc>
      </w:tr>
      <w:tr w:rsidR="00647E75" w:rsidRPr="00CC314E" w14:paraId="0826A017" w14:textId="77777777" w:rsidTr="007167E6">
        <w:tc>
          <w:tcPr>
            <w:tcW w:w="570" w:type="dxa"/>
          </w:tcPr>
          <w:p w14:paraId="40C88E5A" w14:textId="6EE0EB03" w:rsidR="00647E75" w:rsidRPr="00CC314E" w:rsidRDefault="00647E75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11.</w:t>
            </w:r>
          </w:p>
        </w:tc>
        <w:tc>
          <w:tcPr>
            <w:tcW w:w="2544" w:type="dxa"/>
          </w:tcPr>
          <w:p w14:paraId="6909F9CB" w14:textId="7410F865" w:rsidR="00647E75" w:rsidRPr="00CC314E" w:rsidRDefault="00430511" w:rsidP="00CC314E">
            <w:pPr>
              <w:spacing w:line="360" w:lineRule="auto"/>
              <w:rPr>
                <w:rFonts w:cstheme="minorHAnsi"/>
                <w:bCs/>
                <w:i/>
                <w:iCs/>
                <w:sz w:val="24"/>
                <w:szCs w:val="24"/>
              </w:rPr>
            </w:pPr>
            <w:r w:rsidRPr="00CC314E">
              <w:rPr>
                <w:rFonts w:cstheme="minorHAnsi"/>
                <w:bCs/>
                <w:sz w:val="24"/>
                <w:szCs w:val="24"/>
              </w:rPr>
              <w:t xml:space="preserve">1149 Koza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Cobitis</w:t>
            </w:r>
            <w:proofErr w:type="spellEnd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taenia</w:t>
            </w:r>
            <w:proofErr w:type="spellEnd"/>
          </w:p>
        </w:tc>
        <w:tc>
          <w:tcPr>
            <w:tcW w:w="5948" w:type="dxa"/>
          </w:tcPr>
          <w:p w14:paraId="7219F01A" w14:textId="15B66359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Względna liczebność: utrzymanie właściwego stanu, w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którym &gt;0,01 os./m</w:t>
            </w:r>
            <w:r w:rsidRPr="00CC314E">
              <w:rPr>
                <w:rFonts w:cstheme="minorHAnsi"/>
                <w:sz w:val="24"/>
                <w:szCs w:val="24"/>
                <w:vertAlign w:val="superscript"/>
              </w:rPr>
              <w:t>2</w:t>
            </w:r>
          </w:p>
          <w:p w14:paraId="681CFCEB" w14:textId="6321E146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Struktura wiekowa: utrzymanie właściwego stanu, w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którym obecne wszystkie kategorie</w:t>
            </w:r>
          </w:p>
          <w:p w14:paraId="3B1FBDBB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Udział gatunku w zespole ryb i minogów: utrzymanie właściwego stanu, w którym &gt;5% udział kozy w całkowitej liczbie odłowionych ryb i minogów</w:t>
            </w:r>
          </w:p>
          <w:p w14:paraId="3EC0DE8D" w14:textId="4BBE7A29" w:rsidR="00647E75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 xml:space="preserve">Jakość </w:t>
            </w:r>
            <w:proofErr w:type="spellStart"/>
            <w:r w:rsidRPr="00CC314E">
              <w:rPr>
                <w:rFonts w:cstheme="minorHAnsi"/>
                <w:sz w:val="24"/>
                <w:szCs w:val="24"/>
              </w:rPr>
              <w:t>hydromorfologiczna</w:t>
            </w:r>
            <w:proofErr w:type="spellEnd"/>
            <w:r w:rsidRPr="00CC314E">
              <w:rPr>
                <w:rFonts w:cstheme="minorHAnsi"/>
                <w:sz w:val="24"/>
                <w:szCs w:val="24"/>
              </w:rPr>
              <w:t xml:space="preserve">: utrzymanie właściwego stanu FV, w którym średnia arytmetyczna z ocen 3 elementów </w:t>
            </w:r>
            <w:proofErr w:type="spellStart"/>
            <w:r w:rsidRPr="00CC314E">
              <w:rPr>
                <w:rFonts w:cstheme="minorHAnsi"/>
                <w:sz w:val="24"/>
                <w:szCs w:val="24"/>
              </w:rPr>
              <w:t>hydromorfologicznych</w:t>
            </w:r>
            <w:proofErr w:type="spellEnd"/>
            <w:r w:rsidRPr="00CC314E">
              <w:rPr>
                <w:rFonts w:cstheme="minorHAnsi"/>
                <w:sz w:val="24"/>
                <w:szCs w:val="24"/>
              </w:rPr>
              <w:t>: substrat denny, charakter i modyfikacja brzegów oraz ciągłość cieku, wynosi 1,0-2,5 (część parametrów siedliska nie dotyczy jezior)</w:t>
            </w:r>
          </w:p>
        </w:tc>
      </w:tr>
      <w:tr w:rsidR="00647E75" w:rsidRPr="00CC314E" w14:paraId="52105E5E" w14:textId="77777777" w:rsidTr="007167E6">
        <w:tc>
          <w:tcPr>
            <w:tcW w:w="570" w:type="dxa"/>
          </w:tcPr>
          <w:p w14:paraId="10B770AA" w14:textId="45A4BD9D" w:rsidR="00647E75" w:rsidRPr="00CC314E" w:rsidRDefault="00647E75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12.</w:t>
            </w:r>
          </w:p>
        </w:tc>
        <w:tc>
          <w:tcPr>
            <w:tcW w:w="2544" w:type="dxa"/>
          </w:tcPr>
          <w:p w14:paraId="6869F236" w14:textId="0A48126F" w:rsidR="00647E75" w:rsidRPr="00CC314E" w:rsidRDefault="00430511" w:rsidP="00CC314E">
            <w:pPr>
              <w:spacing w:line="360" w:lineRule="auto"/>
              <w:rPr>
                <w:rFonts w:cstheme="minorHAnsi"/>
                <w:bCs/>
                <w:i/>
                <w:iCs/>
                <w:sz w:val="24"/>
                <w:szCs w:val="24"/>
              </w:rPr>
            </w:pPr>
            <w:r w:rsidRPr="00CC314E">
              <w:rPr>
                <w:rFonts w:cstheme="minorHAnsi"/>
                <w:bCs/>
                <w:sz w:val="24"/>
                <w:szCs w:val="24"/>
              </w:rPr>
              <w:t xml:space="preserve">1188 Kumak nizinny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Bombina</w:t>
            </w:r>
            <w:proofErr w:type="spellEnd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314E">
              <w:rPr>
                <w:rFonts w:cstheme="minorHAnsi"/>
                <w:bCs/>
                <w:i/>
                <w:iCs/>
                <w:sz w:val="24"/>
                <w:szCs w:val="24"/>
              </w:rPr>
              <w:t>bombina</w:t>
            </w:r>
            <w:proofErr w:type="spellEnd"/>
          </w:p>
        </w:tc>
        <w:tc>
          <w:tcPr>
            <w:tcW w:w="5948" w:type="dxa"/>
          </w:tcPr>
          <w:p w14:paraId="1F59C75A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Udział szuwaru w powierzchni zbiornika: utrzymanie właściwego stanu, w którym &gt;25% udziału szuwaru</w:t>
            </w:r>
          </w:p>
          <w:p w14:paraId="52419AF1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Wysokość roślinności szuwarowej: poprawa ze stanu niezadawalającego U1 do FV, w którym obecność szuwaru o wysokości 1 m lub niższego</w:t>
            </w:r>
          </w:p>
          <w:p w14:paraId="39E1E1D3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lastRenderedPageBreak/>
              <w:t>Nachylenie brzegów zbiornika: utrzymanie właściwego stanu, w którym brzegi zbiornika nachylone są łagodnie</w:t>
            </w:r>
          </w:p>
          <w:p w14:paraId="29A12010" w14:textId="217A4982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Zacienienie zbiornika: utrzymanie właściwego stanu, w</w:t>
            </w:r>
            <w:r w:rsidR="007167E6" w:rsidRPr="00CC314E">
              <w:rPr>
                <w:rFonts w:cstheme="minorHAnsi"/>
                <w:sz w:val="24"/>
                <w:szCs w:val="24"/>
              </w:rPr>
              <w:t> </w:t>
            </w:r>
            <w:r w:rsidRPr="00CC314E">
              <w:rPr>
                <w:rFonts w:cstheme="minorHAnsi"/>
                <w:sz w:val="24"/>
                <w:szCs w:val="24"/>
              </w:rPr>
              <w:t>którym &lt;50% powierzchni zbiornika jest zacienione</w:t>
            </w:r>
          </w:p>
          <w:p w14:paraId="2557D96F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Obecność płycizn: utrzymanie właściwego stanu, w którym płycizny są obecne</w:t>
            </w:r>
          </w:p>
          <w:p w14:paraId="363D4613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Obecność ryb: utrzymanie właściwego stanu, w którym brak ryb</w:t>
            </w:r>
          </w:p>
          <w:p w14:paraId="67B61D11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 xml:space="preserve">Bariery wokół brzegu zbiornika: utrzymanie właściwego stanu, w którym obecność wokół zbiornika poniżej 5% - 0% brzegów </w:t>
            </w:r>
            <w:proofErr w:type="spellStart"/>
            <w:r w:rsidRPr="00CC314E">
              <w:rPr>
                <w:rFonts w:cstheme="minorHAnsi"/>
                <w:sz w:val="24"/>
                <w:szCs w:val="24"/>
              </w:rPr>
              <w:t>palisadek</w:t>
            </w:r>
            <w:proofErr w:type="spellEnd"/>
            <w:r w:rsidRPr="00CC314E">
              <w:rPr>
                <w:rFonts w:cstheme="minorHAnsi"/>
                <w:sz w:val="24"/>
                <w:szCs w:val="24"/>
              </w:rPr>
              <w:t xml:space="preserve"> lub innych barier (murki)</w:t>
            </w:r>
          </w:p>
          <w:p w14:paraId="50861108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Zabudowa otoczenia zbiornika: utrzymanie właściwego stanu, w którym brak zabudowy</w:t>
            </w:r>
          </w:p>
          <w:p w14:paraId="42484369" w14:textId="77777777" w:rsidR="00C759E8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Inne zbiorniki wodne w promieniu 500 m: utrzymanie właściwego stanu, w którym obecny co najmniej jeden zbiornik wody stojącej</w:t>
            </w:r>
          </w:p>
          <w:p w14:paraId="437DF442" w14:textId="152842BD" w:rsidR="00647E75" w:rsidRPr="00CC314E" w:rsidRDefault="00C759E8" w:rsidP="00CC314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314E">
              <w:rPr>
                <w:rFonts w:cstheme="minorHAnsi"/>
                <w:sz w:val="24"/>
                <w:szCs w:val="24"/>
              </w:rPr>
              <w:t>Droga asfaltowa: utrzymanie właściwego stanu, w którym brak drogi asfaltowej</w:t>
            </w:r>
          </w:p>
        </w:tc>
      </w:tr>
    </w:tbl>
    <w:p w14:paraId="5D14FE4D" w14:textId="77777777" w:rsidR="00C759E8" w:rsidRPr="00CC314E" w:rsidRDefault="00C759E8" w:rsidP="00CC314E">
      <w:pPr>
        <w:spacing w:after="0" w:line="360" w:lineRule="auto"/>
        <w:rPr>
          <w:rFonts w:cstheme="minorHAnsi"/>
          <w:sz w:val="24"/>
          <w:szCs w:val="24"/>
        </w:rPr>
      </w:pPr>
    </w:p>
    <w:sectPr w:rsidR="00C759E8" w:rsidRPr="00CC314E" w:rsidSect="0003117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BF0DCE" w14:textId="77777777" w:rsidR="00B8223A" w:rsidRDefault="00B8223A" w:rsidP="00C015C0">
      <w:pPr>
        <w:spacing w:after="0" w:line="240" w:lineRule="auto"/>
      </w:pPr>
      <w:r>
        <w:separator/>
      </w:r>
    </w:p>
  </w:endnote>
  <w:endnote w:type="continuationSeparator" w:id="0">
    <w:p w14:paraId="574299DB" w14:textId="77777777" w:rsidR="00B8223A" w:rsidRDefault="00B8223A" w:rsidP="00C015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utura Com Medium Condensed">
    <w:altName w:val="Arial Narrow"/>
    <w:charset w:val="EE"/>
    <w:family w:val="swiss"/>
    <w:pitch w:val="variable"/>
    <w:sig w:usb0="00000001" w:usb1="5000204A" w:usb2="00000000" w:usb3="00000000" w:csb0="0000009B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6F6A4C" w14:textId="77777777" w:rsidR="005B63F3" w:rsidRDefault="005B63F3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2D24B2" w14:textId="77777777" w:rsidR="005B63F3" w:rsidRDefault="005B63F3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-459" w:type="dxa"/>
      <w:tblLook w:val="04A0" w:firstRow="1" w:lastRow="0" w:firstColumn="1" w:lastColumn="0" w:noHBand="0" w:noVBand="1"/>
      <w:tblCaption w:val="Adres Regionalnej Dyrekcji Ochrony Środowiska w Olsztynie wraz z logo systemu ekorządzania i audytu (EMAS)"/>
      <w:tblDescription w:val="Adres Regionalnej Dyrekcji Ochrony Środowiska w Olsztynie wraz z logo systemu ekorządzania i audytu (EMAS)"/>
    </w:tblPr>
    <w:tblGrid>
      <w:gridCol w:w="1206"/>
      <w:gridCol w:w="8082"/>
    </w:tblGrid>
    <w:tr w:rsidR="00296189" w14:paraId="1659B4C9" w14:textId="77777777" w:rsidTr="00204387">
      <w:tc>
        <w:tcPr>
          <w:tcW w:w="1206" w:type="dxa"/>
          <w:vAlign w:val="center"/>
          <w:hideMark/>
        </w:tcPr>
        <w:p w14:paraId="07AF4A1B" w14:textId="77777777" w:rsidR="00296189" w:rsidRDefault="00296189" w:rsidP="00296189">
          <w:pPr>
            <w:tabs>
              <w:tab w:val="left" w:pos="380"/>
              <w:tab w:val="center" w:pos="4536"/>
              <w:tab w:val="right" w:pos="9072"/>
            </w:tabs>
            <w:rPr>
              <w:rFonts w:ascii="Arial" w:hAnsi="Arial" w:cs="Arial"/>
            </w:rPr>
          </w:pPr>
          <w:r>
            <w:rPr>
              <w:rFonts w:ascii="Arial" w:hAnsi="Arial" w:cs="Arial"/>
              <w:noProof/>
              <w:lang w:eastAsia="pl-PL"/>
            </w:rPr>
            <w:drawing>
              <wp:inline distT="0" distB="0" distL="0" distR="0" wp14:anchorId="0A794183" wp14:editId="0BB9ECE8">
                <wp:extent cx="596265" cy="1081405"/>
                <wp:effectExtent l="0" t="0" r="0" b="4445"/>
                <wp:docPr id="4" name="Obraz 4" descr="Logo Emas" title="Logo Ema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6265" cy="1081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82" w:type="dxa"/>
          <w:vAlign w:val="center"/>
        </w:tcPr>
        <w:p w14:paraId="6ABA9E23" w14:textId="77777777" w:rsidR="00296189" w:rsidRDefault="00296189" w:rsidP="00296189">
          <w:pPr>
            <w:tabs>
              <w:tab w:val="left" w:pos="380"/>
              <w:tab w:val="center" w:pos="4536"/>
              <w:tab w:val="right" w:pos="9072"/>
            </w:tabs>
            <w:rPr>
              <w:rFonts w:ascii="Futura Com Medium Condensed" w:hAnsi="Futura Com Medium Condensed" w:cs="Arial"/>
              <w:color w:val="57AB27"/>
            </w:rPr>
          </w:pPr>
          <w:r>
            <w:rPr>
              <w:rFonts w:ascii="Futura Com Medium Condensed" w:hAnsi="Futura Com Medium Condensed" w:cs="Arial"/>
              <w:color w:val="57AB27"/>
            </w:rPr>
            <w:t>Spełniamy wymagania EMAS – zarządzamy urzędem efektywnie, oszczędnie i prośrodowiskowo</w:t>
          </w:r>
        </w:p>
        <w:p w14:paraId="145184A0" w14:textId="77777777" w:rsidR="00296189" w:rsidRDefault="00296189" w:rsidP="00296189">
          <w:pPr>
            <w:tabs>
              <w:tab w:val="left" w:pos="380"/>
              <w:tab w:val="center" w:pos="4536"/>
              <w:tab w:val="right" w:pos="9072"/>
            </w:tabs>
            <w:rPr>
              <w:rFonts w:ascii="Futura Com Medium Condensed" w:hAnsi="Futura Com Medium Condensed" w:cs="Arial"/>
              <w:color w:val="57AB27"/>
              <w:sz w:val="18"/>
              <w:szCs w:val="19"/>
            </w:rPr>
          </w:pPr>
          <w:r>
            <w:rPr>
              <w:rFonts w:ascii="Futura Com Medium Condensed" w:hAnsi="Futura Com Medium Condensed" w:cs="Arial"/>
              <w:color w:val="57AB27"/>
              <w:sz w:val="18"/>
              <w:szCs w:val="19"/>
            </w:rPr>
            <w:t>ul. Dworcowa 60, 10-437 Olsztyn, tel.: 89 537-21-00, fax: 89 527-04-23, sekretariat.olsztyn@rdos.gov.pl gov.pl/web/rdos-olsztyn</w:t>
          </w:r>
        </w:p>
      </w:tc>
      <w:bookmarkStart w:id="0" w:name="_GoBack"/>
      <w:bookmarkEnd w:id="0"/>
    </w:tr>
  </w:tbl>
  <w:p w14:paraId="4A3C55AA" w14:textId="77777777" w:rsidR="00296189" w:rsidRDefault="0029618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D74EE6" w14:textId="77777777" w:rsidR="00B8223A" w:rsidRDefault="00B8223A" w:rsidP="00C015C0">
      <w:pPr>
        <w:spacing w:after="0" w:line="240" w:lineRule="auto"/>
      </w:pPr>
      <w:r>
        <w:separator/>
      </w:r>
    </w:p>
  </w:footnote>
  <w:footnote w:type="continuationSeparator" w:id="0">
    <w:p w14:paraId="11793070" w14:textId="77777777" w:rsidR="00B8223A" w:rsidRDefault="00B8223A" w:rsidP="00C015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C7C60E" w14:textId="77777777" w:rsidR="005B63F3" w:rsidRDefault="005B63F3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75A00C" w14:textId="77777777" w:rsidR="005B63F3" w:rsidRDefault="005B63F3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A419BF" w14:textId="1E0D241B" w:rsidR="00C015C0" w:rsidRDefault="0003117E">
    <w:pPr>
      <w:pStyle w:val="Nagwek"/>
    </w:pPr>
    <w:r>
      <w:rPr>
        <w:noProof/>
        <w:lang w:eastAsia="pl-PL"/>
      </w:rPr>
      <w:drawing>
        <wp:inline distT="0" distB="0" distL="0" distR="0" wp14:anchorId="792EF0E1" wp14:editId="18DBD61C">
          <wp:extent cx="4907280" cy="937260"/>
          <wp:effectExtent l="0" t="0" r="0" b="0"/>
          <wp:docPr id="3" name="Obraz 3" descr="logo_RDOS_Olsztyn_WP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RDOS_Olsztyn_WP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07280" cy="937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DCE"/>
    <w:rsid w:val="00000E72"/>
    <w:rsid w:val="00004354"/>
    <w:rsid w:val="000054C0"/>
    <w:rsid w:val="000131D3"/>
    <w:rsid w:val="00025CD4"/>
    <w:rsid w:val="0003117E"/>
    <w:rsid w:val="0005147F"/>
    <w:rsid w:val="0009150A"/>
    <w:rsid w:val="000D032F"/>
    <w:rsid w:val="000F74BE"/>
    <w:rsid w:val="00150F44"/>
    <w:rsid w:val="001816B1"/>
    <w:rsid w:val="00191145"/>
    <w:rsid w:val="001925FA"/>
    <w:rsid w:val="001B27EE"/>
    <w:rsid w:val="001C5CEC"/>
    <w:rsid w:val="001C5FE6"/>
    <w:rsid w:val="001D01EE"/>
    <w:rsid w:val="00204406"/>
    <w:rsid w:val="00264F71"/>
    <w:rsid w:val="002720C1"/>
    <w:rsid w:val="0028352A"/>
    <w:rsid w:val="00296189"/>
    <w:rsid w:val="002B227E"/>
    <w:rsid w:val="002B40E9"/>
    <w:rsid w:val="002D32A1"/>
    <w:rsid w:val="002E34AB"/>
    <w:rsid w:val="002F246B"/>
    <w:rsid w:val="003146DE"/>
    <w:rsid w:val="003250B9"/>
    <w:rsid w:val="00353E7A"/>
    <w:rsid w:val="003B1F10"/>
    <w:rsid w:val="003D6A03"/>
    <w:rsid w:val="003F118B"/>
    <w:rsid w:val="00412E90"/>
    <w:rsid w:val="00430511"/>
    <w:rsid w:val="00443043"/>
    <w:rsid w:val="004801FD"/>
    <w:rsid w:val="004C69D9"/>
    <w:rsid w:val="004D1399"/>
    <w:rsid w:val="004D3CBA"/>
    <w:rsid w:val="004D62F3"/>
    <w:rsid w:val="00502D04"/>
    <w:rsid w:val="00524588"/>
    <w:rsid w:val="00536F3A"/>
    <w:rsid w:val="005400AF"/>
    <w:rsid w:val="00541B0D"/>
    <w:rsid w:val="00574F7F"/>
    <w:rsid w:val="005925C5"/>
    <w:rsid w:val="005B63F3"/>
    <w:rsid w:val="005E5793"/>
    <w:rsid w:val="005E7542"/>
    <w:rsid w:val="00625EAA"/>
    <w:rsid w:val="00631F49"/>
    <w:rsid w:val="00637DCE"/>
    <w:rsid w:val="00647E75"/>
    <w:rsid w:val="006830A6"/>
    <w:rsid w:val="006D1359"/>
    <w:rsid w:val="006D56D6"/>
    <w:rsid w:val="006D6AB7"/>
    <w:rsid w:val="006E1DF6"/>
    <w:rsid w:val="006F75B9"/>
    <w:rsid w:val="007167E6"/>
    <w:rsid w:val="007229EF"/>
    <w:rsid w:val="00740DA2"/>
    <w:rsid w:val="00746047"/>
    <w:rsid w:val="00771F5C"/>
    <w:rsid w:val="00783274"/>
    <w:rsid w:val="007862D8"/>
    <w:rsid w:val="00792A5D"/>
    <w:rsid w:val="00792B03"/>
    <w:rsid w:val="007B0BED"/>
    <w:rsid w:val="007C7960"/>
    <w:rsid w:val="007D0B21"/>
    <w:rsid w:val="007D7C37"/>
    <w:rsid w:val="007F45D3"/>
    <w:rsid w:val="0082079E"/>
    <w:rsid w:val="008A326A"/>
    <w:rsid w:val="008B671D"/>
    <w:rsid w:val="008C0CA3"/>
    <w:rsid w:val="008C4007"/>
    <w:rsid w:val="008D0550"/>
    <w:rsid w:val="008E0965"/>
    <w:rsid w:val="008F2545"/>
    <w:rsid w:val="008F48AD"/>
    <w:rsid w:val="00927B66"/>
    <w:rsid w:val="00932471"/>
    <w:rsid w:val="0094055D"/>
    <w:rsid w:val="00963BDF"/>
    <w:rsid w:val="009864ED"/>
    <w:rsid w:val="009B6EAC"/>
    <w:rsid w:val="009D6043"/>
    <w:rsid w:val="009E6D2F"/>
    <w:rsid w:val="00A133F8"/>
    <w:rsid w:val="00A8540C"/>
    <w:rsid w:val="00A94FF6"/>
    <w:rsid w:val="00AA74EF"/>
    <w:rsid w:val="00AD22CB"/>
    <w:rsid w:val="00AE57D2"/>
    <w:rsid w:val="00AE77E8"/>
    <w:rsid w:val="00AF6F58"/>
    <w:rsid w:val="00B031B4"/>
    <w:rsid w:val="00B17770"/>
    <w:rsid w:val="00B54CC5"/>
    <w:rsid w:val="00B66A61"/>
    <w:rsid w:val="00B75A35"/>
    <w:rsid w:val="00B8223A"/>
    <w:rsid w:val="00BD6C09"/>
    <w:rsid w:val="00BD799F"/>
    <w:rsid w:val="00BE03AB"/>
    <w:rsid w:val="00BE417E"/>
    <w:rsid w:val="00C015C0"/>
    <w:rsid w:val="00C557CC"/>
    <w:rsid w:val="00C6495F"/>
    <w:rsid w:val="00C759E8"/>
    <w:rsid w:val="00C92B19"/>
    <w:rsid w:val="00CA16DF"/>
    <w:rsid w:val="00CC314E"/>
    <w:rsid w:val="00CC3738"/>
    <w:rsid w:val="00CD44A6"/>
    <w:rsid w:val="00CF37E9"/>
    <w:rsid w:val="00D00615"/>
    <w:rsid w:val="00D016D7"/>
    <w:rsid w:val="00D30077"/>
    <w:rsid w:val="00D30892"/>
    <w:rsid w:val="00D74B6C"/>
    <w:rsid w:val="00D85C35"/>
    <w:rsid w:val="00DC20F3"/>
    <w:rsid w:val="00E03CBE"/>
    <w:rsid w:val="00E63430"/>
    <w:rsid w:val="00E86B90"/>
    <w:rsid w:val="00EE4E46"/>
    <w:rsid w:val="00F0269B"/>
    <w:rsid w:val="00F10574"/>
    <w:rsid w:val="00F117CF"/>
    <w:rsid w:val="00F153CF"/>
    <w:rsid w:val="00F16B4C"/>
    <w:rsid w:val="00F2348B"/>
    <w:rsid w:val="00F27C47"/>
    <w:rsid w:val="00F33EC8"/>
    <w:rsid w:val="00F360D6"/>
    <w:rsid w:val="00F5618E"/>
    <w:rsid w:val="00F57D96"/>
    <w:rsid w:val="00F57FE3"/>
    <w:rsid w:val="00F61E13"/>
    <w:rsid w:val="00F93E4C"/>
    <w:rsid w:val="00F94EAD"/>
    <w:rsid w:val="00FA013E"/>
    <w:rsid w:val="00FA6AF8"/>
    <w:rsid w:val="00FC2BDF"/>
    <w:rsid w:val="00FE5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68C671"/>
  <w15:chartTrackingRefBased/>
  <w15:docId w15:val="{C3973F12-F2BB-4AA3-B8FE-E1BAF235E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360D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36F3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015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015C0"/>
  </w:style>
  <w:style w:type="paragraph" w:styleId="Stopka">
    <w:name w:val="footer"/>
    <w:basedOn w:val="Normalny"/>
    <w:link w:val="StopkaZnak"/>
    <w:uiPriority w:val="99"/>
    <w:unhideWhenUsed/>
    <w:rsid w:val="00C015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015C0"/>
  </w:style>
  <w:style w:type="character" w:customStyle="1" w:styleId="Nagwek4Znak">
    <w:name w:val="Nagłówek 4 Znak"/>
    <w:basedOn w:val="Domylnaczcionkaakapitu"/>
    <w:link w:val="Nagwek4"/>
    <w:uiPriority w:val="9"/>
    <w:semiHidden/>
    <w:rsid w:val="00536F3A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table" w:styleId="Tabela-Siatka">
    <w:name w:val="Table Grid"/>
    <w:basedOn w:val="Standardowy"/>
    <w:uiPriority w:val="39"/>
    <w:rsid w:val="00647E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F360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124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38DF60-B0DB-4118-BF9A-F7D2372EC5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2088</Words>
  <Characters>12529</Characters>
  <Application>Microsoft Office Word</Application>
  <DocSecurity>0</DocSecurity>
  <Lines>104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Kuderska-Kaniuka</dc:creator>
  <cp:keywords/>
  <dc:description/>
  <cp:lastModifiedBy>Iwona Bobek</cp:lastModifiedBy>
  <cp:revision>3</cp:revision>
  <cp:lastPrinted>2021-12-16T09:44:00Z</cp:lastPrinted>
  <dcterms:created xsi:type="dcterms:W3CDTF">2021-12-28T13:17:00Z</dcterms:created>
  <dcterms:modified xsi:type="dcterms:W3CDTF">2021-12-28T13:21:00Z</dcterms:modified>
</cp:coreProperties>
</file>