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045D" w14:textId="6F23A2F7" w:rsidR="000918C6" w:rsidRPr="008A220B" w:rsidRDefault="000918C6" w:rsidP="0065695E">
      <w:pPr>
        <w:jc w:val="center"/>
        <w:rPr>
          <w:rFonts w:ascii="Aptos" w:hAnsi="Aptos"/>
          <w:b/>
          <w:bCs/>
        </w:rPr>
      </w:pPr>
      <w:r w:rsidRPr="008A220B">
        <w:rPr>
          <w:rFonts w:ascii="Aptos" w:hAnsi="Aptos"/>
          <w:b/>
          <w:bCs/>
        </w:rPr>
        <w:t>Podsumowanie programu edukacyjnego „Podstępne WZW” w województwie podkarpackim w roku szkolnym 2024/2025</w:t>
      </w:r>
    </w:p>
    <w:p w14:paraId="03AC3D5F" w14:textId="4798434C" w:rsidR="0065695E" w:rsidRPr="008A220B" w:rsidRDefault="0065695E" w:rsidP="0065695E">
      <w:pPr>
        <w:rPr>
          <w:rFonts w:ascii="Aptos" w:hAnsi="Aptos"/>
        </w:rPr>
      </w:pPr>
      <w:r w:rsidRPr="008A220B">
        <w:rPr>
          <w:rFonts w:ascii="Aptos" w:hAnsi="Aptos"/>
        </w:rPr>
        <w:t xml:space="preserve">W roku szkolnym 2024/2025 na terenie województwa podkarpackiego realizowany był program edukacyjny „Podstępne WZW”, którego organizatorami są </w:t>
      </w:r>
      <w:r w:rsidR="00023496" w:rsidRPr="008A220B">
        <w:rPr>
          <w:rFonts w:ascii="Aptos" w:hAnsi="Aptos"/>
        </w:rPr>
        <w:t>Fundacja Gwiazda Nadziei</w:t>
      </w:r>
      <w:r w:rsidR="00023496" w:rsidRPr="008A220B">
        <w:rPr>
          <w:rFonts w:ascii="Aptos" w:hAnsi="Aptos"/>
        </w:rPr>
        <w:t xml:space="preserve"> oraz </w:t>
      </w:r>
      <w:r w:rsidRPr="008A220B">
        <w:rPr>
          <w:rFonts w:ascii="Aptos" w:hAnsi="Aptos"/>
        </w:rPr>
        <w:t xml:space="preserve">Państwowa Inspekcja Sanitarna. Celem programu było zwiększenie świadomości młodzieży w zakresie wirusowego zapalenia wątroby typu B i C, wskazanie dróg szerzenia się zakażeń, propagowanie profilaktyki, a także kształtowanie postaw sprzyjających zdrowiu i odpowiedzialnym </w:t>
      </w:r>
      <w:proofErr w:type="spellStart"/>
      <w:r w:rsidRPr="008A220B">
        <w:rPr>
          <w:rFonts w:ascii="Aptos" w:hAnsi="Aptos"/>
        </w:rPr>
        <w:t>zachowaniom</w:t>
      </w:r>
      <w:proofErr w:type="spellEnd"/>
      <w:r w:rsidRPr="008A220B">
        <w:rPr>
          <w:rFonts w:ascii="Aptos" w:hAnsi="Aptos"/>
        </w:rPr>
        <w:t>.</w:t>
      </w:r>
    </w:p>
    <w:p w14:paraId="49DB5C9C" w14:textId="42436AAD" w:rsidR="0065695E" w:rsidRPr="0065695E" w:rsidRDefault="0065695E" w:rsidP="0065695E">
      <w:pPr>
        <w:rPr>
          <w:rFonts w:ascii="Aptos" w:hAnsi="Aptos"/>
        </w:rPr>
      </w:pPr>
      <w:r w:rsidRPr="0065695E">
        <w:rPr>
          <w:rFonts w:ascii="Aptos" w:hAnsi="Aptos"/>
        </w:rPr>
        <w:t>Wirusowe zapalenie wątroby uznawane jest przez Światową Organizację Zdrowia (WHO) za jedno z największych wyzwań zdrowotnych współczesnego świata, porównywalne</w:t>
      </w:r>
      <w:r w:rsidRPr="008A220B">
        <w:rPr>
          <w:rFonts w:ascii="Aptos" w:hAnsi="Aptos"/>
        </w:rPr>
        <w:t xml:space="preserve"> </w:t>
      </w:r>
      <w:r w:rsidRPr="0065695E">
        <w:rPr>
          <w:rFonts w:ascii="Aptos" w:hAnsi="Aptos"/>
        </w:rPr>
        <w:t>z</w:t>
      </w:r>
      <w:r w:rsidRPr="008A220B">
        <w:rPr>
          <w:rFonts w:ascii="Aptos" w:hAnsi="Aptos"/>
        </w:rPr>
        <w:t xml:space="preserve">  </w:t>
      </w:r>
      <w:r w:rsidRPr="0065695E">
        <w:rPr>
          <w:rFonts w:ascii="Aptos" w:hAnsi="Aptos"/>
        </w:rPr>
        <w:t>HIV, gruźlicą czy malarią. Szacuje się, że co dwunasta osoba na świecie jest zakażona wirusem HBV lub HCV. Choroby te często przebiegają bezobjawowo, co sprawia, że wiele osób nie jest świadomych swojego stanu zdrowia. Brak odpowiedniej wiedzy oraz niepodejmowanie leczenia mogą prowadzić do ciężkich konsekwencji zdrowotnych, a</w:t>
      </w:r>
      <w:r w:rsidRPr="008A220B">
        <w:rPr>
          <w:rFonts w:ascii="Aptos" w:hAnsi="Aptos"/>
        </w:rPr>
        <w:t> </w:t>
      </w:r>
      <w:r w:rsidRPr="0065695E">
        <w:rPr>
          <w:rFonts w:ascii="Aptos" w:hAnsi="Aptos"/>
        </w:rPr>
        <w:t>nawet śmierci.</w:t>
      </w:r>
    </w:p>
    <w:p w14:paraId="241B6416" w14:textId="1CC2CEC0" w:rsidR="0065695E" w:rsidRPr="008A220B" w:rsidRDefault="0065695E" w:rsidP="0065695E">
      <w:pPr>
        <w:rPr>
          <w:rFonts w:ascii="Aptos" w:hAnsi="Aptos"/>
        </w:rPr>
      </w:pPr>
      <w:r w:rsidRPr="0065695E">
        <w:rPr>
          <w:rFonts w:ascii="Aptos" w:hAnsi="Aptos"/>
        </w:rPr>
        <w:t>Program „Podstępne WZW” jest odpowiedzią na realne zagrożenia związane z</w:t>
      </w:r>
      <w:r w:rsidRPr="008A220B">
        <w:rPr>
          <w:rFonts w:ascii="Aptos" w:hAnsi="Aptos"/>
        </w:rPr>
        <w:t> </w:t>
      </w:r>
      <w:r w:rsidRPr="0065695E">
        <w:rPr>
          <w:rFonts w:ascii="Aptos" w:hAnsi="Aptos"/>
        </w:rPr>
        <w:t xml:space="preserve">zakażeniami wirusami </w:t>
      </w:r>
      <w:proofErr w:type="spellStart"/>
      <w:r w:rsidRPr="0065695E">
        <w:rPr>
          <w:rFonts w:ascii="Aptos" w:hAnsi="Aptos"/>
        </w:rPr>
        <w:t>hepatotropowymi</w:t>
      </w:r>
      <w:proofErr w:type="spellEnd"/>
      <w:r w:rsidRPr="0065695E">
        <w:rPr>
          <w:rFonts w:ascii="Aptos" w:hAnsi="Aptos"/>
        </w:rPr>
        <w:t>. Jednym z najskuteczniejszych sposobów ich ograniczania jest rzetelna edukacja i kształtowanie odpowiedzialnych postaw zdrowotnych. Dlatego tak ważne jest, aby młodzież była świadoma zarówno źródeł zakażeń, jak i możliwości ochrony przed nimi.</w:t>
      </w:r>
    </w:p>
    <w:p w14:paraId="62E1ECBC" w14:textId="600D30FC" w:rsidR="00023496" w:rsidRPr="00023496" w:rsidRDefault="00023496" w:rsidP="00023496">
      <w:pPr>
        <w:rPr>
          <w:rFonts w:ascii="Aptos" w:hAnsi="Aptos"/>
        </w:rPr>
      </w:pPr>
      <w:r w:rsidRPr="00023496">
        <w:rPr>
          <w:rFonts w:ascii="Aptos" w:hAnsi="Aptos"/>
        </w:rPr>
        <w:t xml:space="preserve">W roku szkolnym 2024/2025 na terenie województwa podkarpackiego program edukacyjny „Podstępne WZW” został zrealizowany w 118 szkołach ponadpodstawowych, obejmując 392 klasy. W programie uczestniczyło łącznie 10 197 uczniów, a działania edukacyjne objęły dodatkowo </w:t>
      </w:r>
      <w:r w:rsidRPr="008A220B">
        <w:rPr>
          <w:rFonts w:ascii="Aptos" w:hAnsi="Aptos"/>
        </w:rPr>
        <w:t xml:space="preserve">3 265 </w:t>
      </w:r>
      <w:r w:rsidRPr="00023496">
        <w:rPr>
          <w:rFonts w:ascii="Aptos" w:hAnsi="Aptos"/>
        </w:rPr>
        <w:t xml:space="preserve">rodziców i opiekunów. </w:t>
      </w:r>
    </w:p>
    <w:p w14:paraId="1043DBB1" w14:textId="522A8677" w:rsidR="00023496" w:rsidRPr="00023496" w:rsidRDefault="00023496" w:rsidP="00023496">
      <w:pPr>
        <w:rPr>
          <w:rFonts w:ascii="Aptos" w:hAnsi="Aptos"/>
        </w:rPr>
      </w:pPr>
      <w:r w:rsidRPr="00023496">
        <w:rPr>
          <w:rFonts w:ascii="Aptos" w:hAnsi="Aptos"/>
        </w:rPr>
        <w:t>Treści programu znalazły praktyczne odzwierciedlenie w podejmowanych dodatkowych działaniach, takich jak wystawy, ekspozycje materiałów edukacyjnych, prezentacje multimedialne, konsultacje dotyczące profilaktyki zakażeń wirusami HAV, HBV i HCV, a</w:t>
      </w:r>
      <w:r w:rsidR="008A220B" w:rsidRPr="008A220B">
        <w:rPr>
          <w:rFonts w:ascii="Aptos" w:hAnsi="Aptos"/>
        </w:rPr>
        <w:t> </w:t>
      </w:r>
      <w:r w:rsidRPr="00023496">
        <w:rPr>
          <w:rFonts w:ascii="Aptos" w:hAnsi="Aptos"/>
        </w:rPr>
        <w:t xml:space="preserve"> także publikacje materiałów na stronach internetowych szkół i w mediach społecznościowych placówek oświatowych oraz inspekcji sanitarnej województwa </w:t>
      </w:r>
      <w:r w:rsidRPr="00023496">
        <w:rPr>
          <w:rFonts w:ascii="Aptos" w:hAnsi="Aptos"/>
        </w:rPr>
        <w:lastRenderedPageBreak/>
        <w:t>podkarpackiego.</w:t>
      </w:r>
    </w:p>
    <w:p w14:paraId="164FBE4A" w14:textId="77777777" w:rsidR="00023496" w:rsidRPr="00023496" w:rsidRDefault="00023496" w:rsidP="00023496">
      <w:pPr>
        <w:rPr>
          <w:rFonts w:ascii="Aptos" w:hAnsi="Aptos"/>
        </w:rPr>
      </w:pPr>
      <w:r w:rsidRPr="00023496">
        <w:rPr>
          <w:rFonts w:ascii="Aptos" w:hAnsi="Aptos"/>
        </w:rPr>
        <w:t>Analiza kwestionariuszy otrzymanych od koordynatorów szkolnych oraz ankiet wypełnianych przez uczniów przed i po zajęciach pokazała, że problem wirusowego zapalenia wątroby typu A, B i C pozostaje aktualny, a edukacja w tym zakresie cieszy się dużym zainteresowaniem. Przekazywane treści zostały ocenione jako rzetelne, atrakcyjne i dostosowane do wieku odbiorców, co potwierdza skuteczność programu w podnoszeniu świadomości młodzieży.</w:t>
      </w:r>
    </w:p>
    <w:p w14:paraId="0A006333" w14:textId="217C9B28" w:rsidR="00023496" w:rsidRPr="00023496" w:rsidRDefault="00023496" w:rsidP="00023496">
      <w:pPr>
        <w:rPr>
          <w:rFonts w:ascii="Aptos" w:hAnsi="Aptos"/>
        </w:rPr>
      </w:pPr>
      <w:r w:rsidRPr="00023496">
        <w:rPr>
          <w:rFonts w:ascii="Aptos" w:hAnsi="Aptos"/>
        </w:rPr>
        <w:t>W ramach realizacji programu przeprowadzono ankietyzację wśród uczniów w każdym z</w:t>
      </w:r>
      <w:r w:rsidR="008A220B" w:rsidRPr="008A220B">
        <w:rPr>
          <w:rFonts w:ascii="Aptos" w:hAnsi="Aptos"/>
        </w:rPr>
        <w:t> </w:t>
      </w:r>
      <w:r w:rsidRPr="00023496">
        <w:rPr>
          <w:rFonts w:ascii="Aptos" w:hAnsi="Aptos"/>
        </w:rPr>
        <w:t>20 powiatów województwa podkarpackiego (po dwie klasy z dwóch szkół w każdym powiecie). Ankietę wiedzy przed zajęciami wypełniło 755 uczniów, po zajęciach 730, a</w:t>
      </w:r>
      <w:r w:rsidR="008A220B" w:rsidRPr="008A220B">
        <w:rPr>
          <w:rFonts w:ascii="Aptos" w:hAnsi="Aptos"/>
        </w:rPr>
        <w:t> </w:t>
      </w:r>
      <w:r w:rsidRPr="00023496">
        <w:rPr>
          <w:rFonts w:ascii="Aptos" w:hAnsi="Aptos"/>
        </w:rPr>
        <w:t xml:space="preserve">ankietę ewaluacyjną </w:t>
      </w:r>
      <w:r w:rsidRPr="008A220B">
        <w:rPr>
          <w:rFonts w:ascii="Aptos" w:hAnsi="Aptos"/>
        </w:rPr>
        <w:t>-</w:t>
      </w:r>
      <w:r w:rsidRPr="00023496">
        <w:rPr>
          <w:rFonts w:ascii="Aptos" w:hAnsi="Aptos"/>
        </w:rPr>
        <w:t xml:space="preserve"> 569 uczniów.</w:t>
      </w:r>
    </w:p>
    <w:p w14:paraId="4BEA5C31" w14:textId="36958683" w:rsidR="00023496" w:rsidRPr="00023496" w:rsidRDefault="00023496" w:rsidP="00023496">
      <w:pPr>
        <w:rPr>
          <w:rFonts w:ascii="Aptos" w:hAnsi="Aptos"/>
        </w:rPr>
      </w:pPr>
      <w:r w:rsidRPr="00023496">
        <w:rPr>
          <w:rFonts w:ascii="Aptos" w:hAnsi="Aptos"/>
        </w:rPr>
        <w:t>Analiza wyników wykazała wyraźny wzrost poziomu wiedzy</w:t>
      </w:r>
      <w:r w:rsidR="008A220B" w:rsidRPr="008A220B">
        <w:rPr>
          <w:rFonts w:ascii="Aptos" w:hAnsi="Aptos"/>
        </w:rPr>
        <w:t>. Ś</w:t>
      </w:r>
      <w:r w:rsidRPr="00023496">
        <w:rPr>
          <w:rFonts w:ascii="Aptos" w:hAnsi="Aptos"/>
        </w:rPr>
        <w:t>redni odsetek poprawnych odpowiedzi wyniósł 59% przed zajęciami i 78% po ich zakończeniu. Największa poprawa dotyczyła świadomości, że wirusowe zapalenie wątroby typu B i C to choroby zakaźne (wzrost z 64,6% do 94,1%) oraz wiedzy na temat możliwości zakażenia podczas zabiegów naruszających ciągłość skóry, takich jak przekłuwanie uszu czy tatuaż (z 71,9% do 87,2%). Znacząco wzrosła również znajomość faktu, że nie istnieje szczepionka przeciwko wirusowi HCV oraz że przewlekłego WZW typu B nie można całkowicie wyleczyć.</w:t>
      </w:r>
    </w:p>
    <w:p w14:paraId="78DF9445" w14:textId="29D6D9CE" w:rsidR="00023496" w:rsidRPr="00023496" w:rsidRDefault="00023496" w:rsidP="00023496">
      <w:pPr>
        <w:rPr>
          <w:rFonts w:ascii="Aptos" w:hAnsi="Aptos"/>
        </w:rPr>
      </w:pPr>
      <w:r w:rsidRPr="00023496">
        <w:rPr>
          <w:rFonts w:ascii="Aptos" w:hAnsi="Aptos"/>
        </w:rPr>
        <w:t>Z ankiet ewaluacyjnych wynika, że ponad 75% uczestników uznało tematykę programu za ważną i potrzebną, a ponad 60% oceniło zajęcia na najwyższe noty (4–5 punktów w</w:t>
      </w:r>
      <w:r w:rsidR="008A220B" w:rsidRPr="008A220B">
        <w:rPr>
          <w:rFonts w:ascii="Aptos" w:hAnsi="Aptos"/>
        </w:rPr>
        <w:t> </w:t>
      </w:r>
      <w:r w:rsidRPr="00023496">
        <w:rPr>
          <w:rFonts w:ascii="Aptos" w:hAnsi="Aptos"/>
        </w:rPr>
        <w:t>pięciostopniowej skali). Uczniowie podkreślali, że zdobyta wiedza pozwoli im unikać ryzykownych zachowań sprzyjających zakażeniom, a sposób prowadzenia zajęć był interesujący, przystępny i atrakcyjny. Większość szkół zadeklarowała chęć kontynuacji programu w kolejnym roku szkolnym.</w:t>
      </w:r>
    </w:p>
    <w:p w14:paraId="34481E6B" w14:textId="77777777" w:rsidR="00023496" w:rsidRPr="00023496" w:rsidRDefault="00023496" w:rsidP="00023496">
      <w:pPr>
        <w:rPr>
          <w:rFonts w:ascii="Aptos" w:hAnsi="Aptos"/>
        </w:rPr>
      </w:pPr>
      <w:r w:rsidRPr="00023496">
        <w:rPr>
          <w:rFonts w:ascii="Aptos" w:hAnsi="Aptos"/>
        </w:rPr>
        <w:t>Program edukacyjny „Podstępne WZW”, realizowany przez Państwową Inspekcję Sanitarną województwa podkarpackiego we współpracy z Fundacją Gwiazda Nadziei, potwierdza swoją skuteczność oraz potrzebę dalszej kontynuacji.</w:t>
      </w:r>
    </w:p>
    <w:p w14:paraId="1D7ACA4D" w14:textId="77777777" w:rsidR="00023496" w:rsidRPr="008A220B" w:rsidRDefault="00023496" w:rsidP="00023496">
      <w:pPr>
        <w:rPr>
          <w:rFonts w:ascii="Aptos" w:hAnsi="Aptos"/>
        </w:rPr>
      </w:pPr>
    </w:p>
    <w:p w14:paraId="78F7B5CC" w14:textId="68064FD4" w:rsidR="00E4281D" w:rsidRPr="008A220B" w:rsidRDefault="00E4281D" w:rsidP="00E4281D">
      <w:pPr>
        <w:spacing w:after="0"/>
        <w:jc w:val="left"/>
        <w:rPr>
          <w:rFonts w:ascii="Aptos" w:hAnsi="Aptos"/>
        </w:rPr>
      </w:pPr>
      <w:r w:rsidRPr="008A220B">
        <w:rPr>
          <w:rFonts w:ascii="Aptos" w:hAnsi="Aptos"/>
        </w:rPr>
        <w:lastRenderedPageBreak/>
        <w:t>Realizacja programu w ostatnich 4 latach w liczbach:</w:t>
      </w:r>
    </w:p>
    <w:tbl>
      <w:tblPr>
        <w:tblStyle w:val="Tabela-Siatka"/>
        <w:tblW w:w="0" w:type="auto"/>
        <w:tblInd w:w="-5" w:type="dxa"/>
        <w:tblLook w:val="04A0" w:firstRow="1" w:lastRow="0" w:firstColumn="1" w:lastColumn="0" w:noHBand="0" w:noVBand="1"/>
      </w:tblPr>
      <w:tblGrid>
        <w:gridCol w:w="2977"/>
        <w:gridCol w:w="1559"/>
        <w:gridCol w:w="1461"/>
        <w:gridCol w:w="1617"/>
        <w:gridCol w:w="1453"/>
      </w:tblGrid>
      <w:tr w:rsidR="00E4281D" w:rsidRPr="008A220B" w14:paraId="023B8504" w14:textId="77777777" w:rsidTr="00E4281D">
        <w:tc>
          <w:tcPr>
            <w:tcW w:w="2977" w:type="dxa"/>
          </w:tcPr>
          <w:p w14:paraId="52064EF7" w14:textId="77777777" w:rsidR="00E4281D" w:rsidRPr="008A220B" w:rsidRDefault="00E4281D" w:rsidP="00E4281D">
            <w:pPr>
              <w:pStyle w:val="Akapitzlist"/>
              <w:ind w:left="0"/>
              <w:jc w:val="left"/>
              <w:rPr>
                <w:rFonts w:ascii="Aptos" w:hAnsi="Aptos"/>
              </w:rPr>
            </w:pPr>
          </w:p>
        </w:tc>
        <w:tc>
          <w:tcPr>
            <w:tcW w:w="1559" w:type="dxa"/>
          </w:tcPr>
          <w:p w14:paraId="57103D4F" w14:textId="77777777" w:rsidR="00E4281D" w:rsidRPr="008A220B" w:rsidRDefault="00E4281D" w:rsidP="00E4281D">
            <w:pPr>
              <w:pStyle w:val="Akapitzlist"/>
              <w:ind w:left="0"/>
              <w:jc w:val="left"/>
              <w:rPr>
                <w:rFonts w:ascii="Aptos" w:hAnsi="Aptos"/>
              </w:rPr>
            </w:pPr>
            <w:r w:rsidRPr="008A220B">
              <w:rPr>
                <w:rFonts w:ascii="Aptos" w:hAnsi="Aptos"/>
              </w:rPr>
              <w:t>2021/22</w:t>
            </w:r>
          </w:p>
        </w:tc>
        <w:tc>
          <w:tcPr>
            <w:tcW w:w="1461" w:type="dxa"/>
          </w:tcPr>
          <w:p w14:paraId="250CE8E7" w14:textId="77777777" w:rsidR="00E4281D" w:rsidRPr="008A220B" w:rsidRDefault="00E4281D" w:rsidP="00E4281D">
            <w:pPr>
              <w:pStyle w:val="Akapitzlist"/>
              <w:ind w:left="0"/>
              <w:jc w:val="left"/>
              <w:rPr>
                <w:rFonts w:ascii="Aptos" w:hAnsi="Aptos"/>
              </w:rPr>
            </w:pPr>
            <w:r w:rsidRPr="008A220B">
              <w:rPr>
                <w:rFonts w:ascii="Aptos" w:hAnsi="Aptos"/>
              </w:rPr>
              <w:t>2022/23</w:t>
            </w:r>
          </w:p>
        </w:tc>
        <w:tc>
          <w:tcPr>
            <w:tcW w:w="1617" w:type="dxa"/>
          </w:tcPr>
          <w:p w14:paraId="7B4F9A4A" w14:textId="77777777" w:rsidR="00E4281D" w:rsidRPr="008A220B" w:rsidRDefault="00E4281D" w:rsidP="00E4281D">
            <w:pPr>
              <w:pStyle w:val="Akapitzlist"/>
              <w:ind w:left="0"/>
              <w:jc w:val="left"/>
              <w:rPr>
                <w:rFonts w:ascii="Aptos" w:hAnsi="Aptos"/>
              </w:rPr>
            </w:pPr>
            <w:r w:rsidRPr="008A220B">
              <w:rPr>
                <w:rFonts w:ascii="Aptos" w:hAnsi="Aptos"/>
              </w:rPr>
              <w:t>2023/24</w:t>
            </w:r>
          </w:p>
        </w:tc>
        <w:tc>
          <w:tcPr>
            <w:tcW w:w="1453" w:type="dxa"/>
          </w:tcPr>
          <w:p w14:paraId="37DF07D0" w14:textId="77777777" w:rsidR="00E4281D" w:rsidRPr="008A220B" w:rsidRDefault="00E4281D" w:rsidP="00E4281D">
            <w:pPr>
              <w:pStyle w:val="Akapitzlist"/>
              <w:ind w:left="0"/>
              <w:jc w:val="left"/>
              <w:rPr>
                <w:rFonts w:ascii="Aptos" w:hAnsi="Aptos"/>
              </w:rPr>
            </w:pPr>
            <w:r w:rsidRPr="008A220B">
              <w:rPr>
                <w:rFonts w:ascii="Aptos" w:hAnsi="Aptos"/>
              </w:rPr>
              <w:t>2024/25</w:t>
            </w:r>
          </w:p>
        </w:tc>
      </w:tr>
      <w:tr w:rsidR="00E4281D" w:rsidRPr="008A220B" w14:paraId="42ACE913" w14:textId="77777777" w:rsidTr="00E4281D">
        <w:tc>
          <w:tcPr>
            <w:tcW w:w="2977" w:type="dxa"/>
          </w:tcPr>
          <w:p w14:paraId="406AA4BF" w14:textId="77777777" w:rsidR="00E4281D" w:rsidRPr="008A220B" w:rsidRDefault="00E4281D" w:rsidP="00E4281D">
            <w:pPr>
              <w:pStyle w:val="Akapitzlist"/>
              <w:ind w:left="0"/>
              <w:jc w:val="left"/>
              <w:rPr>
                <w:rFonts w:ascii="Aptos" w:hAnsi="Aptos"/>
              </w:rPr>
            </w:pPr>
            <w:r w:rsidRPr="008A220B">
              <w:rPr>
                <w:rFonts w:ascii="Aptos" w:hAnsi="Aptos"/>
              </w:rPr>
              <w:t>Liczba szkół</w:t>
            </w:r>
          </w:p>
        </w:tc>
        <w:tc>
          <w:tcPr>
            <w:tcW w:w="1559" w:type="dxa"/>
          </w:tcPr>
          <w:p w14:paraId="563F195E" w14:textId="77777777" w:rsidR="00E4281D" w:rsidRPr="008A220B" w:rsidRDefault="00E4281D" w:rsidP="00E4281D">
            <w:pPr>
              <w:pStyle w:val="Akapitzlist"/>
              <w:ind w:left="0"/>
              <w:jc w:val="left"/>
              <w:rPr>
                <w:rFonts w:ascii="Aptos" w:hAnsi="Aptos"/>
              </w:rPr>
            </w:pPr>
            <w:r w:rsidRPr="008A220B">
              <w:rPr>
                <w:rFonts w:ascii="Aptos" w:hAnsi="Aptos"/>
              </w:rPr>
              <w:t>74</w:t>
            </w:r>
          </w:p>
        </w:tc>
        <w:tc>
          <w:tcPr>
            <w:tcW w:w="1461" w:type="dxa"/>
          </w:tcPr>
          <w:p w14:paraId="4DBCFDCB" w14:textId="77777777" w:rsidR="00E4281D" w:rsidRPr="008A220B" w:rsidRDefault="00E4281D" w:rsidP="00E4281D">
            <w:pPr>
              <w:pStyle w:val="Akapitzlist"/>
              <w:ind w:left="0"/>
              <w:jc w:val="left"/>
              <w:rPr>
                <w:rFonts w:ascii="Aptos" w:hAnsi="Aptos"/>
              </w:rPr>
            </w:pPr>
            <w:r w:rsidRPr="008A220B">
              <w:rPr>
                <w:rFonts w:ascii="Aptos" w:hAnsi="Aptos"/>
              </w:rPr>
              <w:t>102</w:t>
            </w:r>
          </w:p>
        </w:tc>
        <w:tc>
          <w:tcPr>
            <w:tcW w:w="1617" w:type="dxa"/>
          </w:tcPr>
          <w:p w14:paraId="66613BFF" w14:textId="77777777" w:rsidR="00E4281D" w:rsidRPr="008A220B" w:rsidRDefault="00E4281D" w:rsidP="00E4281D">
            <w:pPr>
              <w:pStyle w:val="Akapitzlist"/>
              <w:ind w:left="0"/>
              <w:jc w:val="left"/>
              <w:rPr>
                <w:rFonts w:ascii="Aptos" w:hAnsi="Aptos"/>
              </w:rPr>
            </w:pPr>
            <w:r w:rsidRPr="008A220B">
              <w:rPr>
                <w:rFonts w:ascii="Aptos" w:hAnsi="Aptos"/>
              </w:rPr>
              <w:t>108</w:t>
            </w:r>
          </w:p>
        </w:tc>
        <w:tc>
          <w:tcPr>
            <w:tcW w:w="1453" w:type="dxa"/>
          </w:tcPr>
          <w:p w14:paraId="3B478B04" w14:textId="77777777" w:rsidR="00E4281D" w:rsidRPr="008A220B" w:rsidRDefault="00E4281D" w:rsidP="00E4281D">
            <w:pPr>
              <w:pStyle w:val="Akapitzlist"/>
              <w:ind w:left="0"/>
              <w:jc w:val="left"/>
              <w:rPr>
                <w:rFonts w:ascii="Aptos" w:hAnsi="Aptos"/>
              </w:rPr>
            </w:pPr>
            <w:r w:rsidRPr="008A220B">
              <w:rPr>
                <w:rFonts w:ascii="Aptos" w:hAnsi="Aptos"/>
              </w:rPr>
              <w:t>118</w:t>
            </w:r>
          </w:p>
        </w:tc>
      </w:tr>
      <w:tr w:rsidR="00E4281D" w:rsidRPr="008A220B" w14:paraId="3C2AEF0D" w14:textId="77777777" w:rsidTr="00E4281D">
        <w:tc>
          <w:tcPr>
            <w:tcW w:w="2977" w:type="dxa"/>
          </w:tcPr>
          <w:p w14:paraId="7E7668D2" w14:textId="77777777" w:rsidR="00E4281D" w:rsidRPr="008A220B" w:rsidRDefault="00E4281D" w:rsidP="00E4281D">
            <w:pPr>
              <w:pStyle w:val="Akapitzlist"/>
              <w:ind w:left="0"/>
              <w:jc w:val="left"/>
              <w:rPr>
                <w:rFonts w:ascii="Aptos" w:hAnsi="Aptos"/>
              </w:rPr>
            </w:pPr>
            <w:r w:rsidRPr="008A220B">
              <w:rPr>
                <w:rFonts w:ascii="Aptos" w:hAnsi="Aptos"/>
              </w:rPr>
              <w:t>Liczba klas</w:t>
            </w:r>
          </w:p>
        </w:tc>
        <w:tc>
          <w:tcPr>
            <w:tcW w:w="1559" w:type="dxa"/>
          </w:tcPr>
          <w:p w14:paraId="1FA04836" w14:textId="77777777" w:rsidR="00E4281D" w:rsidRPr="008A220B" w:rsidRDefault="00E4281D" w:rsidP="00E4281D">
            <w:pPr>
              <w:pStyle w:val="Akapitzlist"/>
              <w:ind w:left="0"/>
              <w:jc w:val="left"/>
              <w:rPr>
                <w:rFonts w:ascii="Aptos" w:hAnsi="Aptos"/>
              </w:rPr>
            </w:pPr>
            <w:r w:rsidRPr="008A220B">
              <w:rPr>
                <w:rFonts w:ascii="Aptos" w:hAnsi="Aptos"/>
              </w:rPr>
              <w:t>223</w:t>
            </w:r>
          </w:p>
        </w:tc>
        <w:tc>
          <w:tcPr>
            <w:tcW w:w="1461" w:type="dxa"/>
          </w:tcPr>
          <w:p w14:paraId="62FF0646" w14:textId="77777777" w:rsidR="00E4281D" w:rsidRPr="008A220B" w:rsidRDefault="00E4281D" w:rsidP="00E4281D">
            <w:pPr>
              <w:pStyle w:val="Akapitzlist"/>
              <w:ind w:left="0"/>
              <w:jc w:val="left"/>
              <w:rPr>
                <w:rFonts w:ascii="Aptos" w:hAnsi="Aptos"/>
              </w:rPr>
            </w:pPr>
            <w:r w:rsidRPr="008A220B">
              <w:rPr>
                <w:rFonts w:ascii="Aptos" w:hAnsi="Aptos"/>
              </w:rPr>
              <w:t>330</w:t>
            </w:r>
          </w:p>
        </w:tc>
        <w:tc>
          <w:tcPr>
            <w:tcW w:w="1617" w:type="dxa"/>
            <w:vAlign w:val="center"/>
          </w:tcPr>
          <w:p w14:paraId="6CA09048" w14:textId="77777777" w:rsidR="00E4281D" w:rsidRPr="008A220B" w:rsidRDefault="00E4281D" w:rsidP="00E4281D">
            <w:pPr>
              <w:pStyle w:val="Akapitzlist"/>
              <w:ind w:left="0"/>
              <w:jc w:val="left"/>
              <w:rPr>
                <w:rFonts w:ascii="Aptos" w:hAnsi="Aptos"/>
              </w:rPr>
            </w:pPr>
            <w:r w:rsidRPr="008A220B">
              <w:rPr>
                <w:rFonts w:ascii="Aptos" w:hAnsi="Aptos"/>
              </w:rPr>
              <w:t>424</w:t>
            </w:r>
          </w:p>
        </w:tc>
        <w:tc>
          <w:tcPr>
            <w:tcW w:w="1453" w:type="dxa"/>
          </w:tcPr>
          <w:p w14:paraId="66CC06BA" w14:textId="77777777" w:rsidR="00E4281D" w:rsidRPr="008A220B" w:rsidRDefault="00E4281D" w:rsidP="00E4281D">
            <w:pPr>
              <w:pStyle w:val="Akapitzlist"/>
              <w:ind w:left="0"/>
              <w:jc w:val="left"/>
              <w:rPr>
                <w:rFonts w:ascii="Aptos" w:hAnsi="Aptos"/>
              </w:rPr>
            </w:pPr>
            <w:r w:rsidRPr="008A220B">
              <w:rPr>
                <w:rFonts w:ascii="Aptos" w:hAnsi="Aptos"/>
              </w:rPr>
              <w:t>392</w:t>
            </w:r>
          </w:p>
        </w:tc>
      </w:tr>
      <w:tr w:rsidR="00E4281D" w:rsidRPr="008A220B" w14:paraId="57DD6120" w14:textId="77777777" w:rsidTr="00E4281D">
        <w:tc>
          <w:tcPr>
            <w:tcW w:w="2977" w:type="dxa"/>
          </w:tcPr>
          <w:p w14:paraId="5621ABA0" w14:textId="77777777" w:rsidR="00E4281D" w:rsidRPr="008A220B" w:rsidRDefault="00E4281D" w:rsidP="00E4281D">
            <w:pPr>
              <w:pStyle w:val="Akapitzlist"/>
              <w:ind w:left="0"/>
              <w:jc w:val="left"/>
              <w:rPr>
                <w:rFonts w:ascii="Aptos" w:hAnsi="Aptos"/>
              </w:rPr>
            </w:pPr>
            <w:r w:rsidRPr="008A220B">
              <w:rPr>
                <w:rFonts w:ascii="Aptos" w:hAnsi="Aptos"/>
              </w:rPr>
              <w:t>Liczba uczniów</w:t>
            </w:r>
          </w:p>
        </w:tc>
        <w:tc>
          <w:tcPr>
            <w:tcW w:w="1559" w:type="dxa"/>
          </w:tcPr>
          <w:p w14:paraId="64C1F429" w14:textId="77777777" w:rsidR="00E4281D" w:rsidRPr="008A220B" w:rsidRDefault="00E4281D" w:rsidP="00E4281D">
            <w:pPr>
              <w:pStyle w:val="Akapitzlist"/>
              <w:ind w:left="0"/>
              <w:jc w:val="left"/>
              <w:rPr>
                <w:rFonts w:ascii="Aptos" w:hAnsi="Aptos"/>
              </w:rPr>
            </w:pPr>
            <w:r w:rsidRPr="008A220B">
              <w:rPr>
                <w:rFonts w:ascii="Aptos" w:hAnsi="Aptos"/>
              </w:rPr>
              <w:t>5100</w:t>
            </w:r>
          </w:p>
        </w:tc>
        <w:tc>
          <w:tcPr>
            <w:tcW w:w="1461" w:type="dxa"/>
          </w:tcPr>
          <w:p w14:paraId="7FC0BD54" w14:textId="77777777" w:rsidR="00E4281D" w:rsidRPr="008A220B" w:rsidRDefault="00E4281D" w:rsidP="00E4281D">
            <w:pPr>
              <w:pStyle w:val="Akapitzlist"/>
              <w:ind w:left="0"/>
              <w:jc w:val="left"/>
              <w:rPr>
                <w:rFonts w:ascii="Aptos" w:hAnsi="Aptos"/>
              </w:rPr>
            </w:pPr>
            <w:r w:rsidRPr="008A220B">
              <w:rPr>
                <w:rFonts w:ascii="Aptos" w:hAnsi="Aptos"/>
              </w:rPr>
              <w:t>8300</w:t>
            </w:r>
          </w:p>
        </w:tc>
        <w:tc>
          <w:tcPr>
            <w:tcW w:w="1617" w:type="dxa"/>
            <w:vAlign w:val="center"/>
          </w:tcPr>
          <w:p w14:paraId="202C4A0F" w14:textId="77777777" w:rsidR="00E4281D" w:rsidRPr="008A220B" w:rsidRDefault="00E4281D" w:rsidP="00E4281D">
            <w:pPr>
              <w:pStyle w:val="Akapitzlist"/>
              <w:ind w:left="0"/>
              <w:jc w:val="left"/>
              <w:rPr>
                <w:rFonts w:ascii="Aptos" w:hAnsi="Aptos"/>
              </w:rPr>
            </w:pPr>
            <w:r w:rsidRPr="008A220B">
              <w:rPr>
                <w:rFonts w:ascii="Aptos" w:hAnsi="Aptos"/>
              </w:rPr>
              <w:t>10447</w:t>
            </w:r>
          </w:p>
        </w:tc>
        <w:tc>
          <w:tcPr>
            <w:tcW w:w="1453" w:type="dxa"/>
          </w:tcPr>
          <w:p w14:paraId="5E21F5BE" w14:textId="77777777" w:rsidR="00E4281D" w:rsidRPr="008A220B" w:rsidRDefault="00E4281D" w:rsidP="00E4281D">
            <w:pPr>
              <w:pStyle w:val="Akapitzlist"/>
              <w:ind w:left="0"/>
              <w:jc w:val="left"/>
              <w:rPr>
                <w:rFonts w:ascii="Aptos" w:hAnsi="Aptos"/>
              </w:rPr>
            </w:pPr>
            <w:r w:rsidRPr="008A220B">
              <w:rPr>
                <w:rFonts w:ascii="Aptos" w:hAnsi="Aptos"/>
              </w:rPr>
              <w:t>10197</w:t>
            </w:r>
          </w:p>
        </w:tc>
      </w:tr>
      <w:tr w:rsidR="00E4281D" w:rsidRPr="008A220B" w14:paraId="5BBDA42A" w14:textId="77777777" w:rsidTr="00E4281D">
        <w:tc>
          <w:tcPr>
            <w:tcW w:w="2977" w:type="dxa"/>
          </w:tcPr>
          <w:p w14:paraId="62E3E011" w14:textId="77777777" w:rsidR="00E4281D" w:rsidRPr="008A220B" w:rsidRDefault="00E4281D" w:rsidP="00E4281D">
            <w:pPr>
              <w:pStyle w:val="Akapitzlist"/>
              <w:ind w:left="0"/>
              <w:jc w:val="left"/>
              <w:rPr>
                <w:rFonts w:ascii="Aptos" w:hAnsi="Aptos"/>
              </w:rPr>
            </w:pPr>
            <w:r w:rsidRPr="008A220B">
              <w:rPr>
                <w:rFonts w:ascii="Aptos" w:hAnsi="Aptos"/>
              </w:rPr>
              <w:t>Wizytacje</w:t>
            </w:r>
          </w:p>
        </w:tc>
        <w:tc>
          <w:tcPr>
            <w:tcW w:w="1559" w:type="dxa"/>
          </w:tcPr>
          <w:p w14:paraId="5B17C50A" w14:textId="77777777" w:rsidR="00E4281D" w:rsidRPr="008A220B" w:rsidRDefault="00E4281D" w:rsidP="00E4281D">
            <w:pPr>
              <w:pStyle w:val="Akapitzlist"/>
              <w:ind w:left="0"/>
              <w:jc w:val="left"/>
              <w:rPr>
                <w:rFonts w:ascii="Aptos" w:hAnsi="Aptos"/>
              </w:rPr>
            </w:pPr>
            <w:r w:rsidRPr="008A220B">
              <w:rPr>
                <w:rFonts w:ascii="Aptos" w:hAnsi="Aptos"/>
              </w:rPr>
              <w:t>33</w:t>
            </w:r>
          </w:p>
        </w:tc>
        <w:tc>
          <w:tcPr>
            <w:tcW w:w="1461" w:type="dxa"/>
          </w:tcPr>
          <w:p w14:paraId="39EEFACF" w14:textId="77777777" w:rsidR="00E4281D" w:rsidRPr="008A220B" w:rsidRDefault="00E4281D" w:rsidP="00E4281D">
            <w:pPr>
              <w:pStyle w:val="Akapitzlist"/>
              <w:ind w:left="0"/>
              <w:jc w:val="left"/>
              <w:rPr>
                <w:rFonts w:ascii="Aptos" w:hAnsi="Aptos"/>
              </w:rPr>
            </w:pPr>
            <w:r w:rsidRPr="008A220B">
              <w:rPr>
                <w:rFonts w:ascii="Aptos" w:hAnsi="Aptos"/>
              </w:rPr>
              <w:t>48</w:t>
            </w:r>
          </w:p>
        </w:tc>
        <w:tc>
          <w:tcPr>
            <w:tcW w:w="1617" w:type="dxa"/>
          </w:tcPr>
          <w:p w14:paraId="20189970" w14:textId="77777777" w:rsidR="00E4281D" w:rsidRPr="008A220B" w:rsidRDefault="00E4281D" w:rsidP="00E4281D">
            <w:pPr>
              <w:pStyle w:val="Akapitzlist"/>
              <w:ind w:left="0"/>
              <w:jc w:val="left"/>
              <w:rPr>
                <w:rFonts w:ascii="Aptos" w:hAnsi="Aptos"/>
              </w:rPr>
            </w:pPr>
            <w:r w:rsidRPr="008A220B">
              <w:rPr>
                <w:rFonts w:ascii="Aptos" w:hAnsi="Aptos"/>
              </w:rPr>
              <w:t>60</w:t>
            </w:r>
          </w:p>
        </w:tc>
        <w:tc>
          <w:tcPr>
            <w:tcW w:w="1453" w:type="dxa"/>
          </w:tcPr>
          <w:p w14:paraId="6AC3270A" w14:textId="77777777" w:rsidR="00E4281D" w:rsidRPr="008A220B" w:rsidRDefault="00E4281D" w:rsidP="00E4281D">
            <w:pPr>
              <w:pStyle w:val="Akapitzlist"/>
              <w:ind w:left="0"/>
              <w:jc w:val="left"/>
              <w:rPr>
                <w:rFonts w:ascii="Aptos" w:hAnsi="Aptos"/>
              </w:rPr>
            </w:pPr>
            <w:r w:rsidRPr="008A220B">
              <w:rPr>
                <w:rFonts w:ascii="Aptos" w:hAnsi="Aptos"/>
              </w:rPr>
              <w:t>58</w:t>
            </w:r>
          </w:p>
        </w:tc>
      </w:tr>
      <w:tr w:rsidR="00E4281D" w:rsidRPr="008A220B" w14:paraId="3B238924" w14:textId="77777777" w:rsidTr="00E4281D">
        <w:tc>
          <w:tcPr>
            <w:tcW w:w="2977" w:type="dxa"/>
          </w:tcPr>
          <w:p w14:paraId="154FD0ED" w14:textId="77777777" w:rsidR="00E4281D" w:rsidRPr="008A220B" w:rsidRDefault="00E4281D" w:rsidP="00E4281D">
            <w:pPr>
              <w:pStyle w:val="Akapitzlist"/>
              <w:ind w:left="0"/>
              <w:jc w:val="left"/>
              <w:rPr>
                <w:rFonts w:ascii="Aptos" w:hAnsi="Aptos"/>
              </w:rPr>
            </w:pPr>
            <w:r w:rsidRPr="008A220B">
              <w:rPr>
                <w:rFonts w:ascii="Aptos" w:hAnsi="Aptos"/>
              </w:rPr>
              <w:t>Oddane kwestionariusze</w:t>
            </w:r>
          </w:p>
        </w:tc>
        <w:tc>
          <w:tcPr>
            <w:tcW w:w="1559" w:type="dxa"/>
          </w:tcPr>
          <w:p w14:paraId="320EDCA1" w14:textId="77777777" w:rsidR="00E4281D" w:rsidRPr="008A220B" w:rsidRDefault="00E4281D" w:rsidP="00E4281D">
            <w:pPr>
              <w:pStyle w:val="Akapitzlist"/>
              <w:ind w:left="0"/>
              <w:jc w:val="left"/>
              <w:rPr>
                <w:rFonts w:ascii="Aptos" w:hAnsi="Aptos"/>
              </w:rPr>
            </w:pPr>
            <w:r w:rsidRPr="008A220B">
              <w:rPr>
                <w:rFonts w:ascii="Aptos" w:hAnsi="Aptos"/>
              </w:rPr>
              <w:t>66</w:t>
            </w:r>
          </w:p>
        </w:tc>
        <w:tc>
          <w:tcPr>
            <w:tcW w:w="1461" w:type="dxa"/>
          </w:tcPr>
          <w:p w14:paraId="7F32DFBB" w14:textId="77777777" w:rsidR="00E4281D" w:rsidRPr="008A220B" w:rsidRDefault="00E4281D" w:rsidP="00E4281D">
            <w:pPr>
              <w:pStyle w:val="Akapitzlist"/>
              <w:ind w:left="0"/>
              <w:jc w:val="left"/>
              <w:rPr>
                <w:rFonts w:ascii="Aptos" w:hAnsi="Aptos"/>
              </w:rPr>
            </w:pPr>
            <w:r w:rsidRPr="008A220B">
              <w:rPr>
                <w:rFonts w:ascii="Aptos" w:hAnsi="Aptos"/>
              </w:rPr>
              <w:t>101</w:t>
            </w:r>
          </w:p>
        </w:tc>
        <w:tc>
          <w:tcPr>
            <w:tcW w:w="1617" w:type="dxa"/>
          </w:tcPr>
          <w:p w14:paraId="5DBE0191" w14:textId="77777777" w:rsidR="00E4281D" w:rsidRPr="008A220B" w:rsidRDefault="00E4281D" w:rsidP="00E4281D">
            <w:pPr>
              <w:pStyle w:val="Akapitzlist"/>
              <w:ind w:left="0"/>
              <w:jc w:val="left"/>
              <w:rPr>
                <w:rFonts w:ascii="Aptos" w:hAnsi="Aptos"/>
              </w:rPr>
            </w:pPr>
            <w:r w:rsidRPr="008A220B">
              <w:rPr>
                <w:rFonts w:ascii="Aptos" w:hAnsi="Aptos"/>
              </w:rPr>
              <w:t>99</w:t>
            </w:r>
          </w:p>
        </w:tc>
        <w:tc>
          <w:tcPr>
            <w:tcW w:w="1453" w:type="dxa"/>
          </w:tcPr>
          <w:p w14:paraId="5D4F0299" w14:textId="77777777" w:rsidR="00E4281D" w:rsidRPr="008A220B" w:rsidRDefault="00E4281D" w:rsidP="00E4281D">
            <w:pPr>
              <w:pStyle w:val="Akapitzlist"/>
              <w:ind w:left="0"/>
              <w:jc w:val="left"/>
              <w:rPr>
                <w:rFonts w:ascii="Aptos" w:hAnsi="Aptos"/>
              </w:rPr>
            </w:pPr>
            <w:r w:rsidRPr="008A220B">
              <w:rPr>
                <w:rFonts w:ascii="Aptos" w:hAnsi="Aptos"/>
              </w:rPr>
              <w:t>103</w:t>
            </w:r>
          </w:p>
        </w:tc>
      </w:tr>
      <w:tr w:rsidR="00E4281D" w:rsidRPr="008A220B" w14:paraId="1DE7BBB4" w14:textId="77777777" w:rsidTr="00E4281D">
        <w:tc>
          <w:tcPr>
            <w:tcW w:w="2977" w:type="dxa"/>
          </w:tcPr>
          <w:p w14:paraId="5D50F096" w14:textId="3A6B8FA5" w:rsidR="00E4281D" w:rsidRPr="008A220B" w:rsidRDefault="00E4281D" w:rsidP="00E4281D">
            <w:pPr>
              <w:pStyle w:val="Akapitzlist"/>
              <w:ind w:left="0"/>
              <w:jc w:val="left"/>
              <w:rPr>
                <w:rFonts w:ascii="Aptos" w:hAnsi="Aptos"/>
              </w:rPr>
            </w:pPr>
            <w:r w:rsidRPr="008A220B">
              <w:rPr>
                <w:rFonts w:ascii="Aptos" w:hAnsi="Aptos"/>
              </w:rPr>
              <w:t>Liczba rodziców w</w:t>
            </w:r>
            <w:r w:rsidRPr="008A220B">
              <w:rPr>
                <w:rFonts w:ascii="Aptos" w:hAnsi="Aptos"/>
              </w:rPr>
              <w:t xml:space="preserve"> </w:t>
            </w:r>
            <w:r w:rsidRPr="008A220B">
              <w:rPr>
                <w:rFonts w:ascii="Aptos" w:hAnsi="Aptos"/>
              </w:rPr>
              <w:t>programie</w:t>
            </w:r>
          </w:p>
        </w:tc>
        <w:tc>
          <w:tcPr>
            <w:tcW w:w="1559" w:type="dxa"/>
          </w:tcPr>
          <w:p w14:paraId="052A816A" w14:textId="77777777" w:rsidR="00E4281D" w:rsidRPr="008A220B" w:rsidRDefault="00E4281D" w:rsidP="00E4281D">
            <w:pPr>
              <w:pStyle w:val="Akapitzlist"/>
              <w:ind w:left="0"/>
              <w:jc w:val="left"/>
              <w:rPr>
                <w:rFonts w:ascii="Aptos" w:hAnsi="Aptos"/>
              </w:rPr>
            </w:pPr>
            <w:r w:rsidRPr="008A220B">
              <w:rPr>
                <w:rFonts w:ascii="Aptos" w:hAnsi="Aptos"/>
              </w:rPr>
              <w:t>1000</w:t>
            </w:r>
          </w:p>
        </w:tc>
        <w:tc>
          <w:tcPr>
            <w:tcW w:w="1461" w:type="dxa"/>
          </w:tcPr>
          <w:p w14:paraId="4AB36798" w14:textId="77777777" w:rsidR="00E4281D" w:rsidRPr="008A220B" w:rsidRDefault="00E4281D" w:rsidP="00E4281D">
            <w:pPr>
              <w:pStyle w:val="Akapitzlist"/>
              <w:ind w:left="0"/>
              <w:jc w:val="left"/>
              <w:rPr>
                <w:rFonts w:ascii="Aptos" w:hAnsi="Aptos"/>
              </w:rPr>
            </w:pPr>
            <w:r w:rsidRPr="008A220B">
              <w:rPr>
                <w:rFonts w:ascii="Aptos" w:hAnsi="Aptos"/>
              </w:rPr>
              <w:t>1443</w:t>
            </w:r>
          </w:p>
        </w:tc>
        <w:tc>
          <w:tcPr>
            <w:tcW w:w="1617" w:type="dxa"/>
          </w:tcPr>
          <w:p w14:paraId="5F9A12E0" w14:textId="77777777" w:rsidR="00E4281D" w:rsidRPr="008A220B" w:rsidRDefault="00E4281D" w:rsidP="00E4281D">
            <w:pPr>
              <w:pStyle w:val="Akapitzlist"/>
              <w:ind w:left="0"/>
              <w:jc w:val="left"/>
              <w:rPr>
                <w:rFonts w:ascii="Aptos" w:hAnsi="Aptos"/>
              </w:rPr>
            </w:pPr>
            <w:r w:rsidRPr="008A220B">
              <w:rPr>
                <w:rFonts w:ascii="Aptos" w:hAnsi="Aptos"/>
              </w:rPr>
              <w:t>3327</w:t>
            </w:r>
          </w:p>
        </w:tc>
        <w:tc>
          <w:tcPr>
            <w:tcW w:w="1453" w:type="dxa"/>
          </w:tcPr>
          <w:p w14:paraId="34D3015A" w14:textId="77777777" w:rsidR="00E4281D" w:rsidRPr="008A220B" w:rsidRDefault="00E4281D" w:rsidP="00E4281D">
            <w:pPr>
              <w:pStyle w:val="Akapitzlist"/>
              <w:ind w:left="0"/>
              <w:jc w:val="left"/>
              <w:rPr>
                <w:rFonts w:ascii="Aptos" w:hAnsi="Aptos"/>
              </w:rPr>
            </w:pPr>
            <w:r w:rsidRPr="008A220B">
              <w:rPr>
                <w:rFonts w:ascii="Aptos" w:hAnsi="Aptos"/>
              </w:rPr>
              <w:t>3265</w:t>
            </w:r>
          </w:p>
        </w:tc>
      </w:tr>
    </w:tbl>
    <w:p w14:paraId="42CAAE70" w14:textId="77777777" w:rsidR="008A220B" w:rsidRPr="008A220B" w:rsidRDefault="008A220B" w:rsidP="008A220B">
      <w:pPr>
        <w:jc w:val="left"/>
        <w:rPr>
          <w:rFonts w:ascii="Aptos" w:hAnsi="Aptos"/>
          <w:b/>
          <w:bCs/>
        </w:rPr>
      </w:pPr>
    </w:p>
    <w:p w14:paraId="3CACA641" w14:textId="4672F26A" w:rsidR="008A220B" w:rsidRPr="008A220B" w:rsidRDefault="008A220B" w:rsidP="008A220B">
      <w:pPr>
        <w:jc w:val="left"/>
        <w:rPr>
          <w:rFonts w:ascii="Aptos" w:hAnsi="Aptos"/>
          <w:b/>
          <w:bCs/>
        </w:rPr>
      </w:pPr>
      <w:r w:rsidRPr="008A220B">
        <w:rPr>
          <w:rFonts w:ascii="Aptos" w:hAnsi="Aptos"/>
          <w:b/>
          <w:bCs/>
        </w:rPr>
        <w:t>Serdecznie dziękujemy wszystkim szkołom, nauczycielom, koordynatorom i uczniom za aktywny udział w tegorocznej edycji i już dziś zapraszamy do wspólnej realizacji programu w roku szkolnym 2025/2026.</w:t>
      </w:r>
    </w:p>
    <w:p w14:paraId="77EAF334" w14:textId="05D05070" w:rsidR="00C00BB3" w:rsidRPr="000918C6" w:rsidRDefault="00C00BB3" w:rsidP="000918C6"/>
    <w:sectPr w:rsidR="00C00BB3" w:rsidRPr="0009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4FAB"/>
    <w:multiLevelType w:val="hybridMultilevel"/>
    <w:tmpl w:val="37B464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6EE2201E"/>
    <w:multiLevelType w:val="hybridMultilevel"/>
    <w:tmpl w:val="9128497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938754584">
    <w:abstractNumId w:val="0"/>
  </w:num>
  <w:num w:numId="2" w16cid:durableId="34656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B3"/>
    <w:rsid w:val="00023496"/>
    <w:rsid w:val="00052EF7"/>
    <w:rsid w:val="000723E0"/>
    <w:rsid w:val="000918C6"/>
    <w:rsid w:val="00165C7D"/>
    <w:rsid w:val="001D2FFB"/>
    <w:rsid w:val="004E43B0"/>
    <w:rsid w:val="00583E8B"/>
    <w:rsid w:val="0065695E"/>
    <w:rsid w:val="00732742"/>
    <w:rsid w:val="008A220B"/>
    <w:rsid w:val="008B1733"/>
    <w:rsid w:val="0099451D"/>
    <w:rsid w:val="00AD6475"/>
    <w:rsid w:val="00B00CE1"/>
    <w:rsid w:val="00B14D97"/>
    <w:rsid w:val="00C00BB3"/>
    <w:rsid w:val="00C41E35"/>
    <w:rsid w:val="00E4281D"/>
    <w:rsid w:val="00E51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B325"/>
  <w15:chartTrackingRefBased/>
  <w15:docId w15:val="{AE3CA5A0-AFC9-4E35-BBD8-BE3BEE45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EF7"/>
    <w:pPr>
      <w:widowControl w:val="0"/>
      <w:suppressAutoHyphens/>
      <w:spacing w:before="100" w:beforeAutospacing="1" w:after="100" w:afterAutospacing="1" w:line="360" w:lineRule="auto"/>
      <w:jc w:val="both"/>
      <w:textAlignment w:val="baseline"/>
    </w:pPr>
    <w:rPr>
      <w:rFonts w:ascii="Arial" w:hAnsi="Arial" w:cs="Times New Roman"/>
      <w:sz w:val="24"/>
      <w:szCs w:val="24"/>
      <w:lang w:eastAsia="zh-CN"/>
      <w14:ligatures w14:val="none"/>
    </w:rPr>
  </w:style>
  <w:style w:type="paragraph" w:styleId="Nagwek1">
    <w:name w:val="heading 1"/>
    <w:basedOn w:val="Normalny"/>
    <w:next w:val="Normalny"/>
    <w:link w:val="Nagwek1Znak"/>
    <w:uiPriority w:val="9"/>
    <w:qFormat/>
    <w:rsid w:val="00C00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0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0B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0B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0BB3"/>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C00B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00BB3"/>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00BB3"/>
    <w:pPr>
      <w:keepNext/>
      <w:keepLines/>
      <w:spacing w:before="0"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00BB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0BB3"/>
    <w:rPr>
      <w:rFonts w:asciiTheme="majorHAnsi" w:eastAsiaTheme="majorEastAsia" w:hAnsiTheme="majorHAnsi" w:cstheme="majorBidi"/>
      <w:color w:val="2F5496" w:themeColor="accent1" w:themeShade="BF"/>
      <w:sz w:val="40"/>
      <w:szCs w:val="40"/>
      <w:lang w:eastAsia="zh-CN"/>
      <w14:ligatures w14:val="none"/>
    </w:rPr>
  </w:style>
  <w:style w:type="character" w:customStyle="1" w:styleId="Nagwek2Znak">
    <w:name w:val="Nagłówek 2 Znak"/>
    <w:basedOn w:val="Domylnaczcionkaakapitu"/>
    <w:link w:val="Nagwek2"/>
    <w:uiPriority w:val="9"/>
    <w:semiHidden/>
    <w:rsid w:val="00C00BB3"/>
    <w:rPr>
      <w:rFonts w:asciiTheme="majorHAnsi" w:eastAsiaTheme="majorEastAsia" w:hAnsiTheme="majorHAnsi" w:cstheme="majorBidi"/>
      <w:color w:val="2F5496" w:themeColor="accent1" w:themeShade="BF"/>
      <w:sz w:val="32"/>
      <w:szCs w:val="32"/>
      <w:lang w:eastAsia="zh-CN"/>
      <w14:ligatures w14:val="none"/>
    </w:rPr>
  </w:style>
  <w:style w:type="character" w:customStyle="1" w:styleId="Nagwek3Znak">
    <w:name w:val="Nagłówek 3 Znak"/>
    <w:basedOn w:val="Domylnaczcionkaakapitu"/>
    <w:link w:val="Nagwek3"/>
    <w:uiPriority w:val="9"/>
    <w:semiHidden/>
    <w:rsid w:val="00C00BB3"/>
    <w:rPr>
      <w:rFonts w:eastAsiaTheme="majorEastAsia" w:cstheme="majorBidi"/>
      <w:color w:val="2F5496" w:themeColor="accent1" w:themeShade="BF"/>
      <w:sz w:val="28"/>
      <w:szCs w:val="28"/>
      <w:lang w:eastAsia="zh-CN"/>
      <w14:ligatures w14:val="none"/>
    </w:rPr>
  </w:style>
  <w:style w:type="character" w:customStyle="1" w:styleId="Nagwek4Znak">
    <w:name w:val="Nagłówek 4 Znak"/>
    <w:basedOn w:val="Domylnaczcionkaakapitu"/>
    <w:link w:val="Nagwek4"/>
    <w:uiPriority w:val="9"/>
    <w:semiHidden/>
    <w:rsid w:val="00C00BB3"/>
    <w:rPr>
      <w:rFonts w:eastAsiaTheme="majorEastAsia" w:cstheme="majorBidi"/>
      <w:i/>
      <w:iCs/>
      <w:color w:val="2F5496" w:themeColor="accent1" w:themeShade="BF"/>
      <w:sz w:val="24"/>
      <w:szCs w:val="24"/>
      <w:lang w:eastAsia="zh-CN"/>
      <w14:ligatures w14:val="none"/>
    </w:rPr>
  </w:style>
  <w:style w:type="character" w:customStyle="1" w:styleId="Nagwek5Znak">
    <w:name w:val="Nagłówek 5 Znak"/>
    <w:basedOn w:val="Domylnaczcionkaakapitu"/>
    <w:link w:val="Nagwek5"/>
    <w:uiPriority w:val="9"/>
    <w:semiHidden/>
    <w:rsid w:val="00C00BB3"/>
    <w:rPr>
      <w:rFonts w:eastAsiaTheme="majorEastAsia" w:cstheme="majorBidi"/>
      <w:color w:val="2F5496" w:themeColor="accent1" w:themeShade="BF"/>
      <w:sz w:val="24"/>
      <w:szCs w:val="24"/>
      <w:lang w:eastAsia="zh-CN"/>
      <w14:ligatures w14:val="none"/>
    </w:rPr>
  </w:style>
  <w:style w:type="character" w:customStyle="1" w:styleId="Nagwek6Znak">
    <w:name w:val="Nagłówek 6 Znak"/>
    <w:basedOn w:val="Domylnaczcionkaakapitu"/>
    <w:link w:val="Nagwek6"/>
    <w:uiPriority w:val="9"/>
    <w:semiHidden/>
    <w:rsid w:val="00C00BB3"/>
    <w:rPr>
      <w:rFonts w:eastAsiaTheme="majorEastAsia" w:cstheme="majorBidi"/>
      <w:i/>
      <w:iCs/>
      <w:color w:val="595959" w:themeColor="text1" w:themeTint="A6"/>
      <w:sz w:val="24"/>
      <w:szCs w:val="24"/>
      <w:lang w:eastAsia="zh-CN"/>
      <w14:ligatures w14:val="none"/>
    </w:rPr>
  </w:style>
  <w:style w:type="character" w:customStyle="1" w:styleId="Nagwek7Znak">
    <w:name w:val="Nagłówek 7 Znak"/>
    <w:basedOn w:val="Domylnaczcionkaakapitu"/>
    <w:link w:val="Nagwek7"/>
    <w:uiPriority w:val="9"/>
    <w:semiHidden/>
    <w:rsid w:val="00C00BB3"/>
    <w:rPr>
      <w:rFonts w:eastAsiaTheme="majorEastAsia" w:cstheme="majorBidi"/>
      <w:color w:val="595959" w:themeColor="text1" w:themeTint="A6"/>
      <w:sz w:val="24"/>
      <w:szCs w:val="24"/>
      <w:lang w:eastAsia="zh-CN"/>
      <w14:ligatures w14:val="none"/>
    </w:rPr>
  </w:style>
  <w:style w:type="character" w:customStyle="1" w:styleId="Nagwek8Znak">
    <w:name w:val="Nagłówek 8 Znak"/>
    <w:basedOn w:val="Domylnaczcionkaakapitu"/>
    <w:link w:val="Nagwek8"/>
    <w:uiPriority w:val="9"/>
    <w:semiHidden/>
    <w:rsid w:val="00C00BB3"/>
    <w:rPr>
      <w:rFonts w:eastAsiaTheme="majorEastAsia" w:cstheme="majorBidi"/>
      <w:i/>
      <w:iCs/>
      <w:color w:val="272727" w:themeColor="text1" w:themeTint="D8"/>
      <w:sz w:val="24"/>
      <w:szCs w:val="24"/>
      <w:lang w:eastAsia="zh-CN"/>
      <w14:ligatures w14:val="none"/>
    </w:rPr>
  </w:style>
  <w:style w:type="character" w:customStyle="1" w:styleId="Nagwek9Znak">
    <w:name w:val="Nagłówek 9 Znak"/>
    <w:basedOn w:val="Domylnaczcionkaakapitu"/>
    <w:link w:val="Nagwek9"/>
    <w:uiPriority w:val="9"/>
    <w:semiHidden/>
    <w:rsid w:val="00C00BB3"/>
    <w:rPr>
      <w:rFonts w:eastAsiaTheme="majorEastAsia" w:cstheme="majorBidi"/>
      <w:color w:val="272727" w:themeColor="text1" w:themeTint="D8"/>
      <w:sz w:val="24"/>
      <w:szCs w:val="24"/>
      <w:lang w:eastAsia="zh-CN"/>
      <w14:ligatures w14:val="none"/>
    </w:rPr>
  </w:style>
  <w:style w:type="paragraph" w:styleId="Tytu">
    <w:name w:val="Title"/>
    <w:basedOn w:val="Normalny"/>
    <w:next w:val="Normalny"/>
    <w:link w:val="TytuZnak"/>
    <w:uiPriority w:val="10"/>
    <w:qFormat/>
    <w:rsid w:val="00C00BB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0BB3"/>
    <w:rPr>
      <w:rFonts w:asciiTheme="majorHAnsi" w:eastAsiaTheme="majorEastAsia" w:hAnsiTheme="majorHAnsi" w:cstheme="majorBidi"/>
      <w:spacing w:val="-10"/>
      <w:kern w:val="28"/>
      <w:sz w:val="56"/>
      <w:szCs w:val="56"/>
      <w:lang w:eastAsia="zh-CN"/>
      <w14:ligatures w14:val="none"/>
    </w:rPr>
  </w:style>
  <w:style w:type="paragraph" w:styleId="Podtytu">
    <w:name w:val="Subtitle"/>
    <w:basedOn w:val="Normalny"/>
    <w:next w:val="Normalny"/>
    <w:link w:val="PodtytuZnak"/>
    <w:uiPriority w:val="11"/>
    <w:qFormat/>
    <w:rsid w:val="00C00B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0BB3"/>
    <w:rPr>
      <w:rFonts w:eastAsiaTheme="majorEastAsia" w:cstheme="majorBidi"/>
      <w:color w:val="595959" w:themeColor="text1" w:themeTint="A6"/>
      <w:spacing w:val="15"/>
      <w:sz w:val="28"/>
      <w:szCs w:val="28"/>
      <w:lang w:eastAsia="zh-CN"/>
      <w14:ligatures w14:val="none"/>
    </w:rPr>
  </w:style>
  <w:style w:type="paragraph" w:styleId="Cytat">
    <w:name w:val="Quote"/>
    <w:basedOn w:val="Normalny"/>
    <w:next w:val="Normalny"/>
    <w:link w:val="CytatZnak"/>
    <w:uiPriority w:val="29"/>
    <w:qFormat/>
    <w:rsid w:val="00C00BB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00BB3"/>
    <w:rPr>
      <w:rFonts w:ascii="Arial" w:hAnsi="Arial" w:cs="Times New Roman"/>
      <w:i/>
      <w:iCs/>
      <w:color w:val="404040" w:themeColor="text1" w:themeTint="BF"/>
      <w:sz w:val="24"/>
      <w:szCs w:val="24"/>
      <w:lang w:eastAsia="zh-CN"/>
      <w14:ligatures w14:val="none"/>
    </w:rPr>
  </w:style>
  <w:style w:type="paragraph" w:styleId="Akapitzlist">
    <w:name w:val="List Paragraph"/>
    <w:basedOn w:val="Normalny"/>
    <w:uiPriority w:val="34"/>
    <w:qFormat/>
    <w:rsid w:val="00C00BB3"/>
    <w:pPr>
      <w:ind w:left="720"/>
      <w:contextualSpacing/>
    </w:pPr>
  </w:style>
  <w:style w:type="character" w:styleId="Wyrnienieintensywne">
    <w:name w:val="Intense Emphasis"/>
    <w:basedOn w:val="Domylnaczcionkaakapitu"/>
    <w:uiPriority w:val="21"/>
    <w:qFormat/>
    <w:rsid w:val="00C00BB3"/>
    <w:rPr>
      <w:i/>
      <w:iCs/>
      <w:color w:val="2F5496" w:themeColor="accent1" w:themeShade="BF"/>
    </w:rPr>
  </w:style>
  <w:style w:type="paragraph" w:styleId="Cytatintensywny">
    <w:name w:val="Intense Quote"/>
    <w:basedOn w:val="Normalny"/>
    <w:next w:val="Normalny"/>
    <w:link w:val="CytatintensywnyZnak"/>
    <w:uiPriority w:val="30"/>
    <w:qFormat/>
    <w:rsid w:val="00C00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0BB3"/>
    <w:rPr>
      <w:rFonts w:ascii="Arial" w:hAnsi="Arial" w:cs="Times New Roman"/>
      <w:i/>
      <w:iCs/>
      <w:color w:val="2F5496" w:themeColor="accent1" w:themeShade="BF"/>
      <w:sz w:val="24"/>
      <w:szCs w:val="24"/>
      <w:lang w:eastAsia="zh-CN"/>
      <w14:ligatures w14:val="none"/>
    </w:rPr>
  </w:style>
  <w:style w:type="character" w:styleId="Odwoanieintensywne">
    <w:name w:val="Intense Reference"/>
    <w:basedOn w:val="Domylnaczcionkaakapitu"/>
    <w:uiPriority w:val="32"/>
    <w:qFormat/>
    <w:rsid w:val="00C00BB3"/>
    <w:rPr>
      <w:b/>
      <w:bCs/>
      <w:smallCaps/>
      <w:color w:val="2F5496" w:themeColor="accent1" w:themeShade="BF"/>
      <w:spacing w:val="5"/>
    </w:rPr>
  </w:style>
  <w:style w:type="table" w:styleId="Tabela-Siatka">
    <w:name w:val="Table Grid"/>
    <w:basedOn w:val="Standardowy"/>
    <w:uiPriority w:val="39"/>
    <w:rsid w:val="00E4281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3929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Rzeszów - Aleksandra Łoboda</dc:creator>
  <cp:keywords/>
  <dc:description/>
  <cp:lastModifiedBy>WSSE Rzeszów - Aleksandra Łoboda</cp:lastModifiedBy>
  <cp:revision>2</cp:revision>
  <dcterms:created xsi:type="dcterms:W3CDTF">2025-08-27T11:56:00Z</dcterms:created>
  <dcterms:modified xsi:type="dcterms:W3CDTF">2025-08-27T11:56:00Z</dcterms:modified>
</cp:coreProperties>
</file>