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891904" w14:textId="0E19EDF6" w:rsidR="00DF0DD4" w:rsidRPr="00DF0DD4" w:rsidRDefault="00DF0DD4" w:rsidP="00DF0DD4">
      <w:pPr>
        <w:spacing w:after="0" w:line="240" w:lineRule="auto"/>
        <w:rPr>
          <w:rFonts w:ascii="Times New Roman" w:hAnsi="Times New Roman"/>
          <w:sz w:val="24"/>
          <w:szCs w:val="24"/>
        </w:rPr>
      </w:pPr>
      <w:r w:rsidRPr="00DF0DD4">
        <w:rPr>
          <w:rFonts w:ascii="Times New Roman" w:hAnsi="Times New Roman"/>
          <w:sz w:val="24"/>
          <w:szCs w:val="24"/>
        </w:rPr>
        <w:t>Generalny Dyrektor Ochrony Środowiska</w:t>
      </w:r>
    </w:p>
    <w:p w14:paraId="1CF526D8" w14:textId="25208B34" w:rsidR="00004FA4" w:rsidRPr="00DF0DD4" w:rsidRDefault="003A37EE" w:rsidP="00DF0DD4">
      <w:pPr>
        <w:spacing w:after="0" w:line="240" w:lineRule="auto"/>
        <w:rPr>
          <w:rFonts w:ascii="Times New Roman" w:hAnsi="Times New Roman"/>
          <w:sz w:val="24"/>
          <w:szCs w:val="24"/>
        </w:rPr>
      </w:pPr>
      <w:r w:rsidRPr="00DF0DD4">
        <w:rPr>
          <w:rFonts w:ascii="Times New Roman" w:hAnsi="Times New Roman"/>
          <w:sz w:val="24"/>
          <w:szCs w:val="24"/>
        </w:rPr>
        <w:t xml:space="preserve">Warszawa, </w:t>
      </w:r>
      <w:bookmarkStart w:id="0" w:name="ezdDataPodpisu"/>
      <w:r w:rsidRPr="00DF0DD4">
        <w:rPr>
          <w:rFonts w:ascii="Times New Roman" w:hAnsi="Times New Roman"/>
          <w:sz w:val="24"/>
          <w:szCs w:val="24"/>
        </w:rPr>
        <w:t>27 maja 2025</w:t>
      </w:r>
      <w:bookmarkEnd w:id="0"/>
      <w:r w:rsidRPr="00DF0DD4">
        <w:rPr>
          <w:rFonts w:ascii="Times New Roman" w:hAnsi="Times New Roman"/>
          <w:sz w:val="24"/>
          <w:szCs w:val="24"/>
        </w:rPr>
        <w:t xml:space="preserve"> r.</w:t>
      </w:r>
    </w:p>
    <w:p w14:paraId="423CAEF1" w14:textId="539350EE" w:rsidR="00004FA4" w:rsidRPr="00DF0DD4" w:rsidRDefault="003A37EE" w:rsidP="00DF0DD4">
      <w:pPr>
        <w:spacing w:after="0" w:line="240" w:lineRule="auto"/>
        <w:rPr>
          <w:rFonts w:ascii="Times New Roman" w:hAnsi="Times New Roman"/>
          <w:sz w:val="24"/>
          <w:szCs w:val="24"/>
        </w:rPr>
      </w:pPr>
      <w:bookmarkStart w:id="1" w:name="ezdSprawaZnak"/>
      <w:r w:rsidRPr="00DF0DD4">
        <w:rPr>
          <w:rFonts w:ascii="Times New Roman" w:hAnsi="Times New Roman"/>
          <w:sz w:val="24"/>
          <w:szCs w:val="24"/>
        </w:rPr>
        <w:t>DOOŚ-WDŚIII.420.15.2025</w:t>
      </w:r>
      <w:bookmarkEnd w:id="1"/>
      <w:r w:rsidRPr="00DF0DD4">
        <w:rPr>
          <w:rFonts w:ascii="Times New Roman" w:hAnsi="Times New Roman"/>
          <w:sz w:val="24"/>
          <w:szCs w:val="24"/>
        </w:rPr>
        <w:t>.mk.1</w:t>
      </w:r>
    </w:p>
    <w:p w14:paraId="2D103CAD" w14:textId="77777777" w:rsidR="00004FA4" w:rsidRPr="00DF0DD4" w:rsidRDefault="003A37EE" w:rsidP="00DF0DD4">
      <w:pPr>
        <w:spacing w:after="0" w:line="240" w:lineRule="auto"/>
        <w:rPr>
          <w:rFonts w:ascii="Times New Roman" w:hAnsi="Times New Roman"/>
          <w:sz w:val="24"/>
          <w:szCs w:val="24"/>
        </w:rPr>
      </w:pPr>
      <w:r w:rsidRPr="00DF0DD4">
        <w:rPr>
          <w:rFonts w:ascii="Times New Roman" w:hAnsi="Times New Roman"/>
          <w:sz w:val="24"/>
          <w:szCs w:val="24"/>
        </w:rPr>
        <w:t>POSTANOWIENIE</w:t>
      </w:r>
    </w:p>
    <w:p w14:paraId="153027EC" w14:textId="5594987F" w:rsidR="00004FA4" w:rsidRPr="00DF0DD4" w:rsidRDefault="003A37EE" w:rsidP="00DF0DD4">
      <w:pPr>
        <w:spacing w:after="0" w:line="240" w:lineRule="auto"/>
        <w:rPr>
          <w:rFonts w:ascii="Times New Roman" w:hAnsi="Times New Roman"/>
          <w:sz w:val="24"/>
          <w:szCs w:val="24"/>
          <w:lang w:bidi="pl-PL"/>
        </w:rPr>
      </w:pPr>
      <w:r w:rsidRPr="00DF0DD4">
        <w:rPr>
          <w:rFonts w:ascii="Times New Roman" w:hAnsi="Times New Roman"/>
          <w:sz w:val="24"/>
          <w:szCs w:val="24"/>
        </w:rPr>
        <w:t>Generalny Dyrektor Ochrony Środowiska n</w:t>
      </w:r>
      <w:r w:rsidRPr="00DF0DD4">
        <w:rPr>
          <w:rFonts w:ascii="Times New Roman" w:hAnsi="Times New Roman"/>
          <w:sz w:val="24"/>
          <w:szCs w:val="24"/>
          <w:lang w:bidi="pl-PL"/>
        </w:rPr>
        <w:t xml:space="preserve">a podstawie </w:t>
      </w:r>
      <w:r w:rsidRPr="00DF0DD4">
        <w:rPr>
          <w:rFonts w:ascii="Times New Roman" w:hAnsi="Times New Roman"/>
          <w:sz w:val="24"/>
          <w:szCs w:val="24"/>
          <w:lang w:bidi="en-US"/>
        </w:rPr>
        <w:t xml:space="preserve">art. </w:t>
      </w:r>
      <w:r w:rsidRPr="00DF0DD4">
        <w:rPr>
          <w:rFonts w:ascii="Times New Roman" w:hAnsi="Times New Roman"/>
          <w:sz w:val="24"/>
          <w:szCs w:val="24"/>
          <w:lang w:bidi="pl-PL"/>
        </w:rPr>
        <w:t xml:space="preserve">113 § 2 oraz </w:t>
      </w:r>
      <w:r w:rsidRPr="00DF0DD4">
        <w:rPr>
          <w:rFonts w:ascii="Times New Roman" w:hAnsi="Times New Roman"/>
          <w:sz w:val="24"/>
          <w:szCs w:val="24"/>
          <w:lang w:bidi="en-US"/>
        </w:rPr>
        <w:t xml:space="preserve">art. </w:t>
      </w:r>
      <w:r w:rsidRPr="00DF0DD4">
        <w:rPr>
          <w:rFonts w:ascii="Times New Roman" w:hAnsi="Times New Roman"/>
          <w:sz w:val="24"/>
          <w:szCs w:val="24"/>
          <w:lang w:bidi="pl-PL"/>
        </w:rPr>
        <w:t xml:space="preserve">123 ustawy z dnia 14 czerwca 1960 r. </w:t>
      </w:r>
      <w:r w:rsidRPr="00DF0DD4">
        <w:rPr>
          <w:rFonts w:ascii="Times New Roman" w:hAnsi="Times New Roman"/>
          <w:sz w:val="24"/>
          <w:szCs w:val="24"/>
          <w:lang w:bidi="pl-PL"/>
        </w:rPr>
        <w:t>– Kodeks postępowania administracyjnego (Dz. U. z 2024 r. poz. 775), dalej k.p.a., po rozpatrzeniu wniosku Generalnego Dyrektora Dróg Krajowych i Autostrad z 6 maja 2025 r., znak:</w:t>
      </w:r>
      <w:r w:rsidRPr="00DF0DD4">
        <w:rPr>
          <w:rFonts w:ascii="Times New Roman" w:hAnsi="Times New Roman"/>
          <w:sz w:val="24"/>
          <w:szCs w:val="24"/>
        </w:rPr>
        <w:t xml:space="preserve"> </w:t>
      </w:r>
      <w:r w:rsidRPr="00DF0DD4">
        <w:rPr>
          <w:rFonts w:ascii="Times New Roman" w:hAnsi="Times New Roman"/>
          <w:sz w:val="24"/>
          <w:szCs w:val="24"/>
          <w:lang w:bidi="pl-PL"/>
        </w:rPr>
        <w:t>OBY.KP-1.4170.2.15.2025.JS (R.147),  o wyjaśnienie treści decyzji GDOŚ z 4 c</w:t>
      </w:r>
      <w:r w:rsidRPr="00DF0DD4">
        <w:rPr>
          <w:rFonts w:ascii="Times New Roman" w:hAnsi="Times New Roman"/>
          <w:sz w:val="24"/>
          <w:szCs w:val="24"/>
          <w:lang w:bidi="pl-PL"/>
        </w:rPr>
        <w:t xml:space="preserve">zerwca 2021 r., znak: DOOŚ-WDŚZIL.420.8.2020.mk.49, uchylającej w części i w tym zakresie orzekającej co do istoty sprawy lub umarzającej postępowanie organu pierwszej instancji w tym zakresie a w pozostałej części utrzymującej w mocy decyzję Regionalnego </w:t>
      </w:r>
      <w:r w:rsidRPr="00DF0DD4">
        <w:rPr>
          <w:rFonts w:ascii="Times New Roman" w:hAnsi="Times New Roman"/>
          <w:sz w:val="24"/>
          <w:szCs w:val="24"/>
          <w:lang w:bidi="pl-PL"/>
        </w:rPr>
        <w:t>Dyrektora Ochrony Środowiska w Bydgoszczy Nr 7/2020 z 24 lutego 2020 r., znak: WOO.4200.1.2016.ADS.44, o środowiskowych uwarunkowaniach dla przedsięwzięcia polegającego na budowie drogi ekspresowej S-10 na odcinku Bydgoszcz-Toruń,</w:t>
      </w:r>
    </w:p>
    <w:p w14:paraId="7378389C" w14:textId="77777777" w:rsidR="00004FA4" w:rsidRPr="00DF0DD4" w:rsidRDefault="003A37EE" w:rsidP="00DF0DD4">
      <w:pPr>
        <w:spacing w:after="0" w:line="240" w:lineRule="auto"/>
        <w:rPr>
          <w:rFonts w:ascii="Times New Roman" w:hAnsi="Times New Roman"/>
          <w:sz w:val="24"/>
          <w:szCs w:val="24"/>
          <w:lang w:bidi="pl-PL"/>
        </w:rPr>
      </w:pPr>
      <w:r w:rsidRPr="00DF0DD4">
        <w:rPr>
          <w:rFonts w:ascii="Times New Roman" w:hAnsi="Times New Roman"/>
          <w:sz w:val="24"/>
          <w:szCs w:val="24"/>
          <w:lang w:bidi="pl-PL"/>
        </w:rPr>
        <w:t>wyjaśnia wątpliwości co d</w:t>
      </w:r>
      <w:r w:rsidRPr="00DF0DD4">
        <w:rPr>
          <w:rFonts w:ascii="Times New Roman" w:hAnsi="Times New Roman"/>
          <w:sz w:val="24"/>
          <w:szCs w:val="24"/>
          <w:lang w:bidi="pl-PL"/>
        </w:rPr>
        <w:t>o treści punktu 16 decyzji GDOŚ z 4 czerwca 2021 r., DOOŚ-WDŚZIL.420.8.2020.mk.49, w następujący sposób:</w:t>
      </w:r>
    </w:p>
    <w:p w14:paraId="10C5D6AC" w14:textId="77777777" w:rsidR="00004FA4" w:rsidRPr="00DF0DD4" w:rsidRDefault="003A37EE" w:rsidP="00DF0DD4">
      <w:pPr>
        <w:spacing w:after="0" w:line="240" w:lineRule="auto"/>
        <w:rPr>
          <w:rFonts w:ascii="Times New Roman" w:hAnsi="Times New Roman"/>
          <w:sz w:val="24"/>
          <w:szCs w:val="24"/>
          <w:lang w:bidi="pl-PL"/>
        </w:rPr>
      </w:pPr>
      <w:r w:rsidRPr="00DF0DD4">
        <w:rPr>
          <w:rFonts w:ascii="Times New Roman" w:hAnsi="Times New Roman"/>
          <w:sz w:val="24"/>
          <w:szCs w:val="24"/>
        </w:rPr>
        <w:t xml:space="preserve">Prowadzenie prac polegających na karczowaniu i odhumusowaniu w okresie lęgowym ptaków jest </w:t>
      </w:r>
      <w:r w:rsidRPr="00DF0DD4">
        <w:rPr>
          <w:rFonts w:ascii="Times New Roman" w:eastAsia="Times New Roman" w:hAnsi="Times New Roman"/>
          <w:color w:val="000000"/>
          <w:sz w:val="24"/>
          <w:szCs w:val="24"/>
          <w:lang w:eastAsia="pl-PL"/>
        </w:rPr>
        <w:t xml:space="preserve">dopuszczalne, </w:t>
      </w:r>
      <w:r w:rsidRPr="00DF0DD4">
        <w:rPr>
          <w:rFonts w:ascii="Times New Roman" w:hAnsi="Times New Roman"/>
          <w:sz w:val="24"/>
          <w:szCs w:val="24"/>
        </w:rPr>
        <w:t>lecz po uprzednim potwierdzeniu przez specjali</w:t>
      </w:r>
      <w:r w:rsidRPr="00DF0DD4">
        <w:rPr>
          <w:rFonts w:ascii="Times New Roman" w:hAnsi="Times New Roman"/>
          <w:sz w:val="24"/>
          <w:szCs w:val="24"/>
        </w:rPr>
        <w:t>stę ornitologa braku lęgów gatunków chronionych.</w:t>
      </w:r>
      <w:bookmarkStart w:id="2" w:name="_Hlk198204891"/>
      <w:r w:rsidRPr="00DF0DD4">
        <w:rPr>
          <w:rFonts w:ascii="Times New Roman" w:hAnsi="Times New Roman"/>
          <w:sz w:val="24"/>
          <w:szCs w:val="24"/>
          <w:lang w:bidi="pl-PL"/>
        </w:rPr>
        <w:t xml:space="preserve"> </w:t>
      </w:r>
      <w:r w:rsidRPr="00DF0DD4">
        <w:rPr>
          <w:rFonts w:ascii="Times New Roman" w:hAnsi="Times New Roman"/>
          <w:sz w:val="24"/>
          <w:szCs w:val="24"/>
        </w:rPr>
        <w:t>Kontrola zajętości siedlisk przez chronione gatunki ptaków powinna zostać przeprowadzona przez specjalistę ornitologa nie wcześniej niż 5 dni przed rozpoczęciem prac polegających na</w:t>
      </w:r>
      <w:r w:rsidRPr="00DF0DD4">
        <w:rPr>
          <w:rFonts w:ascii="Times New Roman" w:eastAsia="Times New Roman" w:hAnsi="Times New Roman"/>
          <w:color w:val="000000"/>
          <w:sz w:val="24"/>
          <w:szCs w:val="24"/>
          <w:lang w:eastAsia="pl-PL"/>
        </w:rPr>
        <w:t xml:space="preserve"> karczowaniu i odhumusowan</w:t>
      </w:r>
      <w:r w:rsidRPr="00DF0DD4">
        <w:rPr>
          <w:rFonts w:ascii="Times New Roman" w:eastAsia="Times New Roman" w:hAnsi="Times New Roman"/>
          <w:color w:val="000000"/>
          <w:sz w:val="24"/>
          <w:szCs w:val="24"/>
          <w:lang w:eastAsia="pl-PL"/>
        </w:rPr>
        <w:t>iu</w:t>
      </w:r>
      <w:r w:rsidRPr="00DF0DD4">
        <w:rPr>
          <w:rFonts w:ascii="Times New Roman" w:hAnsi="Times New Roman"/>
          <w:sz w:val="24"/>
          <w:szCs w:val="24"/>
        </w:rPr>
        <w:t>. Kontrolą należy objąć każdorazowo teren przeznaczony pod realizację drogi, na którym planowane jest rozpoczęcie ww. prac w okresie lęgowym ptaków, stanowiący fragment całego odcinka drogi ekspresowej objętego decyzją o środowiskowych uwarunkowaniach. P</w:t>
      </w:r>
      <w:r w:rsidRPr="00DF0DD4">
        <w:rPr>
          <w:rFonts w:ascii="Times New Roman" w:hAnsi="Times New Roman"/>
          <w:sz w:val="24"/>
          <w:szCs w:val="24"/>
        </w:rPr>
        <w:t>rzez co rozumie się, że kontrola prowadzona przez ornitologa odbywa się raz przed rozpoczęciem ww. robót dla danego fragmentu. Kontroli należy dokonywać każdorazowo wraz z przesuwaniem się frontu robót.</w:t>
      </w:r>
      <w:bookmarkEnd w:id="2"/>
    </w:p>
    <w:p w14:paraId="15DBA2DB" w14:textId="77777777" w:rsidR="00004FA4" w:rsidRPr="00DF0DD4" w:rsidRDefault="003A37EE" w:rsidP="00DF0DD4">
      <w:pPr>
        <w:spacing w:after="0" w:line="240" w:lineRule="auto"/>
        <w:rPr>
          <w:rFonts w:ascii="Times New Roman" w:hAnsi="Times New Roman"/>
          <w:color w:val="000000" w:themeColor="text1"/>
          <w:sz w:val="24"/>
          <w:szCs w:val="24"/>
        </w:rPr>
      </w:pPr>
      <w:r w:rsidRPr="00DF0DD4">
        <w:rPr>
          <w:rFonts w:ascii="Times New Roman" w:hAnsi="Times New Roman"/>
          <w:color w:val="000000" w:themeColor="text1"/>
          <w:sz w:val="24"/>
          <w:szCs w:val="24"/>
        </w:rPr>
        <w:t>UZASADNIENIE</w:t>
      </w:r>
    </w:p>
    <w:p w14:paraId="6CE870D7" w14:textId="77777777" w:rsidR="00004FA4" w:rsidRPr="00DF0DD4" w:rsidRDefault="003A37EE" w:rsidP="00DF0DD4">
      <w:pPr>
        <w:spacing w:after="0" w:line="240" w:lineRule="auto"/>
        <w:rPr>
          <w:rFonts w:ascii="Times New Roman" w:hAnsi="Times New Roman"/>
          <w:sz w:val="24"/>
          <w:szCs w:val="24"/>
        </w:rPr>
      </w:pPr>
      <w:r w:rsidRPr="00DF0DD4">
        <w:rPr>
          <w:rFonts w:ascii="Times New Roman" w:hAnsi="Times New Roman"/>
          <w:sz w:val="24"/>
          <w:szCs w:val="24"/>
        </w:rPr>
        <w:t>Decyzją Nr 7/2020 z 24 lutego 2020 r., z</w:t>
      </w:r>
      <w:r w:rsidRPr="00DF0DD4">
        <w:rPr>
          <w:rFonts w:ascii="Times New Roman" w:hAnsi="Times New Roman"/>
          <w:sz w:val="24"/>
          <w:szCs w:val="24"/>
        </w:rPr>
        <w:t>nak: WOO.4200.1.2016.ADS.44, Regionalny Dyrektor Ochrony Środowiska w Bydgoszczy, dalej RDOŚ w Bydgoszczy, określił środowiskowe uwarunkowania realizacji przedsięwzięcia pn.: „Budowa drogi ekspresowej S-10 na odcinku Bydgoszcz-Toruń”. Postanowieniem z 26 m</w:t>
      </w:r>
      <w:r w:rsidRPr="00DF0DD4">
        <w:rPr>
          <w:rFonts w:ascii="Times New Roman" w:hAnsi="Times New Roman"/>
          <w:sz w:val="24"/>
          <w:szCs w:val="24"/>
        </w:rPr>
        <w:t xml:space="preserve">arca 2020 r., znak: WOO.4200.1.2016.ADS.49, RDOŚ w Bydgoszczy sprostował z urzędu inną oczywistą omyłkę pisarską w ww. decyzji. Od decyzji tej wpłynęły odwołania. GDOŚ, decyzją z 4 czerwca 2021 r., znak: DOOŚ-WDŚZIL.420.8.2020.mk.49, na podstawie art. 138 </w:t>
      </w:r>
      <w:r w:rsidRPr="00DF0DD4">
        <w:rPr>
          <w:rFonts w:ascii="Times New Roman" w:hAnsi="Times New Roman"/>
          <w:sz w:val="24"/>
          <w:szCs w:val="24"/>
        </w:rPr>
        <w:t>§ 1 pkt 1 i 2 k.p.a., uchylił decyzję RDOŚ w Bydgoszczy z 24 lutego 2020 r. w części i w tym zakresie orzekł co do istoty sprawy lub umorzył postępowanie organu pierwszej instancji w tym zakresie a w pozostałej części utrzymał ją w mocy. Następnie postanow</w:t>
      </w:r>
      <w:r w:rsidRPr="00DF0DD4">
        <w:rPr>
          <w:rFonts w:ascii="Times New Roman" w:hAnsi="Times New Roman"/>
          <w:sz w:val="24"/>
          <w:szCs w:val="24"/>
        </w:rPr>
        <w:t>ieniem z 30 czerwca 2021 r., znak: DOOŚ-WDŚZIL.420.8.2020.mk.54, GDOŚ sprostował z urzędu inną oczywistą omyłkę w decyzji z 4 czerwca 2021 r.</w:t>
      </w:r>
    </w:p>
    <w:p w14:paraId="2C3DE157" w14:textId="77777777" w:rsidR="00004FA4" w:rsidRPr="00DF0DD4" w:rsidRDefault="003A37EE" w:rsidP="00DF0DD4">
      <w:pPr>
        <w:spacing w:after="0" w:line="240" w:lineRule="auto"/>
        <w:rPr>
          <w:rFonts w:ascii="Times New Roman" w:eastAsia="Times New Roman" w:hAnsi="Times New Roman"/>
          <w:color w:val="000000"/>
          <w:sz w:val="24"/>
          <w:szCs w:val="24"/>
          <w:lang w:eastAsia="pl-PL"/>
        </w:rPr>
      </w:pPr>
      <w:r w:rsidRPr="00DF0DD4">
        <w:rPr>
          <w:rFonts w:ascii="Times New Roman" w:hAnsi="Times New Roman"/>
          <w:sz w:val="24"/>
          <w:szCs w:val="24"/>
          <w:lang w:bidi="pl-PL"/>
        </w:rPr>
        <w:t>GDDKiA pismem z 6 maja 2025 r., znak:</w:t>
      </w:r>
      <w:r w:rsidRPr="00DF0DD4">
        <w:rPr>
          <w:rFonts w:ascii="Times New Roman" w:hAnsi="Times New Roman"/>
          <w:sz w:val="24"/>
          <w:szCs w:val="24"/>
        </w:rPr>
        <w:t xml:space="preserve"> </w:t>
      </w:r>
      <w:r w:rsidRPr="00DF0DD4">
        <w:rPr>
          <w:rFonts w:ascii="Times New Roman" w:hAnsi="Times New Roman"/>
          <w:sz w:val="24"/>
          <w:szCs w:val="24"/>
          <w:lang w:bidi="pl-PL"/>
        </w:rPr>
        <w:t xml:space="preserve">OBY.KP-1.4170.2.15.2025.JS (R.147), wniósł o wyjaśnienie </w:t>
      </w:r>
      <w:r w:rsidRPr="00DF0DD4">
        <w:rPr>
          <w:rFonts w:ascii="Times New Roman" w:hAnsi="Times New Roman"/>
          <w:sz w:val="24"/>
          <w:szCs w:val="24"/>
        </w:rPr>
        <w:t xml:space="preserve">wątpliwości co do </w:t>
      </w:r>
      <w:r w:rsidRPr="00DF0DD4">
        <w:rPr>
          <w:rFonts w:ascii="Times New Roman" w:hAnsi="Times New Roman"/>
          <w:sz w:val="24"/>
          <w:szCs w:val="24"/>
          <w:lang w:bidi="pl-PL"/>
        </w:rPr>
        <w:t xml:space="preserve">treści decyzji GDOŚ z 4 czerwca 2021 r. w odniesieniu do prac związanych z </w:t>
      </w:r>
      <w:r w:rsidRPr="00DF0DD4">
        <w:rPr>
          <w:rFonts w:ascii="Times New Roman" w:hAnsi="Times New Roman"/>
          <w:sz w:val="24"/>
          <w:szCs w:val="24"/>
        </w:rPr>
        <w:t xml:space="preserve">karczowaniem i odhumusowaniem terenu pod drogę, </w:t>
      </w:r>
      <w:r w:rsidRPr="00DF0DD4">
        <w:rPr>
          <w:rFonts w:ascii="Times New Roman" w:hAnsi="Times New Roman"/>
          <w:sz w:val="24"/>
          <w:szCs w:val="24"/>
          <w:lang w:bidi="pl-PL"/>
        </w:rPr>
        <w:t xml:space="preserve">na podstawie art. 113 § 2 k.p.a. </w:t>
      </w:r>
      <w:r w:rsidRPr="00DF0DD4">
        <w:rPr>
          <w:rFonts w:ascii="Times New Roman" w:eastAsia="Times New Roman" w:hAnsi="Times New Roman"/>
          <w:color w:val="000000"/>
          <w:sz w:val="24"/>
          <w:szCs w:val="24"/>
          <w:lang w:eastAsia="pl-PL"/>
        </w:rPr>
        <w:t xml:space="preserve">Wątpliwości GDDKiA w odniesieniu do punktu 16 decyzji GDOŚ dotyczą liczby kontroli zajęcia siedlisk </w:t>
      </w:r>
      <w:r w:rsidRPr="00DF0DD4">
        <w:rPr>
          <w:rFonts w:ascii="Times New Roman" w:eastAsia="Times New Roman" w:hAnsi="Times New Roman"/>
          <w:color w:val="000000"/>
          <w:sz w:val="24"/>
          <w:szCs w:val="24"/>
          <w:lang w:eastAsia="pl-PL"/>
        </w:rPr>
        <w:t>przez chronione gatunki ptaków, jakie należy przeprowadzić na terenie (stanowiącym fragment odcinka planowanej drogi ekspresowej), na którym inwestor będzie chciał rozpocząć prace polegające na karczowaniu i odhumusowaniu w okresie lęgowym ptaków.</w:t>
      </w:r>
    </w:p>
    <w:p w14:paraId="15548DD0" w14:textId="77777777" w:rsidR="00004FA4" w:rsidRPr="00DF0DD4" w:rsidRDefault="003A37EE" w:rsidP="00DF0DD4">
      <w:pPr>
        <w:spacing w:after="0" w:line="240" w:lineRule="auto"/>
        <w:rPr>
          <w:rFonts w:ascii="Times New Roman" w:hAnsi="Times New Roman"/>
          <w:sz w:val="24"/>
          <w:szCs w:val="24"/>
        </w:rPr>
      </w:pPr>
      <w:r w:rsidRPr="00DF0DD4">
        <w:rPr>
          <w:rFonts w:ascii="Times New Roman" w:hAnsi="Times New Roman"/>
          <w:sz w:val="24"/>
          <w:szCs w:val="24"/>
        </w:rPr>
        <w:t>GDOŚ ust</w:t>
      </w:r>
      <w:r w:rsidRPr="00DF0DD4">
        <w:rPr>
          <w:rFonts w:ascii="Times New Roman" w:hAnsi="Times New Roman"/>
          <w:sz w:val="24"/>
          <w:szCs w:val="24"/>
        </w:rPr>
        <w:t>alił i zważył, co następuje.</w:t>
      </w:r>
    </w:p>
    <w:p w14:paraId="5EE12348" w14:textId="77777777" w:rsidR="00004FA4" w:rsidRPr="00DF0DD4" w:rsidRDefault="003A37EE" w:rsidP="00DF0DD4">
      <w:pPr>
        <w:spacing w:after="0" w:line="240" w:lineRule="auto"/>
        <w:rPr>
          <w:rFonts w:ascii="Times New Roman" w:hAnsi="Times New Roman"/>
          <w:sz w:val="24"/>
          <w:szCs w:val="24"/>
        </w:rPr>
      </w:pPr>
      <w:r w:rsidRPr="00DF0DD4">
        <w:rPr>
          <w:rFonts w:ascii="Times New Roman" w:hAnsi="Times New Roman"/>
          <w:sz w:val="24"/>
          <w:szCs w:val="24"/>
        </w:rPr>
        <w:t xml:space="preserve">Zgodnie z art. 113 § 2 k.p.a., organ, który wydał decyzję, wyjaśnia w drodze postanowienia na żądanie organu egzekucyjnego lub strony wątpliwości co do treści decyzji. W doktrynie </w:t>
      </w:r>
      <w:r w:rsidRPr="00DF0DD4">
        <w:rPr>
          <w:rFonts w:ascii="Times New Roman" w:hAnsi="Times New Roman"/>
          <w:sz w:val="24"/>
          <w:szCs w:val="24"/>
        </w:rPr>
        <w:lastRenderedPageBreak/>
        <w:t>prawa oraz w orzecznictwie sądów administracyjn</w:t>
      </w:r>
      <w:r w:rsidRPr="00DF0DD4">
        <w:rPr>
          <w:rFonts w:ascii="Times New Roman" w:hAnsi="Times New Roman"/>
          <w:sz w:val="24"/>
          <w:szCs w:val="24"/>
        </w:rPr>
        <w:t>ych przyjmuje się, że wyjaśnienie takich wątpliwości konieczne jest wtedy, gdy rozstrzygnięcie sprawy jest niejednoznaczne lub dotknięte zawiłością utrudniającą ustalenie jego sensu, przy czym celem tej czynności jest uzyskanie objaśnienia, jak wydający je</w:t>
      </w:r>
      <w:r w:rsidRPr="00DF0DD4">
        <w:rPr>
          <w:rFonts w:ascii="Times New Roman" w:hAnsi="Times New Roman"/>
          <w:sz w:val="24"/>
          <w:szCs w:val="24"/>
        </w:rPr>
        <w:t xml:space="preserve"> organ rozumiał jego sens (nie zaś jego interpretacja gramatyczna, logiczna czy celowościowa). Wyjaśnienie wątpliwości nie może prowadzić do nowej oceny stanu faktycznego lub prawnego, ani powodować zmiany merytorycznej rozstrzygnięcia (por. B. Adamiak, J.</w:t>
      </w:r>
      <w:r w:rsidRPr="00DF0DD4">
        <w:rPr>
          <w:rFonts w:ascii="Times New Roman" w:hAnsi="Times New Roman"/>
          <w:sz w:val="24"/>
          <w:szCs w:val="24"/>
        </w:rPr>
        <w:t xml:space="preserve"> Borkowski, Kodeks postępowania administracyjnego. Komentarz. Wydawnictwo C.H. Beck, Warszawa 2016, str. 545; wyrok Naczelnego Sądu Administracyjnego z 7 czerwca 2018 r., sygn. akt: II OSK 3090/17).</w:t>
      </w:r>
    </w:p>
    <w:p w14:paraId="7E136A94" w14:textId="77777777" w:rsidR="00004FA4" w:rsidRPr="00DF0DD4" w:rsidRDefault="003A37EE" w:rsidP="00DF0DD4">
      <w:pPr>
        <w:pStyle w:val="Tekstpodstawowy"/>
        <w:spacing w:line="240" w:lineRule="auto"/>
        <w:ind w:firstLine="0"/>
        <w:rPr>
          <w:color w:val="000000"/>
          <w:sz w:val="24"/>
          <w:szCs w:val="24"/>
          <w:lang w:bidi="pl-PL"/>
        </w:rPr>
      </w:pPr>
      <w:r w:rsidRPr="00DF0DD4">
        <w:rPr>
          <w:color w:val="000000"/>
          <w:sz w:val="24"/>
          <w:szCs w:val="24"/>
          <w:lang w:bidi="pl-PL"/>
        </w:rPr>
        <w:t>W rozpatrywanej sprawie taka sytuacja ma miejsce odnośnie</w:t>
      </w:r>
      <w:r w:rsidRPr="00DF0DD4">
        <w:rPr>
          <w:color w:val="000000"/>
          <w:sz w:val="24"/>
          <w:szCs w:val="24"/>
          <w:lang w:bidi="pl-PL"/>
        </w:rPr>
        <w:t xml:space="preserve"> punktu 16 sentencji decyzji GDOŚ, którym organ odwoławczy uchylił punkt </w:t>
      </w:r>
      <w:r w:rsidRPr="00DF0DD4">
        <w:rPr>
          <w:sz w:val="24"/>
          <w:szCs w:val="24"/>
        </w:rPr>
        <w:t>III.2.29)</w:t>
      </w:r>
      <w:r w:rsidRPr="00DF0DD4">
        <w:rPr>
          <w:color w:val="000000"/>
          <w:sz w:val="24"/>
          <w:szCs w:val="24"/>
          <w:lang w:bidi="pl-PL"/>
        </w:rPr>
        <w:t xml:space="preserve"> decyzji RDOŚ w Bydgoszczy i w tym zakresie orzekł co do istoty.</w:t>
      </w:r>
      <w:r w:rsidRPr="00DF0DD4">
        <w:rPr>
          <w:sz w:val="24"/>
          <w:szCs w:val="24"/>
        </w:rPr>
        <w:t xml:space="preserve"> Następnie postanowieniem z 30 czerwca 2021 r., sprostował z urzędu inną oczywistą omyłkę w decyzji z 4 czerwc</w:t>
      </w:r>
      <w:r w:rsidRPr="00DF0DD4">
        <w:rPr>
          <w:sz w:val="24"/>
          <w:szCs w:val="24"/>
        </w:rPr>
        <w:t>a 2021 r., a punkt ten otrzymał następujące brzmienie: „Karczowanie i odhumusowanie terenu prowadzić poza okresem lęgowym ptaków, przypadającym od 1 marca do 31 sierpnia. Dopuszcza się przeprowadzenie przedmiotowych prac w okresie lęgowym, lecz po uprzedni</w:t>
      </w:r>
      <w:r w:rsidRPr="00DF0DD4">
        <w:rPr>
          <w:sz w:val="24"/>
          <w:szCs w:val="24"/>
        </w:rPr>
        <w:t>m potwierdzeniu przez specjalistę ornitologa braku lęgów gatunków chronionych. Kontrola zajęcia siedlisk powinna zostać przeprowadzona nie wcześniej niż 5 dni przed rozpoczęciem prac. W przypadku wykrycia lęgów gatunków chronionych prace nie mogą być reali</w:t>
      </w:r>
      <w:r w:rsidRPr="00DF0DD4">
        <w:rPr>
          <w:sz w:val="24"/>
          <w:szCs w:val="24"/>
        </w:rPr>
        <w:t>zowane do czasu stwierdzenia przez nadzór ornitologiczny wyprowadzenia młodych z gniazda”.</w:t>
      </w:r>
    </w:p>
    <w:p w14:paraId="49EC9F69" w14:textId="77777777" w:rsidR="00004FA4" w:rsidRPr="00DF0DD4" w:rsidRDefault="003A37EE" w:rsidP="00DF0DD4">
      <w:pPr>
        <w:spacing w:after="0" w:line="240" w:lineRule="auto"/>
        <w:rPr>
          <w:rFonts w:ascii="Times New Roman" w:hAnsi="Times New Roman"/>
          <w:sz w:val="24"/>
          <w:szCs w:val="24"/>
        </w:rPr>
      </w:pPr>
      <w:bookmarkStart w:id="3" w:name="_Hlk198548856"/>
      <w:r w:rsidRPr="00DF0DD4">
        <w:rPr>
          <w:rFonts w:ascii="Times New Roman" w:hAnsi="Times New Roman"/>
          <w:sz w:val="24"/>
          <w:szCs w:val="24"/>
          <w:lang w:bidi="pl-PL"/>
        </w:rPr>
        <w:t xml:space="preserve">W piśmie z 6 maja 2025 r. GDDKiA, zwrócił się z pytaniem, czy powyższy zapis należy rozumieć w ten sposób, że </w:t>
      </w:r>
      <w:r w:rsidRPr="00DF0DD4">
        <w:rPr>
          <w:rFonts w:ascii="Times New Roman" w:hAnsi="Times New Roman"/>
          <w:sz w:val="24"/>
          <w:szCs w:val="24"/>
        </w:rPr>
        <w:t>„wyznaczona zostaje powierzchnia prac, stanowiąca fragm</w:t>
      </w:r>
      <w:r w:rsidRPr="00DF0DD4">
        <w:rPr>
          <w:rFonts w:ascii="Times New Roman" w:hAnsi="Times New Roman"/>
          <w:sz w:val="24"/>
          <w:szCs w:val="24"/>
        </w:rPr>
        <w:t>ent całego odcinka trasy planowanej do realizacji drogi S-10. Nie wcześniej niż 5 dni przed rozpoczęciem prac ww. fragment zostaje sprawdzony przez specjalistę ornitologa pod względem obecności lęgów gatunków chronionych (przegląd ornitologiczny odbywa się</w:t>
      </w:r>
      <w:r w:rsidRPr="00DF0DD4">
        <w:rPr>
          <w:rFonts w:ascii="Times New Roman" w:hAnsi="Times New Roman"/>
          <w:sz w:val="24"/>
          <w:szCs w:val="24"/>
        </w:rPr>
        <w:t xml:space="preserve"> raz dla danego fragmentu), a w przypadku ich braku, prace na danym fragmencie zostają rozpoczęte. Procedura powtarza się w przypadku planowania rozpoczęcia prac na kolejnym fragmencie”. </w:t>
      </w:r>
    </w:p>
    <w:p w14:paraId="15AC4B80" w14:textId="77777777" w:rsidR="00004FA4" w:rsidRPr="00DF0DD4" w:rsidRDefault="003A37EE" w:rsidP="00DF0DD4">
      <w:pPr>
        <w:spacing w:after="0" w:line="240" w:lineRule="auto"/>
        <w:rPr>
          <w:rFonts w:ascii="Times New Roman" w:hAnsi="Times New Roman"/>
          <w:sz w:val="24"/>
          <w:szCs w:val="24"/>
          <w:lang w:bidi="pl-PL"/>
        </w:rPr>
      </w:pPr>
      <w:r w:rsidRPr="00DF0DD4">
        <w:rPr>
          <w:rFonts w:ascii="Times New Roman" w:hAnsi="Times New Roman"/>
          <w:sz w:val="24"/>
          <w:szCs w:val="24"/>
          <w:lang w:bidi="pl-PL"/>
        </w:rPr>
        <w:t>W ocenie GDOŚ wykładnia językowa analizowanego brzmienia punktu 16 s</w:t>
      </w:r>
      <w:r w:rsidRPr="00DF0DD4">
        <w:rPr>
          <w:rFonts w:ascii="Times New Roman" w:hAnsi="Times New Roman"/>
          <w:sz w:val="24"/>
          <w:szCs w:val="24"/>
          <w:lang w:bidi="pl-PL"/>
        </w:rPr>
        <w:t xml:space="preserve">entencji decyzji jest wystarczająca do jednoznacznego ustalenia wzorca zachowań adresata decyzji. </w:t>
      </w:r>
      <w:r w:rsidRPr="00DF0DD4">
        <w:rPr>
          <w:rFonts w:ascii="Times New Roman" w:hAnsi="Times New Roman"/>
          <w:sz w:val="24"/>
          <w:szCs w:val="24"/>
        </w:rPr>
        <w:t xml:space="preserve">Prowadzenie prac polegających na karczowaniu i odhumusowaniu w okresie lęgowym ptaków jest </w:t>
      </w:r>
      <w:r w:rsidRPr="00DF0DD4">
        <w:rPr>
          <w:rFonts w:ascii="Times New Roman" w:eastAsia="Times New Roman" w:hAnsi="Times New Roman"/>
          <w:color w:val="000000"/>
          <w:sz w:val="24"/>
          <w:szCs w:val="24"/>
          <w:lang w:eastAsia="pl-PL"/>
        </w:rPr>
        <w:t xml:space="preserve">dopuszczalne, </w:t>
      </w:r>
      <w:r w:rsidRPr="00DF0DD4">
        <w:rPr>
          <w:rFonts w:ascii="Times New Roman" w:hAnsi="Times New Roman"/>
          <w:sz w:val="24"/>
          <w:szCs w:val="24"/>
        </w:rPr>
        <w:t>lecz po uprzednim potwierdzeniu przez specjalistę orn</w:t>
      </w:r>
      <w:r w:rsidRPr="00DF0DD4">
        <w:rPr>
          <w:rFonts w:ascii="Times New Roman" w:hAnsi="Times New Roman"/>
          <w:sz w:val="24"/>
          <w:szCs w:val="24"/>
        </w:rPr>
        <w:t>itologa braku lęgów gatunków chronionych. Kontrola zajęcia siedlisk powinna zostać przeprowadzona nie wcześniej niż 5 dni przed rozpoczęciem prac.</w:t>
      </w:r>
      <w:r w:rsidRPr="00DF0DD4">
        <w:rPr>
          <w:rFonts w:ascii="Times New Roman" w:eastAsia="Times New Roman" w:hAnsi="Times New Roman"/>
          <w:color w:val="000000"/>
          <w:sz w:val="24"/>
          <w:szCs w:val="24"/>
          <w:lang w:eastAsia="pl-PL"/>
        </w:rPr>
        <w:t xml:space="preserve"> </w:t>
      </w:r>
      <w:r w:rsidRPr="00DF0DD4">
        <w:rPr>
          <w:rFonts w:ascii="Times New Roman" w:hAnsi="Times New Roman"/>
          <w:sz w:val="24"/>
          <w:szCs w:val="24"/>
        </w:rPr>
        <w:t>Kontrolą należy objąć każdorazowo teren przeznaczony pod realizację drogi, na którym planowane jest rozpoczęc</w:t>
      </w:r>
      <w:r w:rsidRPr="00DF0DD4">
        <w:rPr>
          <w:rFonts w:ascii="Times New Roman" w:hAnsi="Times New Roman"/>
          <w:sz w:val="24"/>
          <w:szCs w:val="24"/>
        </w:rPr>
        <w:t>ie ww. prac w okresie lęgowym ptaków, stanowiący fragment całego odcinka drogi ekspresowej objętego decyzją o środowiskowych uwarunkowaniach. Przez co rozumie się, że kontrola prowadzona przez ornitologa odbywa się raz przed rozpoczęciem robót dla danego f</w:t>
      </w:r>
      <w:r w:rsidRPr="00DF0DD4">
        <w:rPr>
          <w:rFonts w:ascii="Times New Roman" w:hAnsi="Times New Roman"/>
          <w:sz w:val="24"/>
          <w:szCs w:val="24"/>
        </w:rPr>
        <w:t>ragmentu. Kontroli należy dokonywać każdorazowo wraz z przesuwaniem się frontu robót.</w:t>
      </w:r>
    </w:p>
    <w:bookmarkEnd w:id="3"/>
    <w:p w14:paraId="5E5A026A" w14:textId="77BE1E0A" w:rsidR="00004FA4" w:rsidRPr="00DF0DD4" w:rsidRDefault="003A37EE" w:rsidP="00DF0DD4">
      <w:pPr>
        <w:spacing w:after="0" w:line="240" w:lineRule="auto"/>
        <w:rPr>
          <w:rFonts w:ascii="Times New Roman" w:hAnsi="Times New Roman"/>
          <w:sz w:val="24"/>
          <w:szCs w:val="24"/>
        </w:rPr>
      </w:pPr>
      <w:r w:rsidRPr="00DF0DD4">
        <w:rPr>
          <w:rFonts w:ascii="Times New Roman" w:hAnsi="Times New Roman"/>
          <w:sz w:val="24"/>
          <w:szCs w:val="24"/>
        </w:rPr>
        <w:t>W opinii GDOŚ w analizowanej sprawie zaistniały podstawy do uwzględnienia żądania GDDKiA w przedmiocie wyjaśnienia treści decyzji GDOŚ z 4 czerwca 2021 r. w zakresie wska</w:t>
      </w:r>
      <w:r w:rsidRPr="00DF0DD4">
        <w:rPr>
          <w:rFonts w:ascii="Times New Roman" w:hAnsi="Times New Roman"/>
          <w:sz w:val="24"/>
          <w:szCs w:val="24"/>
        </w:rPr>
        <w:t xml:space="preserve">zanym w piśmie z </w:t>
      </w:r>
      <w:r w:rsidRPr="00DF0DD4">
        <w:rPr>
          <w:rFonts w:ascii="Times New Roman" w:hAnsi="Times New Roman"/>
          <w:sz w:val="24"/>
          <w:szCs w:val="24"/>
          <w:lang w:bidi="pl-PL"/>
        </w:rPr>
        <w:t>6 maja 2025 r.</w:t>
      </w:r>
    </w:p>
    <w:p w14:paraId="31612B12" w14:textId="77777777" w:rsidR="00DF0DD4" w:rsidRPr="00DF0DD4" w:rsidRDefault="003A37EE" w:rsidP="00DF0DD4">
      <w:pPr>
        <w:spacing w:after="0" w:line="240" w:lineRule="auto"/>
        <w:rPr>
          <w:rFonts w:ascii="Times New Roman" w:eastAsia="Times New Roman" w:hAnsi="Times New Roman"/>
          <w:color w:val="000000"/>
          <w:sz w:val="24"/>
          <w:szCs w:val="24"/>
          <w:lang w:eastAsia="pl-PL"/>
        </w:rPr>
      </w:pPr>
      <w:r w:rsidRPr="00DF0DD4">
        <w:rPr>
          <w:rFonts w:ascii="Times New Roman" w:eastAsia="Times New Roman" w:hAnsi="Times New Roman"/>
          <w:color w:val="000000"/>
          <w:sz w:val="24"/>
          <w:szCs w:val="24"/>
          <w:lang w:eastAsia="pl-PL"/>
        </w:rPr>
        <w:t>Wobec powyższego orzeczono jak w sentencji.</w:t>
      </w:r>
    </w:p>
    <w:p w14:paraId="52495D0D" w14:textId="345EBC0E" w:rsidR="00004FA4" w:rsidRPr="00DF0DD4" w:rsidRDefault="003A37EE" w:rsidP="00DF0DD4">
      <w:pPr>
        <w:spacing w:after="0" w:line="240" w:lineRule="auto"/>
        <w:rPr>
          <w:rFonts w:ascii="Times New Roman" w:eastAsia="Times New Roman" w:hAnsi="Times New Roman"/>
          <w:color w:val="000000"/>
          <w:sz w:val="24"/>
          <w:szCs w:val="24"/>
          <w:lang w:eastAsia="pl-PL"/>
        </w:rPr>
      </w:pPr>
      <w:r w:rsidRPr="00DF0DD4">
        <w:rPr>
          <w:rFonts w:ascii="Times New Roman" w:hAnsi="Times New Roman"/>
          <w:sz w:val="24"/>
          <w:szCs w:val="24"/>
        </w:rPr>
        <w:t>Pouczenie</w:t>
      </w:r>
    </w:p>
    <w:p w14:paraId="6383A7EB" w14:textId="77777777" w:rsidR="00004FA4" w:rsidRPr="00DF0DD4" w:rsidRDefault="003A37EE" w:rsidP="00DF0DD4">
      <w:pPr>
        <w:numPr>
          <w:ilvl w:val="0"/>
          <w:numId w:val="3"/>
        </w:numPr>
        <w:spacing w:after="0" w:line="240" w:lineRule="auto"/>
        <w:ind w:left="357" w:hanging="357"/>
        <w:contextualSpacing/>
        <w:rPr>
          <w:rFonts w:ascii="Times New Roman" w:eastAsia="Times New Roman" w:hAnsi="Times New Roman"/>
          <w:sz w:val="24"/>
          <w:szCs w:val="24"/>
          <w:lang w:eastAsia="pl-PL"/>
        </w:rPr>
      </w:pPr>
      <w:r w:rsidRPr="00DF0DD4">
        <w:rPr>
          <w:rFonts w:ascii="Times New Roman" w:eastAsia="Times New Roman" w:hAnsi="Times New Roman"/>
          <w:sz w:val="24"/>
          <w:szCs w:val="24"/>
          <w:lang w:eastAsia="pl-PL"/>
        </w:rPr>
        <w:t xml:space="preserve">strona niezadowolona z niniejszego postanowienia, zgodnie z art. 113 § 3 w związku z art. 127 § 3 i art. 144 </w:t>
      </w:r>
      <w:r w:rsidRPr="00DF0DD4">
        <w:rPr>
          <w:rFonts w:ascii="Times New Roman" w:eastAsia="Times New Roman" w:hAnsi="Times New Roman"/>
          <w:iCs/>
          <w:sz w:val="24"/>
          <w:szCs w:val="24"/>
          <w:lang w:eastAsia="pl-PL"/>
        </w:rPr>
        <w:t>k.p.a.,</w:t>
      </w:r>
      <w:r w:rsidRPr="00DF0DD4">
        <w:rPr>
          <w:rFonts w:ascii="Times New Roman" w:eastAsia="Times New Roman" w:hAnsi="Times New Roman"/>
          <w:sz w:val="24"/>
          <w:szCs w:val="24"/>
          <w:lang w:eastAsia="pl-PL"/>
        </w:rPr>
        <w:t xml:space="preserve"> może zwrócić się do GDOŚ, w terminie siedmiu dni od dnia otrzymania postanowienia, z wnioskiem o ponowne rozpatrzenie kwestii wyjaśnienia wątpliwości co do treści decyzji;</w:t>
      </w:r>
    </w:p>
    <w:p w14:paraId="4CCDC74D" w14:textId="77777777" w:rsidR="00004FA4" w:rsidRPr="00DF0DD4" w:rsidRDefault="003A37EE" w:rsidP="00DF0DD4">
      <w:pPr>
        <w:numPr>
          <w:ilvl w:val="0"/>
          <w:numId w:val="3"/>
        </w:numPr>
        <w:spacing w:after="0" w:line="240" w:lineRule="auto"/>
        <w:ind w:left="357" w:hanging="357"/>
        <w:contextualSpacing/>
        <w:rPr>
          <w:rFonts w:ascii="Times New Roman" w:eastAsia="Times New Roman" w:hAnsi="Times New Roman"/>
          <w:sz w:val="24"/>
          <w:szCs w:val="24"/>
          <w:lang w:eastAsia="pl-PL"/>
        </w:rPr>
      </w:pPr>
      <w:r w:rsidRPr="00DF0DD4">
        <w:rPr>
          <w:rFonts w:ascii="Times New Roman" w:eastAsia="Times New Roman" w:hAnsi="Times New Roman"/>
          <w:sz w:val="24"/>
          <w:szCs w:val="24"/>
          <w:lang w:eastAsia="ar-SA"/>
        </w:rPr>
        <w:t xml:space="preserve">w trakcie biegu terminu do zwrócenia się z wnioskiem </w:t>
      </w:r>
      <w:r w:rsidRPr="00DF0DD4">
        <w:rPr>
          <w:rFonts w:ascii="Times New Roman" w:eastAsia="Times New Roman" w:hAnsi="Times New Roman"/>
          <w:sz w:val="24"/>
          <w:szCs w:val="24"/>
          <w:lang w:eastAsia="pl-PL"/>
        </w:rPr>
        <w:t>o ponowne rozpatrzenie kwestii</w:t>
      </w:r>
      <w:r w:rsidRPr="00DF0DD4">
        <w:rPr>
          <w:rFonts w:ascii="Times New Roman" w:eastAsia="Times New Roman" w:hAnsi="Times New Roman"/>
          <w:sz w:val="24"/>
          <w:szCs w:val="24"/>
          <w:lang w:eastAsia="pl-PL"/>
        </w:rPr>
        <w:t xml:space="preserve"> wyjaśnienia wątpliwości co do treści decyzji</w:t>
      </w:r>
      <w:r w:rsidRPr="00DF0DD4">
        <w:rPr>
          <w:rFonts w:ascii="Times New Roman" w:eastAsia="Times New Roman" w:hAnsi="Times New Roman"/>
          <w:sz w:val="24"/>
          <w:szCs w:val="24"/>
          <w:lang w:eastAsia="ar-SA"/>
        </w:rPr>
        <w:t xml:space="preserve"> strona, zgodnie z art. 127a § 1 w związku z </w:t>
      </w:r>
      <w:r w:rsidRPr="00DF0DD4">
        <w:rPr>
          <w:rFonts w:ascii="Times New Roman" w:eastAsia="Times New Roman" w:hAnsi="Times New Roman"/>
          <w:sz w:val="24"/>
          <w:szCs w:val="24"/>
          <w:lang w:eastAsia="ar-SA"/>
        </w:rPr>
        <w:lastRenderedPageBreak/>
        <w:t>art. 127 § 3 i art. 144 k.p.a., może zrzec się prawa do zwrócenia się z takim wnioskiem wobec GDOŚ;</w:t>
      </w:r>
    </w:p>
    <w:p w14:paraId="0D63A227" w14:textId="77777777" w:rsidR="00004FA4" w:rsidRPr="00DF0DD4" w:rsidRDefault="003A37EE" w:rsidP="00DF0DD4">
      <w:pPr>
        <w:numPr>
          <w:ilvl w:val="0"/>
          <w:numId w:val="3"/>
        </w:numPr>
        <w:spacing w:after="0" w:line="240" w:lineRule="auto"/>
        <w:ind w:left="357" w:hanging="357"/>
        <w:contextualSpacing/>
        <w:rPr>
          <w:rFonts w:ascii="Times New Roman" w:eastAsia="Times New Roman" w:hAnsi="Times New Roman"/>
          <w:sz w:val="24"/>
          <w:szCs w:val="24"/>
          <w:lang w:eastAsia="pl-PL"/>
        </w:rPr>
      </w:pPr>
      <w:r w:rsidRPr="00DF0DD4">
        <w:rPr>
          <w:rFonts w:ascii="Times New Roman" w:eastAsia="Times New Roman" w:hAnsi="Times New Roman"/>
          <w:sz w:val="24"/>
          <w:szCs w:val="24"/>
          <w:lang w:eastAsia="ar-SA"/>
        </w:rPr>
        <w:t>z dniem doręczenia GDOŚ oświadczenia o zrzeczeniu się prawa do zwr</w:t>
      </w:r>
      <w:r w:rsidRPr="00DF0DD4">
        <w:rPr>
          <w:rFonts w:ascii="Times New Roman" w:eastAsia="Times New Roman" w:hAnsi="Times New Roman"/>
          <w:sz w:val="24"/>
          <w:szCs w:val="24"/>
          <w:lang w:eastAsia="ar-SA"/>
        </w:rPr>
        <w:t>ócenia się z wnioskiem o ponowne rozpatrzenie kwestii wstrzymania natychmiastowego wykonania decyzji przez ostatnią ze stron, zgodnie z art. 127a § 2 w związku z art. 127 § 3 i art. 144 k.p.a., niniejsze postanowienie staje się ostateczne i prawomocne;</w:t>
      </w:r>
    </w:p>
    <w:p w14:paraId="42506917" w14:textId="77777777" w:rsidR="00004FA4" w:rsidRPr="00DF0DD4" w:rsidRDefault="003A37EE" w:rsidP="00DF0DD4">
      <w:pPr>
        <w:numPr>
          <w:ilvl w:val="0"/>
          <w:numId w:val="3"/>
        </w:numPr>
        <w:spacing w:after="0" w:line="240" w:lineRule="auto"/>
        <w:ind w:left="357" w:hanging="357"/>
        <w:contextualSpacing/>
        <w:rPr>
          <w:rFonts w:ascii="Times New Roman" w:eastAsia="Times New Roman" w:hAnsi="Times New Roman"/>
          <w:sz w:val="24"/>
          <w:szCs w:val="24"/>
          <w:lang w:eastAsia="pl-PL"/>
        </w:rPr>
      </w:pPr>
      <w:r w:rsidRPr="00DF0DD4">
        <w:rPr>
          <w:rFonts w:ascii="Times New Roman" w:eastAsia="Times New Roman" w:hAnsi="Times New Roman"/>
          <w:sz w:val="24"/>
          <w:szCs w:val="24"/>
          <w:lang w:eastAsia="ar-SA"/>
        </w:rPr>
        <w:t>zgo</w:t>
      </w:r>
      <w:r w:rsidRPr="00DF0DD4">
        <w:rPr>
          <w:rFonts w:ascii="Times New Roman" w:eastAsia="Times New Roman" w:hAnsi="Times New Roman"/>
          <w:sz w:val="24"/>
          <w:szCs w:val="24"/>
          <w:lang w:eastAsia="ar-SA"/>
        </w:rPr>
        <w:t>dnie z art. 50 oraz art. 52 § 1 i 2 w związku z art. 3 § 2 pkt 2 ustawy z dnia 30 sierpnia 2002 r. – Prawo o postępowaniu przed sądami administracyjnymi (Dz. U. z 2024 r. poz. 935, ze zm.), dalej p.p.s.a., na niniejsze postanowienie można wnieść do Wojewód</w:t>
      </w:r>
      <w:r w:rsidRPr="00DF0DD4">
        <w:rPr>
          <w:rFonts w:ascii="Times New Roman" w:eastAsia="Times New Roman" w:hAnsi="Times New Roman"/>
          <w:sz w:val="24"/>
          <w:szCs w:val="24"/>
          <w:lang w:eastAsia="ar-SA"/>
        </w:rPr>
        <w:t xml:space="preserve">zkiego Sądu Administracyjnego w Warszawie skargę bez konieczności skorzystania z prawa do zwrócenia się z wnioskiem </w:t>
      </w:r>
      <w:r w:rsidRPr="00DF0DD4">
        <w:rPr>
          <w:rFonts w:ascii="Times New Roman" w:eastAsia="Times New Roman" w:hAnsi="Times New Roman"/>
          <w:sz w:val="24"/>
          <w:szCs w:val="24"/>
          <w:lang w:eastAsia="pl-PL"/>
        </w:rPr>
        <w:t>o ponowne rozpatrzenie kwestii wyjaśnienia wątpliwości co do treści decyzji</w:t>
      </w:r>
      <w:r w:rsidRPr="00DF0DD4">
        <w:rPr>
          <w:rFonts w:ascii="Times New Roman" w:eastAsia="Times New Roman" w:hAnsi="Times New Roman"/>
          <w:sz w:val="24"/>
          <w:szCs w:val="24"/>
          <w:lang w:eastAsia="ar-SA"/>
        </w:rPr>
        <w:t>;</w:t>
      </w:r>
    </w:p>
    <w:p w14:paraId="21DC76AB" w14:textId="77777777" w:rsidR="00004FA4" w:rsidRPr="00DF0DD4" w:rsidRDefault="003A37EE" w:rsidP="00DF0DD4">
      <w:pPr>
        <w:numPr>
          <w:ilvl w:val="0"/>
          <w:numId w:val="3"/>
        </w:numPr>
        <w:spacing w:after="0" w:line="240" w:lineRule="auto"/>
        <w:ind w:left="357" w:hanging="357"/>
        <w:contextualSpacing/>
        <w:rPr>
          <w:rFonts w:ascii="Times New Roman" w:eastAsia="Times New Roman" w:hAnsi="Times New Roman"/>
          <w:sz w:val="24"/>
          <w:szCs w:val="24"/>
          <w:lang w:eastAsia="pl-PL"/>
        </w:rPr>
      </w:pPr>
      <w:r w:rsidRPr="00DF0DD4">
        <w:rPr>
          <w:rFonts w:ascii="Times New Roman" w:eastAsia="Times New Roman" w:hAnsi="Times New Roman"/>
          <w:sz w:val="24"/>
          <w:szCs w:val="24"/>
          <w:lang w:eastAsia="ar-SA"/>
        </w:rPr>
        <w:t>zgodnie z art. 53 § 1 oraz art. 54 § 1 p.p.s.a. skargę należy w</w:t>
      </w:r>
      <w:r w:rsidRPr="00DF0DD4">
        <w:rPr>
          <w:rFonts w:ascii="Times New Roman" w:eastAsia="Times New Roman" w:hAnsi="Times New Roman"/>
          <w:sz w:val="24"/>
          <w:szCs w:val="24"/>
          <w:lang w:eastAsia="ar-SA"/>
        </w:rPr>
        <w:t>nieść, za pośrednictwem GDOŚ, w terminie trzydziestu dni od dnia otrzymania postanowienia;</w:t>
      </w:r>
    </w:p>
    <w:p w14:paraId="21C13366" w14:textId="77777777" w:rsidR="00004FA4" w:rsidRPr="00DF0DD4" w:rsidRDefault="003A37EE" w:rsidP="00DF0DD4">
      <w:pPr>
        <w:numPr>
          <w:ilvl w:val="0"/>
          <w:numId w:val="3"/>
        </w:numPr>
        <w:spacing w:after="0" w:line="240" w:lineRule="auto"/>
        <w:ind w:left="357" w:hanging="357"/>
        <w:contextualSpacing/>
        <w:rPr>
          <w:rFonts w:ascii="Times New Roman" w:eastAsia="Times New Roman" w:hAnsi="Times New Roman"/>
          <w:sz w:val="24"/>
          <w:szCs w:val="24"/>
          <w:lang w:eastAsia="pl-PL"/>
        </w:rPr>
      </w:pPr>
      <w:r w:rsidRPr="00DF0DD4">
        <w:rPr>
          <w:rFonts w:ascii="Times New Roman" w:eastAsia="Times New Roman" w:hAnsi="Times New Roman"/>
          <w:sz w:val="24"/>
          <w:szCs w:val="24"/>
          <w:lang w:eastAsia="ar-SA"/>
        </w:rPr>
        <w:t>skarżący, zgodnie z art. 230 p.p.s.a., w związku z § 2 ust. 1 pkt 1 rozporządzenia Rady Ministrów z dnia 16 grudnia 2003 r. w sprawie wysokości oraz szczegółowych za</w:t>
      </w:r>
      <w:r w:rsidRPr="00DF0DD4">
        <w:rPr>
          <w:rFonts w:ascii="Times New Roman" w:eastAsia="Times New Roman" w:hAnsi="Times New Roman"/>
          <w:sz w:val="24"/>
          <w:szCs w:val="24"/>
          <w:lang w:eastAsia="ar-SA"/>
        </w:rPr>
        <w:t>sad pobierania wpisu w postępowaniu przed sądami administracyjnymi (Dz. U. z 2021 r. poz. 535), obowiązany jest do uiszczenia wpisu od skargi w kwocie 100 zł. Skarżący, co wynika z art. 239 p.p.s.a., może być zwolniony z obowiązku uiszczenia kosztów sądowy</w:t>
      </w:r>
      <w:r w:rsidRPr="00DF0DD4">
        <w:rPr>
          <w:rFonts w:ascii="Times New Roman" w:eastAsia="Times New Roman" w:hAnsi="Times New Roman"/>
          <w:sz w:val="24"/>
          <w:szCs w:val="24"/>
          <w:lang w:eastAsia="ar-SA"/>
        </w:rPr>
        <w:t>ch;</w:t>
      </w:r>
    </w:p>
    <w:p w14:paraId="0BDD8927" w14:textId="77777777" w:rsidR="00004FA4" w:rsidRPr="00DF0DD4" w:rsidRDefault="003A37EE" w:rsidP="00DF0DD4">
      <w:pPr>
        <w:numPr>
          <w:ilvl w:val="0"/>
          <w:numId w:val="3"/>
        </w:numPr>
        <w:spacing w:after="0" w:line="240" w:lineRule="auto"/>
        <w:ind w:left="357" w:hanging="357"/>
        <w:contextualSpacing/>
        <w:rPr>
          <w:rFonts w:ascii="Times New Roman" w:eastAsia="Times New Roman" w:hAnsi="Times New Roman"/>
          <w:sz w:val="24"/>
          <w:szCs w:val="24"/>
          <w:lang w:eastAsia="pl-PL"/>
        </w:rPr>
      </w:pPr>
      <w:r w:rsidRPr="00DF0DD4">
        <w:rPr>
          <w:rFonts w:ascii="Times New Roman" w:eastAsia="Times New Roman" w:hAnsi="Times New Roman"/>
          <w:sz w:val="24"/>
          <w:szCs w:val="24"/>
          <w:lang w:eastAsia="ar-SA"/>
        </w:rPr>
        <w:t>skarżącemu, zgodnie z art. 243 p.p.s.a., może być przyznane, na jego wniosek, prawo pomocy. Wniosek ten wolny jest od opłat sądowych;</w:t>
      </w:r>
    </w:p>
    <w:p w14:paraId="4CE36061" w14:textId="77777777" w:rsidR="00004FA4" w:rsidRPr="00DF0DD4" w:rsidRDefault="003A37EE" w:rsidP="00DF0DD4">
      <w:pPr>
        <w:numPr>
          <w:ilvl w:val="0"/>
          <w:numId w:val="3"/>
        </w:numPr>
        <w:spacing w:after="0" w:line="240" w:lineRule="auto"/>
        <w:ind w:left="357" w:hanging="357"/>
        <w:contextualSpacing/>
        <w:rPr>
          <w:rFonts w:ascii="Times New Roman" w:eastAsia="Times New Roman" w:hAnsi="Times New Roman"/>
          <w:sz w:val="24"/>
          <w:szCs w:val="24"/>
          <w:lang w:eastAsia="pl-PL"/>
        </w:rPr>
      </w:pPr>
      <w:r w:rsidRPr="00DF0DD4">
        <w:rPr>
          <w:rFonts w:ascii="Times New Roman" w:eastAsia="Times New Roman" w:hAnsi="Times New Roman"/>
          <w:sz w:val="24"/>
          <w:szCs w:val="24"/>
          <w:lang w:eastAsia="ar-SA"/>
        </w:rPr>
        <w:t xml:space="preserve">wniosek o ponowne rozpatrzenie kwestii wstrzymania natychmiastowego wykonania decyzji albo skargę w formie </w:t>
      </w:r>
      <w:r w:rsidRPr="00DF0DD4">
        <w:rPr>
          <w:rFonts w:ascii="Times New Roman" w:eastAsia="Times New Roman" w:hAnsi="Times New Roman"/>
          <w:sz w:val="24"/>
          <w:szCs w:val="24"/>
          <w:lang w:eastAsia="ar-SA"/>
        </w:rPr>
        <w:t>elektronicznej należy wnieść na adres do e-Doręczeń: AE:PL-14966-78422-TRCJH-21 lub adres ePUAP: /gdosgovpl/SkrytkaESP, natomiast w formie papierowej – na adres siedziby Generalnej Dyrekcji Ochrony Środowiska: Al. Jerozolimskie 136, 02-305 Warszawa.</w:t>
      </w:r>
    </w:p>
    <w:p w14:paraId="1FD1EE6B" w14:textId="77777777" w:rsidR="00DF0DD4" w:rsidRPr="00DF0DD4" w:rsidRDefault="00DF0DD4" w:rsidP="00DF0DD4">
      <w:pPr>
        <w:pStyle w:val="menfont"/>
        <w:rPr>
          <w:rFonts w:ascii="Times New Roman" w:hAnsi="Times New Roman" w:cs="Times New Roman"/>
          <w:smallCaps/>
        </w:rPr>
      </w:pPr>
      <w:bookmarkStart w:id="4" w:name="ezdPracownikPodpisNazwa"/>
      <w:r w:rsidRPr="00DF0DD4">
        <w:rPr>
          <w:rFonts w:ascii="Times New Roman" w:hAnsi="Times New Roman" w:cs="Times New Roman"/>
          <w:smallCaps/>
        </w:rPr>
        <w:t xml:space="preserve">Piotr </w:t>
      </w:r>
      <w:proofErr w:type="spellStart"/>
      <w:r w:rsidRPr="00DF0DD4">
        <w:rPr>
          <w:rFonts w:ascii="Times New Roman" w:hAnsi="Times New Roman" w:cs="Times New Roman"/>
          <w:smallCaps/>
        </w:rPr>
        <w:t>Otawski</w:t>
      </w:r>
      <w:bookmarkEnd w:id="4"/>
      <w:proofErr w:type="spellEnd"/>
    </w:p>
    <w:p w14:paraId="53B44587" w14:textId="77777777" w:rsidR="00DF0DD4" w:rsidRPr="00DF0DD4" w:rsidRDefault="00DF0DD4" w:rsidP="00DF0DD4">
      <w:pPr>
        <w:pStyle w:val="menfont"/>
        <w:rPr>
          <w:rFonts w:ascii="Times New Roman" w:hAnsi="Times New Roman" w:cs="Times New Roman"/>
        </w:rPr>
      </w:pPr>
      <w:bookmarkStart w:id="5" w:name="ezdPracownikPodpisStanowisko"/>
      <w:r w:rsidRPr="00DF0DD4">
        <w:rPr>
          <w:rFonts w:ascii="Times New Roman" w:hAnsi="Times New Roman" w:cs="Times New Roman"/>
        </w:rPr>
        <w:t>Generalny Dyrektor Ochrony Środowiska</w:t>
      </w:r>
      <w:bookmarkEnd w:id="5"/>
    </w:p>
    <w:p w14:paraId="140FAC1D" w14:textId="2361E8E4" w:rsidR="00004FA4" w:rsidRPr="00DF0DD4" w:rsidRDefault="00DF0DD4" w:rsidP="00DF0DD4">
      <w:pPr>
        <w:pStyle w:val="menfont"/>
        <w:rPr>
          <w:rFonts w:ascii="Times New Roman" w:hAnsi="Times New Roman" w:cs="Times New Roman"/>
        </w:rPr>
      </w:pPr>
      <w:r w:rsidRPr="00DF0DD4">
        <w:rPr>
          <w:rFonts w:ascii="Times New Roman" w:hAnsi="Times New Roman" w:cs="Times New Roman"/>
        </w:rPr>
        <w:t>/ – podpisano cyfrowo – /</w:t>
      </w:r>
    </w:p>
    <w:p w14:paraId="384A98CC" w14:textId="77777777" w:rsidR="00004FA4" w:rsidRPr="00DF0DD4" w:rsidRDefault="003A37EE" w:rsidP="00DF0DD4">
      <w:pPr>
        <w:spacing w:after="0" w:line="240" w:lineRule="auto"/>
        <w:jc w:val="both"/>
        <w:rPr>
          <w:rFonts w:ascii="Times New Roman" w:hAnsi="Times New Roman"/>
          <w:sz w:val="24"/>
          <w:szCs w:val="24"/>
        </w:rPr>
      </w:pPr>
      <w:r w:rsidRPr="00DF0DD4">
        <w:rPr>
          <w:rFonts w:ascii="Times New Roman" w:hAnsi="Times New Roman"/>
          <w:sz w:val="24"/>
          <w:szCs w:val="24"/>
        </w:rPr>
        <w:t>Otrzymują:</w:t>
      </w:r>
    </w:p>
    <w:p w14:paraId="20D48FCB" w14:textId="77777777" w:rsidR="00004FA4" w:rsidRPr="00DF0DD4" w:rsidRDefault="003A37EE" w:rsidP="00DF0DD4">
      <w:pPr>
        <w:pStyle w:val="Akapitzlist1"/>
        <w:numPr>
          <w:ilvl w:val="0"/>
          <w:numId w:val="4"/>
        </w:numPr>
        <w:tabs>
          <w:tab w:val="clear" w:pos="0"/>
        </w:tabs>
        <w:ind w:left="284" w:hanging="284"/>
        <w:contextualSpacing w:val="0"/>
        <w:jc w:val="both"/>
      </w:pPr>
      <w:r w:rsidRPr="00DF0DD4">
        <w:t>Sebastian Borowiak Dyrektor Oddziału w Bydgoszczy GDDKiA reprezentujący Generalnego Dyrektora Dróg Krajowych i Autostrad, korespondencja przez e-Doręczenie:</w:t>
      </w:r>
      <w:r w:rsidRPr="00DF0DD4">
        <w:rPr>
          <w:rFonts w:ascii="Calibri" w:eastAsia="Calibri" w:hAnsi="Calibri"/>
          <w:lang w:eastAsia="en-US"/>
        </w:rPr>
        <w:t xml:space="preserve"> </w:t>
      </w:r>
      <w:r w:rsidRPr="00DF0DD4">
        <w:t>AE:PL-22463-8072</w:t>
      </w:r>
      <w:r w:rsidRPr="00DF0DD4">
        <w:t>8-FADEU-18;</w:t>
      </w:r>
    </w:p>
    <w:p w14:paraId="159D35BE" w14:textId="77777777" w:rsidR="00004FA4" w:rsidRPr="00DF0DD4" w:rsidRDefault="003A37EE" w:rsidP="00DF0DD4">
      <w:pPr>
        <w:pStyle w:val="Akapitzlist1"/>
        <w:numPr>
          <w:ilvl w:val="0"/>
          <w:numId w:val="4"/>
        </w:numPr>
        <w:tabs>
          <w:tab w:val="clear" w:pos="0"/>
        </w:tabs>
        <w:ind w:left="284" w:hanging="284"/>
        <w:contextualSpacing w:val="0"/>
        <w:jc w:val="both"/>
      </w:pPr>
      <w:r w:rsidRPr="00DF0DD4">
        <w:t>Toruńskie Wodociągi sp. z o.o., ul. Rybaki 31-35, 87-100 Toruń;</w:t>
      </w:r>
    </w:p>
    <w:p w14:paraId="4B236914" w14:textId="77777777" w:rsidR="00004FA4" w:rsidRPr="00DF0DD4" w:rsidRDefault="003A37EE" w:rsidP="00DF0DD4">
      <w:pPr>
        <w:pStyle w:val="Akapitzlist1"/>
        <w:numPr>
          <w:ilvl w:val="0"/>
          <w:numId w:val="4"/>
        </w:numPr>
        <w:tabs>
          <w:tab w:val="clear" w:pos="0"/>
        </w:tabs>
        <w:ind w:left="284" w:hanging="284"/>
        <w:contextualSpacing w:val="0"/>
        <w:jc w:val="both"/>
      </w:pPr>
      <w:r w:rsidRPr="00DF0DD4">
        <w:t>Prezydent Miasta Torunia, ul. Wały Gen. Sikorskiego 8, 87-100 Toruń;</w:t>
      </w:r>
    </w:p>
    <w:p w14:paraId="288300CE" w14:textId="77777777" w:rsidR="00004FA4" w:rsidRPr="00DF0DD4" w:rsidRDefault="003A37EE" w:rsidP="00DF0DD4">
      <w:pPr>
        <w:pStyle w:val="Akapitzlist1"/>
        <w:numPr>
          <w:ilvl w:val="0"/>
          <w:numId w:val="4"/>
        </w:numPr>
        <w:tabs>
          <w:tab w:val="clear" w:pos="0"/>
        </w:tabs>
        <w:ind w:left="284" w:hanging="284"/>
        <w:contextualSpacing w:val="0"/>
        <w:jc w:val="both"/>
      </w:pPr>
      <w:r w:rsidRPr="00DF0DD4">
        <w:t>Zakład Gospodarki Komunalnej sp. z o.o. w Solcu Kujawskim, ul. Targowa 3, 86-050 Solec Kujawski;</w:t>
      </w:r>
    </w:p>
    <w:p w14:paraId="44C29ED3" w14:textId="77777777" w:rsidR="00004FA4" w:rsidRPr="00DF0DD4" w:rsidRDefault="003A37EE" w:rsidP="00DF0DD4">
      <w:pPr>
        <w:pStyle w:val="Akapitzlist1"/>
        <w:numPr>
          <w:ilvl w:val="0"/>
          <w:numId w:val="4"/>
        </w:numPr>
        <w:tabs>
          <w:tab w:val="clear" w:pos="0"/>
        </w:tabs>
        <w:ind w:left="284" w:hanging="284"/>
        <w:contextualSpacing w:val="0"/>
        <w:jc w:val="both"/>
      </w:pPr>
      <w:r w:rsidRPr="00DF0DD4">
        <w:t>Nadleśnictwo Solec Kujawski, ul. Leśna 64, 86-050 Solec Kujawski;</w:t>
      </w:r>
    </w:p>
    <w:p w14:paraId="7953E322" w14:textId="77777777" w:rsidR="00004FA4" w:rsidRPr="00DF0DD4" w:rsidRDefault="003A37EE" w:rsidP="00DF0DD4">
      <w:pPr>
        <w:pStyle w:val="Akapitzlist1"/>
        <w:numPr>
          <w:ilvl w:val="0"/>
          <w:numId w:val="4"/>
        </w:numPr>
        <w:tabs>
          <w:tab w:val="clear" w:pos="0"/>
        </w:tabs>
        <w:ind w:left="284" w:hanging="284"/>
        <w:contextualSpacing w:val="0"/>
        <w:jc w:val="both"/>
      </w:pPr>
      <w:r w:rsidRPr="00DF0DD4">
        <w:t>Drobex-Agro sp. z o.o., ul. Makowska 12, 86-050 Solec Kujawski;</w:t>
      </w:r>
    </w:p>
    <w:p w14:paraId="223D916E" w14:textId="221153FD" w:rsidR="00004FA4" w:rsidRPr="00DF0DD4" w:rsidRDefault="00533B27" w:rsidP="00DF0DD4">
      <w:pPr>
        <w:pStyle w:val="Akapitzlist1"/>
        <w:numPr>
          <w:ilvl w:val="0"/>
          <w:numId w:val="4"/>
        </w:numPr>
        <w:tabs>
          <w:tab w:val="clear" w:pos="0"/>
        </w:tabs>
        <w:ind w:left="284" w:hanging="284"/>
        <w:contextualSpacing w:val="0"/>
        <w:jc w:val="both"/>
      </w:pPr>
      <w:r>
        <w:t>(…)</w:t>
      </w:r>
      <w:r w:rsidR="003A37EE" w:rsidRPr="00DF0DD4">
        <w:t>;</w:t>
      </w:r>
    </w:p>
    <w:p w14:paraId="2F00E907" w14:textId="4C6EF7FE" w:rsidR="00004FA4" w:rsidRPr="00DF0DD4" w:rsidRDefault="00533B27" w:rsidP="00DF0DD4">
      <w:pPr>
        <w:pStyle w:val="Akapitzlist1"/>
        <w:numPr>
          <w:ilvl w:val="0"/>
          <w:numId w:val="4"/>
        </w:numPr>
        <w:tabs>
          <w:tab w:val="clear" w:pos="0"/>
        </w:tabs>
        <w:ind w:left="284" w:hanging="284"/>
        <w:contextualSpacing w:val="0"/>
        <w:jc w:val="both"/>
      </w:pPr>
      <w:r>
        <w:t>(…)</w:t>
      </w:r>
      <w:bookmarkStart w:id="6" w:name="_GoBack"/>
      <w:bookmarkEnd w:id="6"/>
      <w:r w:rsidR="003A37EE" w:rsidRPr="00DF0DD4">
        <w:t>;</w:t>
      </w:r>
    </w:p>
    <w:p w14:paraId="50F870A2" w14:textId="48EB392B" w:rsidR="00004FA4" w:rsidRPr="00DF0DD4" w:rsidRDefault="003A37EE" w:rsidP="00DF0DD4">
      <w:pPr>
        <w:pStyle w:val="Akapitzlist1"/>
        <w:numPr>
          <w:ilvl w:val="0"/>
          <w:numId w:val="4"/>
        </w:numPr>
        <w:tabs>
          <w:tab w:val="clear" w:pos="0"/>
        </w:tabs>
        <w:ind w:left="284" w:hanging="284"/>
        <w:contextualSpacing w:val="0"/>
        <w:jc w:val="both"/>
      </w:pPr>
      <w:r w:rsidRPr="00DF0DD4">
        <w:t xml:space="preserve">Wojskowe Koło Łowieckie nr 250 „MIŚ”, </w:t>
      </w:r>
      <w:r w:rsidR="00533B27">
        <w:t>(…)</w:t>
      </w:r>
      <w:r w:rsidRPr="00DF0DD4">
        <w:t>;</w:t>
      </w:r>
    </w:p>
    <w:p w14:paraId="6605CE71" w14:textId="77777777" w:rsidR="00004FA4" w:rsidRPr="00DF0DD4" w:rsidRDefault="003A37EE" w:rsidP="00DF0DD4">
      <w:pPr>
        <w:pStyle w:val="Akapitzlist1"/>
        <w:numPr>
          <w:ilvl w:val="0"/>
          <w:numId w:val="4"/>
        </w:numPr>
        <w:tabs>
          <w:tab w:val="clear" w:pos="0"/>
        </w:tabs>
        <w:ind w:left="284" w:hanging="284"/>
        <w:contextualSpacing w:val="0"/>
        <w:jc w:val="both"/>
      </w:pPr>
      <w:r w:rsidRPr="00DF0DD4">
        <w:t>pozostałe stro</w:t>
      </w:r>
      <w:r w:rsidRPr="00DF0DD4">
        <w:t>ny postępowania zgodnie z art. 49 k.p.a.</w:t>
      </w:r>
    </w:p>
    <w:p w14:paraId="07CDABDB" w14:textId="77777777" w:rsidR="00004FA4" w:rsidRPr="00DF0DD4" w:rsidRDefault="003A37EE" w:rsidP="00DF0DD4">
      <w:pPr>
        <w:spacing w:after="0" w:line="240" w:lineRule="auto"/>
        <w:jc w:val="both"/>
        <w:rPr>
          <w:rFonts w:ascii="Times New Roman" w:hAnsi="Times New Roman"/>
          <w:sz w:val="24"/>
          <w:szCs w:val="24"/>
        </w:rPr>
      </w:pPr>
      <w:r w:rsidRPr="00DF0DD4">
        <w:rPr>
          <w:rFonts w:ascii="Times New Roman" w:hAnsi="Times New Roman"/>
          <w:sz w:val="24"/>
          <w:szCs w:val="24"/>
        </w:rPr>
        <w:t>Do wiadomości:</w:t>
      </w:r>
    </w:p>
    <w:p w14:paraId="7846AC20" w14:textId="77777777" w:rsidR="00004FA4" w:rsidRPr="00DF0DD4" w:rsidRDefault="003A37EE" w:rsidP="00DF0DD4">
      <w:pPr>
        <w:spacing w:after="0" w:line="240" w:lineRule="auto"/>
        <w:jc w:val="both"/>
        <w:rPr>
          <w:rFonts w:ascii="Times New Roman" w:hAnsi="Times New Roman"/>
          <w:sz w:val="24"/>
          <w:szCs w:val="24"/>
        </w:rPr>
      </w:pPr>
      <w:r w:rsidRPr="00DF0DD4">
        <w:rPr>
          <w:rFonts w:ascii="Times New Roman" w:hAnsi="Times New Roman"/>
          <w:sz w:val="24"/>
          <w:szCs w:val="24"/>
        </w:rPr>
        <w:t>1. Regionalny Dyrektor Ochrony Środowiska w Bydgoszczy, korespondencja przez e-Doręczenie: (AE:PL-41251-89461-AJVUH-10).</w:t>
      </w:r>
    </w:p>
    <w:p w14:paraId="4A4630F9" w14:textId="77777777" w:rsidR="00004FA4" w:rsidRPr="00DF0DD4" w:rsidRDefault="00004FA4" w:rsidP="00DF0DD4">
      <w:pPr>
        <w:suppressAutoHyphens/>
        <w:spacing w:after="0" w:line="240" w:lineRule="auto"/>
        <w:jc w:val="both"/>
        <w:rPr>
          <w:rFonts w:ascii="Times New Roman" w:eastAsia="Times New Roman" w:hAnsi="Times New Roman"/>
          <w:sz w:val="24"/>
          <w:szCs w:val="24"/>
          <w:lang w:eastAsia="ar-SA"/>
        </w:rPr>
      </w:pPr>
    </w:p>
    <w:sectPr w:rsidR="00004FA4" w:rsidRPr="00DF0DD4">
      <w:headerReference w:type="default" r:id="rId8"/>
      <w:footerReference w:type="default" r:id="rId9"/>
      <w:pgSz w:w="11906" w:h="16838"/>
      <w:pgMar w:top="1417" w:right="1417" w:bottom="1417" w:left="1417" w:header="850"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11A218" w14:textId="77777777" w:rsidR="003A37EE" w:rsidRDefault="003A37EE">
      <w:pPr>
        <w:spacing w:after="0" w:line="240" w:lineRule="auto"/>
      </w:pPr>
      <w:r>
        <w:separator/>
      </w:r>
    </w:p>
  </w:endnote>
  <w:endnote w:type="continuationSeparator" w:id="0">
    <w:p w14:paraId="37CDE5E9" w14:textId="77777777" w:rsidR="003A37EE" w:rsidRDefault="003A37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altName w:val="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00176693"/>
      <w:docPartObj>
        <w:docPartGallery w:val="Page Numbers (Bottom of Page)"/>
        <w:docPartUnique/>
      </w:docPartObj>
    </w:sdtPr>
    <w:sdtEndPr>
      <w:rPr>
        <w:rFonts w:ascii="Times New Roman" w:hAnsi="Times New Roman"/>
        <w:sz w:val="18"/>
        <w:szCs w:val="18"/>
      </w:rPr>
    </w:sdtEndPr>
    <w:sdtContent>
      <w:p w14:paraId="089B6B24" w14:textId="4A8BBC18" w:rsidR="00004FA4" w:rsidRPr="00341D0C" w:rsidRDefault="003A37EE">
        <w:pPr>
          <w:pStyle w:val="Stopka"/>
          <w:jc w:val="center"/>
          <w:rPr>
            <w:rFonts w:ascii="Times New Roman" w:hAnsi="Times New Roman"/>
            <w:sz w:val="18"/>
            <w:szCs w:val="18"/>
          </w:rPr>
        </w:pPr>
        <w:r w:rsidRPr="00341D0C">
          <w:rPr>
            <w:rFonts w:ascii="Times New Roman" w:hAnsi="Times New Roman"/>
            <w:sz w:val="18"/>
            <w:szCs w:val="18"/>
          </w:rPr>
          <w:fldChar w:fldCharType="begin"/>
        </w:r>
        <w:r w:rsidRPr="00341D0C">
          <w:rPr>
            <w:rFonts w:ascii="Times New Roman" w:hAnsi="Times New Roman"/>
            <w:sz w:val="18"/>
            <w:szCs w:val="18"/>
          </w:rPr>
          <w:instrText xml:space="preserve">PAGE   </w:instrText>
        </w:r>
        <w:r w:rsidRPr="00341D0C">
          <w:rPr>
            <w:rFonts w:ascii="Times New Roman" w:hAnsi="Times New Roman"/>
            <w:sz w:val="18"/>
            <w:szCs w:val="18"/>
          </w:rPr>
          <w:instrText>\* MERGEFORMAT</w:instrText>
        </w:r>
        <w:r w:rsidRPr="00341D0C">
          <w:rPr>
            <w:rFonts w:ascii="Times New Roman" w:hAnsi="Times New Roman"/>
            <w:sz w:val="18"/>
            <w:szCs w:val="18"/>
          </w:rPr>
          <w:fldChar w:fldCharType="separate"/>
        </w:r>
        <w:r w:rsidR="00533B27">
          <w:rPr>
            <w:rFonts w:ascii="Times New Roman" w:hAnsi="Times New Roman"/>
            <w:noProof/>
            <w:sz w:val="18"/>
            <w:szCs w:val="18"/>
          </w:rPr>
          <w:t>2</w:t>
        </w:r>
        <w:r w:rsidRPr="00341D0C">
          <w:rPr>
            <w:rFonts w:ascii="Times New Roman" w:hAnsi="Times New Roman"/>
            <w:sz w:val="18"/>
            <w:szCs w:val="18"/>
          </w:rPr>
          <w:fldChar w:fldCharType="end"/>
        </w:r>
      </w:p>
    </w:sdtContent>
  </w:sdt>
  <w:p w14:paraId="4D69FAB3" w14:textId="77777777" w:rsidR="00004FA4" w:rsidRDefault="00004FA4">
    <w:pPr>
      <w:pStyle w:val="Stop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86FFD0" w14:textId="77777777" w:rsidR="003A37EE" w:rsidRDefault="003A37EE">
      <w:pPr>
        <w:spacing w:after="0" w:line="240" w:lineRule="auto"/>
      </w:pPr>
      <w:r>
        <w:separator/>
      </w:r>
    </w:p>
  </w:footnote>
  <w:footnote w:type="continuationSeparator" w:id="0">
    <w:p w14:paraId="5D3B9C07" w14:textId="77777777" w:rsidR="003A37EE" w:rsidRDefault="003A37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EC08DE" w14:textId="77777777" w:rsidR="00004FA4" w:rsidRDefault="00004FA4">
    <w:pPr>
      <w:pStyle w:val="Nagwek"/>
      <w:ind w:hanging="113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3A6A74B6"/>
    <w:name w:val="WWNum16"/>
    <w:lvl w:ilvl="0">
      <w:start w:val="1"/>
      <w:numFmt w:val="decimal"/>
      <w:lvlText w:val="%1."/>
      <w:lvlJc w:val="left"/>
      <w:pPr>
        <w:tabs>
          <w:tab w:val="num" w:pos="0"/>
        </w:tabs>
        <w:ind w:left="720" w:hanging="360"/>
      </w:pPr>
      <w:rPr>
        <w:rFonts w:ascii="Garamond" w:hAnsi="Garamond"/>
        <w:color w:val="auto"/>
        <w:sz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6494413"/>
    <w:multiLevelType w:val="hybridMultilevel"/>
    <w:tmpl w:val="8F1A474C"/>
    <w:lvl w:ilvl="0" w:tplc="41DE404E">
      <w:start w:val="1"/>
      <w:numFmt w:val="bullet"/>
      <w:lvlText w:val=""/>
      <w:lvlJc w:val="left"/>
      <w:pPr>
        <w:ind w:left="720" w:hanging="360"/>
      </w:pPr>
      <w:rPr>
        <w:rFonts w:ascii="Symbol" w:hAnsi="Symbol" w:hint="default"/>
      </w:rPr>
    </w:lvl>
    <w:lvl w:ilvl="1" w:tplc="41245E30" w:tentative="1">
      <w:start w:val="1"/>
      <w:numFmt w:val="bullet"/>
      <w:lvlText w:val="o"/>
      <w:lvlJc w:val="left"/>
      <w:pPr>
        <w:ind w:left="1440" w:hanging="360"/>
      </w:pPr>
      <w:rPr>
        <w:rFonts w:ascii="Courier New" w:hAnsi="Courier New" w:cs="Courier New" w:hint="default"/>
      </w:rPr>
    </w:lvl>
    <w:lvl w:ilvl="2" w:tplc="B82C1DE2" w:tentative="1">
      <w:start w:val="1"/>
      <w:numFmt w:val="bullet"/>
      <w:lvlText w:val=""/>
      <w:lvlJc w:val="left"/>
      <w:pPr>
        <w:ind w:left="2160" w:hanging="360"/>
      </w:pPr>
      <w:rPr>
        <w:rFonts w:ascii="Wingdings" w:hAnsi="Wingdings" w:hint="default"/>
      </w:rPr>
    </w:lvl>
    <w:lvl w:ilvl="3" w:tplc="A9968C46" w:tentative="1">
      <w:start w:val="1"/>
      <w:numFmt w:val="bullet"/>
      <w:lvlText w:val=""/>
      <w:lvlJc w:val="left"/>
      <w:pPr>
        <w:ind w:left="2880" w:hanging="360"/>
      </w:pPr>
      <w:rPr>
        <w:rFonts w:ascii="Symbol" w:hAnsi="Symbol" w:hint="default"/>
      </w:rPr>
    </w:lvl>
    <w:lvl w:ilvl="4" w:tplc="DB82C180" w:tentative="1">
      <w:start w:val="1"/>
      <w:numFmt w:val="bullet"/>
      <w:lvlText w:val="o"/>
      <w:lvlJc w:val="left"/>
      <w:pPr>
        <w:ind w:left="3600" w:hanging="360"/>
      </w:pPr>
      <w:rPr>
        <w:rFonts w:ascii="Courier New" w:hAnsi="Courier New" w:cs="Courier New" w:hint="default"/>
      </w:rPr>
    </w:lvl>
    <w:lvl w:ilvl="5" w:tplc="C6D6AE9E" w:tentative="1">
      <w:start w:val="1"/>
      <w:numFmt w:val="bullet"/>
      <w:lvlText w:val=""/>
      <w:lvlJc w:val="left"/>
      <w:pPr>
        <w:ind w:left="4320" w:hanging="360"/>
      </w:pPr>
      <w:rPr>
        <w:rFonts w:ascii="Wingdings" w:hAnsi="Wingdings" w:hint="default"/>
      </w:rPr>
    </w:lvl>
    <w:lvl w:ilvl="6" w:tplc="6FD6F1D6" w:tentative="1">
      <w:start w:val="1"/>
      <w:numFmt w:val="bullet"/>
      <w:lvlText w:val=""/>
      <w:lvlJc w:val="left"/>
      <w:pPr>
        <w:ind w:left="5040" w:hanging="360"/>
      </w:pPr>
      <w:rPr>
        <w:rFonts w:ascii="Symbol" w:hAnsi="Symbol" w:hint="default"/>
      </w:rPr>
    </w:lvl>
    <w:lvl w:ilvl="7" w:tplc="42AC217E" w:tentative="1">
      <w:start w:val="1"/>
      <w:numFmt w:val="bullet"/>
      <w:lvlText w:val="o"/>
      <w:lvlJc w:val="left"/>
      <w:pPr>
        <w:ind w:left="5760" w:hanging="360"/>
      </w:pPr>
      <w:rPr>
        <w:rFonts w:ascii="Courier New" w:hAnsi="Courier New" w:cs="Courier New" w:hint="default"/>
      </w:rPr>
    </w:lvl>
    <w:lvl w:ilvl="8" w:tplc="69B47DC8" w:tentative="1">
      <w:start w:val="1"/>
      <w:numFmt w:val="bullet"/>
      <w:lvlText w:val=""/>
      <w:lvlJc w:val="left"/>
      <w:pPr>
        <w:ind w:left="6480" w:hanging="360"/>
      </w:pPr>
      <w:rPr>
        <w:rFonts w:ascii="Wingdings" w:hAnsi="Wingdings" w:hint="default"/>
      </w:rPr>
    </w:lvl>
  </w:abstractNum>
  <w:abstractNum w:abstractNumId="2" w15:restartNumberingAfterBreak="0">
    <w:nsid w:val="423419CB"/>
    <w:multiLevelType w:val="hybridMultilevel"/>
    <w:tmpl w:val="D9BEED78"/>
    <w:lvl w:ilvl="0" w:tplc="265600BA">
      <w:start w:val="1"/>
      <w:numFmt w:val="bullet"/>
      <w:lvlText w:val=""/>
      <w:lvlJc w:val="left"/>
      <w:pPr>
        <w:ind w:left="720" w:hanging="360"/>
      </w:pPr>
      <w:rPr>
        <w:rFonts w:ascii="Symbol" w:hAnsi="Symbol" w:hint="default"/>
        <w:sz w:val="16"/>
      </w:rPr>
    </w:lvl>
    <w:lvl w:ilvl="1" w:tplc="2BAE03DA" w:tentative="1">
      <w:start w:val="1"/>
      <w:numFmt w:val="bullet"/>
      <w:lvlText w:val="o"/>
      <w:lvlJc w:val="left"/>
      <w:pPr>
        <w:ind w:left="1440" w:hanging="360"/>
      </w:pPr>
      <w:rPr>
        <w:rFonts w:ascii="Courier New" w:hAnsi="Courier New" w:cs="Courier New" w:hint="default"/>
      </w:rPr>
    </w:lvl>
    <w:lvl w:ilvl="2" w:tplc="1DDA8C1A" w:tentative="1">
      <w:start w:val="1"/>
      <w:numFmt w:val="bullet"/>
      <w:lvlText w:val=""/>
      <w:lvlJc w:val="left"/>
      <w:pPr>
        <w:ind w:left="2160" w:hanging="360"/>
      </w:pPr>
      <w:rPr>
        <w:rFonts w:ascii="Wingdings" w:hAnsi="Wingdings" w:hint="default"/>
      </w:rPr>
    </w:lvl>
    <w:lvl w:ilvl="3" w:tplc="29588CD0" w:tentative="1">
      <w:start w:val="1"/>
      <w:numFmt w:val="bullet"/>
      <w:lvlText w:val=""/>
      <w:lvlJc w:val="left"/>
      <w:pPr>
        <w:ind w:left="2880" w:hanging="360"/>
      </w:pPr>
      <w:rPr>
        <w:rFonts w:ascii="Symbol" w:hAnsi="Symbol" w:hint="default"/>
      </w:rPr>
    </w:lvl>
    <w:lvl w:ilvl="4" w:tplc="8452D586" w:tentative="1">
      <w:start w:val="1"/>
      <w:numFmt w:val="bullet"/>
      <w:lvlText w:val="o"/>
      <w:lvlJc w:val="left"/>
      <w:pPr>
        <w:ind w:left="3600" w:hanging="360"/>
      </w:pPr>
      <w:rPr>
        <w:rFonts w:ascii="Courier New" w:hAnsi="Courier New" w:cs="Courier New" w:hint="default"/>
      </w:rPr>
    </w:lvl>
    <w:lvl w:ilvl="5" w:tplc="2996AA40" w:tentative="1">
      <w:start w:val="1"/>
      <w:numFmt w:val="bullet"/>
      <w:lvlText w:val=""/>
      <w:lvlJc w:val="left"/>
      <w:pPr>
        <w:ind w:left="4320" w:hanging="360"/>
      </w:pPr>
      <w:rPr>
        <w:rFonts w:ascii="Wingdings" w:hAnsi="Wingdings" w:hint="default"/>
      </w:rPr>
    </w:lvl>
    <w:lvl w:ilvl="6" w:tplc="F4A644AE" w:tentative="1">
      <w:start w:val="1"/>
      <w:numFmt w:val="bullet"/>
      <w:lvlText w:val=""/>
      <w:lvlJc w:val="left"/>
      <w:pPr>
        <w:ind w:left="5040" w:hanging="360"/>
      </w:pPr>
      <w:rPr>
        <w:rFonts w:ascii="Symbol" w:hAnsi="Symbol" w:hint="default"/>
      </w:rPr>
    </w:lvl>
    <w:lvl w:ilvl="7" w:tplc="4036B18C" w:tentative="1">
      <w:start w:val="1"/>
      <w:numFmt w:val="bullet"/>
      <w:lvlText w:val="o"/>
      <w:lvlJc w:val="left"/>
      <w:pPr>
        <w:ind w:left="5760" w:hanging="360"/>
      </w:pPr>
      <w:rPr>
        <w:rFonts w:ascii="Courier New" w:hAnsi="Courier New" w:cs="Courier New" w:hint="default"/>
      </w:rPr>
    </w:lvl>
    <w:lvl w:ilvl="8" w:tplc="E6341394" w:tentative="1">
      <w:start w:val="1"/>
      <w:numFmt w:val="bullet"/>
      <w:lvlText w:val=""/>
      <w:lvlJc w:val="left"/>
      <w:pPr>
        <w:ind w:left="6480" w:hanging="360"/>
      </w:pPr>
      <w:rPr>
        <w:rFonts w:ascii="Wingdings" w:hAnsi="Wingdings" w:hint="default"/>
      </w:rPr>
    </w:lvl>
  </w:abstractNum>
  <w:abstractNum w:abstractNumId="3" w15:restartNumberingAfterBreak="0">
    <w:nsid w:val="5E842B2A"/>
    <w:multiLevelType w:val="hybridMultilevel"/>
    <w:tmpl w:val="698CB7A2"/>
    <w:lvl w:ilvl="0" w:tplc="3A74E70E">
      <w:start w:val="1"/>
      <w:numFmt w:val="decimal"/>
      <w:lvlText w:val="%1."/>
      <w:lvlJc w:val="left"/>
      <w:pPr>
        <w:ind w:left="720" w:hanging="360"/>
      </w:pPr>
    </w:lvl>
    <w:lvl w:ilvl="1" w:tplc="AABEE8AA" w:tentative="1">
      <w:start w:val="1"/>
      <w:numFmt w:val="lowerLetter"/>
      <w:lvlText w:val="%2."/>
      <w:lvlJc w:val="left"/>
      <w:pPr>
        <w:ind w:left="1440" w:hanging="360"/>
      </w:pPr>
    </w:lvl>
    <w:lvl w:ilvl="2" w:tplc="587AD52A" w:tentative="1">
      <w:start w:val="1"/>
      <w:numFmt w:val="lowerRoman"/>
      <w:lvlText w:val="%3."/>
      <w:lvlJc w:val="right"/>
      <w:pPr>
        <w:ind w:left="2160" w:hanging="180"/>
      </w:pPr>
    </w:lvl>
    <w:lvl w:ilvl="3" w:tplc="2CF64C08" w:tentative="1">
      <w:start w:val="1"/>
      <w:numFmt w:val="decimal"/>
      <w:lvlText w:val="%4."/>
      <w:lvlJc w:val="left"/>
      <w:pPr>
        <w:ind w:left="2880" w:hanging="360"/>
      </w:pPr>
    </w:lvl>
    <w:lvl w:ilvl="4" w:tplc="1F904E9A" w:tentative="1">
      <w:start w:val="1"/>
      <w:numFmt w:val="lowerLetter"/>
      <w:lvlText w:val="%5."/>
      <w:lvlJc w:val="left"/>
      <w:pPr>
        <w:ind w:left="3600" w:hanging="360"/>
      </w:pPr>
    </w:lvl>
    <w:lvl w:ilvl="5" w:tplc="E24613F6" w:tentative="1">
      <w:start w:val="1"/>
      <w:numFmt w:val="lowerRoman"/>
      <w:lvlText w:val="%6."/>
      <w:lvlJc w:val="right"/>
      <w:pPr>
        <w:ind w:left="4320" w:hanging="180"/>
      </w:pPr>
    </w:lvl>
    <w:lvl w:ilvl="6" w:tplc="3ED6F276" w:tentative="1">
      <w:start w:val="1"/>
      <w:numFmt w:val="decimal"/>
      <w:lvlText w:val="%7."/>
      <w:lvlJc w:val="left"/>
      <w:pPr>
        <w:ind w:left="5040" w:hanging="360"/>
      </w:pPr>
    </w:lvl>
    <w:lvl w:ilvl="7" w:tplc="36D87876" w:tentative="1">
      <w:start w:val="1"/>
      <w:numFmt w:val="lowerLetter"/>
      <w:lvlText w:val="%8."/>
      <w:lvlJc w:val="left"/>
      <w:pPr>
        <w:ind w:left="5760" w:hanging="360"/>
      </w:pPr>
    </w:lvl>
    <w:lvl w:ilvl="8" w:tplc="B336D26A" w:tentative="1">
      <w:start w:val="1"/>
      <w:numFmt w:val="lowerRoman"/>
      <w:lvlText w:val="%9."/>
      <w:lvlJc w:val="right"/>
      <w:pPr>
        <w:ind w:left="6480" w:hanging="180"/>
      </w:pPr>
    </w:lvl>
  </w:abstractNum>
  <w:abstractNum w:abstractNumId="4" w15:restartNumberingAfterBreak="0">
    <w:nsid w:val="77F37CDB"/>
    <w:multiLevelType w:val="hybridMultilevel"/>
    <w:tmpl w:val="AFE21CAA"/>
    <w:lvl w:ilvl="0" w:tplc="8D78C862">
      <w:start w:val="1"/>
      <w:numFmt w:val="decimal"/>
      <w:lvlText w:val="%1."/>
      <w:lvlJc w:val="left"/>
      <w:pPr>
        <w:ind w:left="720" w:hanging="360"/>
      </w:pPr>
    </w:lvl>
    <w:lvl w:ilvl="1" w:tplc="F5402664">
      <w:start w:val="1"/>
      <w:numFmt w:val="lowerLetter"/>
      <w:lvlText w:val="%2."/>
      <w:lvlJc w:val="left"/>
      <w:pPr>
        <w:ind w:left="1440" w:hanging="360"/>
      </w:pPr>
    </w:lvl>
    <w:lvl w:ilvl="2" w:tplc="46A8FAB6">
      <w:start w:val="1"/>
      <w:numFmt w:val="lowerRoman"/>
      <w:lvlText w:val="%3."/>
      <w:lvlJc w:val="right"/>
      <w:pPr>
        <w:ind w:left="2160" w:hanging="180"/>
      </w:pPr>
    </w:lvl>
    <w:lvl w:ilvl="3" w:tplc="E43C70B2">
      <w:start w:val="1"/>
      <w:numFmt w:val="decimal"/>
      <w:lvlText w:val="%4."/>
      <w:lvlJc w:val="left"/>
      <w:pPr>
        <w:ind w:left="2880" w:hanging="360"/>
      </w:pPr>
    </w:lvl>
    <w:lvl w:ilvl="4" w:tplc="C7F817C2">
      <w:start w:val="1"/>
      <w:numFmt w:val="lowerLetter"/>
      <w:lvlText w:val="%5."/>
      <w:lvlJc w:val="left"/>
      <w:pPr>
        <w:ind w:left="3600" w:hanging="360"/>
      </w:pPr>
    </w:lvl>
    <w:lvl w:ilvl="5" w:tplc="AE825F14">
      <w:start w:val="1"/>
      <w:numFmt w:val="lowerRoman"/>
      <w:lvlText w:val="%6."/>
      <w:lvlJc w:val="right"/>
      <w:pPr>
        <w:ind w:left="4320" w:hanging="180"/>
      </w:pPr>
    </w:lvl>
    <w:lvl w:ilvl="6" w:tplc="0534E192">
      <w:start w:val="1"/>
      <w:numFmt w:val="decimal"/>
      <w:lvlText w:val="%7."/>
      <w:lvlJc w:val="left"/>
      <w:pPr>
        <w:ind w:left="5040" w:hanging="360"/>
      </w:pPr>
    </w:lvl>
    <w:lvl w:ilvl="7" w:tplc="4EC405C0">
      <w:start w:val="1"/>
      <w:numFmt w:val="lowerLetter"/>
      <w:lvlText w:val="%8."/>
      <w:lvlJc w:val="left"/>
      <w:pPr>
        <w:ind w:left="5760" w:hanging="360"/>
      </w:pPr>
    </w:lvl>
    <w:lvl w:ilvl="8" w:tplc="D73A6C70">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2"/>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1FAF"/>
    <w:rsid w:val="00004FA4"/>
    <w:rsid w:val="0029424D"/>
    <w:rsid w:val="003A37EE"/>
    <w:rsid w:val="00521FAF"/>
    <w:rsid w:val="00533B27"/>
    <w:rsid w:val="006952E2"/>
    <w:rsid w:val="00C57805"/>
    <w:rsid w:val="00DF0DD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46C79"/>
  <w15:docId w15:val="{3C20EBDB-D79C-4C2D-BE75-4233E91A5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010A42"/>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F38F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F38F9"/>
  </w:style>
  <w:style w:type="paragraph" w:styleId="Stopka">
    <w:name w:val="footer"/>
    <w:basedOn w:val="Normalny"/>
    <w:link w:val="StopkaZnak"/>
    <w:uiPriority w:val="99"/>
    <w:unhideWhenUsed/>
    <w:rsid w:val="000F38F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F38F9"/>
  </w:style>
  <w:style w:type="paragraph" w:styleId="Tekstdymka">
    <w:name w:val="Balloon Text"/>
    <w:basedOn w:val="Normalny"/>
    <w:link w:val="TekstdymkaZnak"/>
    <w:uiPriority w:val="99"/>
    <w:semiHidden/>
    <w:unhideWhenUsed/>
    <w:rsid w:val="000F38F9"/>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0F38F9"/>
    <w:rPr>
      <w:rFonts w:ascii="Tahoma" w:hAnsi="Tahoma" w:cs="Tahoma"/>
      <w:sz w:val="16"/>
      <w:szCs w:val="16"/>
    </w:rPr>
  </w:style>
  <w:style w:type="character" w:styleId="Hipercze">
    <w:name w:val="Hyperlink"/>
    <w:uiPriority w:val="99"/>
    <w:unhideWhenUsed/>
    <w:rsid w:val="00B502B2"/>
    <w:rPr>
      <w:color w:val="0000FF"/>
      <w:u w:val="single"/>
    </w:rPr>
  </w:style>
  <w:style w:type="table" w:styleId="Tabela-Siatka">
    <w:name w:val="Table Grid"/>
    <w:basedOn w:val="Standardowy"/>
    <w:uiPriority w:val="59"/>
    <w:rsid w:val="00A321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enfont">
    <w:name w:val="men font"/>
    <w:basedOn w:val="Normalny"/>
    <w:rsid w:val="00985B8F"/>
    <w:pPr>
      <w:spacing w:after="0" w:line="240" w:lineRule="auto"/>
    </w:pPr>
    <w:rPr>
      <w:rFonts w:ascii="Arial" w:eastAsia="Times New Roman" w:hAnsi="Arial" w:cs="Arial"/>
      <w:sz w:val="24"/>
      <w:szCs w:val="24"/>
      <w:lang w:eastAsia="pl-PL"/>
    </w:rPr>
  </w:style>
  <w:style w:type="paragraph" w:styleId="Akapitzlist">
    <w:name w:val="List Paragraph"/>
    <w:aliases w:val="A_wyliczenie,Akapit z listą31,Akapit z listą4,Akapit z listą5,BulletC,K-P_odwolanie,List Paragraph1,List Paragraph_0,List Paragraph_0_0,Liste à puces retrait droite,Nagłówek_JP,Numerowanie,Obiekt,Wyliczanie,noramlny2,normalny tekst"/>
    <w:basedOn w:val="Normalny"/>
    <w:link w:val="AkapitzlistZnak"/>
    <w:uiPriority w:val="34"/>
    <w:qFormat/>
    <w:rsid w:val="003B7210"/>
    <w:pPr>
      <w:ind w:left="720"/>
      <w:contextualSpacing/>
    </w:pPr>
  </w:style>
  <w:style w:type="character" w:customStyle="1" w:styleId="AkapitzlistZnak">
    <w:name w:val="Akapit z listą Znak"/>
    <w:aliases w:val="A_wyliczenie Znak,Akapit z listą31 Znak,Akapit z listą4 Znak,Akapit z listą5 Znak,BulletC Znak,K-P_odwolanie Znak,List Paragraph1 Znak,List Paragraph_0 Znak,List Paragraph_0_0 Znak,Liste à puces retrait droite Znak,Nagłówek_JP Znak"/>
    <w:link w:val="Akapitzlist"/>
    <w:uiPriority w:val="34"/>
    <w:rsid w:val="003B7210"/>
    <w:rPr>
      <w:sz w:val="22"/>
      <w:szCs w:val="22"/>
      <w:lang w:eastAsia="en-US"/>
    </w:rPr>
  </w:style>
  <w:style w:type="character" w:customStyle="1" w:styleId="TekstpodstawowyZnak">
    <w:name w:val="Tekst podstawowy Znak"/>
    <w:basedOn w:val="Domylnaczcionkaakapitu"/>
    <w:link w:val="Tekstpodstawowy"/>
    <w:rsid w:val="00C52F46"/>
    <w:rPr>
      <w:rFonts w:ascii="Times New Roman" w:eastAsia="Times New Roman" w:hAnsi="Times New Roman"/>
      <w:shd w:val="clear" w:color="auto" w:fill="FFFFFF"/>
    </w:rPr>
  </w:style>
  <w:style w:type="paragraph" w:styleId="Tekstpodstawowy">
    <w:name w:val="Body Text"/>
    <w:basedOn w:val="Normalny"/>
    <w:link w:val="TekstpodstawowyZnak"/>
    <w:qFormat/>
    <w:rsid w:val="00C52F46"/>
    <w:pPr>
      <w:widowControl w:val="0"/>
      <w:shd w:val="clear" w:color="auto" w:fill="FFFFFF"/>
      <w:spacing w:after="0" w:line="266" w:lineRule="auto"/>
      <w:ind w:firstLine="400"/>
    </w:pPr>
    <w:rPr>
      <w:rFonts w:ascii="Times New Roman" w:eastAsia="Times New Roman" w:hAnsi="Times New Roman"/>
      <w:sz w:val="20"/>
      <w:szCs w:val="20"/>
      <w:lang w:eastAsia="pl-PL"/>
    </w:rPr>
  </w:style>
  <w:style w:type="character" w:customStyle="1" w:styleId="TekstpodstawowyZnak1">
    <w:name w:val="Tekst podstawowy Znak1"/>
    <w:basedOn w:val="Domylnaczcionkaakapitu"/>
    <w:uiPriority w:val="99"/>
    <w:semiHidden/>
    <w:rsid w:val="00C52F46"/>
    <w:rPr>
      <w:sz w:val="22"/>
      <w:szCs w:val="22"/>
      <w:lang w:eastAsia="en-US"/>
    </w:rPr>
  </w:style>
  <w:style w:type="character" w:customStyle="1" w:styleId="Teksttreci">
    <w:name w:val="Tekst treści_"/>
    <w:basedOn w:val="Domylnaczcionkaakapitu"/>
    <w:link w:val="Teksttreci0"/>
    <w:rsid w:val="005B17FB"/>
    <w:rPr>
      <w:rFonts w:ascii="Arial Narrow" w:eastAsia="Arial Narrow" w:hAnsi="Arial Narrow" w:cs="Arial Narrow"/>
      <w:shd w:val="clear" w:color="auto" w:fill="FFFFFF"/>
    </w:rPr>
  </w:style>
  <w:style w:type="paragraph" w:customStyle="1" w:styleId="Teksttreci0">
    <w:name w:val="Tekst treści"/>
    <w:basedOn w:val="Normalny"/>
    <w:link w:val="Teksttreci"/>
    <w:rsid w:val="005B17FB"/>
    <w:pPr>
      <w:widowControl w:val="0"/>
      <w:shd w:val="clear" w:color="auto" w:fill="FFFFFF"/>
      <w:spacing w:after="160" w:line="394" w:lineRule="auto"/>
    </w:pPr>
    <w:rPr>
      <w:rFonts w:ascii="Arial Narrow" w:eastAsia="Arial Narrow" w:hAnsi="Arial Narrow" w:cs="Arial Narrow"/>
      <w:sz w:val="20"/>
      <w:szCs w:val="20"/>
      <w:lang w:eastAsia="pl-PL"/>
    </w:rPr>
  </w:style>
  <w:style w:type="paragraph" w:customStyle="1" w:styleId="Normalny1">
    <w:name w:val="Normalny1"/>
    <w:rsid w:val="00DA6EE7"/>
    <w:rPr>
      <w:rFonts w:ascii="Times New Roman" w:eastAsia="Times New Roman" w:hAnsi="Times New Roman"/>
    </w:rPr>
  </w:style>
  <w:style w:type="paragraph" w:customStyle="1" w:styleId="Akapitzlist1">
    <w:name w:val="Akapit z listą1"/>
    <w:basedOn w:val="Normalny"/>
    <w:rsid w:val="00E40A40"/>
    <w:pPr>
      <w:suppressAutoHyphens/>
      <w:spacing w:after="0" w:line="240" w:lineRule="auto"/>
      <w:ind w:left="720"/>
      <w:contextualSpacing/>
    </w:pPr>
    <w:rPr>
      <w:rFonts w:ascii="Times New Roman" w:eastAsia="Times New Roman" w:hAnsi="Times New Roman"/>
      <w:sz w:val="24"/>
      <w:szCs w:val="24"/>
      <w:u w:color="000000"/>
      <w:lang w:eastAsia="pl-PL"/>
    </w:rPr>
  </w:style>
  <w:style w:type="paragraph" w:styleId="Tekstprzypisukocowego">
    <w:name w:val="endnote text"/>
    <w:basedOn w:val="Normalny"/>
    <w:link w:val="TekstprzypisukocowegoZnak"/>
    <w:uiPriority w:val="99"/>
    <w:semiHidden/>
    <w:unhideWhenUsed/>
    <w:rsid w:val="00F70EF7"/>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F70EF7"/>
    <w:rPr>
      <w:lang w:eastAsia="en-US"/>
    </w:rPr>
  </w:style>
  <w:style w:type="character" w:styleId="Odwoanieprzypisukocowego">
    <w:name w:val="endnote reference"/>
    <w:basedOn w:val="Domylnaczcionkaakapitu"/>
    <w:uiPriority w:val="99"/>
    <w:semiHidden/>
    <w:unhideWhenUsed/>
    <w:rsid w:val="00F70EF7"/>
    <w:rPr>
      <w:vertAlign w:val="superscript"/>
    </w:rPr>
  </w:style>
  <w:style w:type="character" w:styleId="Odwoaniedokomentarza">
    <w:name w:val="annotation reference"/>
    <w:basedOn w:val="Domylnaczcionkaakapitu"/>
    <w:uiPriority w:val="99"/>
    <w:semiHidden/>
    <w:unhideWhenUsed/>
    <w:rsid w:val="00FA6A2F"/>
    <w:rPr>
      <w:sz w:val="16"/>
      <w:szCs w:val="16"/>
    </w:rPr>
  </w:style>
  <w:style w:type="paragraph" w:styleId="Tekstkomentarza">
    <w:name w:val="annotation text"/>
    <w:basedOn w:val="Normalny"/>
    <w:link w:val="TekstkomentarzaZnak"/>
    <w:uiPriority w:val="99"/>
    <w:semiHidden/>
    <w:unhideWhenUsed/>
    <w:rsid w:val="00FA6A2F"/>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FA6A2F"/>
    <w:rPr>
      <w:lang w:eastAsia="en-US"/>
    </w:rPr>
  </w:style>
  <w:style w:type="paragraph" w:styleId="Tematkomentarza">
    <w:name w:val="annotation subject"/>
    <w:basedOn w:val="Tekstkomentarza"/>
    <w:next w:val="Tekstkomentarza"/>
    <w:link w:val="TematkomentarzaZnak"/>
    <w:uiPriority w:val="99"/>
    <w:semiHidden/>
    <w:unhideWhenUsed/>
    <w:rsid w:val="00FA6A2F"/>
    <w:rPr>
      <w:b/>
      <w:bCs/>
    </w:rPr>
  </w:style>
  <w:style w:type="character" w:customStyle="1" w:styleId="TematkomentarzaZnak">
    <w:name w:val="Temat komentarza Znak"/>
    <w:basedOn w:val="TekstkomentarzaZnak"/>
    <w:link w:val="Tematkomentarza"/>
    <w:uiPriority w:val="99"/>
    <w:semiHidden/>
    <w:rsid w:val="00FA6A2F"/>
    <w:rPr>
      <w:b/>
      <w:bCs/>
      <w:lang w:eastAsia="en-US"/>
    </w:rPr>
  </w:style>
  <w:style w:type="paragraph" w:styleId="Poprawka">
    <w:name w:val="Revision"/>
    <w:hidden/>
    <w:uiPriority w:val="99"/>
    <w:semiHidden/>
    <w:rsid w:val="003E6807"/>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nowak\Desktop\EZD\Szablony\GDOS_GD_Andrzej_Szweda-Lewandowski.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4EB6E0-4683-4597-BCBD-9A20001BA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GDOS_GD_Andrzej_Szweda-Lewandowski</Template>
  <TotalTime>10</TotalTime>
  <Pages>1</Pages>
  <Words>1499</Words>
  <Characters>8998</Characters>
  <Application>Microsoft Office Word</Application>
  <DocSecurity>0</DocSecurity>
  <Lines>74</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EZD</dc:creator>
  <cp:lastModifiedBy>Aleksandra Bączek</cp:lastModifiedBy>
  <cp:revision>5</cp:revision>
  <cp:lastPrinted>2025-05-16T14:12:00Z</cp:lastPrinted>
  <dcterms:created xsi:type="dcterms:W3CDTF">2025-05-30T11:27:00Z</dcterms:created>
  <dcterms:modified xsi:type="dcterms:W3CDTF">2025-05-30T12:01:00Z</dcterms:modified>
</cp:coreProperties>
</file>