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18FEA" w14:textId="52F99782" w:rsidR="00F35123" w:rsidRDefault="00F35123" w:rsidP="00DD264B">
      <w:pPr>
        <w:pStyle w:val="Standard"/>
        <w:spacing w:line="360" w:lineRule="auto"/>
        <w:jc w:val="center"/>
        <w:rPr>
          <w:rFonts w:cs="Times New Roman"/>
          <w:b/>
          <w:szCs w:val="24"/>
          <w:lang w:val="pl-PL"/>
        </w:rPr>
      </w:pPr>
      <w:r w:rsidRPr="00B6688B">
        <w:rPr>
          <w:rFonts w:cs="Times New Roman"/>
          <w:b/>
          <w:szCs w:val="24"/>
          <w:lang w:val="pl-PL"/>
        </w:rPr>
        <w:t>Prawo do sądu w postępowaniu cywilnym w aspekcie pouczania strony o obowiązku składania wszystkich pism procesowych wraz z odpowiednią liczbą odpisów</w:t>
      </w:r>
    </w:p>
    <w:p w14:paraId="4C36256D" w14:textId="77777777" w:rsidR="00B6688B" w:rsidRPr="00B6688B" w:rsidRDefault="00B6688B" w:rsidP="00DF7A15">
      <w:pPr>
        <w:pStyle w:val="Standard"/>
        <w:spacing w:line="360" w:lineRule="auto"/>
        <w:rPr>
          <w:rFonts w:cs="Times New Roman"/>
          <w:b/>
          <w:szCs w:val="24"/>
          <w:lang w:val="pl-PL"/>
        </w:rPr>
      </w:pPr>
    </w:p>
    <w:p w14:paraId="00271CDC" w14:textId="013114DA" w:rsidR="009E4465" w:rsidRPr="00FF53C0" w:rsidRDefault="00FF53C0" w:rsidP="00B6688B">
      <w:pPr>
        <w:pStyle w:val="Standard"/>
        <w:spacing w:line="360" w:lineRule="auto"/>
        <w:ind w:firstLine="708"/>
        <w:rPr>
          <w:rFonts w:cs="Times New Roman"/>
          <w:bCs/>
          <w:szCs w:val="24"/>
          <w:lang w:val="pl-PL"/>
        </w:rPr>
      </w:pPr>
      <w:r>
        <w:rPr>
          <w:rFonts w:cs="Times New Roman"/>
          <w:bCs/>
          <w:szCs w:val="24"/>
          <w:lang w:val="pl-PL"/>
        </w:rPr>
        <w:t>Prawo do rzetelnego procesu w sprawach cywiln</w:t>
      </w:r>
      <w:bookmarkStart w:id="0" w:name="_GoBack"/>
      <w:bookmarkEnd w:id="0"/>
      <w:r>
        <w:rPr>
          <w:rFonts w:cs="Times New Roman"/>
          <w:bCs/>
          <w:szCs w:val="24"/>
          <w:lang w:val="pl-PL"/>
        </w:rPr>
        <w:t>ych</w:t>
      </w:r>
      <w:r w:rsidR="00DF7A15">
        <w:rPr>
          <w:rFonts w:cs="Times New Roman"/>
          <w:bCs/>
          <w:szCs w:val="24"/>
          <w:lang w:val="pl-PL"/>
        </w:rPr>
        <w:t xml:space="preserve"> w aspekcie prawa dostępu do sądu</w:t>
      </w:r>
      <w:r>
        <w:rPr>
          <w:rFonts w:cs="Times New Roman"/>
          <w:bCs/>
          <w:szCs w:val="24"/>
          <w:lang w:val="pl-PL"/>
        </w:rPr>
        <w:t xml:space="preserve"> </w:t>
      </w:r>
      <w:r w:rsidR="00B1324D">
        <w:rPr>
          <w:rFonts w:cs="Times New Roman"/>
          <w:bCs/>
          <w:szCs w:val="24"/>
          <w:lang w:val="pl-PL"/>
        </w:rPr>
        <w:t>(art. 6 ust</w:t>
      </w:r>
      <w:r>
        <w:rPr>
          <w:rFonts w:cs="Times New Roman"/>
          <w:bCs/>
          <w:szCs w:val="24"/>
          <w:lang w:val="pl-PL"/>
        </w:rPr>
        <w:t>.</w:t>
      </w:r>
      <w:r w:rsidR="00B1324D">
        <w:rPr>
          <w:rFonts w:cs="Times New Roman"/>
          <w:bCs/>
          <w:szCs w:val="24"/>
          <w:lang w:val="pl-PL"/>
        </w:rPr>
        <w:t xml:space="preserve"> 1 EKPC)</w:t>
      </w:r>
      <w:r w:rsidR="00DF7A15">
        <w:rPr>
          <w:rFonts w:cs="Times New Roman"/>
          <w:bCs/>
          <w:szCs w:val="24"/>
          <w:lang w:val="pl-PL"/>
        </w:rPr>
        <w:t xml:space="preserve"> -</w:t>
      </w:r>
      <w:r>
        <w:rPr>
          <w:rFonts w:cs="Times New Roman"/>
          <w:bCs/>
          <w:szCs w:val="24"/>
          <w:lang w:val="pl-PL"/>
        </w:rPr>
        <w:t xml:space="preserve"> standard konwencyjny</w:t>
      </w:r>
      <w:r w:rsidR="006B7273" w:rsidRPr="006B7273">
        <w:rPr>
          <w:rFonts w:cs="Times New Roman"/>
          <w:bCs/>
          <w:szCs w:val="24"/>
          <w:lang w:val="pl-PL"/>
        </w:rPr>
        <w:t xml:space="preserve"> w zakresie pouczania strony o obowiązku składania</w:t>
      </w:r>
      <w:r w:rsidR="009E4465">
        <w:rPr>
          <w:rFonts w:cs="Times New Roman"/>
          <w:bCs/>
          <w:szCs w:val="24"/>
          <w:lang w:val="pl-PL"/>
        </w:rPr>
        <w:t xml:space="preserve"> wszystkich</w:t>
      </w:r>
      <w:r w:rsidR="006B7273" w:rsidRPr="006B7273">
        <w:rPr>
          <w:rFonts w:cs="Times New Roman"/>
          <w:bCs/>
          <w:szCs w:val="24"/>
          <w:lang w:val="pl-PL"/>
        </w:rPr>
        <w:t xml:space="preserve"> pism procesowych (w tym środków zaskarżenia) wraz z</w:t>
      </w:r>
      <w:r>
        <w:rPr>
          <w:rFonts w:cs="Times New Roman"/>
          <w:bCs/>
          <w:szCs w:val="24"/>
          <w:lang w:val="pl-PL"/>
        </w:rPr>
        <w:t xml:space="preserve"> </w:t>
      </w:r>
      <w:r w:rsidR="009E4465">
        <w:rPr>
          <w:rFonts w:cs="Times New Roman"/>
          <w:bCs/>
          <w:szCs w:val="24"/>
          <w:lang w:val="pl-PL"/>
        </w:rPr>
        <w:t xml:space="preserve">odpowiednią liczbą </w:t>
      </w:r>
      <w:r w:rsidR="006B7273" w:rsidRPr="006B7273">
        <w:rPr>
          <w:rFonts w:cs="Times New Roman"/>
          <w:bCs/>
          <w:szCs w:val="24"/>
          <w:lang w:val="pl-PL"/>
        </w:rPr>
        <w:t>odpis</w:t>
      </w:r>
      <w:r w:rsidR="009E4465">
        <w:rPr>
          <w:rFonts w:cs="Times New Roman"/>
          <w:bCs/>
          <w:szCs w:val="24"/>
          <w:lang w:val="pl-PL"/>
        </w:rPr>
        <w:t>ów</w:t>
      </w:r>
      <w:r w:rsidR="006B7273" w:rsidRPr="006B7273">
        <w:rPr>
          <w:rFonts w:cs="Times New Roman"/>
          <w:bCs/>
          <w:szCs w:val="24"/>
          <w:lang w:val="pl-PL"/>
        </w:rPr>
        <w:t>.</w:t>
      </w:r>
      <w:r>
        <w:rPr>
          <w:rFonts w:cs="Times New Roman"/>
          <w:bCs/>
          <w:szCs w:val="24"/>
          <w:lang w:val="pl-PL"/>
        </w:rPr>
        <w:t xml:space="preserve"> </w:t>
      </w:r>
      <w:r w:rsidR="000719A9" w:rsidRPr="006B7273">
        <w:rPr>
          <w:rFonts w:cs="Times New Roman"/>
          <w:bCs/>
          <w:szCs w:val="24"/>
          <w:lang w:val="pl-PL"/>
        </w:rPr>
        <w:t xml:space="preserve">Grupa wyroków w sprawach </w:t>
      </w:r>
      <w:r w:rsidR="000719A9" w:rsidRPr="006B7273">
        <w:rPr>
          <w:rFonts w:cs="Times New Roman"/>
          <w:bCs/>
          <w:i/>
          <w:iCs/>
          <w:szCs w:val="24"/>
          <w:lang w:val="pl-PL"/>
        </w:rPr>
        <w:t>Parol, Adamkowski i Kunert przeciwko Polsce</w:t>
      </w:r>
      <w:r w:rsidR="000B68AE" w:rsidRPr="006B7273">
        <w:rPr>
          <w:rStyle w:val="Odwoanieprzypisudolnego"/>
          <w:rFonts w:cs="Times New Roman"/>
          <w:bCs/>
          <w:i/>
          <w:iCs/>
          <w:szCs w:val="24"/>
          <w:lang w:val="pl-PL"/>
        </w:rPr>
        <w:footnoteReference w:id="1"/>
      </w:r>
      <w:r>
        <w:rPr>
          <w:rFonts w:cs="Times New Roman"/>
          <w:bCs/>
          <w:szCs w:val="24"/>
          <w:lang w:val="pl-PL"/>
        </w:rPr>
        <w:t>.</w:t>
      </w:r>
    </w:p>
    <w:p w14:paraId="778ADF1D" w14:textId="77777777" w:rsidR="009E4465" w:rsidRDefault="009E4465" w:rsidP="00DF7A15">
      <w:pPr>
        <w:pStyle w:val="Standard"/>
        <w:spacing w:line="360" w:lineRule="auto"/>
        <w:jc w:val="center"/>
        <w:rPr>
          <w:rFonts w:cs="Times New Roman"/>
          <w:bCs/>
          <w:i/>
          <w:iCs/>
          <w:szCs w:val="24"/>
          <w:lang w:val="pl-PL"/>
        </w:rPr>
      </w:pPr>
    </w:p>
    <w:p w14:paraId="259E4869" w14:textId="77777777" w:rsidR="005C2854" w:rsidRPr="006B7273" w:rsidRDefault="005C2854" w:rsidP="00DF7A15">
      <w:pPr>
        <w:pStyle w:val="Standard"/>
        <w:spacing w:line="360" w:lineRule="auto"/>
        <w:rPr>
          <w:rFonts w:cs="Times New Roman"/>
          <w:bCs/>
          <w:szCs w:val="24"/>
          <w:lang w:val="pl-PL"/>
        </w:rPr>
      </w:pPr>
    </w:p>
    <w:p w14:paraId="4B1C2C84" w14:textId="5438F6F9" w:rsidR="000719A9" w:rsidRPr="00632293" w:rsidRDefault="000719A9" w:rsidP="00B6688B">
      <w:pPr>
        <w:pStyle w:val="Standard"/>
        <w:spacing w:line="360" w:lineRule="auto"/>
        <w:jc w:val="center"/>
        <w:rPr>
          <w:rFonts w:cs="Times New Roman"/>
          <w:szCs w:val="24"/>
          <w:lang w:val="pl-PL"/>
        </w:rPr>
      </w:pPr>
      <w:r w:rsidRPr="006B7273">
        <w:rPr>
          <w:rFonts w:cs="Times New Roman"/>
          <w:b/>
          <w:szCs w:val="24"/>
          <w:lang w:val="pl-PL"/>
        </w:rPr>
        <w:t xml:space="preserve">Wyrok z dnia 11 października 2018 roku, </w:t>
      </w:r>
      <w:r w:rsidRPr="006B7273">
        <w:rPr>
          <w:rFonts w:cs="Times New Roman"/>
          <w:b/>
          <w:i/>
          <w:szCs w:val="24"/>
          <w:lang w:val="pl-PL"/>
        </w:rPr>
        <w:t>Parol przeciwko Polsce</w:t>
      </w:r>
      <w:r w:rsidRPr="006B7273">
        <w:rPr>
          <w:rFonts w:cs="Times New Roman"/>
          <w:b/>
          <w:szCs w:val="24"/>
          <w:lang w:val="pl-PL"/>
        </w:rPr>
        <w:t>, skarga nr 65379/13</w:t>
      </w:r>
    </w:p>
    <w:p w14:paraId="14CFCB0D" w14:textId="77777777" w:rsidR="00632293" w:rsidRPr="00632293" w:rsidRDefault="00632293" w:rsidP="00632293">
      <w:pPr>
        <w:pStyle w:val="Standard"/>
        <w:spacing w:line="360" w:lineRule="auto"/>
        <w:ind w:left="720"/>
        <w:rPr>
          <w:rFonts w:cs="Times New Roman"/>
          <w:szCs w:val="24"/>
          <w:lang w:val="pl-PL"/>
        </w:rPr>
      </w:pPr>
    </w:p>
    <w:p w14:paraId="12E4AEE1" w14:textId="31EE1A7D" w:rsidR="000B68AE" w:rsidRPr="006B7273" w:rsidRDefault="002A4956" w:rsidP="00B6688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Wniesiona skarga</w:t>
      </w:r>
      <w:r w:rsidR="000719A9" w:rsidRPr="006B7273">
        <w:rPr>
          <w:rFonts w:ascii="Times New Roman" w:hAnsi="Times New Roman"/>
          <w:sz w:val="24"/>
          <w:szCs w:val="24"/>
        </w:rPr>
        <w:t xml:space="preserve"> dotyczyła zagadnienia prawa do rzetelnego procesu w aspekcie zapewnienia prawa dostępu do sądu odwoławczego (art. 6 ust. 1), w związku z</w:t>
      </w:r>
      <w:r w:rsidR="00B6688B">
        <w:rPr>
          <w:rFonts w:ascii="Times New Roman" w:hAnsi="Times New Roman"/>
          <w:sz w:val="24"/>
          <w:szCs w:val="24"/>
        </w:rPr>
        <w:t> </w:t>
      </w:r>
      <w:r w:rsidR="000719A9" w:rsidRPr="006B7273">
        <w:rPr>
          <w:rFonts w:ascii="Times New Roman" w:hAnsi="Times New Roman"/>
          <w:sz w:val="24"/>
          <w:szCs w:val="24"/>
        </w:rPr>
        <w:t>nieuzasadnionym odrzuceniem apelacji wniesionej przez skarżącego. Skarżący, w</w:t>
      </w:r>
      <w:r w:rsidR="00B6688B">
        <w:rPr>
          <w:rFonts w:ascii="Times New Roman" w:hAnsi="Times New Roman"/>
          <w:sz w:val="24"/>
          <w:szCs w:val="24"/>
        </w:rPr>
        <w:t> </w:t>
      </w:r>
      <w:r w:rsidR="000719A9" w:rsidRPr="006B7273">
        <w:rPr>
          <w:rFonts w:ascii="Times New Roman" w:hAnsi="Times New Roman"/>
          <w:sz w:val="24"/>
          <w:szCs w:val="24"/>
        </w:rPr>
        <w:t>relewantnym okresie czasu osadzony w jednostce penitencjarnej, wystąpił z powództwem przeciwko właściwym jednostkom organizacyjnym Skarbu Państwa o zadośćuczynienie z</w:t>
      </w:r>
      <w:r w:rsidR="00B6688B">
        <w:rPr>
          <w:rFonts w:ascii="Times New Roman" w:hAnsi="Times New Roman"/>
          <w:sz w:val="24"/>
          <w:szCs w:val="24"/>
        </w:rPr>
        <w:t> </w:t>
      </w:r>
      <w:r w:rsidR="000719A9" w:rsidRPr="006B7273">
        <w:rPr>
          <w:rFonts w:ascii="Times New Roman" w:hAnsi="Times New Roman"/>
          <w:sz w:val="24"/>
          <w:szCs w:val="24"/>
        </w:rPr>
        <w:t xml:space="preserve">uwagi na warunki osadzenia. Od niekorzystnego rozstrzygnięcia sądu pierwszej instancji wniósł apelację w jednym tylko egzemplarzu. Wezwany do uzupełnienia braków formalnych poprzez złożenie w terminie tygodniowym odpisu środka zaskarżenia dla strony przeciwnej, złożył w terminie do uzupełnienia braków formalnych apelacji wniosek o sporządzenie kopii wniesionej przez niego apelacji na jego koszt przez sąd (którego sąd formalnie nie rozpoznał), a następnie złożył spisaną z pamięci kopię apelacji (różniącą się treścią zarówno co do </w:t>
      </w:r>
      <w:r w:rsidR="000719A9" w:rsidRPr="006B7273">
        <w:rPr>
          <w:rFonts w:ascii="Times New Roman" w:hAnsi="Times New Roman"/>
          <w:i/>
          <w:sz w:val="24"/>
          <w:szCs w:val="24"/>
        </w:rPr>
        <w:t>petitum</w:t>
      </w:r>
      <w:r w:rsidR="000719A9" w:rsidRPr="006B7273">
        <w:rPr>
          <w:rFonts w:ascii="Times New Roman" w:hAnsi="Times New Roman"/>
          <w:sz w:val="24"/>
          <w:szCs w:val="24"/>
        </w:rPr>
        <w:t xml:space="preserve"> jak i uzasadnienia od pierwotnie złożonego pisma). Wobec niewypełnienia nałożonego przez sąd zobowiązania wniesiona apelacja została odrzucona.</w:t>
      </w:r>
    </w:p>
    <w:p w14:paraId="6A15A8EE" w14:textId="130627F0" w:rsidR="004F561F" w:rsidRPr="006B7273" w:rsidRDefault="000719A9" w:rsidP="00B6688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7273">
        <w:rPr>
          <w:rFonts w:ascii="Times New Roman" w:hAnsi="Times New Roman"/>
          <w:sz w:val="24"/>
          <w:szCs w:val="24"/>
        </w:rPr>
        <w:t xml:space="preserve">Rozpoznając skargę Trybunał, </w:t>
      </w:r>
      <w:r w:rsidR="000B68AE" w:rsidRPr="006B7273">
        <w:rPr>
          <w:rFonts w:ascii="Times New Roman" w:hAnsi="Times New Roman"/>
          <w:sz w:val="24"/>
          <w:szCs w:val="24"/>
        </w:rPr>
        <w:t>uznał</w:t>
      </w:r>
      <w:r w:rsidRPr="006B7273">
        <w:rPr>
          <w:rFonts w:ascii="Times New Roman" w:hAnsi="Times New Roman"/>
          <w:sz w:val="24"/>
          <w:szCs w:val="24"/>
        </w:rPr>
        <w:t xml:space="preserve">, iż skarżący nie wiedział w dacie wnoszenia pozwu o obciążającym stronę procesu obowiązku składania pism procesowych wraz z odpisami (por. art. 128 k.p.c. i § 44 wyroku). Trybunał wskazał, </w:t>
      </w:r>
      <w:r w:rsidR="002A4956">
        <w:rPr>
          <w:rFonts w:ascii="Times New Roman" w:hAnsi="Times New Roman"/>
          <w:sz w:val="24"/>
          <w:szCs w:val="24"/>
        </w:rPr>
        <w:t>iż skarżący</w:t>
      </w:r>
      <w:r w:rsidRPr="006B7273">
        <w:rPr>
          <w:rFonts w:ascii="Times New Roman" w:hAnsi="Times New Roman"/>
          <w:sz w:val="24"/>
          <w:szCs w:val="24"/>
        </w:rPr>
        <w:t xml:space="preserve"> nie został o takim obowiązku pouczony wprost przez sąd krajowy na etapie postępowania </w:t>
      </w:r>
      <w:proofErr w:type="spellStart"/>
      <w:r w:rsidRPr="006B7273">
        <w:rPr>
          <w:rFonts w:ascii="Times New Roman" w:hAnsi="Times New Roman"/>
          <w:sz w:val="24"/>
          <w:szCs w:val="24"/>
        </w:rPr>
        <w:t>międzyinstancyjnego</w:t>
      </w:r>
      <w:proofErr w:type="spellEnd"/>
      <w:r w:rsidRPr="006B7273">
        <w:rPr>
          <w:rFonts w:ascii="Times New Roman" w:hAnsi="Times New Roman"/>
          <w:sz w:val="24"/>
          <w:szCs w:val="24"/>
        </w:rPr>
        <w:t xml:space="preserve"> po wydaniu wyroku przez sąd pierwszej instancji (por. art. 327 § 2 k.p.c. i § 42</w:t>
      </w:r>
      <w:r w:rsidR="002A4956">
        <w:rPr>
          <w:rFonts w:ascii="Times New Roman" w:hAnsi="Times New Roman"/>
          <w:sz w:val="24"/>
          <w:szCs w:val="24"/>
        </w:rPr>
        <w:t xml:space="preserve"> wyroku</w:t>
      </w:r>
      <w:r w:rsidRPr="006B7273">
        <w:rPr>
          <w:rFonts w:ascii="Times New Roman" w:hAnsi="Times New Roman"/>
          <w:sz w:val="24"/>
          <w:szCs w:val="24"/>
        </w:rPr>
        <w:t>),</w:t>
      </w:r>
      <w:r w:rsidR="004F561F" w:rsidRPr="006B7273">
        <w:rPr>
          <w:rFonts w:ascii="Times New Roman" w:hAnsi="Times New Roman"/>
          <w:sz w:val="24"/>
          <w:szCs w:val="24"/>
        </w:rPr>
        <w:t xml:space="preserve"> jak również na wcześniejszym etapie, co do ogólnego obowiązku wnoszenia wszelkich pism procesowych w</w:t>
      </w:r>
      <w:r w:rsidR="00D369BB">
        <w:rPr>
          <w:rFonts w:ascii="Times New Roman" w:hAnsi="Times New Roman"/>
          <w:sz w:val="24"/>
          <w:szCs w:val="24"/>
        </w:rPr>
        <w:t> </w:t>
      </w:r>
      <w:r w:rsidR="004F561F" w:rsidRPr="006B7273">
        <w:rPr>
          <w:rFonts w:ascii="Times New Roman" w:hAnsi="Times New Roman"/>
          <w:sz w:val="24"/>
          <w:szCs w:val="24"/>
        </w:rPr>
        <w:t>odpisach (art. 5 k.p.c.),</w:t>
      </w:r>
      <w:r w:rsidRPr="006B7273">
        <w:rPr>
          <w:rFonts w:ascii="Times New Roman" w:hAnsi="Times New Roman"/>
          <w:sz w:val="24"/>
          <w:szCs w:val="24"/>
        </w:rPr>
        <w:t xml:space="preserve"> co w konsekwencji uwzględniając szczególne okoliczności niniejszej </w:t>
      </w:r>
      <w:r w:rsidRPr="006B7273">
        <w:rPr>
          <w:rFonts w:ascii="Times New Roman" w:hAnsi="Times New Roman"/>
          <w:sz w:val="24"/>
          <w:szCs w:val="24"/>
        </w:rPr>
        <w:lastRenderedPageBreak/>
        <w:t xml:space="preserve">sprawy – skarżący pozbawiony wolności niereprezentowany przez profesjonalnego pełnomocnika - prowadziło do uznania, że działania (zaniechania) sądów krajowych uniemożliwiły skarżącemu dostęp do sądu drugiej instancji i doprowadziły do naruszenia art. 6 ust. 1 Konwencji (odrzucenie apelacji z uwagi na brak uzupełnienia braków formalnych poprzez złożenie jej odpisu). </w:t>
      </w:r>
    </w:p>
    <w:p w14:paraId="5BFE9F55" w14:textId="4895CD98" w:rsidR="000719A9" w:rsidRPr="006B7273" w:rsidRDefault="000719A9" w:rsidP="00B6688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7273">
        <w:rPr>
          <w:rFonts w:ascii="Times New Roman" w:hAnsi="Times New Roman"/>
          <w:sz w:val="24"/>
          <w:szCs w:val="24"/>
        </w:rPr>
        <w:t>Zdaniem Trybunału, złożenie w terminie do uzupełnienie braków formalnych apelacji</w:t>
      </w:r>
      <w:r w:rsidR="004F561F" w:rsidRPr="006B7273">
        <w:rPr>
          <w:rFonts w:ascii="Times New Roman" w:hAnsi="Times New Roman"/>
          <w:sz w:val="24"/>
          <w:szCs w:val="24"/>
        </w:rPr>
        <w:t xml:space="preserve"> przez skarżącego</w:t>
      </w:r>
      <w:r w:rsidR="00FF2BC6" w:rsidRPr="006B7273">
        <w:rPr>
          <w:rFonts w:ascii="Times New Roman" w:hAnsi="Times New Roman"/>
          <w:sz w:val="24"/>
          <w:szCs w:val="24"/>
        </w:rPr>
        <w:t xml:space="preserve"> nierozpoznanego przez sąd</w:t>
      </w:r>
      <w:r w:rsidRPr="006B7273">
        <w:rPr>
          <w:rFonts w:ascii="Times New Roman" w:hAnsi="Times New Roman"/>
          <w:sz w:val="24"/>
          <w:szCs w:val="24"/>
        </w:rPr>
        <w:t xml:space="preserve"> wniosku o doręczenie jej kopii celem sporządzenia jej odpisu oraz wniesienie w zakreślonym terminie spisanej z pamięci kopii apelacji (nie pokrywającej się z treścią samej apelacji), oznacza, że skarżący dopełnił wymogów należytej staranności, której oczekuje się zwykle od strony procesu cywilnego w</w:t>
      </w:r>
      <w:r w:rsidR="00D369BB">
        <w:rPr>
          <w:rFonts w:ascii="Times New Roman" w:hAnsi="Times New Roman"/>
          <w:sz w:val="24"/>
          <w:szCs w:val="24"/>
        </w:rPr>
        <w:t> </w:t>
      </w:r>
      <w:r w:rsidRPr="006B7273">
        <w:rPr>
          <w:rFonts w:ascii="Times New Roman" w:hAnsi="Times New Roman"/>
          <w:sz w:val="24"/>
          <w:szCs w:val="24"/>
        </w:rPr>
        <w:t>takich okolicznościach.</w:t>
      </w:r>
    </w:p>
    <w:p w14:paraId="523356CC" w14:textId="499E45F7" w:rsidR="000719A9" w:rsidRPr="006B7273" w:rsidRDefault="000719A9" w:rsidP="00B6688B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7273">
        <w:rPr>
          <w:rFonts w:ascii="Times New Roman" w:hAnsi="Times New Roman"/>
          <w:sz w:val="24"/>
          <w:szCs w:val="24"/>
        </w:rPr>
        <w:t>Mając powyższe na uwadze, Trybunał stwierdził naruszenie art. 6 ust. 1 Konwencji i</w:t>
      </w:r>
      <w:r w:rsidR="00D369BB">
        <w:rPr>
          <w:rFonts w:ascii="Times New Roman" w:hAnsi="Times New Roman"/>
          <w:sz w:val="24"/>
          <w:szCs w:val="24"/>
        </w:rPr>
        <w:t> </w:t>
      </w:r>
      <w:r w:rsidRPr="006B7273">
        <w:rPr>
          <w:rFonts w:ascii="Times New Roman" w:hAnsi="Times New Roman"/>
          <w:sz w:val="24"/>
          <w:szCs w:val="24"/>
        </w:rPr>
        <w:t xml:space="preserve">jednocześnie orzekł, że Polska ma wypłacić skarżącemu: kwotę 3250 euro tytułem szkody niemajątkowej. </w:t>
      </w:r>
    </w:p>
    <w:p w14:paraId="04F0B49C" w14:textId="77777777" w:rsidR="00703AD1" w:rsidRPr="006B7273" w:rsidRDefault="00703AD1" w:rsidP="00DF7A15">
      <w:pPr>
        <w:pStyle w:val="Standard"/>
        <w:spacing w:line="360" w:lineRule="auto"/>
        <w:rPr>
          <w:rFonts w:cs="Times New Roman"/>
          <w:szCs w:val="24"/>
          <w:lang w:val="pl-PL"/>
        </w:rPr>
      </w:pPr>
    </w:p>
    <w:p w14:paraId="6DEB57CE" w14:textId="77777777" w:rsidR="00D369BB" w:rsidRDefault="000B68AE" w:rsidP="00B6688B">
      <w:pPr>
        <w:pStyle w:val="Standard"/>
        <w:spacing w:line="360" w:lineRule="auto"/>
        <w:ind w:left="720"/>
        <w:jc w:val="center"/>
        <w:rPr>
          <w:rFonts w:cs="Times New Roman"/>
          <w:b/>
          <w:szCs w:val="24"/>
          <w:lang w:val="pl-PL"/>
        </w:rPr>
      </w:pPr>
      <w:r w:rsidRPr="006B7273">
        <w:rPr>
          <w:rFonts w:cs="Times New Roman"/>
          <w:b/>
          <w:szCs w:val="24"/>
          <w:lang w:val="pl-PL"/>
        </w:rPr>
        <w:t xml:space="preserve">Wyrok z dnia 28 marca 2019 roku, </w:t>
      </w:r>
      <w:r w:rsidRPr="006B7273">
        <w:rPr>
          <w:rFonts w:cs="Times New Roman"/>
          <w:b/>
          <w:i/>
          <w:szCs w:val="24"/>
          <w:lang w:val="pl-PL"/>
        </w:rPr>
        <w:t>Adamkowski przeciwko Polsce</w:t>
      </w:r>
      <w:r w:rsidRPr="006B7273">
        <w:rPr>
          <w:rFonts w:cs="Times New Roman"/>
          <w:b/>
          <w:szCs w:val="24"/>
          <w:lang w:val="pl-PL"/>
        </w:rPr>
        <w:t xml:space="preserve">, </w:t>
      </w:r>
    </w:p>
    <w:p w14:paraId="35D8C687" w14:textId="4A0CF3A2" w:rsidR="005C2854" w:rsidRDefault="000B68AE" w:rsidP="00B6688B">
      <w:pPr>
        <w:pStyle w:val="Standard"/>
        <w:spacing w:line="360" w:lineRule="auto"/>
        <w:ind w:left="720"/>
        <w:jc w:val="center"/>
        <w:rPr>
          <w:rFonts w:cs="Times New Roman"/>
          <w:b/>
          <w:szCs w:val="24"/>
          <w:lang w:val="pl-PL"/>
        </w:rPr>
      </w:pPr>
      <w:r w:rsidRPr="006B7273">
        <w:rPr>
          <w:rFonts w:cs="Times New Roman"/>
          <w:b/>
          <w:szCs w:val="24"/>
          <w:lang w:val="pl-PL"/>
        </w:rPr>
        <w:t>skarga nr 57814/12</w:t>
      </w:r>
    </w:p>
    <w:p w14:paraId="7F171AF4" w14:textId="77777777" w:rsidR="00632293" w:rsidRPr="00632293" w:rsidRDefault="00632293" w:rsidP="00632293">
      <w:pPr>
        <w:pStyle w:val="Standard"/>
        <w:spacing w:line="360" w:lineRule="auto"/>
        <w:ind w:left="720"/>
        <w:rPr>
          <w:rFonts w:cs="Times New Roman"/>
          <w:b/>
          <w:szCs w:val="24"/>
          <w:lang w:val="pl-PL"/>
        </w:rPr>
      </w:pPr>
    </w:p>
    <w:p w14:paraId="5844F2FF" w14:textId="06489170" w:rsidR="007955D2" w:rsidRPr="006B7273" w:rsidRDefault="002A4956" w:rsidP="00B6688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Wniesiona skarga</w:t>
      </w:r>
      <w:r w:rsidR="007955D2" w:rsidRPr="006B7273">
        <w:rPr>
          <w:rFonts w:ascii="Times New Roman" w:hAnsi="Times New Roman"/>
          <w:sz w:val="24"/>
          <w:szCs w:val="24"/>
        </w:rPr>
        <w:t>,</w:t>
      </w:r>
      <w:r w:rsidR="00FF2BC6" w:rsidRPr="006B7273">
        <w:rPr>
          <w:rFonts w:ascii="Times New Roman" w:hAnsi="Times New Roman"/>
          <w:sz w:val="24"/>
          <w:szCs w:val="24"/>
        </w:rPr>
        <w:t xml:space="preserve"> analogicznie do sprawy </w:t>
      </w:r>
      <w:r>
        <w:rPr>
          <w:rFonts w:ascii="Times New Roman" w:hAnsi="Times New Roman"/>
          <w:sz w:val="24"/>
          <w:szCs w:val="24"/>
        </w:rPr>
        <w:t>omówione w pkt 1</w:t>
      </w:r>
      <w:r w:rsidR="007955D2" w:rsidRPr="006B7273">
        <w:rPr>
          <w:rFonts w:ascii="Times New Roman" w:hAnsi="Times New Roman"/>
          <w:sz w:val="24"/>
          <w:szCs w:val="24"/>
        </w:rPr>
        <w:t>,</w:t>
      </w:r>
      <w:r w:rsidR="000B68AE" w:rsidRPr="006B7273">
        <w:rPr>
          <w:rFonts w:ascii="Times New Roman" w:hAnsi="Times New Roman"/>
          <w:sz w:val="24"/>
          <w:szCs w:val="24"/>
        </w:rPr>
        <w:t xml:space="preserve"> dotyczyła</w:t>
      </w:r>
      <w:r w:rsidR="00FF2BC6" w:rsidRPr="006B7273">
        <w:rPr>
          <w:rFonts w:ascii="Times New Roman" w:hAnsi="Times New Roman"/>
          <w:sz w:val="24"/>
          <w:szCs w:val="24"/>
        </w:rPr>
        <w:t xml:space="preserve"> </w:t>
      </w:r>
      <w:r w:rsidR="005C2854" w:rsidRPr="006B7273">
        <w:rPr>
          <w:rFonts w:ascii="Times New Roman" w:hAnsi="Times New Roman"/>
          <w:sz w:val="24"/>
          <w:szCs w:val="24"/>
        </w:rPr>
        <w:t>również</w:t>
      </w:r>
      <w:r w:rsidR="000B68AE" w:rsidRPr="006B7273">
        <w:rPr>
          <w:rFonts w:ascii="Times New Roman" w:hAnsi="Times New Roman"/>
          <w:sz w:val="24"/>
          <w:szCs w:val="24"/>
        </w:rPr>
        <w:t xml:space="preserve"> zagadnienia prawa do rzetelnego procesu w aspekcie zapewnienia prawa dostępu do sądu odwoławczego (art. 6 ust. 1), w związku z nieuzasadnionym odrzuceniem apelacji wniesionej przez skarżącego. Skarżący, w relewantnym okresie czasu osadzony w jednostce penitencjarnej, wystąpił z powództwem przeciwko jednostce organizacyjnej Skarbu Państwa o</w:t>
      </w:r>
      <w:r w:rsidR="00D369BB">
        <w:rPr>
          <w:rFonts w:ascii="Times New Roman" w:hAnsi="Times New Roman"/>
          <w:sz w:val="24"/>
          <w:szCs w:val="24"/>
        </w:rPr>
        <w:t> </w:t>
      </w:r>
      <w:r w:rsidR="000B68AE" w:rsidRPr="006B7273">
        <w:rPr>
          <w:rFonts w:ascii="Times New Roman" w:hAnsi="Times New Roman"/>
          <w:sz w:val="24"/>
          <w:szCs w:val="24"/>
        </w:rPr>
        <w:t>zadośćuczynienie z uwagi na warunki osadzenia. Od niekorzystnego rozstrzygnięcia sądu pierwszej instancji wniósł apelację w jednym tylko egzemplarzu.</w:t>
      </w:r>
    </w:p>
    <w:p w14:paraId="682B0530" w14:textId="77777777" w:rsidR="005C2854" w:rsidRPr="006B7273" w:rsidRDefault="000B68AE" w:rsidP="00B6688B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7273">
        <w:rPr>
          <w:rFonts w:ascii="Times New Roman" w:hAnsi="Times New Roman"/>
          <w:sz w:val="24"/>
          <w:szCs w:val="24"/>
        </w:rPr>
        <w:t>Wezwany do uzupełnienia braków formalnych poprzez złożenie w terminie tygodniowym dwóch dodatkowych odpisów środka zaskarżenia, złożył w terminie do uzupełnienia braków formalnych apelacji pismo zatytułowane ,,apelacja’’ w dwóch odpisach, którego treść była zbliżona do treści pierwotnie wniesionej apelacji, lecz nie identyczna. Wobec niewypełnienia nałożonego przez sąd zobowiązania wniesiona apelacja została odrzucona.</w:t>
      </w:r>
      <w:r w:rsidR="007955D2" w:rsidRPr="006B7273">
        <w:rPr>
          <w:rFonts w:ascii="Times New Roman" w:hAnsi="Times New Roman"/>
          <w:sz w:val="24"/>
          <w:szCs w:val="24"/>
        </w:rPr>
        <w:t xml:space="preserve"> </w:t>
      </w:r>
      <w:r w:rsidRPr="006B7273">
        <w:rPr>
          <w:rFonts w:ascii="Times New Roman" w:hAnsi="Times New Roman"/>
          <w:sz w:val="24"/>
          <w:szCs w:val="24"/>
        </w:rPr>
        <w:t>Skarżący wniósł zażalenie na postanowienie o odrzuceniu apelacji – ponownie w jednym egzemplarzu. Wezwany do uzupełnienia braku formalnego zażalenia przez złożenie jego odpisu nie wykonał zarządzenia, w konsekwencji zażalenie zostało odrzucone.</w:t>
      </w:r>
    </w:p>
    <w:p w14:paraId="5572F97F" w14:textId="043858F4" w:rsidR="005C2854" w:rsidRPr="002A4956" w:rsidRDefault="000B68AE" w:rsidP="00B6688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7273">
        <w:rPr>
          <w:rFonts w:ascii="Times New Roman" w:hAnsi="Times New Roman"/>
          <w:sz w:val="24"/>
          <w:szCs w:val="24"/>
        </w:rPr>
        <w:lastRenderedPageBreak/>
        <w:t>Rozpoznając skargę Trybunał</w:t>
      </w:r>
      <w:r w:rsidR="005C2854" w:rsidRPr="006B7273">
        <w:rPr>
          <w:rFonts w:ascii="Times New Roman" w:hAnsi="Times New Roman"/>
          <w:sz w:val="24"/>
          <w:szCs w:val="24"/>
        </w:rPr>
        <w:t xml:space="preserve"> </w:t>
      </w:r>
      <w:r w:rsidRPr="006B7273">
        <w:rPr>
          <w:rFonts w:ascii="Times New Roman" w:hAnsi="Times New Roman"/>
          <w:sz w:val="24"/>
          <w:szCs w:val="24"/>
        </w:rPr>
        <w:t>uzna</w:t>
      </w:r>
      <w:r w:rsidR="005C2854" w:rsidRPr="006B7273">
        <w:rPr>
          <w:rFonts w:ascii="Times New Roman" w:hAnsi="Times New Roman"/>
          <w:sz w:val="24"/>
          <w:szCs w:val="24"/>
        </w:rPr>
        <w:t>ł</w:t>
      </w:r>
      <w:r w:rsidRPr="006B7273">
        <w:rPr>
          <w:rFonts w:ascii="Times New Roman" w:hAnsi="Times New Roman"/>
          <w:sz w:val="24"/>
          <w:szCs w:val="24"/>
        </w:rPr>
        <w:t>, iż skarżący nie wiedział i nie został pouczony o</w:t>
      </w:r>
      <w:r w:rsidR="00D369BB">
        <w:rPr>
          <w:rFonts w:ascii="Times New Roman" w:hAnsi="Times New Roman"/>
          <w:sz w:val="24"/>
          <w:szCs w:val="24"/>
        </w:rPr>
        <w:t> </w:t>
      </w:r>
      <w:r w:rsidRPr="006B7273">
        <w:rPr>
          <w:rFonts w:ascii="Times New Roman" w:hAnsi="Times New Roman"/>
          <w:sz w:val="24"/>
          <w:szCs w:val="24"/>
        </w:rPr>
        <w:t>obciążającym stronę procesu obowiązku składania pism procesowych wraz z odpisami (por. art. 128 k.p.c.). W szczególności, Trybunał wskazał, iż skarżący był osobą pozbawioną wolności i występował w postępowaniu cywilnym bez zawodowego pełnomocnika, a zatem mógł on polegać jedynie na własnej wiedzy i przekazanych przez sądy krajowe informacjach na temat przepisów proceduralnych regulujących postępowanie cywilne (</w:t>
      </w:r>
      <w:r w:rsidR="005C2854" w:rsidRPr="006B7273">
        <w:rPr>
          <w:rFonts w:ascii="Times New Roman" w:hAnsi="Times New Roman"/>
          <w:sz w:val="24"/>
          <w:szCs w:val="24"/>
        </w:rPr>
        <w:t xml:space="preserve">por. </w:t>
      </w:r>
      <w:r w:rsidRPr="006B7273">
        <w:rPr>
          <w:rFonts w:ascii="Times New Roman" w:hAnsi="Times New Roman"/>
          <w:sz w:val="24"/>
          <w:szCs w:val="24"/>
        </w:rPr>
        <w:t>§ 34</w:t>
      </w:r>
      <w:r w:rsidR="002A4956">
        <w:rPr>
          <w:rFonts w:ascii="Times New Roman" w:hAnsi="Times New Roman"/>
          <w:sz w:val="24"/>
          <w:szCs w:val="24"/>
        </w:rPr>
        <w:t xml:space="preserve"> wyroku</w:t>
      </w:r>
      <w:r w:rsidRPr="006B7273">
        <w:rPr>
          <w:rFonts w:ascii="Times New Roman" w:hAnsi="Times New Roman"/>
          <w:sz w:val="24"/>
          <w:szCs w:val="24"/>
        </w:rPr>
        <w:t xml:space="preserve">). Następnie odnotował, iż skarżący został trzykrotnie poinformowany, że powinien przesłać do sądu konkretne pisma procesowe w dwóch odpisach. Istotne informacje dotyczyły wniosków dowodowych, sprecyzowania powództwa oraz informacji dotyczących jego woli </w:t>
      </w:r>
      <w:r w:rsidRPr="002A4956">
        <w:rPr>
          <w:rFonts w:ascii="Times New Roman" w:hAnsi="Times New Roman"/>
          <w:sz w:val="24"/>
          <w:szCs w:val="24"/>
        </w:rPr>
        <w:t xml:space="preserve">kontynuowania postępowania. Za każdym razem, gdy był informowany o obowiązku przesłania pism procesowych w dwóch odpisach, stosował się do tego wymogu. Trybunał podkreślił, iż </w:t>
      </w:r>
      <w:r w:rsidR="002A4956" w:rsidRPr="00C76265">
        <w:rPr>
          <w:rFonts w:ascii="Times New Roman" w:hAnsi="Times New Roman"/>
          <w:sz w:val="24"/>
          <w:szCs w:val="24"/>
          <w:u w:val="single"/>
        </w:rPr>
        <w:t>skarżący</w:t>
      </w:r>
      <w:r w:rsidRPr="00C76265">
        <w:rPr>
          <w:rFonts w:ascii="Times New Roman" w:hAnsi="Times New Roman"/>
          <w:sz w:val="24"/>
          <w:szCs w:val="24"/>
          <w:u w:val="single"/>
        </w:rPr>
        <w:t xml:space="preserve"> nigdy nie został ogólnie poinformowany o obowiązku przesyłania wszystkich pism procesowych do sądu w dwóch odpisach, ani o brzmieniu art. 128 Kodeksu postępowania cywilnego</w:t>
      </w:r>
      <w:r w:rsidR="005C2854" w:rsidRPr="002A4956">
        <w:rPr>
          <w:rFonts w:ascii="Times New Roman" w:hAnsi="Times New Roman"/>
          <w:sz w:val="24"/>
          <w:szCs w:val="24"/>
        </w:rPr>
        <w:t xml:space="preserve"> </w:t>
      </w:r>
      <w:r w:rsidRPr="002A4956">
        <w:rPr>
          <w:rFonts w:ascii="Times New Roman" w:hAnsi="Times New Roman"/>
          <w:sz w:val="24"/>
          <w:szCs w:val="24"/>
        </w:rPr>
        <w:t>(</w:t>
      </w:r>
      <w:r w:rsidR="005C2854" w:rsidRPr="002A4956">
        <w:rPr>
          <w:rFonts w:ascii="Times New Roman" w:hAnsi="Times New Roman"/>
          <w:sz w:val="24"/>
          <w:szCs w:val="24"/>
        </w:rPr>
        <w:t xml:space="preserve">por. </w:t>
      </w:r>
      <w:r w:rsidRPr="002A4956">
        <w:rPr>
          <w:rFonts w:ascii="Times New Roman" w:hAnsi="Times New Roman"/>
          <w:sz w:val="24"/>
          <w:szCs w:val="24"/>
        </w:rPr>
        <w:t>§ 35</w:t>
      </w:r>
      <w:r w:rsidR="002A4956">
        <w:rPr>
          <w:rFonts w:ascii="Times New Roman" w:hAnsi="Times New Roman"/>
          <w:sz w:val="24"/>
          <w:szCs w:val="24"/>
        </w:rPr>
        <w:t xml:space="preserve"> wyroku</w:t>
      </w:r>
      <w:r w:rsidRPr="002A4956">
        <w:rPr>
          <w:rFonts w:ascii="Times New Roman" w:hAnsi="Times New Roman"/>
          <w:sz w:val="24"/>
          <w:szCs w:val="24"/>
        </w:rPr>
        <w:t xml:space="preserve">). </w:t>
      </w:r>
    </w:p>
    <w:p w14:paraId="36DA6F07" w14:textId="77777777" w:rsidR="005C2854" w:rsidRPr="006B7273" w:rsidRDefault="000B68AE" w:rsidP="00B6688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4956">
        <w:rPr>
          <w:rFonts w:ascii="Times New Roman" w:hAnsi="Times New Roman"/>
          <w:sz w:val="24"/>
          <w:szCs w:val="24"/>
        </w:rPr>
        <w:t>W konsekwencji uwzględniając szczególne okoliczności niniejszej sprawy Trybunał uznał, że działania (zaniechania) sądów krajowych w sposób nieproporcjonalny ograniczyły skarżącemu dostęp do sądu drugiej instancji i doprowadziły do naruszenia</w:t>
      </w:r>
      <w:r w:rsidRPr="006B7273">
        <w:rPr>
          <w:rFonts w:ascii="Times New Roman" w:hAnsi="Times New Roman"/>
          <w:sz w:val="24"/>
          <w:szCs w:val="24"/>
        </w:rPr>
        <w:t xml:space="preserve"> art. 6 ust. 1 Konwencji (odrzucenie apelacji z uwagi na brak uzupełnienia braków formalnych poprzez złożenie jej odpisów). Zdaniem Trybunału, podjęcie przez skarżącego próby wykonania zarządzenia i uzupełnienia braków formalnych, oznacza, że skarżący dopełnił wymogów należytej staranności, której oczekuje się zwykle od strony procesu cywilnego w takich okolicznościach. </w:t>
      </w:r>
    </w:p>
    <w:p w14:paraId="669D653D" w14:textId="09E1943D" w:rsidR="00632293" w:rsidRDefault="000B68AE" w:rsidP="00B6688B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7273">
        <w:rPr>
          <w:rFonts w:ascii="Times New Roman" w:hAnsi="Times New Roman"/>
          <w:sz w:val="24"/>
          <w:szCs w:val="24"/>
        </w:rPr>
        <w:t xml:space="preserve">Mając powyższe na uwadze, Trybunał stwierdził </w:t>
      </w:r>
      <w:r w:rsidR="002C6E52" w:rsidRPr="006B7273">
        <w:rPr>
          <w:rFonts w:ascii="Times New Roman" w:hAnsi="Times New Roman"/>
          <w:sz w:val="24"/>
          <w:szCs w:val="24"/>
        </w:rPr>
        <w:t xml:space="preserve">m.in. </w:t>
      </w:r>
      <w:r w:rsidRPr="006B7273">
        <w:rPr>
          <w:rFonts w:ascii="Times New Roman" w:hAnsi="Times New Roman"/>
          <w:sz w:val="24"/>
          <w:szCs w:val="24"/>
        </w:rPr>
        <w:t xml:space="preserve">naruszenie art. 6 ust. 1 Konwencji i jednocześnie orzekł, że Polska ma wypłacić skarżącemu: kwotę 3500 euro tytułem szkody niemajątkowej. </w:t>
      </w:r>
    </w:p>
    <w:p w14:paraId="3634E6F6" w14:textId="77777777" w:rsidR="00B6688B" w:rsidRDefault="00B6688B" w:rsidP="00B6688B">
      <w:pPr>
        <w:pStyle w:val="Standard"/>
        <w:spacing w:line="360" w:lineRule="auto"/>
        <w:ind w:left="360"/>
        <w:jc w:val="center"/>
        <w:rPr>
          <w:rFonts w:cs="Times New Roman"/>
          <w:b/>
          <w:szCs w:val="24"/>
          <w:lang w:val="pl-PL"/>
        </w:rPr>
      </w:pPr>
    </w:p>
    <w:p w14:paraId="5D87B3FD" w14:textId="5446ABAD" w:rsidR="00B12B0C" w:rsidRPr="006B7273" w:rsidRDefault="00B12B0C" w:rsidP="00B6688B">
      <w:pPr>
        <w:pStyle w:val="Standard"/>
        <w:spacing w:line="360" w:lineRule="auto"/>
        <w:ind w:left="360"/>
        <w:jc w:val="center"/>
        <w:rPr>
          <w:rFonts w:cs="Times New Roman"/>
          <w:b/>
          <w:szCs w:val="24"/>
          <w:lang w:val="pl-PL"/>
        </w:rPr>
      </w:pPr>
      <w:r w:rsidRPr="006B7273">
        <w:rPr>
          <w:rFonts w:cs="Times New Roman"/>
          <w:b/>
          <w:szCs w:val="24"/>
          <w:lang w:val="pl-PL"/>
        </w:rPr>
        <w:t xml:space="preserve">Wyrok z dnia 4 kwietnia 2019 roku, </w:t>
      </w:r>
      <w:r w:rsidRPr="006B7273">
        <w:rPr>
          <w:rFonts w:cs="Times New Roman"/>
          <w:b/>
          <w:i/>
          <w:szCs w:val="24"/>
          <w:lang w:val="pl-PL"/>
        </w:rPr>
        <w:t>Kunert przeciwko Polsce</w:t>
      </w:r>
      <w:r w:rsidRPr="006B7273">
        <w:rPr>
          <w:rFonts w:cs="Times New Roman"/>
          <w:b/>
          <w:szCs w:val="24"/>
          <w:lang w:val="pl-PL"/>
        </w:rPr>
        <w:t>, skarga nr 8981/14</w:t>
      </w:r>
    </w:p>
    <w:p w14:paraId="3A10CB33" w14:textId="77777777" w:rsidR="000B68AE" w:rsidRPr="006B7273" w:rsidRDefault="000B68AE" w:rsidP="00DF7A15">
      <w:pPr>
        <w:pStyle w:val="Standard"/>
        <w:spacing w:line="360" w:lineRule="auto"/>
        <w:rPr>
          <w:rFonts w:cs="Times New Roman"/>
          <w:szCs w:val="24"/>
          <w:lang w:val="pl-PL"/>
        </w:rPr>
      </w:pPr>
    </w:p>
    <w:p w14:paraId="315038A6" w14:textId="2E009172" w:rsidR="0071012B" w:rsidRPr="006B7273" w:rsidRDefault="00F21BC9" w:rsidP="00B6688B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7273">
        <w:rPr>
          <w:rFonts w:ascii="Times New Roman" w:hAnsi="Times New Roman"/>
          <w:sz w:val="24"/>
          <w:szCs w:val="24"/>
        </w:rPr>
        <w:t xml:space="preserve">W przedmiotowym wyroku Trybunał nie stwierdził naruszenia art. 6 ust. 1 Konwencji w okolicznościach zbliżonych do stanu faktycznego spraw </w:t>
      </w:r>
      <w:r w:rsidRPr="006B7273">
        <w:rPr>
          <w:rFonts w:ascii="Times New Roman" w:hAnsi="Times New Roman"/>
          <w:i/>
          <w:sz w:val="24"/>
          <w:szCs w:val="24"/>
        </w:rPr>
        <w:t>Parol i Adamkowski</w:t>
      </w:r>
      <w:r w:rsidRPr="006B7273">
        <w:rPr>
          <w:rFonts w:ascii="Times New Roman" w:hAnsi="Times New Roman"/>
          <w:sz w:val="24"/>
          <w:szCs w:val="24"/>
        </w:rPr>
        <w:t xml:space="preserve">, z tą różnicą, iż przed wydaniem wyroku sądu pierwszej instancji </w:t>
      </w:r>
      <w:r w:rsidRPr="006B7273">
        <w:rPr>
          <w:rFonts w:ascii="Times New Roman" w:hAnsi="Times New Roman"/>
          <w:sz w:val="24"/>
          <w:szCs w:val="24"/>
          <w:u w:val="single"/>
        </w:rPr>
        <w:t>skarżący został pouczony o obowiązku przesyłania do sądu wszystkich pism procesowych w dwóch odpisach</w:t>
      </w:r>
      <w:r w:rsidR="0071012B" w:rsidRPr="006B7273">
        <w:rPr>
          <w:rFonts w:ascii="Times New Roman" w:hAnsi="Times New Roman"/>
          <w:sz w:val="24"/>
          <w:szCs w:val="24"/>
        </w:rPr>
        <w:t xml:space="preserve">. </w:t>
      </w:r>
    </w:p>
    <w:p w14:paraId="6D99F8F7" w14:textId="77777777" w:rsidR="0071012B" w:rsidRPr="006B7273" w:rsidRDefault="0071012B" w:rsidP="00B6688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7273">
        <w:rPr>
          <w:rFonts w:ascii="Times New Roman" w:hAnsi="Times New Roman"/>
          <w:sz w:val="24"/>
          <w:szCs w:val="24"/>
        </w:rPr>
        <w:lastRenderedPageBreak/>
        <w:t>J</w:t>
      </w:r>
      <w:r w:rsidR="00F21BC9" w:rsidRPr="006B7273">
        <w:rPr>
          <w:rFonts w:ascii="Times New Roman" w:hAnsi="Times New Roman"/>
          <w:sz w:val="24"/>
          <w:szCs w:val="24"/>
        </w:rPr>
        <w:t xml:space="preserve">ednocześnie Trybunał zauważył, że udzielone po wydaniu wyroku w pierwszej instancji pouczenie sądu krajowego o terminie i trybie wnoszenia środków odwoławczych, nie zawierało informacji o tym, że środek odwoławczy należy złożyć w dwóch odpisach), nadto skarżący zobowiązany do uzupełnienia braku formalnego apelacji (złożenia odpisu) - nie podjął próby przedłożenia sądowi chociażby odręcznej kopii pierwotnie wniesionej apelacji. </w:t>
      </w:r>
    </w:p>
    <w:p w14:paraId="296221D0" w14:textId="268D406A" w:rsidR="000719A9" w:rsidRDefault="00F21BC9" w:rsidP="00B6688B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7273">
        <w:rPr>
          <w:rFonts w:ascii="Times New Roman" w:hAnsi="Times New Roman"/>
          <w:sz w:val="24"/>
          <w:szCs w:val="24"/>
        </w:rPr>
        <w:t xml:space="preserve">W rezultacie Trybunał uznał, że można było zasadnie oczekiwać od skarżącego wniesienia apelacji w dwóch odpisach oraz, że skarżący nie dołożył staranności, jakiej zazwyczaj oczekuje się od strony postępowania cywilnego. </w:t>
      </w:r>
    </w:p>
    <w:p w14:paraId="13ECDC35" w14:textId="77777777" w:rsidR="00B6688B" w:rsidRPr="00632293" w:rsidRDefault="00B6688B" w:rsidP="00B6688B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4B7F9F0" w14:textId="66D89F79" w:rsidR="002C6E52" w:rsidRPr="00703AD1" w:rsidRDefault="006C6574" w:rsidP="00B6688B">
      <w:pPr>
        <w:pStyle w:val="Standard"/>
        <w:spacing w:line="360" w:lineRule="auto"/>
        <w:ind w:left="360"/>
        <w:jc w:val="center"/>
        <w:rPr>
          <w:rFonts w:cs="Times New Roman"/>
          <w:b/>
          <w:bCs/>
          <w:szCs w:val="24"/>
          <w:lang w:val="pl-PL"/>
        </w:rPr>
      </w:pPr>
      <w:r w:rsidRPr="006B7273">
        <w:rPr>
          <w:rFonts w:cs="Times New Roman"/>
          <w:b/>
          <w:bCs/>
          <w:szCs w:val="24"/>
          <w:lang w:val="pl-PL"/>
        </w:rPr>
        <w:t>Konkluzje, standard konwencyjny wynikający z powołanych orzeczeń</w:t>
      </w:r>
    </w:p>
    <w:p w14:paraId="10FC29B5" w14:textId="0122310F" w:rsidR="007026A2" w:rsidRPr="006B7273" w:rsidRDefault="006C6574" w:rsidP="00B6688B">
      <w:pPr>
        <w:pStyle w:val="NormalnyWeb"/>
        <w:spacing w:after="0" w:afterAutospacing="0" w:line="360" w:lineRule="auto"/>
        <w:ind w:firstLine="709"/>
        <w:jc w:val="both"/>
      </w:pPr>
      <w:r w:rsidRPr="006B7273">
        <w:t xml:space="preserve">W wyrokach </w:t>
      </w:r>
      <w:r w:rsidRPr="006B7273">
        <w:rPr>
          <w:i/>
          <w:iCs/>
        </w:rPr>
        <w:t>Parol</w:t>
      </w:r>
      <w:r w:rsidRPr="006B7273">
        <w:t xml:space="preserve"> i </w:t>
      </w:r>
      <w:r w:rsidRPr="006B7273">
        <w:rPr>
          <w:i/>
          <w:iCs/>
        </w:rPr>
        <w:t>Adamkowski</w:t>
      </w:r>
      <w:r w:rsidRPr="006B7273">
        <w:t xml:space="preserve"> Trybunał stwierdzając naruszeni</w:t>
      </w:r>
      <w:r w:rsidR="006B7273">
        <w:t>e</w:t>
      </w:r>
      <w:r w:rsidR="003B0A55" w:rsidRPr="006B7273">
        <w:t xml:space="preserve"> prawa do rzetelnego procesu w aspekcie prawa dostępu do sądu odwoławczego</w:t>
      </w:r>
      <w:r w:rsidRPr="006B7273">
        <w:t xml:space="preserve"> </w:t>
      </w:r>
      <w:r w:rsidR="003B0A55" w:rsidRPr="006B7273">
        <w:t>(</w:t>
      </w:r>
      <w:r w:rsidRPr="006B7273">
        <w:t>art. 6 ust. 1</w:t>
      </w:r>
      <w:r w:rsidR="003B0A55" w:rsidRPr="006B7273">
        <w:t xml:space="preserve"> Konwencji)</w:t>
      </w:r>
      <w:r w:rsidRPr="006B7273">
        <w:t xml:space="preserve"> zidentyfikował problem niewłaściwej praktyki sądowej w postaci zaniechań prawidłowego pouczenia o treści art. 128 k.p.c. </w:t>
      </w:r>
      <w:r w:rsidRPr="002A4956">
        <w:t>w odniesieniu do wszystkich pism procesowych, w tym środków zaskarżenia</w:t>
      </w:r>
      <w:r w:rsidR="007026A2" w:rsidRPr="002A4956">
        <w:t xml:space="preserve"> </w:t>
      </w:r>
      <w:r w:rsidR="008B359A" w:rsidRPr="002A4956">
        <w:t>–</w:t>
      </w:r>
      <w:r w:rsidRPr="002A4956">
        <w:t xml:space="preserve"> </w:t>
      </w:r>
      <w:r w:rsidR="008B359A" w:rsidRPr="002A4956">
        <w:t>stron -</w:t>
      </w:r>
      <w:r w:rsidRPr="002A4956">
        <w:t xml:space="preserve"> znajdujących się w szczególnych okolicznościach:</w:t>
      </w:r>
      <w:r w:rsidR="00D369BB">
        <w:t xml:space="preserve"> </w:t>
      </w:r>
      <w:r w:rsidRPr="002A4956">
        <w:t>tj.</w:t>
      </w:r>
      <w:r w:rsidR="00D369BB">
        <w:t> </w:t>
      </w:r>
      <w:r w:rsidRPr="002A4956">
        <w:t>pozbawionych wolności</w:t>
      </w:r>
      <w:r w:rsidR="007026A2" w:rsidRPr="002A4956">
        <w:t xml:space="preserve"> oraz</w:t>
      </w:r>
      <w:r w:rsidRPr="002A4956">
        <w:t xml:space="preserve"> występujących w </w:t>
      </w:r>
      <w:r w:rsidR="008B359A" w:rsidRPr="002A4956">
        <w:t xml:space="preserve">postępowaniu cywilnym </w:t>
      </w:r>
      <w:r w:rsidRPr="002A4956">
        <w:t>bez profesjonalnego pełnomocnika, którzy dodatkowo jeszcze wykazują aktywność procesową uzasadniającą uznanie, iż dołożyli należytej staranności jako strona procesu</w:t>
      </w:r>
      <w:r w:rsidR="007026A2" w:rsidRPr="002A4956">
        <w:t xml:space="preserve">. </w:t>
      </w:r>
      <w:r w:rsidR="007026A2" w:rsidRPr="006B7273">
        <w:t>Aktywność ta manifest</w:t>
      </w:r>
      <w:r w:rsidR="006B7273">
        <w:t>owała</w:t>
      </w:r>
      <w:r w:rsidR="007026A2" w:rsidRPr="006B7273">
        <w:t xml:space="preserve"> się zwłaszcza poprzez</w:t>
      </w:r>
      <w:r w:rsidRPr="006B7273">
        <w:t xml:space="preserve"> podję</w:t>
      </w:r>
      <w:r w:rsidR="007026A2" w:rsidRPr="006B7273">
        <w:t>cie</w:t>
      </w:r>
      <w:r w:rsidRPr="006B7273">
        <w:t xml:space="preserve"> prób</w:t>
      </w:r>
      <w:r w:rsidR="008B359A" w:rsidRPr="006B7273">
        <w:t>y</w:t>
      </w:r>
      <w:r w:rsidRPr="006B7273">
        <w:t xml:space="preserve"> uzupełnienia braków formalnych środka zaskarżenia poprzez złożenie jego odpisu</w:t>
      </w:r>
      <w:r w:rsidR="0093425E">
        <w:t xml:space="preserve"> </w:t>
      </w:r>
      <w:r w:rsidRPr="006B7273">
        <w:t>spisanego z pamięci</w:t>
      </w:r>
      <w:r w:rsidR="007026A2" w:rsidRPr="006B7273">
        <w:t xml:space="preserve"> (</w:t>
      </w:r>
      <w:r w:rsidR="007026A2" w:rsidRPr="006B7273">
        <w:rPr>
          <w:i/>
          <w:iCs/>
        </w:rPr>
        <w:t>Adamkowski</w:t>
      </w:r>
      <w:r w:rsidR="008B359A" w:rsidRPr="006B7273">
        <w:rPr>
          <w:i/>
          <w:iCs/>
        </w:rPr>
        <w:t>, Parol</w:t>
      </w:r>
      <w:r w:rsidR="007026A2" w:rsidRPr="006B7273">
        <w:t xml:space="preserve">), </w:t>
      </w:r>
      <w:r w:rsidR="008B359A" w:rsidRPr="006B7273">
        <w:t xml:space="preserve">jak również wystąpienie do sądu </w:t>
      </w:r>
      <w:r w:rsidR="00D235C8" w:rsidRPr="006B7273">
        <w:t>z wnioskiem o sporządzenie kopii wniesionej apelacji/udostępnienia dokumentu z akt postępowania</w:t>
      </w:r>
      <w:r w:rsidR="007026A2" w:rsidRPr="006B7273">
        <w:t xml:space="preserve"> </w:t>
      </w:r>
      <w:r w:rsidR="008B359A" w:rsidRPr="006B7273">
        <w:t>(</w:t>
      </w:r>
      <w:r w:rsidR="008B359A" w:rsidRPr="006B7273">
        <w:rPr>
          <w:i/>
          <w:iCs/>
        </w:rPr>
        <w:t>Parol</w:t>
      </w:r>
      <w:r w:rsidR="008B359A" w:rsidRPr="006B7273">
        <w:t>)</w:t>
      </w:r>
      <w:r w:rsidRPr="006B7273">
        <w:t xml:space="preserve">. </w:t>
      </w:r>
    </w:p>
    <w:p w14:paraId="34D8BD1A" w14:textId="1F6AD5BA" w:rsidR="00850A67" w:rsidRPr="006B7273" w:rsidRDefault="007026A2" w:rsidP="00B6688B">
      <w:pPr>
        <w:pStyle w:val="NormalnyWeb"/>
        <w:spacing w:before="0" w:beforeAutospacing="0" w:after="0" w:afterAutospacing="0" w:line="360" w:lineRule="auto"/>
        <w:ind w:firstLine="709"/>
        <w:jc w:val="both"/>
      </w:pPr>
      <w:r w:rsidRPr="006B7273">
        <w:t xml:space="preserve">Podkreślenia wymaga, że </w:t>
      </w:r>
      <w:r w:rsidR="006C6574" w:rsidRPr="006B7273">
        <w:t xml:space="preserve">sprawa </w:t>
      </w:r>
      <w:r w:rsidR="006C6574" w:rsidRPr="006B7273">
        <w:rPr>
          <w:i/>
        </w:rPr>
        <w:t>Parol</w:t>
      </w:r>
      <w:r w:rsidR="006C6574" w:rsidRPr="006B7273">
        <w:t xml:space="preserve">, tym się różni od sprawy </w:t>
      </w:r>
      <w:r w:rsidR="006C6574" w:rsidRPr="006B7273">
        <w:rPr>
          <w:i/>
        </w:rPr>
        <w:t>Adamkowski</w:t>
      </w:r>
      <w:r w:rsidR="006C6574" w:rsidRPr="006B7273">
        <w:t>, iż w jej realiach skarżący w ogóle nie został poucz</w:t>
      </w:r>
      <w:r w:rsidR="00F72D9D">
        <w:t>o</w:t>
      </w:r>
      <w:r w:rsidR="006C6574" w:rsidRPr="006B7273">
        <w:t xml:space="preserve">ny o treści art. 128 k.p.c. w odniesieniu do jakiegokolwiek pisma procesowego (a zatem problemem nie był </w:t>
      </w:r>
      <w:r w:rsidR="00D235C8" w:rsidRPr="006B7273">
        <w:t xml:space="preserve">sam </w:t>
      </w:r>
      <w:r w:rsidR="006C6574" w:rsidRPr="006B7273">
        <w:t>sposób sformułowania pouczenia</w:t>
      </w:r>
      <w:r w:rsidR="00D235C8" w:rsidRPr="006B7273">
        <w:t xml:space="preserve"> o treści art. 128 k.p.c. ograniczone</w:t>
      </w:r>
      <w:r w:rsidR="006B7273">
        <w:t>go</w:t>
      </w:r>
      <w:r w:rsidR="00D235C8" w:rsidRPr="006B7273">
        <w:t xml:space="preserve"> do skonkretyzowanych rodzajów pism procesowych</w:t>
      </w:r>
      <w:r w:rsidR="006C6574" w:rsidRPr="006B7273">
        <w:t>, a jego brak), nadto sąd nie rozpoznał wniosku o sporządzenie kopii apelacji (alternatywnie nie przesłał do jednostki penitencjarnej akt postępowania</w:t>
      </w:r>
      <w:r w:rsidR="00850A67" w:rsidRPr="006B7273">
        <w:t>)</w:t>
      </w:r>
      <w:r w:rsidR="006C6574" w:rsidRPr="006B7273">
        <w:t xml:space="preserve"> celem sporządzenia przez skarżącego odpisu</w:t>
      </w:r>
      <w:r w:rsidR="0093425E">
        <w:t xml:space="preserve"> wniesionego środka zaskarżenia</w:t>
      </w:r>
      <w:r w:rsidR="00850A67" w:rsidRPr="006B7273">
        <w:t>.</w:t>
      </w:r>
    </w:p>
    <w:p w14:paraId="79DB58B2" w14:textId="289BF0A9" w:rsidR="00D235C8" w:rsidRPr="006B7273" w:rsidRDefault="00D235C8" w:rsidP="00B6688B">
      <w:pPr>
        <w:pStyle w:val="NormalnyWeb"/>
        <w:spacing w:before="0" w:beforeAutospacing="0" w:after="0" w:afterAutospacing="0" w:line="360" w:lineRule="auto"/>
        <w:ind w:firstLine="709"/>
        <w:jc w:val="both"/>
      </w:pPr>
      <w:r w:rsidRPr="006B7273">
        <w:t xml:space="preserve">Jednocześnie jak wynika z rozstrzygnięcia w sprawie </w:t>
      </w:r>
      <w:r w:rsidRPr="006B7273">
        <w:rPr>
          <w:i/>
          <w:iCs/>
        </w:rPr>
        <w:t>Kunert</w:t>
      </w:r>
      <w:r w:rsidR="00742ECA" w:rsidRPr="006B7273">
        <w:t xml:space="preserve"> </w:t>
      </w:r>
      <w:r w:rsidRPr="006B7273">
        <w:t>– prawidłowe pouczenie stron</w:t>
      </w:r>
      <w:r w:rsidR="00F12C1F" w:rsidRPr="006B7273">
        <w:t>y</w:t>
      </w:r>
      <w:r w:rsidRPr="006B7273">
        <w:t xml:space="preserve"> procesu</w:t>
      </w:r>
      <w:r w:rsidR="00BD7ABA" w:rsidRPr="006B7273">
        <w:t xml:space="preserve"> pozbawionej wolności i</w:t>
      </w:r>
      <w:r w:rsidRPr="006B7273">
        <w:t xml:space="preserve"> samodzielnie </w:t>
      </w:r>
      <w:r w:rsidR="00850A67" w:rsidRPr="006B7273">
        <w:t>występującej w sprawie</w:t>
      </w:r>
      <w:r w:rsidRPr="006B7273">
        <w:t xml:space="preserve"> o treści art. 128 k.p.c.</w:t>
      </w:r>
      <w:r w:rsidRPr="002A4956">
        <w:t xml:space="preserve"> w odniesieniu </w:t>
      </w:r>
      <w:r w:rsidR="001E50F8" w:rsidRPr="002A4956">
        <w:t>do wszystkich składanych pism procesowych</w:t>
      </w:r>
      <w:r w:rsidR="001E50F8" w:rsidRPr="006B7273">
        <w:t xml:space="preserve"> (w tym środków </w:t>
      </w:r>
      <w:r w:rsidR="001E50F8" w:rsidRPr="006B7273">
        <w:lastRenderedPageBreak/>
        <w:t>zaskarżenia)</w:t>
      </w:r>
      <w:r w:rsidR="003B0A55" w:rsidRPr="006B7273">
        <w:t>,</w:t>
      </w:r>
      <w:r w:rsidR="001E50F8" w:rsidRPr="006B7273">
        <w:t xml:space="preserve"> </w:t>
      </w:r>
      <w:r w:rsidR="00BD7ABA" w:rsidRPr="006B7273">
        <w:t>w sytuacji braku</w:t>
      </w:r>
      <w:r w:rsidR="001E50F8" w:rsidRPr="006B7273">
        <w:t xml:space="preserve"> aktywności procesowej w związku z wezwaniem do uzupełnienia braków formalnych</w:t>
      </w:r>
      <w:r w:rsidR="00BD7ABA" w:rsidRPr="006B7273">
        <w:t xml:space="preserve"> apelacji</w:t>
      </w:r>
      <w:r w:rsidR="006B7273">
        <w:t xml:space="preserve"> w postaci braku jej odpisów</w:t>
      </w:r>
      <w:r w:rsidR="00BD7ABA" w:rsidRPr="006B7273">
        <w:t xml:space="preserve"> (brak </w:t>
      </w:r>
      <w:r w:rsidR="00742ECA" w:rsidRPr="006B7273">
        <w:t>podjęcia próby uzupełnienia braku formalnego</w:t>
      </w:r>
      <w:r w:rsidR="00BD7ABA" w:rsidRPr="006B7273">
        <w:t>)</w:t>
      </w:r>
      <w:r w:rsidR="00742ECA" w:rsidRPr="006B7273">
        <w:t xml:space="preserve"> i </w:t>
      </w:r>
      <w:r w:rsidR="006B7273">
        <w:t xml:space="preserve">w efekcie </w:t>
      </w:r>
      <w:r w:rsidR="00742ECA" w:rsidRPr="006B7273">
        <w:t>odrzucenie apelacji</w:t>
      </w:r>
      <w:r w:rsidR="00BD7ABA" w:rsidRPr="006B7273">
        <w:t xml:space="preserve"> – nie narusza prawa do </w:t>
      </w:r>
      <w:r w:rsidR="003B0A55" w:rsidRPr="006B7273">
        <w:t>rzetelnego</w:t>
      </w:r>
      <w:r w:rsidR="00BD7ABA" w:rsidRPr="006B7273">
        <w:t xml:space="preserve"> procesu</w:t>
      </w:r>
      <w:r w:rsidR="006B7273">
        <w:t>,</w:t>
      </w:r>
      <w:r w:rsidR="00BD7ABA" w:rsidRPr="006B7273">
        <w:t xml:space="preserve"> </w:t>
      </w:r>
      <w:r w:rsidR="003B0A55" w:rsidRPr="006B7273">
        <w:t>o którym mowa w</w:t>
      </w:r>
      <w:r w:rsidR="00BD7ABA" w:rsidRPr="006B7273">
        <w:t xml:space="preserve"> art. 6 ust. 1 Konwencji</w:t>
      </w:r>
      <w:r w:rsidR="003B0A55" w:rsidRPr="006B7273">
        <w:t>.</w:t>
      </w:r>
    </w:p>
    <w:p w14:paraId="47B2AD6F" w14:textId="0AD78F3F" w:rsidR="00BC265D" w:rsidRDefault="003B0A55" w:rsidP="00B6688B">
      <w:pPr>
        <w:pStyle w:val="NormalnyWeb"/>
        <w:spacing w:before="0" w:beforeAutospacing="0" w:after="0" w:afterAutospacing="0" w:line="360" w:lineRule="auto"/>
        <w:ind w:firstLine="709"/>
        <w:jc w:val="both"/>
      </w:pPr>
      <w:r w:rsidRPr="006B7273">
        <w:t>Konkludując, sądy krajowe stosując art. 5 k.p.c., który przewiduje fakultatywną</w:t>
      </w:r>
      <w:r w:rsidR="00A515FB">
        <w:t xml:space="preserve">, </w:t>
      </w:r>
      <w:r w:rsidR="00A515FB" w:rsidRPr="006B7273">
        <w:t>z</w:t>
      </w:r>
      <w:r w:rsidR="00D369BB">
        <w:t> </w:t>
      </w:r>
      <w:r w:rsidR="00A515FB" w:rsidRPr="006B7273">
        <w:t>uwagi na zasadę równouprawnienia stron kontradyktoryjnego postępowania cywilnego</w:t>
      </w:r>
      <w:r w:rsidR="00A515FB">
        <w:t>,</w:t>
      </w:r>
      <w:r w:rsidR="00A515FB" w:rsidRPr="006B7273">
        <w:t xml:space="preserve"> </w:t>
      </w:r>
      <w:r w:rsidRPr="006B7273">
        <w:t xml:space="preserve">możliwość udzielania przez sąd stronom i uczestnikom niereprezentowanym przez fachowych pełnomocników niezbędnych pouczeń co do czynność procesowych, która materializuje się w razie stwierdzenia uzasadnionej potrzeby (np. nieporadność strony) </w:t>
      </w:r>
      <w:r w:rsidR="00A515FB">
        <w:t xml:space="preserve">- </w:t>
      </w:r>
      <w:r w:rsidRPr="006B7273">
        <w:t>powinny uwzględniać przedstawiony wyżej standard konwencyjny wskazany przez Trybunał w sprawach przeciwko Polsce (por. art. 46 ust. 1 Konwencji).</w:t>
      </w:r>
    </w:p>
    <w:p w14:paraId="1A244287" w14:textId="22282BD4" w:rsidR="00BC265D" w:rsidRDefault="00B71FE9" w:rsidP="00B6688B">
      <w:pPr>
        <w:pStyle w:val="NormalnyWeb"/>
        <w:spacing w:before="0" w:beforeAutospacing="0" w:after="0" w:afterAutospacing="0" w:line="360" w:lineRule="auto"/>
        <w:ind w:firstLine="709"/>
        <w:jc w:val="both"/>
        <w:rPr>
          <w:rStyle w:val="FontStyle18"/>
          <w:sz w:val="24"/>
          <w:szCs w:val="24"/>
        </w:rPr>
      </w:pPr>
      <w:r w:rsidRPr="00BC265D">
        <w:t>Należy odnotować</w:t>
      </w:r>
      <w:r w:rsidR="00BC265D" w:rsidRPr="00BC265D">
        <w:t xml:space="preserve">, iż </w:t>
      </w:r>
      <w:r w:rsidR="00BC265D" w:rsidRPr="00BC265D">
        <w:rPr>
          <w:rStyle w:val="FontStyle18"/>
          <w:sz w:val="24"/>
          <w:szCs w:val="24"/>
        </w:rPr>
        <w:t xml:space="preserve">zgodnie z treścią art. 5 § 2 k.p.c. </w:t>
      </w:r>
      <w:r w:rsidR="00BC265D" w:rsidRPr="00BC265D">
        <w:rPr>
          <w:rStyle w:val="FontStyle18"/>
          <w:sz w:val="24"/>
          <w:szCs w:val="24"/>
          <w:u w:val="single"/>
        </w:rPr>
        <w:t>w brzmieniu, które obowiązywać będzie od dnia 7 sierpnia 2020 roku</w:t>
      </w:r>
      <w:r w:rsidR="00BC265D" w:rsidRPr="00BC265D">
        <w:rPr>
          <w:rStyle w:val="FontStyle18"/>
          <w:sz w:val="24"/>
          <w:szCs w:val="24"/>
        </w:rPr>
        <w:t xml:space="preserve">: </w:t>
      </w:r>
      <w:r w:rsidR="00BC265D" w:rsidRPr="00BC265D">
        <w:rPr>
          <w:rStyle w:val="FontStyle17"/>
          <w:sz w:val="24"/>
          <w:szCs w:val="24"/>
        </w:rPr>
        <w:t>Minister Sprawiedliwości określi, w drodze rozporządzenia, wzory pouczeń</w:t>
      </w:r>
      <w:r w:rsidR="00BC265D" w:rsidRPr="00C76265">
        <w:rPr>
          <w:rStyle w:val="FontStyle17"/>
          <w:i w:val="0"/>
          <w:iCs w:val="0"/>
          <w:sz w:val="24"/>
          <w:szCs w:val="24"/>
        </w:rPr>
        <w:t xml:space="preserve">, </w:t>
      </w:r>
      <w:r w:rsidR="00BC265D" w:rsidRPr="00C76265">
        <w:rPr>
          <w:rStyle w:val="FontStyle18"/>
          <w:i/>
          <w:iCs/>
          <w:sz w:val="24"/>
          <w:szCs w:val="24"/>
        </w:rPr>
        <w:t>których udzielenia na piśmie</w:t>
      </w:r>
      <w:r w:rsidR="00BC265D" w:rsidRPr="00BC265D">
        <w:rPr>
          <w:rStyle w:val="FontStyle18"/>
          <w:sz w:val="24"/>
          <w:szCs w:val="24"/>
        </w:rPr>
        <w:t xml:space="preserve"> </w:t>
      </w:r>
      <w:r w:rsidR="00BC265D" w:rsidRPr="00BC265D">
        <w:rPr>
          <w:rStyle w:val="FontStyle17"/>
          <w:sz w:val="24"/>
          <w:szCs w:val="24"/>
        </w:rPr>
        <w:t xml:space="preserve">wymaga kodeks, mając na względzie konieczność zapewnienia komunikatywności przekazu. </w:t>
      </w:r>
      <w:r w:rsidR="00C76265">
        <w:rPr>
          <w:rStyle w:val="FontStyle18"/>
          <w:sz w:val="24"/>
          <w:szCs w:val="24"/>
        </w:rPr>
        <w:t>Powołany przepis</w:t>
      </w:r>
      <w:r w:rsidR="00BC265D" w:rsidRPr="00BC265D">
        <w:rPr>
          <w:rStyle w:val="FontStyle18"/>
          <w:sz w:val="24"/>
          <w:szCs w:val="24"/>
        </w:rPr>
        <w:t xml:space="preserve"> wyraźnie wskazuje, że warunkiem koniecznym uwzględnienia w rozporządzeniu wzoru pouczenia jest kodeksowy wymóg </w:t>
      </w:r>
      <w:r w:rsidR="00BC265D" w:rsidRPr="00BC265D">
        <w:rPr>
          <w:rStyle w:val="FontStyle14"/>
          <w:b w:val="0"/>
          <w:bCs w:val="0"/>
          <w:i w:val="0"/>
          <w:iCs w:val="0"/>
          <w:sz w:val="24"/>
          <w:szCs w:val="24"/>
        </w:rPr>
        <w:t>udzielenia pouczenia na piśmie.</w:t>
      </w:r>
      <w:r w:rsidR="00BC265D">
        <w:rPr>
          <w:rStyle w:val="FontStyle14"/>
          <w:b w:val="0"/>
          <w:bCs w:val="0"/>
          <w:i w:val="0"/>
          <w:iCs w:val="0"/>
          <w:sz w:val="24"/>
          <w:szCs w:val="24"/>
        </w:rPr>
        <w:t xml:space="preserve"> </w:t>
      </w:r>
      <w:r w:rsidR="00BC265D" w:rsidRPr="00BC265D">
        <w:rPr>
          <w:rStyle w:val="FontStyle18"/>
          <w:sz w:val="24"/>
          <w:szCs w:val="24"/>
        </w:rPr>
        <w:t xml:space="preserve">W przypadku występowania w procesie cywilnym strony pozbawionej wolności i niezastępowanej przez adwokata, radcę prawnego, rzecznika patentowego lub Prokuratorię Generalną Rzeczypospolitej Polskiej, w myśl art. 327 § 4 k.p.c. </w:t>
      </w:r>
      <w:r w:rsidR="00BC265D" w:rsidRPr="00BC265D">
        <w:rPr>
          <w:rStyle w:val="FontStyle17"/>
          <w:sz w:val="24"/>
          <w:szCs w:val="24"/>
        </w:rPr>
        <w:t>wraz z wyrokiem, który podlega doręczeniu z urzędu</w:t>
      </w:r>
      <w:r w:rsidR="00BC265D" w:rsidRPr="00BC265D">
        <w:rPr>
          <w:rStyle w:val="FontStyle17"/>
          <w:b/>
          <w:bCs/>
          <w:sz w:val="24"/>
          <w:szCs w:val="24"/>
        </w:rPr>
        <w:t xml:space="preserve">, </w:t>
      </w:r>
      <w:r w:rsidR="00BC265D" w:rsidRPr="00BC265D">
        <w:rPr>
          <w:rStyle w:val="FontStyle15"/>
          <w:b w:val="0"/>
          <w:bCs w:val="0"/>
          <w:i/>
          <w:iCs/>
          <w:sz w:val="24"/>
          <w:szCs w:val="24"/>
          <w:u w:val="single"/>
        </w:rPr>
        <w:t>doręcza się pouczenie</w:t>
      </w:r>
      <w:r w:rsidR="00BC265D" w:rsidRPr="00BC265D">
        <w:rPr>
          <w:rStyle w:val="FontStyle15"/>
          <w:sz w:val="24"/>
          <w:szCs w:val="24"/>
        </w:rPr>
        <w:t xml:space="preserve"> </w:t>
      </w:r>
      <w:r w:rsidR="00BC265D" w:rsidRPr="00BC265D">
        <w:rPr>
          <w:rStyle w:val="FontStyle17"/>
          <w:sz w:val="24"/>
          <w:szCs w:val="24"/>
        </w:rPr>
        <w:t xml:space="preserve">o sposobie i terminie zgłoszenia wniosku o doręczenie wyroku z uzasadnieniem oraz warunkach, sposobie i terminie wniesienia środka zaskarżenia. </w:t>
      </w:r>
      <w:r w:rsidR="00BC265D" w:rsidRPr="00BC265D">
        <w:rPr>
          <w:rStyle w:val="FontStyle18"/>
          <w:sz w:val="24"/>
          <w:szCs w:val="24"/>
        </w:rPr>
        <w:t xml:space="preserve">Treść art. 327 § 4 k.p.c. jednoznacznie zatem wskazuje, że w przypadku zajścia przesłanek w nim określonych, sąd </w:t>
      </w:r>
      <w:proofErr w:type="spellStart"/>
      <w:r w:rsidR="00BC265D" w:rsidRPr="00BC265D">
        <w:rPr>
          <w:rStyle w:val="FontStyle17"/>
          <w:sz w:val="24"/>
          <w:szCs w:val="24"/>
        </w:rPr>
        <w:t>meriti</w:t>
      </w:r>
      <w:proofErr w:type="spellEnd"/>
      <w:r w:rsidR="00BC265D" w:rsidRPr="00BC265D">
        <w:rPr>
          <w:rStyle w:val="FontStyle17"/>
          <w:sz w:val="24"/>
          <w:szCs w:val="24"/>
        </w:rPr>
        <w:t xml:space="preserve"> </w:t>
      </w:r>
      <w:r w:rsidR="00BC265D" w:rsidRPr="00BC265D">
        <w:rPr>
          <w:rStyle w:val="FontStyle18"/>
          <w:sz w:val="24"/>
          <w:szCs w:val="24"/>
        </w:rPr>
        <w:t xml:space="preserve">od sierpnia 2020 roku </w:t>
      </w:r>
      <w:r w:rsidR="00990D26">
        <w:rPr>
          <w:rStyle w:val="FontStyle18"/>
          <w:sz w:val="24"/>
          <w:szCs w:val="24"/>
        </w:rPr>
        <w:t>powinien posługiwać się</w:t>
      </w:r>
      <w:r w:rsidR="00BC265D" w:rsidRPr="00BC265D">
        <w:rPr>
          <w:rStyle w:val="FontStyle18"/>
          <w:sz w:val="24"/>
          <w:szCs w:val="24"/>
        </w:rPr>
        <w:t xml:space="preserve"> pouczeniami znajdującymi w rozporządzeniu wydanym w</w:t>
      </w:r>
      <w:r w:rsidR="00D369BB">
        <w:rPr>
          <w:rStyle w:val="FontStyle18"/>
          <w:sz w:val="24"/>
          <w:szCs w:val="24"/>
        </w:rPr>
        <w:t> </w:t>
      </w:r>
      <w:r w:rsidR="00BC265D" w:rsidRPr="00BC265D">
        <w:rPr>
          <w:rStyle w:val="FontStyle18"/>
          <w:sz w:val="24"/>
          <w:szCs w:val="24"/>
        </w:rPr>
        <w:t xml:space="preserve">oparciu o delegację znajdującą się w art. 5 § 2 k.p.c. </w:t>
      </w:r>
      <w:r w:rsidR="00C76265">
        <w:rPr>
          <w:rStyle w:val="FontStyle18"/>
          <w:sz w:val="24"/>
          <w:szCs w:val="24"/>
        </w:rPr>
        <w:t>Zgodnie z art</w:t>
      </w:r>
      <w:r w:rsidR="00BC265D" w:rsidRPr="00BC265D">
        <w:rPr>
          <w:rStyle w:val="FontStyle18"/>
          <w:sz w:val="24"/>
          <w:szCs w:val="24"/>
        </w:rPr>
        <w:t>. 368 § 1 k.p.c. apelacja jest pismem procesowym, a tym samym ma do niej zastosowanie art. 128 § 1 k.p.c.</w:t>
      </w:r>
      <w:r w:rsidR="00C76265">
        <w:rPr>
          <w:rStyle w:val="FontStyle18"/>
          <w:sz w:val="24"/>
          <w:szCs w:val="24"/>
        </w:rPr>
        <w:t>.</w:t>
      </w:r>
      <w:r w:rsidR="00990D26">
        <w:rPr>
          <w:rStyle w:val="FontStyle18"/>
          <w:sz w:val="24"/>
          <w:szCs w:val="24"/>
        </w:rPr>
        <w:t xml:space="preserve"> Stosowne pouczenie powinno zatem zawierać informację o obowiązku składania tego środka zaskarżenia wraz z odpisami.</w:t>
      </w:r>
      <w:r w:rsidR="00BC265D" w:rsidRPr="00BC265D">
        <w:rPr>
          <w:rStyle w:val="FontStyle18"/>
          <w:sz w:val="24"/>
          <w:szCs w:val="24"/>
        </w:rPr>
        <w:t xml:space="preserve"> </w:t>
      </w:r>
    </w:p>
    <w:p w14:paraId="26EF26AE" w14:textId="52A7A641" w:rsidR="00D54A29" w:rsidRDefault="00D54A29" w:rsidP="00B6688B">
      <w:pPr>
        <w:pStyle w:val="NormalnyWeb"/>
        <w:spacing w:before="0" w:beforeAutospacing="0" w:line="360" w:lineRule="auto"/>
        <w:ind w:firstLine="709"/>
        <w:jc w:val="both"/>
      </w:pPr>
      <w:r>
        <w:rPr>
          <w:rStyle w:val="FontStyle18"/>
          <w:sz w:val="24"/>
          <w:szCs w:val="24"/>
        </w:rPr>
        <w:t xml:space="preserve">Nie budzi </w:t>
      </w:r>
      <w:r w:rsidR="00E06C2B">
        <w:rPr>
          <w:rStyle w:val="FontStyle18"/>
          <w:sz w:val="24"/>
          <w:szCs w:val="24"/>
        </w:rPr>
        <w:t xml:space="preserve">również </w:t>
      </w:r>
      <w:r>
        <w:rPr>
          <w:rStyle w:val="FontStyle18"/>
          <w:sz w:val="24"/>
          <w:szCs w:val="24"/>
        </w:rPr>
        <w:t>wątpliwości</w:t>
      </w:r>
      <w:r w:rsidR="00724F02">
        <w:rPr>
          <w:rStyle w:val="FontStyle18"/>
          <w:sz w:val="24"/>
          <w:szCs w:val="24"/>
        </w:rPr>
        <w:t xml:space="preserve">, iż w omawianych rozstrzygnięcia Trybunał nie zakwestionował regulacji z </w:t>
      </w:r>
      <w:r w:rsidR="00724F02" w:rsidRPr="00724F02">
        <w:t>art. 128 k.p.c. jak również odpowiednio wymogów formalnych dotyczących postępowania odwoławczego  - art. 368 § 1 k.p.c. i 370 k.p.c.. Trybunał nie podważył również zasadności ugruntowanego orzecznictwa sądów powszechnych, zgodnie z</w:t>
      </w:r>
      <w:r w:rsidR="00D369BB">
        <w:t> </w:t>
      </w:r>
      <w:r w:rsidR="00724F02" w:rsidRPr="00724F02">
        <w:t>którym wnoszone odpisy pisma procesowego powinny wiernie oddawać treść oryginału - gdyż tylko wtedy są rzeczywiście odpisami.</w:t>
      </w:r>
      <w:r>
        <w:t xml:space="preserve"> Omówione</w:t>
      </w:r>
      <w:r w:rsidR="00E06C2B">
        <w:t xml:space="preserve"> wyroki </w:t>
      </w:r>
      <w:r w:rsidRPr="00D54A29">
        <w:t>Trybunału dotycz</w:t>
      </w:r>
      <w:r>
        <w:t>ą</w:t>
      </w:r>
      <w:r w:rsidRPr="00D54A29">
        <w:t xml:space="preserve"> sposobu </w:t>
      </w:r>
      <w:r w:rsidRPr="00D54A29">
        <w:lastRenderedPageBreak/>
        <w:t>zastosowania prawa krajowego przez sąd powszechny w okolicznościach konkretnej sprawy</w:t>
      </w:r>
      <w:r w:rsidR="00AB08A5">
        <w:t>, a</w:t>
      </w:r>
      <w:r w:rsidR="00D369BB">
        <w:t> </w:t>
      </w:r>
      <w:r w:rsidR="00AB08A5">
        <w:t>zatem zgodności praktyki sądowej ze standardem konwencyjnym</w:t>
      </w:r>
      <w:r w:rsidRPr="00D54A29">
        <w:t>.</w:t>
      </w:r>
    </w:p>
    <w:p w14:paraId="7F257219" w14:textId="5A97351F" w:rsidR="00D54A29" w:rsidRDefault="00D54A29" w:rsidP="00DF7A15">
      <w:pPr>
        <w:pStyle w:val="NormalnyWeb"/>
        <w:spacing w:line="360" w:lineRule="auto"/>
        <w:jc w:val="both"/>
      </w:pPr>
    </w:p>
    <w:p w14:paraId="75DDD2D4" w14:textId="77B7D450" w:rsidR="00D54A29" w:rsidRPr="00BC265D" w:rsidRDefault="00D54A29" w:rsidP="00DF7A15">
      <w:pPr>
        <w:pStyle w:val="NormalnyWeb"/>
        <w:spacing w:line="360" w:lineRule="auto"/>
        <w:jc w:val="both"/>
      </w:pPr>
    </w:p>
    <w:sectPr w:rsidR="00D54A29" w:rsidRPr="00BC265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131290" w14:textId="77777777" w:rsidR="00D46C0D" w:rsidRDefault="00D46C0D" w:rsidP="000719A9">
      <w:pPr>
        <w:spacing w:after="0" w:line="240" w:lineRule="auto"/>
      </w:pPr>
      <w:r>
        <w:separator/>
      </w:r>
    </w:p>
  </w:endnote>
  <w:endnote w:type="continuationSeparator" w:id="0">
    <w:p w14:paraId="4BFA8D05" w14:textId="77777777" w:rsidR="00D46C0D" w:rsidRDefault="00D46C0D" w:rsidP="00071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74877821"/>
      <w:docPartObj>
        <w:docPartGallery w:val="Page Numbers (Bottom of Page)"/>
        <w:docPartUnique/>
      </w:docPartObj>
    </w:sdtPr>
    <w:sdtEndPr/>
    <w:sdtContent>
      <w:p w14:paraId="6FDB8A5C" w14:textId="4781FE4A" w:rsidR="002C4BB1" w:rsidRDefault="002C4BB1">
        <w:pPr>
          <w:pStyle w:val="Stopka"/>
          <w:jc w:val="center"/>
        </w:pPr>
        <w:r w:rsidRPr="00B6688B">
          <w:rPr>
            <w:rFonts w:ascii="Times New Roman" w:hAnsi="Times New Roman"/>
            <w:sz w:val="24"/>
            <w:szCs w:val="24"/>
          </w:rPr>
          <w:fldChar w:fldCharType="begin"/>
        </w:r>
        <w:r w:rsidRPr="00B6688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6688B">
          <w:rPr>
            <w:rFonts w:ascii="Times New Roman" w:hAnsi="Times New Roman"/>
            <w:sz w:val="24"/>
            <w:szCs w:val="24"/>
          </w:rPr>
          <w:fldChar w:fldCharType="separate"/>
        </w:r>
        <w:r w:rsidRPr="00B6688B">
          <w:rPr>
            <w:rFonts w:ascii="Times New Roman" w:hAnsi="Times New Roman"/>
            <w:sz w:val="24"/>
            <w:szCs w:val="24"/>
          </w:rPr>
          <w:t>2</w:t>
        </w:r>
        <w:r w:rsidRPr="00B6688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7271798D" w14:textId="77777777" w:rsidR="00B8605C" w:rsidRDefault="00B860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8B73B" w14:textId="77777777" w:rsidR="00D46C0D" w:rsidRDefault="00D46C0D" w:rsidP="000719A9">
      <w:pPr>
        <w:spacing w:after="0" w:line="240" w:lineRule="auto"/>
      </w:pPr>
      <w:r>
        <w:separator/>
      </w:r>
    </w:p>
  </w:footnote>
  <w:footnote w:type="continuationSeparator" w:id="0">
    <w:p w14:paraId="5F8E0E22" w14:textId="77777777" w:rsidR="00D46C0D" w:rsidRDefault="00D46C0D" w:rsidP="000719A9">
      <w:pPr>
        <w:spacing w:after="0" w:line="240" w:lineRule="auto"/>
      </w:pPr>
      <w:r>
        <w:continuationSeparator/>
      </w:r>
    </w:p>
  </w:footnote>
  <w:footnote w:id="1">
    <w:p w14:paraId="529CF75C" w14:textId="77777777" w:rsidR="000B68AE" w:rsidRDefault="000B68AE" w:rsidP="0081076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A562C">
        <w:t>w</w:t>
      </w:r>
      <w:r w:rsidR="00072194">
        <w:t>ymienione</w:t>
      </w:r>
      <w:r w:rsidR="005E1131">
        <w:t xml:space="preserve"> </w:t>
      </w:r>
      <w:r>
        <w:t xml:space="preserve">wyroki zostały przetłumaczone na język polski i zamieszczone na stronie resortu </w:t>
      </w:r>
      <w:r w:rsidR="00BA562C">
        <w:t xml:space="preserve">w zakładce Orzecznictwo Europejskiego Trybunału Praw Człowieka: </w:t>
      </w:r>
      <w:r w:rsidR="00BA562C" w:rsidRPr="00BA562C">
        <w:t>https://arch-bip.ms.gov.pl/pl/prawa-czlowieka/europejski-trybunal-praw-czlowieka/orzecznictwo-europejskiego-trybunalu-praw-czlowieka/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2F7B82"/>
    <w:multiLevelType w:val="hybridMultilevel"/>
    <w:tmpl w:val="645A6EA4"/>
    <w:lvl w:ilvl="0" w:tplc="373095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A9"/>
    <w:rsid w:val="000719A9"/>
    <w:rsid w:val="00072194"/>
    <w:rsid w:val="000906F3"/>
    <w:rsid w:val="000B4351"/>
    <w:rsid w:val="000B68AE"/>
    <w:rsid w:val="001E50F8"/>
    <w:rsid w:val="001F23F3"/>
    <w:rsid w:val="002A4956"/>
    <w:rsid w:val="002C4BB1"/>
    <w:rsid w:val="002C6E52"/>
    <w:rsid w:val="002C7823"/>
    <w:rsid w:val="00322DB8"/>
    <w:rsid w:val="00342D85"/>
    <w:rsid w:val="003B0A55"/>
    <w:rsid w:val="004302A8"/>
    <w:rsid w:val="004E14A4"/>
    <w:rsid w:val="004F561F"/>
    <w:rsid w:val="005C2854"/>
    <w:rsid w:val="005E1131"/>
    <w:rsid w:val="00622A4B"/>
    <w:rsid w:val="00632293"/>
    <w:rsid w:val="00652559"/>
    <w:rsid w:val="006B7273"/>
    <w:rsid w:val="006C6574"/>
    <w:rsid w:val="007026A2"/>
    <w:rsid w:val="00703AD1"/>
    <w:rsid w:val="0071012B"/>
    <w:rsid w:val="00724F02"/>
    <w:rsid w:val="00742ECA"/>
    <w:rsid w:val="007955D2"/>
    <w:rsid w:val="00810761"/>
    <w:rsid w:val="00850A67"/>
    <w:rsid w:val="008B359A"/>
    <w:rsid w:val="0093425E"/>
    <w:rsid w:val="00990D26"/>
    <w:rsid w:val="009E4465"/>
    <w:rsid w:val="009F4061"/>
    <w:rsid w:val="00A23428"/>
    <w:rsid w:val="00A515FB"/>
    <w:rsid w:val="00A773E5"/>
    <w:rsid w:val="00AB08A5"/>
    <w:rsid w:val="00B12B0C"/>
    <w:rsid w:val="00B1324D"/>
    <w:rsid w:val="00B6688B"/>
    <w:rsid w:val="00B71FE9"/>
    <w:rsid w:val="00B85563"/>
    <w:rsid w:val="00B8605C"/>
    <w:rsid w:val="00BA562C"/>
    <w:rsid w:val="00BC265D"/>
    <w:rsid w:val="00BD7ABA"/>
    <w:rsid w:val="00C43FF5"/>
    <w:rsid w:val="00C76265"/>
    <w:rsid w:val="00D235C8"/>
    <w:rsid w:val="00D369BB"/>
    <w:rsid w:val="00D46C0D"/>
    <w:rsid w:val="00D54A29"/>
    <w:rsid w:val="00D8045B"/>
    <w:rsid w:val="00DD0B9F"/>
    <w:rsid w:val="00DD264B"/>
    <w:rsid w:val="00DD2798"/>
    <w:rsid w:val="00DD6E16"/>
    <w:rsid w:val="00DF7A15"/>
    <w:rsid w:val="00E06C2B"/>
    <w:rsid w:val="00F028AC"/>
    <w:rsid w:val="00F12C1F"/>
    <w:rsid w:val="00F21BC9"/>
    <w:rsid w:val="00F35123"/>
    <w:rsid w:val="00F72D9D"/>
    <w:rsid w:val="00F9407F"/>
    <w:rsid w:val="00FF2BC6"/>
    <w:rsid w:val="00FF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28443"/>
  <w15:chartTrackingRefBased/>
  <w15:docId w15:val="{887C4F58-33C5-4510-B85D-E5018FED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19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49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49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719A9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SimSun" w:hAnsi="Times New Roman" w:cs="Tahoma"/>
      <w:kern w:val="3"/>
      <w:sz w:val="24"/>
      <w:lang w:val="en-US"/>
    </w:rPr>
  </w:style>
  <w:style w:type="paragraph" w:styleId="Tekstprzypisudolnego">
    <w:name w:val="footnote text"/>
    <w:basedOn w:val="Normalny"/>
    <w:link w:val="TekstprzypisudolnegoZnak"/>
    <w:rsid w:val="000719A9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719A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0719A9"/>
    <w:rPr>
      <w:vertAlign w:val="superscript"/>
    </w:rPr>
  </w:style>
  <w:style w:type="paragraph" w:customStyle="1" w:styleId="ECHRPara">
    <w:name w:val="ECHR_Para"/>
    <w:aliases w:val="Ju_Para"/>
    <w:basedOn w:val="Normalny"/>
    <w:link w:val="ECHRParaChar"/>
    <w:uiPriority w:val="99"/>
    <w:qFormat/>
    <w:rsid w:val="000719A9"/>
    <w:pPr>
      <w:spacing w:after="0" w:line="240" w:lineRule="auto"/>
      <w:ind w:firstLine="284"/>
      <w:jc w:val="both"/>
    </w:pPr>
    <w:rPr>
      <w:rFonts w:asciiTheme="minorHAnsi" w:eastAsiaTheme="minorEastAsia" w:hAnsiTheme="minorHAnsi" w:cstheme="minorBidi"/>
      <w:sz w:val="24"/>
      <w:lang w:val="en-GB"/>
    </w:rPr>
  </w:style>
  <w:style w:type="character" w:customStyle="1" w:styleId="ECHRParaChar">
    <w:name w:val="ECHR_Para Char"/>
    <w:aliases w:val="Ju_Para Char"/>
    <w:basedOn w:val="Domylnaczcionkaakapitu"/>
    <w:link w:val="ECHRPara"/>
    <w:uiPriority w:val="99"/>
    <w:rsid w:val="000719A9"/>
    <w:rPr>
      <w:rFonts w:eastAsiaTheme="minorEastAsia"/>
      <w:sz w:val="24"/>
      <w:lang w:val="en-GB"/>
    </w:rPr>
  </w:style>
  <w:style w:type="character" w:customStyle="1" w:styleId="ju--005fpara----char--char">
    <w:name w:val="ju--005fpara----char--char"/>
    <w:uiPriority w:val="99"/>
    <w:rsid w:val="000719A9"/>
  </w:style>
  <w:style w:type="paragraph" w:styleId="Akapitzlist">
    <w:name w:val="List Paragraph"/>
    <w:basedOn w:val="Normalny"/>
    <w:uiPriority w:val="34"/>
    <w:qFormat/>
    <w:rsid w:val="000719A9"/>
    <w:pPr>
      <w:ind w:left="720"/>
      <w:contextualSpacing/>
    </w:pPr>
    <w:rPr>
      <w:rFonts w:asciiTheme="minorHAnsi" w:eastAsiaTheme="minorEastAsia" w:hAnsiTheme="minorHAnsi" w:cstheme="minorBidi"/>
      <w:lang w:eastAsia="pl-PL"/>
    </w:rPr>
  </w:style>
  <w:style w:type="paragraph" w:styleId="Bezodstpw">
    <w:name w:val="No Spacing"/>
    <w:uiPriority w:val="1"/>
    <w:qFormat/>
    <w:rsid w:val="006C6574"/>
    <w:pPr>
      <w:spacing w:after="0" w:line="240" w:lineRule="auto"/>
    </w:pPr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6C6574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86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605C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86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605C"/>
    <w:rPr>
      <w:rFonts w:ascii="Calibri" w:eastAsia="Times New Roman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2A49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A49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yle6">
    <w:name w:val="Style6"/>
    <w:basedOn w:val="Normalny"/>
    <w:uiPriority w:val="99"/>
    <w:rsid w:val="00BC265D"/>
    <w:pPr>
      <w:widowControl w:val="0"/>
      <w:autoSpaceDE w:val="0"/>
      <w:autoSpaceDN w:val="0"/>
      <w:adjustRightInd w:val="0"/>
      <w:spacing w:after="0" w:line="414" w:lineRule="exact"/>
      <w:ind w:firstLine="710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BC265D"/>
    <w:pPr>
      <w:widowControl w:val="0"/>
      <w:autoSpaceDE w:val="0"/>
      <w:autoSpaceDN w:val="0"/>
      <w:adjustRightInd w:val="0"/>
      <w:spacing w:after="0" w:line="408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4">
    <w:name w:val="Font Style14"/>
    <w:basedOn w:val="Domylnaczcionkaakapitu"/>
    <w:uiPriority w:val="99"/>
    <w:rsid w:val="00BC265D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Domylnaczcionkaakapitu"/>
    <w:uiPriority w:val="99"/>
    <w:rsid w:val="00BC265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omylnaczcionkaakapitu"/>
    <w:uiPriority w:val="99"/>
    <w:rsid w:val="00BC265D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8">
    <w:name w:val="Font Style18"/>
    <w:basedOn w:val="Domylnaczcionkaakapitu"/>
    <w:uiPriority w:val="99"/>
    <w:rsid w:val="00BC265D"/>
    <w:rPr>
      <w:rFonts w:ascii="Times New Roman" w:hAnsi="Times New Roman" w:cs="Times New Roman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5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512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F864D-9878-4910-A4EB-1286CE07A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1778</Words>
  <Characters>10668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Kiełbik Maciej  (DWMPC)</dc:creator>
  <cp:keywords/>
  <dc:description/>
  <cp:lastModifiedBy>Podwysocka Wioleta  (DWMPC)</cp:lastModifiedBy>
  <cp:revision>3</cp:revision>
  <dcterms:created xsi:type="dcterms:W3CDTF">2020-09-08T09:46:00Z</dcterms:created>
  <dcterms:modified xsi:type="dcterms:W3CDTF">2020-09-16T06:55:00Z</dcterms:modified>
</cp:coreProperties>
</file>