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ED19D" w14:textId="77777777" w:rsidR="0092084F" w:rsidRPr="004D093B" w:rsidRDefault="0092084F" w:rsidP="0092084F">
      <w:pPr>
        <w:jc w:val="center"/>
        <w:rPr>
          <w:rFonts w:ascii="Lato" w:hAnsi="Lato"/>
          <w:b/>
          <w:bCs/>
          <w:color w:val="00B0F0"/>
          <w:sz w:val="36"/>
          <w:szCs w:val="36"/>
          <w:u w:val="single"/>
        </w:rPr>
      </w:pP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OBWIESZCZENIE REFUNDACYJNE NR 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70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(1 </w:t>
      </w:r>
      <w:r>
        <w:rPr>
          <w:rFonts w:ascii="Lato" w:hAnsi="Lato"/>
          <w:b/>
          <w:bCs/>
          <w:color w:val="00B0F0"/>
          <w:sz w:val="36"/>
          <w:szCs w:val="36"/>
          <w:u w:val="single"/>
        </w:rPr>
        <w:t>LIPCA</w:t>
      </w:r>
      <w:r w:rsidRPr="004D093B">
        <w:rPr>
          <w:rFonts w:ascii="Lato" w:hAnsi="Lato"/>
          <w:b/>
          <w:bCs/>
          <w:color w:val="00B0F0"/>
          <w:sz w:val="36"/>
          <w:szCs w:val="36"/>
          <w:u w:val="single"/>
        </w:rPr>
        <w:t xml:space="preserve"> 2023 r.)</w:t>
      </w:r>
    </w:p>
    <w:p w14:paraId="301C52F8" w14:textId="77777777" w:rsidR="0092084F" w:rsidRPr="004D093B" w:rsidRDefault="0092084F" w:rsidP="0092084F">
      <w:pPr>
        <w:spacing w:before="360"/>
        <w:jc w:val="center"/>
        <w:rPr>
          <w:rFonts w:ascii="Lato" w:hAnsi="Lato"/>
        </w:rPr>
      </w:pPr>
      <w:bookmarkStart w:id="0" w:name="_Hlk90283803"/>
      <w:r w:rsidRPr="004D093B">
        <w:rPr>
          <w:rFonts w:ascii="Lato" w:hAnsi="Lato"/>
          <w:b/>
          <w:bCs/>
          <w:color w:val="00B0F0"/>
          <w:sz w:val="28"/>
          <w:szCs w:val="28"/>
        </w:rPr>
        <w:t>STATYSTYKI</w:t>
      </w:r>
    </w:p>
    <w:bookmarkEnd w:id="0"/>
    <w:p w14:paraId="17F089D9" w14:textId="77777777" w:rsidR="00A966A7" w:rsidRDefault="00A966A7" w:rsidP="00A966A7">
      <w:pPr>
        <w:spacing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Od początku roku 2023, finansowaniem ze środków publicznych zostało objętych </w:t>
      </w:r>
      <w:r>
        <w:rPr>
          <w:rFonts w:ascii="Lato" w:hAnsi="Lato"/>
          <w:b/>
          <w:bCs/>
        </w:rPr>
        <w:t>97 nowych cząsteczko – wskazań</w:t>
      </w:r>
      <w:r>
        <w:rPr>
          <w:rFonts w:ascii="Lato" w:hAnsi="Lato"/>
        </w:rPr>
        <w:t>, w tym:</w:t>
      </w:r>
    </w:p>
    <w:p w14:paraId="01E5039B" w14:textId="4623602B" w:rsidR="00A966A7" w:rsidRDefault="00A966A7" w:rsidP="00A966A7">
      <w:pPr>
        <w:pStyle w:val="Akapitzlist"/>
        <w:numPr>
          <w:ilvl w:val="0"/>
          <w:numId w:val="32"/>
        </w:numPr>
        <w:spacing w:after="120"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46 cząsteczko – wskaza</w:t>
      </w:r>
      <w:r w:rsidR="006D1BEB">
        <w:rPr>
          <w:rFonts w:ascii="Lato" w:hAnsi="Lato"/>
        </w:rPr>
        <w:t>ń</w:t>
      </w:r>
      <w:r>
        <w:rPr>
          <w:rFonts w:ascii="Lato" w:hAnsi="Lato"/>
        </w:rPr>
        <w:t xml:space="preserve"> onkologiczn</w:t>
      </w:r>
      <w:r w:rsidR="006D1BEB">
        <w:rPr>
          <w:rFonts w:ascii="Lato" w:hAnsi="Lato"/>
        </w:rPr>
        <w:t>ych</w:t>
      </w:r>
      <w:r>
        <w:rPr>
          <w:rFonts w:ascii="Lato" w:hAnsi="Lato"/>
        </w:rPr>
        <w:t>,</w:t>
      </w:r>
    </w:p>
    <w:p w14:paraId="49C80682" w14:textId="77777777" w:rsidR="00A966A7" w:rsidRDefault="00A966A7" w:rsidP="00A966A7">
      <w:pPr>
        <w:pStyle w:val="Akapitzlist"/>
        <w:numPr>
          <w:ilvl w:val="0"/>
          <w:numId w:val="32"/>
        </w:numPr>
        <w:spacing w:after="120"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51 cząsteczko - wskazań nieonkologicznych,</w:t>
      </w:r>
    </w:p>
    <w:p w14:paraId="782E0130" w14:textId="6B9656EF" w:rsidR="00A966A7" w:rsidRPr="00A966A7" w:rsidRDefault="00A966A7" w:rsidP="00A966A7">
      <w:pPr>
        <w:pStyle w:val="Akapitzlist"/>
        <w:numPr>
          <w:ilvl w:val="0"/>
          <w:numId w:val="32"/>
        </w:numPr>
        <w:spacing w:after="120" w:line="360" w:lineRule="auto"/>
        <w:jc w:val="both"/>
        <w:textAlignment w:val="auto"/>
        <w:rPr>
          <w:rFonts w:ascii="Lato" w:hAnsi="Lato"/>
        </w:rPr>
      </w:pPr>
      <w:r>
        <w:rPr>
          <w:rFonts w:ascii="Lato" w:hAnsi="Lato"/>
        </w:rPr>
        <w:t>31 cząsteczko - wskaza</w:t>
      </w:r>
      <w:r w:rsidR="006D1BEB">
        <w:rPr>
          <w:rFonts w:ascii="Lato" w:hAnsi="Lato"/>
        </w:rPr>
        <w:t>ń</w:t>
      </w:r>
      <w:r>
        <w:rPr>
          <w:rFonts w:ascii="Lato" w:hAnsi="Lato"/>
        </w:rPr>
        <w:t xml:space="preserve"> dedykowan</w:t>
      </w:r>
      <w:r w:rsidR="006D1BEB">
        <w:rPr>
          <w:rFonts w:ascii="Lato" w:hAnsi="Lato"/>
        </w:rPr>
        <w:t>ych</w:t>
      </w:r>
      <w:r>
        <w:rPr>
          <w:rFonts w:ascii="Lato" w:hAnsi="Lato"/>
        </w:rPr>
        <w:t xml:space="preserve"> chorobom rzadkim.</w:t>
      </w:r>
    </w:p>
    <w:p w14:paraId="49A7D341" w14:textId="322CB524" w:rsidR="0092084F" w:rsidRPr="004D093B" w:rsidRDefault="0092084F" w:rsidP="0092084F">
      <w:pPr>
        <w:spacing w:line="276" w:lineRule="auto"/>
        <w:jc w:val="both"/>
        <w:rPr>
          <w:rFonts w:ascii="Lato" w:hAnsi="Lato"/>
          <w:color w:val="000000" w:themeColor="text1"/>
          <w:sz w:val="24"/>
          <w:szCs w:val="24"/>
        </w:rPr>
      </w:pPr>
      <w:r w:rsidRPr="004D093B">
        <w:rPr>
          <w:rFonts w:ascii="Lato" w:hAnsi="Lato"/>
          <w:color w:val="000000" w:themeColor="text1"/>
          <w:sz w:val="24"/>
          <w:szCs w:val="24"/>
        </w:rPr>
        <w:t>Obwieszczenie refundacyjne obowiązujące od 1</w:t>
      </w:r>
      <w:r>
        <w:rPr>
          <w:rFonts w:ascii="Lato" w:hAnsi="Lato"/>
          <w:color w:val="000000" w:themeColor="text1"/>
          <w:sz w:val="24"/>
          <w:szCs w:val="24"/>
        </w:rPr>
        <w:t xml:space="preserve"> lipca</w:t>
      </w:r>
      <w:r w:rsidRPr="004D093B">
        <w:rPr>
          <w:rFonts w:ascii="Lato" w:hAnsi="Lato"/>
          <w:color w:val="000000" w:themeColor="text1"/>
          <w:sz w:val="24"/>
          <w:szCs w:val="24"/>
        </w:rPr>
        <w:t xml:space="preserve"> 2023 r. (nr </w:t>
      </w:r>
      <w:r>
        <w:rPr>
          <w:rFonts w:ascii="Lato" w:hAnsi="Lato"/>
          <w:color w:val="000000" w:themeColor="text1"/>
          <w:sz w:val="24"/>
          <w:szCs w:val="24"/>
        </w:rPr>
        <w:t>70</w:t>
      </w:r>
      <w:r w:rsidRPr="004D093B">
        <w:rPr>
          <w:rFonts w:ascii="Lato" w:hAnsi="Lato"/>
          <w:color w:val="000000" w:themeColor="text1"/>
          <w:sz w:val="24"/>
          <w:szCs w:val="24"/>
        </w:rPr>
        <w:t>), w porównaniu do obwieszczenia 6</w:t>
      </w:r>
      <w:r>
        <w:rPr>
          <w:rFonts w:ascii="Lato" w:hAnsi="Lato"/>
          <w:color w:val="000000" w:themeColor="text1"/>
          <w:sz w:val="24"/>
          <w:szCs w:val="24"/>
        </w:rPr>
        <w:t>9</w:t>
      </w:r>
      <w:r w:rsidRPr="004D093B">
        <w:rPr>
          <w:rFonts w:ascii="Lato" w:hAnsi="Lato"/>
          <w:color w:val="000000" w:themeColor="text1"/>
          <w:sz w:val="24"/>
          <w:szCs w:val="24"/>
        </w:rPr>
        <w:t xml:space="preserve"> zawiera następujące zmiany:</w:t>
      </w:r>
    </w:p>
    <w:p w14:paraId="46603250" w14:textId="007C365A" w:rsidR="0092084F" w:rsidRPr="00397AD7" w:rsidRDefault="0092084F" w:rsidP="0092084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397AD7">
        <w:rPr>
          <w:rFonts w:ascii="Lato" w:hAnsi="Lato"/>
          <w:sz w:val="24"/>
          <w:szCs w:val="24"/>
        </w:rPr>
        <w:t>W związku z wydaniem pozytywnych decyzji o objęciu refundacją ogółem do wykazu został</w:t>
      </w:r>
      <w:r w:rsidR="00397AD7">
        <w:rPr>
          <w:rFonts w:ascii="Lato" w:hAnsi="Lato"/>
          <w:sz w:val="24"/>
          <w:szCs w:val="24"/>
        </w:rPr>
        <w:t>o</w:t>
      </w:r>
      <w:r w:rsidRPr="00397AD7">
        <w:rPr>
          <w:rFonts w:ascii="Lato" w:hAnsi="Lato"/>
          <w:sz w:val="24"/>
          <w:szCs w:val="24"/>
        </w:rPr>
        <w:t xml:space="preserve"> dodan</w:t>
      </w:r>
      <w:r w:rsidR="00397AD7">
        <w:rPr>
          <w:rFonts w:ascii="Lato" w:hAnsi="Lato"/>
          <w:sz w:val="24"/>
          <w:szCs w:val="24"/>
        </w:rPr>
        <w:t>ych</w:t>
      </w:r>
      <w:r w:rsidRPr="00397AD7">
        <w:rPr>
          <w:rFonts w:ascii="Lato" w:hAnsi="Lato"/>
          <w:sz w:val="24"/>
          <w:szCs w:val="24"/>
        </w:rPr>
        <w:t xml:space="preserve"> </w:t>
      </w:r>
      <w:r w:rsidR="00397AD7" w:rsidRPr="00397AD7">
        <w:rPr>
          <w:rFonts w:ascii="Lato" w:hAnsi="Lato"/>
          <w:sz w:val="24"/>
          <w:szCs w:val="24"/>
        </w:rPr>
        <w:t>50</w:t>
      </w:r>
      <w:r w:rsidRPr="00397AD7">
        <w:rPr>
          <w:rFonts w:ascii="Lato" w:hAnsi="Lato"/>
          <w:sz w:val="24"/>
          <w:szCs w:val="24"/>
        </w:rPr>
        <w:t xml:space="preserve"> produkt</w:t>
      </w:r>
      <w:r w:rsidR="00397AD7">
        <w:rPr>
          <w:rFonts w:ascii="Lato" w:hAnsi="Lato"/>
          <w:sz w:val="24"/>
          <w:szCs w:val="24"/>
        </w:rPr>
        <w:t>ów</w:t>
      </w:r>
      <w:r w:rsidRPr="00397AD7">
        <w:rPr>
          <w:rFonts w:ascii="Lato" w:hAnsi="Lato"/>
          <w:sz w:val="24"/>
          <w:szCs w:val="24"/>
        </w:rPr>
        <w:t xml:space="preserve"> bądź now</w:t>
      </w:r>
      <w:r w:rsidR="00397AD7">
        <w:rPr>
          <w:rFonts w:ascii="Lato" w:hAnsi="Lato"/>
          <w:sz w:val="24"/>
          <w:szCs w:val="24"/>
        </w:rPr>
        <w:t>ych</w:t>
      </w:r>
      <w:r w:rsidRPr="00397AD7">
        <w:rPr>
          <w:rFonts w:ascii="Lato" w:hAnsi="Lato"/>
          <w:sz w:val="24"/>
          <w:szCs w:val="24"/>
        </w:rPr>
        <w:t xml:space="preserve"> wskaza</w:t>
      </w:r>
      <w:r w:rsidR="00397AD7">
        <w:rPr>
          <w:rFonts w:ascii="Lato" w:hAnsi="Lato"/>
          <w:sz w:val="24"/>
          <w:szCs w:val="24"/>
        </w:rPr>
        <w:t>ń</w:t>
      </w:r>
      <w:r w:rsidRPr="00397AD7">
        <w:rPr>
          <w:rFonts w:ascii="Lato" w:hAnsi="Lato"/>
          <w:sz w:val="24"/>
          <w:szCs w:val="24"/>
        </w:rPr>
        <w:t>.</w:t>
      </w:r>
    </w:p>
    <w:p w14:paraId="73770EC3" w14:textId="136B32D6" w:rsidR="0092084F" w:rsidRPr="00397AD7" w:rsidRDefault="0092084F" w:rsidP="0092084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397AD7">
        <w:rPr>
          <w:rFonts w:ascii="Lato" w:hAnsi="Lato"/>
          <w:sz w:val="24"/>
          <w:szCs w:val="24"/>
        </w:rPr>
        <w:t xml:space="preserve">Dla </w:t>
      </w:r>
      <w:r w:rsidR="00397AD7" w:rsidRPr="00397AD7">
        <w:rPr>
          <w:rFonts w:ascii="Lato" w:hAnsi="Lato"/>
          <w:sz w:val="24"/>
          <w:szCs w:val="24"/>
        </w:rPr>
        <w:t>42</w:t>
      </w:r>
      <w:r w:rsidRPr="00397AD7">
        <w:rPr>
          <w:rFonts w:ascii="Lato" w:hAnsi="Lato"/>
          <w:sz w:val="24"/>
          <w:szCs w:val="24"/>
        </w:rPr>
        <w:t xml:space="preserve"> produktów wprowadzono obniżki urzędowych cen zbytu (od </w:t>
      </w:r>
      <w:r w:rsidR="00397AD7">
        <w:rPr>
          <w:rFonts w:ascii="Lato" w:hAnsi="Lato"/>
          <w:sz w:val="24"/>
          <w:szCs w:val="24"/>
        </w:rPr>
        <w:t>0,10</w:t>
      </w:r>
      <w:r w:rsidRPr="00397AD7">
        <w:rPr>
          <w:rFonts w:ascii="Lato" w:hAnsi="Lato"/>
          <w:sz w:val="24"/>
          <w:szCs w:val="24"/>
        </w:rPr>
        <w:t xml:space="preserve"> zł do </w:t>
      </w:r>
      <w:r w:rsidR="00397AD7" w:rsidRPr="00397AD7">
        <w:rPr>
          <w:rFonts w:ascii="Lato" w:hAnsi="Lato"/>
          <w:sz w:val="24"/>
          <w:szCs w:val="24"/>
        </w:rPr>
        <w:t>16</w:t>
      </w:r>
      <w:r w:rsidR="00397AD7">
        <w:rPr>
          <w:rFonts w:ascii="Lato" w:hAnsi="Lato"/>
          <w:sz w:val="24"/>
          <w:szCs w:val="24"/>
        </w:rPr>
        <w:t> </w:t>
      </w:r>
      <w:r w:rsidR="00397AD7" w:rsidRPr="00397AD7">
        <w:rPr>
          <w:rFonts w:ascii="Lato" w:hAnsi="Lato"/>
          <w:sz w:val="24"/>
          <w:szCs w:val="24"/>
        </w:rPr>
        <w:t>794</w:t>
      </w:r>
      <w:r w:rsidR="00397AD7">
        <w:rPr>
          <w:rFonts w:ascii="Lato" w:hAnsi="Lato"/>
          <w:sz w:val="24"/>
          <w:szCs w:val="24"/>
        </w:rPr>
        <w:t xml:space="preserve">,00 </w:t>
      </w:r>
      <w:r w:rsidRPr="00397AD7">
        <w:rPr>
          <w:rFonts w:ascii="Lato" w:hAnsi="Lato"/>
          <w:sz w:val="24"/>
          <w:szCs w:val="24"/>
        </w:rPr>
        <w:t>zł).</w:t>
      </w:r>
    </w:p>
    <w:p w14:paraId="397E37AA" w14:textId="72A758C7" w:rsidR="0092084F" w:rsidRPr="00397AD7" w:rsidRDefault="0092084F" w:rsidP="0092084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397AD7">
        <w:rPr>
          <w:rFonts w:ascii="Lato" w:hAnsi="Lato"/>
          <w:sz w:val="24"/>
          <w:szCs w:val="24"/>
        </w:rPr>
        <w:t xml:space="preserve">Dla </w:t>
      </w:r>
      <w:r w:rsidR="00397AD7" w:rsidRPr="00397AD7">
        <w:rPr>
          <w:rFonts w:ascii="Lato" w:hAnsi="Lato"/>
          <w:sz w:val="24"/>
          <w:szCs w:val="24"/>
        </w:rPr>
        <w:t>79</w:t>
      </w:r>
      <w:r w:rsidRPr="00397AD7">
        <w:rPr>
          <w:rFonts w:ascii="Lato" w:hAnsi="Lato"/>
          <w:sz w:val="24"/>
          <w:szCs w:val="24"/>
        </w:rPr>
        <w:t xml:space="preserve"> produktów podwyższono urzędowe ceny zbytu (od </w:t>
      </w:r>
      <w:r w:rsidR="00397AD7">
        <w:rPr>
          <w:rFonts w:ascii="Lato" w:hAnsi="Lato"/>
          <w:sz w:val="24"/>
          <w:szCs w:val="24"/>
        </w:rPr>
        <w:t>0,02</w:t>
      </w:r>
      <w:r w:rsidRPr="00397AD7">
        <w:rPr>
          <w:rFonts w:ascii="Lato" w:hAnsi="Lato"/>
          <w:sz w:val="24"/>
          <w:szCs w:val="24"/>
        </w:rPr>
        <w:t xml:space="preserve"> zł do </w:t>
      </w:r>
      <w:r w:rsidR="00397AD7">
        <w:rPr>
          <w:rFonts w:ascii="Lato" w:hAnsi="Lato"/>
          <w:sz w:val="24"/>
          <w:szCs w:val="24"/>
        </w:rPr>
        <w:t>38,34</w:t>
      </w:r>
      <w:r w:rsidRPr="00397AD7">
        <w:rPr>
          <w:rFonts w:ascii="Lato" w:hAnsi="Lato"/>
          <w:sz w:val="24"/>
          <w:szCs w:val="24"/>
        </w:rPr>
        <w:t xml:space="preserve"> zł).</w:t>
      </w:r>
    </w:p>
    <w:p w14:paraId="3A2A5318" w14:textId="4FFFDA66" w:rsidR="0092084F" w:rsidRPr="004B663A" w:rsidRDefault="0092084F" w:rsidP="0092084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B663A">
        <w:rPr>
          <w:rFonts w:ascii="Lato" w:hAnsi="Lato"/>
          <w:sz w:val="24"/>
          <w:szCs w:val="24"/>
        </w:rPr>
        <w:t xml:space="preserve">Dla </w:t>
      </w:r>
      <w:r w:rsidR="004B663A" w:rsidRPr="004B663A">
        <w:rPr>
          <w:rFonts w:ascii="Lato" w:hAnsi="Lato"/>
          <w:sz w:val="24"/>
          <w:szCs w:val="24"/>
        </w:rPr>
        <w:t>527</w:t>
      </w:r>
      <w:r w:rsidRPr="004B663A">
        <w:rPr>
          <w:rFonts w:ascii="Lato" w:hAnsi="Lato"/>
          <w:sz w:val="24"/>
          <w:szCs w:val="24"/>
        </w:rPr>
        <w:t xml:space="preserve"> pozycji w obwieszczeniu spadnie dopłata pacjenta (od </w:t>
      </w:r>
      <w:r w:rsidR="004B663A">
        <w:rPr>
          <w:rFonts w:ascii="Lato" w:hAnsi="Lato"/>
          <w:sz w:val="24"/>
          <w:szCs w:val="24"/>
        </w:rPr>
        <w:t>0,01</w:t>
      </w:r>
      <w:r w:rsidRPr="004B663A">
        <w:rPr>
          <w:rFonts w:ascii="Lato" w:hAnsi="Lato"/>
          <w:sz w:val="24"/>
          <w:szCs w:val="24"/>
        </w:rPr>
        <w:t xml:space="preserve"> zł do </w:t>
      </w:r>
      <w:r w:rsidR="004B663A">
        <w:rPr>
          <w:rFonts w:ascii="Lato" w:hAnsi="Lato"/>
          <w:sz w:val="24"/>
          <w:szCs w:val="24"/>
        </w:rPr>
        <w:t>452,70</w:t>
      </w:r>
      <w:r w:rsidRPr="004B663A">
        <w:rPr>
          <w:rFonts w:ascii="Lato" w:hAnsi="Lato"/>
          <w:sz w:val="24"/>
          <w:szCs w:val="24"/>
        </w:rPr>
        <w:t xml:space="preserve"> zł).</w:t>
      </w:r>
    </w:p>
    <w:p w14:paraId="04C28D80" w14:textId="1577EC98" w:rsidR="0092084F" w:rsidRPr="004B663A" w:rsidRDefault="0092084F" w:rsidP="0092084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B663A">
        <w:rPr>
          <w:rFonts w:ascii="Lato" w:hAnsi="Lato"/>
          <w:sz w:val="24"/>
          <w:szCs w:val="24"/>
        </w:rPr>
        <w:t xml:space="preserve">Dla </w:t>
      </w:r>
      <w:r w:rsidR="004B663A" w:rsidRPr="004B663A">
        <w:rPr>
          <w:rFonts w:ascii="Lato" w:hAnsi="Lato"/>
          <w:sz w:val="24"/>
          <w:szCs w:val="24"/>
        </w:rPr>
        <w:t>392</w:t>
      </w:r>
      <w:r w:rsidRPr="004B663A">
        <w:rPr>
          <w:rFonts w:ascii="Lato" w:hAnsi="Lato"/>
          <w:sz w:val="24"/>
          <w:szCs w:val="24"/>
        </w:rPr>
        <w:t xml:space="preserve"> pozycji w obwieszczeniu wzrośnie dopłata pacjenta (od </w:t>
      </w:r>
      <w:r w:rsidR="004B663A" w:rsidRPr="004B663A">
        <w:rPr>
          <w:rFonts w:ascii="Lato" w:hAnsi="Lato"/>
          <w:sz w:val="24"/>
          <w:szCs w:val="24"/>
        </w:rPr>
        <w:t>0,01</w:t>
      </w:r>
      <w:r w:rsidRPr="004B663A">
        <w:rPr>
          <w:rFonts w:ascii="Lato" w:hAnsi="Lato"/>
          <w:sz w:val="24"/>
          <w:szCs w:val="24"/>
        </w:rPr>
        <w:t xml:space="preserve"> zł do </w:t>
      </w:r>
      <w:r w:rsidR="004B663A" w:rsidRPr="004B663A">
        <w:rPr>
          <w:rFonts w:ascii="Lato" w:hAnsi="Lato"/>
          <w:sz w:val="24"/>
          <w:szCs w:val="24"/>
        </w:rPr>
        <w:t>112,20</w:t>
      </w:r>
      <w:r w:rsidRPr="004B663A">
        <w:rPr>
          <w:rFonts w:ascii="Lato" w:hAnsi="Lato"/>
          <w:sz w:val="24"/>
          <w:szCs w:val="24"/>
        </w:rPr>
        <w:t xml:space="preserve"> zł).</w:t>
      </w:r>
    </w:p>
    <w:p w14:paraId="36BB0972" w14:textId="42307D51" w:rsidR="0092084F" w:rsidRPr="004B663A" w:rsidRDefault="0092084F" w:rsidP="0092084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B663A">
        <w:rPr>
          <w:rFonts w:ascii="Lato" w:hAnsi="Lato"/>
          <w:sz w:val="24"/>
          <w:szCs w:val="24"/>
        </w:rPr>
        <w:t xml:space="preserve">Dla </w:t>
      </w:r>
      <w:r w:rsidR="004B663A" w:rsidRPr="004B663A">
        <w:rPr>
          <w:rFonts w:ascii="Lato" w:hAnsi="Lato"/>
          <w:sz w:val="24"/>
          <w:szCs w:val="24"/>
        </w:rPr>
        <w:t>185</w:t>
      </w:r>
      <w:r w:rsidRPr="004B663A">
        <w:rPr>
          <w:rFonts w:ascii="Lato" w:hAnsi="Lato"/>
          <w:sz w:val="24"/>
          <w:szCs w:val="24"/>
        </w:rPr>
        <w:t xml:space="preserve"> produktów ulegną obniżeniu ceny detaliczne brutto (od </w:t>
      </w:r>
      <w:r w:rsidR="004B663A">
        <w:rPr>
          <w:rFonts w:ascii="Lato" w:hAnsi="Lato"/>
          <w:sz w:val="24"/>
          <w:szCs w:val="24"/>
        </w:rPr>
        <w:t>0,01</w:t>
      </w:r>
      <w:r w:rsidRPr="004B663A">
        <w:rPr>
          <w:rFonts w:ascii="Lato" w:hAnsi="Lato"/>
          <w:sz w:val="24"/>
          <w:szCs w:val="24"/>
        </w:rPr>
        <w:t xml:space="preserve"> zł do </w:t>
      </w:r>
      <w:r w:rsidR="004B663A">
        <w:rPr>
          <w:rFonts w:ascii="Lato" w:hAnsi="Lato"/>
          <w:sz w:val="24"/>
          <w:szCs w:val="24"/>
        </w:rPr>
        <w:t>409,13</w:t>
      </w:r>
      <w:r w:rsidRPr="004B663A">
        <w:rPr>
          <w:rFonts w:ascii="Lato" w:hAnsi="Lato"/>
          <w:sz w:val="24"/>
          <w:szCs w:val="24"/>
        </w:rPr>
        <w:t xml:space="preserve"> zł).</w:t>
      </w:r>
    </w:p>
    <w:p w14:paraId="406618C1" w14:textId="3599D1A9" w:rsidR="0092084F" w:rsidRPr="004B663A" w:rsidRDefault="0092084F" w:rsidP="0092084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4B663A">
        <w:rPr>
          <w:rFonts w:ascii="Lato" w:hAnsi="Lato"/>
          <w:sz w:val="24"/>
          <w:szCs w:val="24"/>
        </w:rPr>
        <w:t xml:space="preserve">Dla </w:t>
      </w:r>
      <w:r w:rsidR="004B663A" w:rsidRPr="004B663A">
        <w:rPr>
          <w:rFonts w:ascii="Lato" w:hAnsi="Lato"/>
          <w:sz w:val="24"/>
          <w:szCs w:val="24"/>
        </w:rPr>
        <w:t>312</w:t>
      </w:r>
      <w:r w:rsidRPr="004B663A">
        <w:rPr>
          <w:rFonts w:ascii="Lato" w:hAnsi="Lato"/>
          <w:sz w:val="24"/>
          <w:szCs w:val="24"/>
        </w:rPr>
        <w:t xml:space="preserve"> produktów wzrosną ceny detaliczne brutto (od </w:t>
      </w:r>
      <w:r w:rsidR="004B663A">
        <w:rPr>
          <w:rFonts w:ascii="Lato" w:hAnsi="Lato"/>
          <w:sz w:val="24"/>
          <w:szCs w:val="24"/>
        </w:rPr>
        <w:t>0,01</w:t>
      </w:r>
      <w:r w:rsidRPr="004B663A">
        <w:rPr>
          <w:rFonts w:ascii="Lato" w:hAnsi="Lato"/>
          <w:sz w:val="24"/>
          <w:szCs w:val="24"/>
        </w:rPr>
        <w:t xml:space="preserve"> zł do </w:t>
      </w:r>
      <w:r w:rsidR="004B663A">
        <w:rPr>
          <w:rFonts w:ascii="Lato" w:hAnsi="Lato"/>
          <w:sz w:val="24"/>
          <w:szCs w:val="24"/>
        </w:rPr>
        <w:t>40,71</w:t>
      </w:r>
      <w:r w:rsidRPr="004B663A">
        <w:rPr>
          <w:rFonts w:ascii="Lato" w:hAnsi="Lato"/>
          <w:sz w:val="24"/>
          <w:szCs w:val="24"/>
        </w:rPr>
        <w:t xml:space="preserve"> zł).</w:t>
      </w:r>
    </w:p>
    <w:p w14:paraId="27D082C0" w14:textId="79D208AD" w:rsidR="0092084F" w:rsidRPr="00397AD7" w:rsidRDefault="0092084F" w:rsidP="0092084F">
      <w:pPr>
        <w:numPr>
          <w:ilvl w:val="0"/>
          <w:numId w:val="4"/>
        </w:numPr>
        <w:suppressAutoHyphens w:val="0"/>
        <w:spacing w:line="276" w:lineRule="auto"/>
        <w:ind w:left="567"/>
        <w:jc w:val="both"/>
        <w:rPr>
          <w:rFonts w:ascii="Lato" w:hAnsi="Lato"/>
          <w:sz w:val="24"/>
          <w:szCs w:val="24"/>
        </w:rPr>
      </w:pPr>
      <w:r w:rsidRPr="00397AD7">
        <w:rPr>
          <w:rFonts w:ascii="Lato" w:hAnsi="Lato"/>
          <w:sz w:val="24"/>
          <w:szCs w:val="24"/>
        </w:rPr>
        <w:t xml:space="preserve">W związku z wpłynięciem wniosków o skrócenie terminu obowiązywania decyzji refundacyjnych lub upłynięciem terminu obowiązywania decyzji refundacyjnych lub odmową refundacji na kolejny okres w obwieszczeniu nie znajdzie się </w:t>
      </w:r>
      <w:r w:rsidR="00397AD7" w:rsidRPr="00397AD7">
        <w:rPr>
          <w:rFonts w:ascii="Lato" w:hAnsi="Lato"/>
          <w:sz w:val="24"/>
          <w:szCs w:val="24"/>
        </w:rPr>
        <w:t>30</w:t>
      </w:r>
      <w:r w:rsidRPr="00397AD7">
        <w:rPr>
          <w:rFonts w:ascii="Lato" w:hAnsi="Lato"/>
          <w:sz w:val="24"/>
          <w:szCs w:val="24"/>
        </w:rPr>
        <w:t xml:space="preserve"> produktów bądź wskazań figurujących w poprzednim obwieszczeniu.</w:t>
      </w:r>
    </w:p>
    <w:p w14:paraId="58B4E8CC" w14:textId="213916B9" w:rsidR="00DE677B" w:rsidRDefault="00847656" w:rsidP="00BD0F75">
      <w:pPr>
        <w:suppressAutoHyphens w:val="0"/>
        <w:spacing w:after="120" w:line="240" w:lineRule="auto"/>
        <w:jc w:val="both"/>
        <w:rPr>
          <w:rFonts w:ascii="Lato" w:hAnsi="Lato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1402A13" wp14:editId="604645BD">
            <wp:extent cx="4438650" cy="2968388"/>
            <wp:effectExtent l="0" t="0" r="0" b="3810"/>
            <wp:docPr id="3" name="Wykres 3">
              <a:extLst xmlns:a="http://schemas.openxmlformats.org/drawingml/2006/main">
                <a:ext uri="{FF2B5EF4-FFF2-40B4-BE49-F238E27FC236}">
                  <a16:creationId xmlns:a16="http://schemas.microsoft.com/office/drawing/2014/main" id="{67889C1A-5DD9-4C41-9C0E-2CE1FB7DE1F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>
        <w:rPr>
          <w:rFonts w:ascii="Lato" w:hAnsi="Lato"/>
          <w:sz w:val="24"/>
          <w:szCs w:val="24"/>
        </w:rPr>
        <w:t xml:space="preserve"> </w:t>
      </w:r>
      <w:r>
        <w:rPr>
          <w:noProof/>
        </w:rPr>
        <w:drawing>
          <wp:inline distT="0" distB="0" distL="0" distR="0" wp14:anchorId="00252EA5" wp14:editId="39937A9C">
            <wp:extent cx="4401880" cy="2971800"/>
            <wp:effectExtent l="0" t="0" r="17780" b="0"/>
            <wp:docPr id="1" name="Wykres 1">
              <a:extLst xmlns:a="http://schemas.openxmlformats.org/drawingml/2006/main">
                <a:ext uri="{FF2B5EF4-FFF2-40B4-BE49-F238E27FC236}">
                  <a16:creationId xmlns:a16="http://schemas.microsoft.com/office/drawing/2014/main" id="{E52EC9A3-CF0F-4F00-8042-9072D1CE40D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B466A0C" w14:textId="1A21C01E" w:rsidR="004D093B" w:rsidRPr="001D7CC2" w:rsidRDefault="00BD0F75">
      <w:pPr>
        <w:suppressAutoHyphens w:val="0"/>
        <w:rPr>
          <w:rFonts w:ascii="Lato" w:hAnsi="Lato"/>
          <w:sz w:val="24"/>
          <w:szCs w:val="24"/>
        </w:rPr>
      </w:pPr>
      <w:r>
        <w:rPr>
          <w:noProof/>
        </w:rPr>
        <w:drawing>
          <wp:inline distT="0" distB="0" distL="0" distR="0" wp14:anchorId="1BD3FC44" wp14:editId="4CB023BE">
            <wp:extent cx="4422775" cy="2647666"/>
            <wp:effectExtent l="0" t="0" r="15875" b="635"/>
            <wp:docPr id="4" name="Wykres 4">
              <a:extLst xmlns:a="http://schemas.openxmlformats.org/drawingml/2006/main">
                <a:ext uri="{FF2B5EF4-FFF2-40B4-BE49-F238E27FC236}">
                  <a16:creationId xmlns:a16="http://schemas.microsoft.com/office/drawing/2014/main" id="{9D137F96-D8BB-4669-93B7-D9F98C88474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3A19CF">
        <w:rPr>
          <w:rFonts w:ascii="Lato" w:hAnsi="Lato"/>
          <w:sz w:val="24"/>
          <w:szCs w:val="24"/>
        </w:rPr>
        <w:t xml:space="preserve"> </w:t>
      </w:r>
      <w:r w:rsidR="003A19CF">
        <w:rPr>
          <w:noProof/>
        </w:rPr>
        <w:drawing>
          <wp:inline distT="0" distB="0" distL="0" distR="0" wp14:anchorId="13B17BE6" wp14:editId="07C88F75">
            <wp:extent cx="4419600" cy="2633355"/>
            <wp:effectExtent l="0" t="0" r="0" b="14605"/>
            <wp:docPr id="13" name="Wykres 13">
              <a:extLst xmlns:a="http://schemas.openxmlformats.org/drawingml/2006/main">
                <a:ext uri="{FF2B5EF4-FFF2-40B4-BE49-F238E27FC236}">
                  <a16:creationId xmlns:a16="http://schemas.microsoft.com/office/drawing/2014/main" id="{2DB26032-FA93-4448-8FF7-12D47490A60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="004D093B" w:rsidRPr="001D7CC2">
        <w:rPr>
          <w:rFonts w:ascii="Lato" w:hAnsi="Lato"/>
          <w:sz w:val="24"/>
          <w:szCs w:val="24"/>
        </w:rPr>
        <w:br w:type="page"/>
      </w:r>
    </w:p>
    <w:p w14:paraId="06A06678" w14:textId="7D136BFD" w:rsidR="00AD08C5" w:rsidRPr="001D7CC2" w:rsidRDefault="006A7DCE" w:rsidP="005058F2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1D7CC2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PROGRA</w:t>
      </w:r>
      <w:bookmarkStart w:id="1" w:name="_Hlk95686308"/>
      <w:r w:rsidRPr="001D7CC2">
        <w:rPr>
          <w:rFonts w:ascii="Lato" w:hAnsi="Lato"/>
          <w:b/>
          <w:bCs/>
          <w:color w:val="00B0F0"/>
          <w:sz w:val="28"/>
          <w:szCs w:val="28"/>
        </w:rPr>
        <w:t>M</w:t>
      </w:r>
      <w:bookmarkEnd w:id="1"/>
      <w:r w:rsidRPr="001D7CC2">
        <w:rPr>
          <w:rFonts w:ascii="Lato" w:hAnsi="Lato"/>
          <w:b/>
          <w:bCs/>
          <w:color w:val="00B0F0"/>
          <w:sz w:val="28"/>
          <w:szCs w:val="28"/>
        </w:rPr>
        <w:t>ACH LEKOWYCH</w:t>
      </w:r>
      <w:r w:rsidR="0056748F" w:rsidRPr="001D7CC2">
        <w:rPr>
          <w:rFonts w:ascii="Lato" w:hAnsi="Lato"/>
          <w:b/>
          <w:bCs/>
          <w:color w:val="00B0F0"/>
          <w:sz w:val="28"/>
          <w:szCs w:val="28"/>
        </w:rPr>
        <w:t xml:space="preserve"> i CHEMIOTERAPII</w:t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5058F2" w:rsidRPr="001D7CC2" w14:paraId="7E2E9B6A" w14:textId="77777777" w:rsidTr="004D093B">
        <w:trPr>
          <w:cantSplit/>
          <w:trHeight w:val="186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C9CE" w14:textId="77777777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1D7CC2">
              <w:rPr>
                <w:rFonts w:ascii="Lato" w:hAnsi="Lato" w:cstheme="majorHAnsi"/>
                <w:b/>
                <w:bCs/>
                <w:color w:val="FFFFFF"/>
              </w:rPr>
              <w:t>Programy lekowe i chemioterapia</w:t>
            </w:r>
          </w:p>
        </w:tc>
      </w:tr>
      <w:tr w:rsidR="005058F2" w:rsidRPr="001D7CC2" w14:paraId="1C096482" w14:textId="77777777" w:rsidTr="004D093B">
        <w:trPr>
          <w:cantSplit/>
          <w:trHeight w:val="206"/>
        </w:trPr>
        <w:tc>
          <w:tcPr>
            <w:tcW w:w="5000" w:type="pct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D3F6C" w14:textId="047D7715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1D7CC2">
              <w:rPr>
                <w:rFonts w:ascii="Lato" w:hAnsi="Lato" w:cstheme="majorHAnsi"/>
                <w:b/>
                <w:bCs/>
                <w:color w:val="FFFFFF"/>
              </w:rPr>
              <w:t>Nowe wskazania onkologiczne</w:t>
            </w:r>
          </w:p>
        </w:tc>
      </w:tr>
      <w:tr w:rsidR="006D7964" w:rsidRPr="001D7CC2" w14:paraId="60CDF2D4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618D0B" w14:textId="77777777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CB337" w14:textId="77777777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24251E" w14:textId="77777777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0A519" w14:textId="77777777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BA8893" w14:textId="77777777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4232" w14:textId="77777777" w:rsidR="005058F2" w:rsidRPr="001D7CC2" w:rsidRDefault="005058F2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92084F" w:rsidRPr="001D7CC2" w14:paraId="07E54770" w14:textId="77777777" w:rsidTr="0092084F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77B6B" w14:textId="0BA27A08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6AA96" w14:textId="733045DE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B19DA" w14:textId="1DF541FF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4BA67A" w14:textId="64F1A049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E4779" w14:textId="249F09C1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8CCCA" w14:textId="58D506A8" w:rsidR="0092084F" w:rsidRPr="0092084F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pembrolizumabem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chemioterapią jako leczenie przedoperacyjne (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neoadjuwantowe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i kontynuacja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pembrolizumabu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jako leczenie pooperacyjne (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adjuwantowe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) po zabiegu chirurgicznym u chorych na potrójnie ujemnego raka piersi miejscowo zaawansowanego lub we wczesnym stadium z dużym ryzykiem nawrotu.</w:t>
            </w:r>
          </w:p>
        </w:tc>
      </w:tr>
      <w:tr w:rsidR="0092084F" w:rsidRPr="001D7CC2" w14:paraId="00E3E3CB" w14:textId="77777777" w:rsidTr="0092084F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DE824" w14:textId="0D83CB4D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F9694" w14:textId="141AF45C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Keytruda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07C03" w14:textId="691D276A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pembrolizumab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26D89" w14:textId="1E7DFDFA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B0F0B7" w14:textId="62852BF2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F956A" w14:textId="29F3D1BC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pembrolizumabem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przerzutowego potrójnie ujemnego raka piersi z ekspresją PD-L1 w skojarzeniu z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paklitakselem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albo z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gemcytabiną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karboplatyną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(pierwsza linia leczenia). Do leczenia kwalifikowani są pacjenci, u których stwierdzono brak wcześniejszego farmakologicznego leczenia systemowego nieoperacyjnego lub przerzutowego potrójnie ujemnego raka piersi, przy czym za leczenie systemowe nie uznaje się wcześniejszej terapii z założeniem radykalnym zakończonej w okresie powyżej 6 miesięcy. Zastosowanie terapii nie jest możliwe po wcześniejszym zastosowaniu immunoterapii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pembrolizumabem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leczeniu okołooperacyjnym.</w:t>
            </w:r>
          </w:p>
        </w:tc>
      </w:tr>
      <w:tr w:rsidR="0092084F" w:rsidRPr="001D7CC2" w14:paraId="51494E4F" w14:textId="77777777" w:rsidTr="0092084F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8D1D09" w14:textId="09C1E594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sz w:val="18"/>
                <w:szCs w:val="18"/>
              </w:rPr>
              <w:t xml:space="preserve">3. 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E2FE" w14:textId="6E910ECB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Tukysa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42CDF" w14:textId="4DF16C25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i/>
                <w:iCs/>
                <w:sz w:val="18"/>
                <w:szCs w:val="18"/>
              </w:rPr>
              <w:t>tukatynib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A57ED" w14:textId="41CE9E95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C1509" w14:textId="2EA69D7C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FD05D" w14:textId="48F47257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tukatynibem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trastuzumabem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kapecytabiną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trzeciej lub czwartej linii leczenia, a w drugiej tylko w przypadku, gdy w pierwszej linii stosowano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trastuzumab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+/-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pertuzumab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albo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trastuzumab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emtanzyna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oraz występują przerzuty do ośrodkowego układu nerwowego. Podanie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tukatynibu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wymaga zastosowania wcześniej co najmniej jednej linii paliatywnej terapii anty-HER2.</w:t>
            </w:r>
          </w:p>
        </w:tc>
      </w:tr>
      <w:tr w:rsidR="0092084F" w:rsidRPr="001D7CC2" w14:paraId="41B567AC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0FECB" w14:textId="40A6BC08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lastRenderedPageBreak/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BA0DD" w14:textId="30004F64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Sarclisa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472683" w14:textId="16F284F9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izatuksymab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9D3C78" w14:textId="70E40F88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58902" w14:textId="7834D4C1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2F62A" w14:textId="77777777" w:rsidR="0092084F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izatuksymabem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pomalidomidem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deksametazonem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(schemat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IsaPd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od III linii leczenia dorosłych chorych na opornego lub nawrotowego szpiczaka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plazmocytowego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z niewydolnością nerek (RI), i u których w którymkolwiek z poprzedzających protokołów leczenia zastosowano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lenalidomid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inhibitor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proteasomu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  <w:p w14:paraId="7E05DB27" w14:textId="413A5B16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92084F" w:rsidRPr="001D7CC2" w14:paraId="4193F70D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0FFFD" w14:textId="60F513B7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697AD5" w14:textId="76C52CD0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Kyprolis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9A02D7" w14:textId="05550EE4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karfilzomib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6BB432" w14:textId="2B2906E3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B.54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C9D95" w14:textId="5FFA05EF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SZPICZAKA PLAZMOCYTOWEGO (ICD-10: C90.0)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C28901" w14:textId="77777777" w:rsidR="0092084F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karfilzomibem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lenalidomidem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deksametazonem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(schemat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KRd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dorosłych chorych na opornego lub nawrotowego szpiczaka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plazmocytowego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II-IV linii leczenia (tj. rozszerzenie dotychczas refundowanego wskazania w schemacie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KRd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  <w:p w14:paraId="5966388A" w14:textId="630EA368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92084F" w:rsidRPr="001D7CC2" w14:paraId="3413784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6B03C1" w14:textId="5E01CEAE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BE305" w14:textId="590E233F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Darzalex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123D5" w14:textId="0E6B1403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i/>
                <w:iCs/>
                <w:sz w:val="18"/>
                <w:szCs w:val="18"/>
              </w:rPr>
              <w:t>daratumumab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8ADAB" w14:textId="3CEB6EB0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sz w:val="18"/>
                <w:szCs w:val="18"/>
              </w:rPr>
              <w:t>B.145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7B6CBD" w14:textId="2F02273C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sz w:val="18"/>
                <w:szCs w:val="18"/>
              </w:rPr>
              <w:t>LECZENIE CHORYCH NA UKŁADOWĄ AMYLOIDOZĘ ŁAŃCUCHÓW LEKKICH (AL) (ICD-10: E85.8)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805B6" w14:textId="77777777" w:rsidR="0092084F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daratumumabem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skojarzeniu z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bortezomibem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cyklofosfamidem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i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deksametazonem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(schemat D-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VCd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) w I linii leczenia dorosłych chorych na układową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amyloidozę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łańcuchów lekkich (AL).</w:t>
            </w:r>
          </w:p>
          <w:p w14:paraId="75074C9F" w14:textId="48EFD396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  <w:tr w:rsidR="0092084F" w:rsidRPr="001D7CC2" w14:paraId="79F6918C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8E9E07" w14:textId="6E2BA115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16304" w14:textId="3569C385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Brukinsa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503638" w14:textId="357E9EB5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zanubrutynib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CCACC" w14:textId="6E0C4D2E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B.146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3CE6BF" w14:textId="42F18FF0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MAKROGLOBULINEMIĘ WALDENSTRÖMA (ICD-10: C88.0)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712885" w14:textId="77777777" w:rsidR="0092084F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zanubrutynibem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w monoterapii dorosłych chorych na makroglobulinemię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Waldenströma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wcześniej nieleczonych i niekwalifikujących się do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immunochemioterapii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albo po wcześniejszej co najmniej 1 linii leczenia.</w:t>
            </w:r>
          </w:p>
          <w:p w14:paraId="5F6D2A24" w14:textId="456CFF7A" w:rsidR="0092084F" w:rsidRPr="001D7CC2" w:rsidRDefault="0092084F" w:rsidP="0092084F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</w:rPr>
              <w:t>(Choroba rzadka)</w:t>
            </w:r>
          </w:p>
        </w:tc>
      </w:tr>
    </w:tbl>
    <w:p w14:paraId="7FCF9A29" w14:textId="77777777" w:rsidR="004D093B" w:rsidRPr="001D7CC2" w:rsidRDefault="004D093B">
      <w:pPr>
        <w:suppressAutoHyphens w:val="0"/>
        <w:rPr>
          <w:rFonts w:ascii="Lato" w:hAnsi="Lato"/>
        </w:rPr>
      </w:pPr>
      <w:r w:rsidRPr="001D7CC2">
        <w:rPr>
          <w:rFonts w:ascii="Lato" w:hAnsi="Lato"/>
        </w:rPr>
        <w:br w:type="page"/>
      </w: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07"/>
        <w:gridCol w:w="1586"/>
        <w:gridCol w:w="1807"/>
        <w:gridCol w:w="1872"/>
        <w:gridCol w:w="3335"/>
        <w:gridCol w:w="4781"/>
      </w:tblGrid>
      <w:tr w:rsidR="002D6ED9" w:rsidRPr="001D7CC2" w14:paraId="4C9C4901" w14:textId="77777777" w:rsidTr="004D093B">
        <w:trPr>
          <w:cantSplit/>
          <w:trHeight w:val="183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A390A7" w14:textId="5C4E25DC" w:rsidR="002D6ED9" w:rsidRPr="001D7CC2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1D7CC2">
              <w:rPr>
                <w:rFonts w:ascii="Lato" w:hAnsi="Lato" w:cstheme="majorHAnsi"/>
                <w:b/>
                <w:bCs/>
                <w:color w:val="FFFFFF"/>
              </w:rPr>
              <w:lastRenderedPageBreak/>
              <w:t>Nowe wskazania nieonkologiczne</w:t>
            </w:r>
          </w:p>
        </w:tc>
      </w:tr>
      <w:tr w:rsidR="002D6ED9" w:rsidRPr="001D7CC2" w14:paraId="1394CD71" w14:textId="77777777" w:rsidTr="004D093B">
        <w:trPr>
          <w:cantSplit/>
          <w:trHeight w:val="628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79BE" w14:textId="77777777" w:rsidR="002D6ED9" w:rsidRPr="001D7CC2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B02159" w14:textId="77777777" w:rsidR="002D6ED9" w:rsidRPr="001D7CC2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leku</w:t>
            </w:r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C3D6F" w14:textId="77777777" w:rsidR="002D6ED9" w:rsidRPr="001D7CC2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Substancja czynna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D8698" w14:textId="77777777" w:rsidR="002D6ED9" w:rsidRPr="001D7CC2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lekowego/załącznika chemioterapii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142B2" w14:textId="77777777" w:rsidR="002D6ED9" w:rsidRPr="001D7CC2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lekowego/ Załącznika chemioterapii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587975" w14:textId="77777777" w:rsidR="002D6ED9" w:rsidRPr="001D7CC2" w:rsidRDefault="002D6ED9" w:rsidP="002D6ED9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Doprecyzowanie wskazania</w:t>
            </w:r>
          </w:p>
        </w:tc>
      </w:tr>
      <w:tr w:rsidR="00AE2360" w:rsidRPr="001D7CC2" w14:paraId="7522F87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D592E" w14:textId="0B108733" w:rsidR="00AE2360" w:rsidRPr="001D7CC2" w:rsidRDefault="000B400E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D2FB93" w14:textId="3BDBA528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Mavenclad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0348" w14:textId="745BCB77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kladrybina</w:t>
            </w:r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2CA292" w14:textId="63D0109C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B.29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658478" w14:textId="10673E5C" w:rsidR="00AE2360" w:rsidRPr="001D7CC2" w:rsidRDefault="000B400E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STWARDNIENIE ROZSIANE (ICD-10: G35)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5E7E1" w14:textId="7E15BCC1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r w:rsidR="00167BD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kladrybiną 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w I linii pacjentów z rzutowo-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remisyjną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postacią stwardnienia rozsianego (RRMS). </w:t>
            </w:r>
          </w:p>
          <w:p w14:paraId="5797C9BB" w14:textId="5563AE7E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I lini</w:t>
            </w:r>
            <w:r w:rsidR="00756089"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leczenia zdefiniowana jako wystąpienie minimum 2 rzutów klinicznych niezależnie od zmian MRI w okresie 12 miesięcy przed kwalifikacją.</w:t>
            </w:r>
          </w:p>
        </w:tc>
      </w:tr>
      <w:tr w:rsidR="00AE2360" w:rsidRPr="001D7CC2" w14:paraId="5ED86F3E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9B444" w14:textId="166D4946" w:rsidR="00AE2360" w:rsidRPr="001D7CC2" w:rsidRDefault="000B400E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55631" w14:textId="6F4A53E3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Ocrevus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686633" w14:textId="118113C5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okrelizumab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888C" w14:textId="401A0B8F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B.29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42A6A" w14:textId="5D156AAF" w:rsidR="00AE2360" w:rsidRPr="001D7CC2" w:rsidRDefault="000B400E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CHORYCH NA STWARDNIENIE ROZSIANE </w:t>
            </w:r>
            <w:r w:rsidR="00AE2360"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(ICD-10: G35)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9BD41" w14:textId="7B04648B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="00167BD2">
              <w:rPr>
                <w:rFonts w:ascii="Lato" w:hAnsi="Lato" w:cstheme="majorHAnsi"/>
                <w:color w:val="000000"/>
                <w:sz w:val="18"/>
                <w:szCs w:val="18"/>
              </w:rPr>
              <w:t>okrelizumabem</w:t>
            </w:r>
            <w:proofErr w:type="spellEnd"/>
            <w:r w:rsidR="00167BD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w I linii pacjentów z rzutowo-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remisyjną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postacią stwardnienia rozsianego (RRMS).</w:t>
            </w:r>
          </w:p>
          <w:p w14:paraId="790C1040" w14:textId="37F005D0" w:rsidR="00AE2360" w:rsidRPr="001D7CC2" w:rsidRDefault="00AE2360" w:rsidP="00AE236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I lini</w:t>
            </w:r>
            <w:r w:rsidR="00756089">
              <w:rPr>
                <w:rFonts w:ascii="Lato" w:hAnsi="Lato" w:cstheme="majorHAnsi"/>
                <w:color w:val="000000"/>
                <w:sz w:val="18"/>
                <w:szCs w:val="18"/>
              </w:rPr>
              <w:t>a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leczenia zdefiniowana jako wystąpienie minimum 1 rzutu klinicznego albo co najmniej 1 nowe ognisko GD+ w okresie 12 miesięcy przed kwalifikacją</w:t>
            </w:r>
            <w:r w:rsidR="000B400E"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0B400E" w:rsidRPr="001D7CC2" w14:paraId="5CE97390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6F555" w14:textId="29016DD4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5E89EF" w14:textId="5BCC9C2C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C63C8"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  <w:t>Jyseleca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E5750" w14:textId="53903799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AC63C8"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  <w:t>filgotynib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86876" w14:textId="5EB1CCD6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B.33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5C4CE2" w14:textId="660C08EE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AKTYWNĄ POSTACIĄ REUMATOIDALNEGO ZAPALENIA STAWÓW I MŁODZIEŃCZEGO IDIOPATYCZNEGO ZAPALENIA STAWÓW (ICD-10: M05, M06, M08)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E6806" w14:textId="3124646A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Leczenie chorych z </w:t>
            </w:r>
            <w:r w:rsidR="009F4A69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RZS  kolejnym lekiem z grupy inhibitorów kinaz janusowych (JAK)</w:t>
            </w:r>
            <w:r w:rsidR="003B099F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.</w:t>
            </w:r>
          </w:p>
        </w:tc>
      </w:tr>
      <w:tr w:rsidR="000B400E" w:rsidRPr="001D7CC2" w14:paraId="6D899FDB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510F3" w14:textId="2B71A99D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880F3F" w14:textId="4D7FBDC9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C63C8"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  <w:t>Cosentyx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DBCFA" w14:textId="38A0945F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AC63C8"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  <w:t>sekukinumab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079B8A" w14:textId="0368DDE0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B.33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E6B302" w14:textId="69149A49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AKTYWNĄ POSTACIĄ REUMATOIDALNEGO ZAPALENIA STAWÓW I MŁODZIEŃCZEGO IDIOPATYCZNEGO ZAPALENIA STAWÓW (ICD-10: M05, M06, M08)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6E1E34" w14:textId="176A5CCA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MIZS: w zapaleniu stawów z zapaleniem przyczepów ścięgien (ERA) i młodzieńczym łuszczycowym zapaleniem stawów (MŁZS)-kolejny</w:t>
            </w:r>
            <w:r w:rsidR="009F4A69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m</w:t>
            </w: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</w:t>
            </w:r>
            <w:r w:rsidR="009F4A69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inhibitorem interleukin </w:t>
            </w: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(IL-17A).</w:t>
            </w:r>
          </w:p>
        </w:tc>
      </w:tr>
      <w:tr w:rsidR="000B400E" w:rsidRPr="001D7CC2" w14:paraId="1AF8AB98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47C320" w14:textId="7771D908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155C18" w14:textId="0DA789EB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 w:rsidRPr="00AC63C8">
              <w:rPr>
                <w:rFonts w:ascii="Lato" w:hAnsi="Lato" w:cstheme="majorHAnsi"/>
                <w:b/>
                <w:bCs/>
                <w:color w:val="000000" w:themeColor="text1"/>
                <w:sz w:val="18"/>
                <w:szCs w:val="18"/>
              </w:rPr>
              <w:t>Xeljanz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AEAC5" w14:textId="6F62ABB9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</w:pPr>
            <w:proofErr w:type="spellStart"/>
            <w:r w:rsidRPr="00AC63C8">
              <w:rPr>
                <w:rFonts w:ascii="Lato" w:hAnsi="Lato" w:cstheme="majorHAnsi"/>
                <w:i/>
                <w:iCs/>
                <w:color w:val="000000" w:themeColor="text1"/>
                <w:sz w:val="18"/>
                <w:szCs w:val="18"/>
              </w:rPr>
              <w:t>tofacytynib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D708A" w14:textId="6B0B2AFF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B.36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234A55" w14:textId="64EA1357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AKTYWNĄ POSTACIĄ ZESZTYWNIAJĄCEGO ZAPALENIA STAWÓW KRĘGOSŁUPA (ZZSK) (ICD-10: M45)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75D71" w14:textId="4802BAF4" w:rsidR="000B400E" w:rsidRPr="00AC63C8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 w:themeColor="text1"/>
                <w:sz w:val="18"/>
                <w:szCs w:val="18"/>
              </w:rPr>
            </w:pP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Leczenie chorych z ZZSK-kolejny</w:t>
            </w:r>
            <w:r w:rsidR="009F4A69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m</w:t>
            </w: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lek</w:t>
            </w:r>
            <w:r w:rsidR="009F4A69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iem</w:t>
            </w:r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>z</w:t>
            </w:r>
            <w:proofErr w:type="spellEnd"/>
            <w:r w:rsidRPr="00AC63C8">
              <w:rPr>
                <w:rFonts w:ascii="Lato" w:hAnsi="Lato" w:cstheme="majorHAnsi"/>
                <w:color w:val="000000" w:themeColor="text1"/>
                <w:sz w:val="18"/>
                <w:szCs w:val="18"/>
              </w:rPr>
              <w:t xml:space="preserve"> grupy inhibitorów kinaz janusowych (JAK).</w:t>
            </w:r>
          </w:p>
        </w:tc>
      </w:tr>
      <w:tr w:rsidR="000B400E" w:rsidRPr="001D7CC2" w14:paraId="4A004D3D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073C19" w14:textId="45BA7F0F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7123" w14:textId="4B311F73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Ofev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0E53" w14:textId="4BD16B66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nintedanib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07259" w14:textId="267D5FD1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B.135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1FA543" w14:textId="4950367A" w:rsidR="000B400E" w:rsidRPr="001D7CC2" w:rsidRDefault="00167BD2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PACJENTÓW Z CHOROBĄ ŚRÓDMIĄŻSZOWĄ PŁUC </w:t>
            </w:r>
            <w:r w:rsidR="000B400E"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(ICD-10: D86, J67.0-J67.9, J84.1, J84.8, J84.9, J99.0, J99.1, M34)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13C885" w14:textId="3444EA36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śródmiąższową płuc przebiegającą z włóknieniem o fenotypie postępującym (PF-ILD).</w:t>
            </w:r>
          </w:p>
        </w:tc>
      </w:tr>
      <w:tr w:rsidR="000B400E" w:rsidRPr="001D7CC2" w14:paraId="550257DA" w14:textId="77777777" w:rsidTr="004D093B">
        <w:trPr>
          <w:cantSplit/>
          <w:trHeight w:val="20"/>
        </w:trPr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A4F64" w14:textId="5DDF5007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5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47AC7" w14:textId="5BFDC823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Spravato</w:t>
            </w:r>
            <w:proofErr w:type="spellEnd"/>
          </w:p>
        </w:tc>
        <w:tc>
          <w:tcPr>
            <w:tcW w:w="6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72120" w14:textId="1A98A081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esketamin</w:t>
            </w:r>
            <w:r w:rsidR="00B12571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</w:t>
            </w:r>
            <w:proofErr w:type="spellEnd"/>
          </w:p>
        </w:tc>
        <w:tc>
          <w:tcPr>
            <w:tcW w:w="6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E93A1" w14:textId="73FD21E7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B.147</w:t>
            </w:r>
          </w:p>
        </w:tc>
        <w:tc>
          <w:tcPr>
            <w:tcW w:w="11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25A82" w14:textId="31826D3C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CHORYCH NA DEPRESJĘ LEKOOPORNĄ (ICD-10: F33.1, F33.2)</w:t>
            </w:r>
          </w:p>
        </w:tc>
        <w:tc>
          <w:tcPr>
            <w:tcW w:w="17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6710F4" w14:textId="010D4CD8" w:rsidR="000B400E" w:rsidRPr="001D7CC2" w:rsidRDefault="000B400E" w:rsidP="000B400E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Leczenie </w:t>
            </w:r>
            <w:proofErr w:type="spellStart"/>
            <w:r w:rsidR="00167BD2">
              <w:rPr>
                <w:rFonts w:ascii="Lato" w:hAnsi="Lato" w:cstheme="majorHAnsi"/>
                <w:color w:val="000000"/>
                <w:sz w:val="18"/>
                <w:szCs w:val="18"/>
              </w:rPr>
              <w:t>esketaminą</w:t>
            </w:r>
            <w:proofErr w:type="spellEnd"/>
            <w:r w:rsidR="00167BD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depresji lekoopornej zdefiniowanej jako zaburzenia depresyjne u osób dorosłych, u których nie wystąpiła odpowiedź na co najmniej dwa różne leki przeciwdepresyjne w obecnym epizodzie depresji o stopniu nasilenia od umiarkowanego do ciężkiego.</w:t>
            </w:r>
          </w:p>
        </w:tc>
      </w:tr>
    </w:tbl>
    <w:p w14:paraId="17160E61" w14:textId="45061D3C" w:rsidR="004D093B" w:rsidRPr="001D7CC2" w:rsidRDefault="004D093B">
      <w:pPr>
        <w:rPr>
          <w:rFonts w:ascii="Lato" w:hAnsi="Lato"/>
        </w:rPr>
      </w:pPr>
    </w:p>
    <w:p w14:paraId="169C5300" w14:textId="72B5676C" w:rsidR="004D093B" w:rsidRPr="001D7CC2" w:rsidRDefault="004D093B">
      <w:pPr>
        <w:suppressAutoHyphens w:val="0"/>
        <w:rPr>
          <w:rFonts w:ascii="Lato" w:hAnsi="Lato"/>
        </w:rPr>
      </w:pPr>
    </w:p>
    <w:tbl>
      <w:tblPr>
        <w:tblW w:w="5000" w:type="pct"/>
        <w:tblCellMar>
          <w:top w:w="113" w:type="dxa"/>
          <w:left w:w="10" w:type="dxa"/>
          <w:bottom w:w="113" w:type="dxa"/>
          <w:right w:w="10" w:type="dxa"/>
        </w:tblCellMar>
        <w:tblLook w:val="0000" w:firstRow="0" w:lastRow="0" w:firstColumn="0" w:lastColumn="0" w:noHBand="0" w:noVBand="0"/>
      </w:tblPr>
      <w:tblGrid>
        <w:gridCol w:w="640"/>
        <w:gridCol w:w="1645"/>
        <w:gridCol w:w="2504"/>
        <w:gridCol w:w="9199"/>
      </w:tblGrid>
      <w:tr w:rsidR="00A434EB" w:rsidRPr="001D7CC2" w14:paraId="0B833808" w14:textId="77777777" w:rsidTr="004D093B">
        <w:trPr>
          <w:cantSplit/>
          <w:trHeight w:val="20"/>
        </w:trPr>
        <w:tc>
          <w:tcPr>
            <w:tcW w:w="500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4B9EA6" w14:textId="428F8CF7" w:rsidR="00A434EB" w:rsidRPr="001D7CC2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</w:rPr>
            </w:pPr>
            <w:r w:rsidRPr="001D7CC2">
              <w:rPr>
                <w:rFonts w:ascii="Lato" w:hAnsi="Lato" w:cstheme="majorHAnsi"/>
                <w:b/>
                <w:bCs/>
                <w:color w:val="FFFFFF"/>
              </w:rPr>
              <w:t>Zmiany w programach lekowych i chemioterapii</w:t>
            </w:r>
          </w:p>
        </w:tc>
      </w:tr>
      <w:tr w:rsidR="00A434EB" w:rsidRPr="001D7CC2" w14:paraId="2BCC5E80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9385C7" w14:textId="77777777" w:rsidR="00A434EB" w:rsidRPr="001D7CC2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800381" w14:textId="7E0E9907" w:rsidR="00A434EB" w:rsidRPr="001D7CC2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Numer programu lekowego lub numeru załącznika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32808" w14:textId="70920D05" w:rsidR="00A434EB" w:rsidRPr="001D7CC2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Nazwa programu lekowego lub załącznika chemioterapii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F38F47" w14:textId="14B18ED3" w:rsidR="00A434EB" w:rsidRPr="001D7CC2" w:rsidRDefault="00A434EB" w:rsidP="00A434EB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Krótki opis zmian dokonanych w obrębie programu lekowego / załącznika chemioterapii</w:t>
            </w:r>
          </w:p>
        </w:tc>
      </w:tr>
      <w:tr w:rsidR="00112121" w:rsidRPr="001D7CC2" w14:paraId="4214188E" w14:textId="77777777" w:rsidTr="00112121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A69DE" w14:textId="7E276A80" w:rsidR="00112121" w:rsidRPr="001D7CC2" w:rsidRDefault="00112121" w:rsidP="0011212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>1</w:t>
            </w:r>
            <w:r w:rsidRPr="001D7CC2">
              <w:rPr>
                <w:rFonts w:ascii="Lato" w:hAnsi="Lato" w:cstheme="majorHAnsi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6C649C" w14:textId="46C54188" w:rsidR="00112121" w:rsidRPr="001D7CC2" w:rsidRDefault="00112121" w:rsidP="0011212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B.9.FM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6AFF" w14:textId="186FE98E" w:rsidR="00112121" w:rsidRPr="001D7CC2" w:rsidRDefault="00112121" w:rsidP="0011212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sz w:val="18"/>
                <w:szCs w:val="18"/>
              </w:rPr>
              <w:t>LECZENIE CHORYCH NA RAKA PIERSI (ICD-10: C50)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18690" w14:textId="185FBCB0" w:rsidR="00112121" w:rsidRPr="001D7CC2" w:rsidRDefault="00112121" w:rsidP="00112121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sz w:val="18"/>
                <w:szCs w:val="18"/>
              </w:rPr>
              <w:t>Zmiany ujednolicające zapisy dedykowane programom onkologicznym.</w:t>
            </w:r>
          </w:p>
        </w:tc>
      </w:tr>
      <w:tr w:rsidR="00112121" w:rsidRPr="001D7CC2" w14:paraId="571B083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270F3C" w14:textId="492DB14D" w:rsidR="00112121" w:rsidRPr="001D7CC2" w:rsidRDefault="00112121" w:rsidP="00112121">
            <w:pPr>
              <w:spacing w:before="60" w:after="60" w:line="240" w:lineRule="auto"/>
              <w:jc w:val="center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038BA" w14:textId="19FA8078" w:rsidR="00112121" w:rsidRPr="001D7CC2" w:rsidRDefault="00112121" w:rsidP="00112121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B.85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D1FCD" w14:textId="5247A972" w:rsidR="00112121" w:rsidRPr="001D7CC2" w:rsidRDefault="00112121" w:rsidP="00112121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GRUCZOLAKORAKIEM TRZUSTKI (ICD-10: C25.0, C25.1, C25.2, C25.3, C25.5, C25.6, C25.7, C25.8, C25.9)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89A20F" w14:textId="5B0DFF26" w:rsidR="00112121" w:rsidRPr="001D7CC2" w:rsidRDefault="00112121" w:rsidP="00112121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sz w:val="18"/>
                <w:szCs w:val="18"/>
              </w:rPr>
              <w:t xml:space="preserve">Zmiana sposobu potwierdzania mutacji </w:t>
            </w:r>
            <w:proofErr w:type="spellStart"/>
            <w:r w:rsidRPr="001D7CC2">
              <w:rPr>
                <w:rFonts w:ascii="Lato" w:hAnsi="Lato" w:cstheme="majorHAnsi"/>
                <w:sz w:val="18"/>
                <w:szCs w:val="18"/>
              </w:rPr>
              <w:t>germinalnej</w:t>
            </w:r>
            <w:proofErr w:type="spellEnd"/>
            <w:r w:rsidRPr="001D7CC2">
              <w:rPr>
                <w:rFonts w:ascii="Lato" w:hAnsi="Lato" w:cstheme="majorHAnsi"/>
                <w:sz w:val="18"/>
                <w:szCs w:val="18"/>
              </w:rPr>
              <w:t xml:space="preserve"> BRCA1/BRCA2.</w:t>
            </w:r>
          </w:p>
        </w:tc>
      </w:tr>
      <w:tr w:rsidR="005E1D5D" w:rsidRPr="001D7CC2" w14:paraId="7D876915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A79121" w14:textId="6635C9B7" w:rsidR="005E1D5D" w:rsidRDefault="005E1D5D" w:rsidP="005E1D5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761AD" w14:textId="2F84EBFD" w:rsidR="005E1D5D" w:rsidRPr="001D7CC2" w:rsidRDefault="005E1D5D" w:rsidP="005E1D5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B.119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AF6A7" w14:textId="195E09CD" w:rsidR="005E1D5D" w:rsidRPr="001D7CC2" w:rsidRDefault="005E1D5D" w:rsidP="005E1D5D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F2AFF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ZE ZRÓŻNICOWANYM RAKIEM TARCZYCY (ICD-10 C 73)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51F1D" w14:textId="47AABC7D" w:rsidR="005E1D5D" w:rsidRPr="001D7CC2" w:rsidRDefault="005E1D5D" w:rsidP="005E1D5D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sz w:val="18"/>
                <w:szCs w:val="18"/>
              </w:rPr>
            </w:pPr>
            <w:r>
              <w:rPr>
                <w:rFonts w:ascii="Lato" w:hAnsi="Lato" w:cstheme="majorHAnsi"/>
                <w:sz w:val="18"/>
                <w:szCs w:val="18"/>
              </w:rPr>
              <w:t xml:space="preserve">Kompleksowa przebudowa programu lekowego. Liczne zmiany porządkujące i ujednolicające </w:t>
            </w:r>
            <w:r w:rsidRPr="001D7CC2">
              <w:rPr>
                <w:rFonts w:ascii="Lato" w:hAnsi="Lato" w:cstheme="majorHAnsi"/>
                <w:sz w:val="18"/>
                <w:szCs w:val="18"/>
              </w:rPr>
              <w:t xml:space="preserve">dedykowane </w:t>
            </w:r>
            <w:r>
              <w:rPr>
                <w:rFonts w:ascii="Lato" w:hAnsi="Lato" w:cstheme="majorHAnsi"/>
                <w:sz w:val="18"/>
                <w:szCs w:val="18"/>
              </w:rPr>
              <w:br/>
            </w:r>
            <w:r w:rsidRPr="001D7CC2">
              <w:rPr>
                <w:rFonts w:ascii="Lato" w:hAnsi="Lato" w:cstheme="majorHAnsi"/>
                <w:sz w:val="18"/>
                <w:szCs w:val="18"/>
              </w:rPr>
              <w:t>programom onkologicznym.</w:t>
            </w:r>
            <w:r>
              <w:rPr>
                <w:rFonts w:ascii="Lato" w:hAnsi="Lato" w:cstheme="majorHAnsi"/>
                <w:sz w:val="18"/>
                <w:szCs w:val="18"/>
              </w:rPr>
              <w:t xml:space="preserve"> Modyfikacja zapisów obejmuje kryteria kwalifikacji, kryteria wyłączenia, opis </w:t>
            </w:r>
            <w:r>
              <w:rPr>
                <w:rFonts w:ascii="Lato" w:hAnsi="Lato" w:cstheme="majorHAnsi"/>
                <w:sz w:val="18"/>
                <w:szCs w:val="18"/>
              </w:rPr>
              <w:br/>
              <w:t xml:space="preserve">dawkowania, badania diagnostyczne oraz monitorowanie leczenia i programu. Dodano zapisy dotyczące </w:t>
            </w:r>
            <w:r>
              <w:rPr>
                <w:rFonts w:ascii="Lato" w:hAnsi="Lato" w:cstheme="majorHAnsi"/>
                <w:sz w:val="18"/>
                <w:szCs w:val="18"/>
              </w:rPr>
              <w:br/>
              <w:t>monitorowania wskaźników skuteczności leczenia wykorzystywanego w programie.</w:t>
            </w:r>
          </w:p>
        </w:tc>
      </w:tr>
      <w:tr w:rsidR="005E1D5D" w:rsidRPr="001D7CC2" w14:paraId="67293BB2" w14:textId="77777777" w:rsidTr="004D093B">
        <w:trPr>
          <w:cantSplit/>
          <w:trHeight w:val="20"/>
        </w:trPr>
        <w:tc>
          <w:tcPr>
            <w:tcW w:w="2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CB881F" w14:textId="6378AF86" w:rsidR="005E1D5D" w:rsidRPr="001D7CC2" w:rsidRDefault="005E1D5D" w:rsidP="005E1D5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5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1F1AA" w14:textId="3E1DCA61" w:rsidR="005E1D5D" w:rsidRPr="001D7CC2" w:rsidRDefault="005E1D5D" w:rsidP="005E1D5D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B.135</w:t>
            </w:r>
          </w:p>
        </w:tc>
        <w:tc>
          <w:tcPr>
            <w:tcW w:w="89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0EFE2" w14:textId="1FC9FFA3" w:rsidR="005E1D5D" w:rsidRPr="001D7CC2" w:rsidRDefault="005E1D5D" w:rsidP="005E1D5D">
            <w:pPr>
              <w:pStyle w:val="Style2"/>
              <w:widowControl/>
              <w:spacing w:before="60" w:after="60" w:line="240" w:lineRule="auto"/>
              <w:jc w:val="center"/>
              <w:rPr>
                <w:rFonts w:ascii="Lato" w:eastAsia="Calibri" w:hAnsi="Lato" w:cstheme="majorHAnsi"/>
                <w:sz w:val="18"/>
                <w:szCs w:val="18"/>
                <w:lang w:eastAsia="en-US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PACJENTÓW Z CHOROBĄ ŚRÓDMIĄŻSZOWĄ PŁUC (ICD-10: D86, J67.0-J67.9, J84.1, J84.8, J84.9, J99.0, J99.1, M34)</w:t>
            </w:r>
          </w:p>
        </w:tc>
        <w:tc>
          <w:tcPr>
            <w:tcW w:w="32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F84DF" w14:textId="43023024" w:rsidR="005E1D5D" w:rsidRPr="001D7CC2" w:rsidRDefault="005E1D5D" w:rsidP="005E1D5D">
            <w:pPr>
              <w:suppressAutoHyphens w:val="0"/>
              <w:autoSpaceDE w:val="0"/>
              <w:adjustRightInd w:val="0"/>
              <w:spacing w:before="120" w:after="120" w:line="240" w:lineRule="auto"/>
              <w:jc w:val="center"/>
              <w:textAlignment w:val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Zmiany w programie lekowym o charakterze porządkującym. Rozszerzenie populacji o pacjentów z chorobą śródmiąższową płuc przebiegającą z włóknieniem o fenotypie postępującym (PF-ILD).</w:t>
            </w:r>
          </w:p>
        </w:tc>
      </w:tr>
    </w:tbl>
    <w:p w14:paraId="242DFDC3" w14:textId="77777777" w:rsidR="0009112E" w:rsidRPr="001D7CC2" w:rsidRDefault="0009112E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bookmarkStart w:id="2" w:name="_Hlk90283710"/>
    </w:p>
    <w:p w14:paraId="052EAE3A" w14:textId="77777777" w:rsidR="004D093B" w:rsidRPr="001D7CC2" w:rsidRDefault="004D093B">
      <w:pPr>
        <w:suppressAutoHyphens w:val="0"/>
        <w:rPr>
          <w:rFonts w:ascii="Lato" w:hAnsi="Lato"/>
          <w:b/>
          <w:bCs/>
          <w:color w:val="00B0F0"/>
          <w:sz w:val="28"/>
          <w:szCs w:val="28"/>
        </w:rPr>
      </w:pPr>
      <w:r w:rsidRPr="001D7CC2">
        <w:rPr>
          <w:rFonts w:ascii="Lato" w:hAnsi="Lato"/>
          <w:b/>
          <w:bCs/>
          <w:color w:val="00B0F0"/>
          <w:sz w:val="28"/>
          <w:szCs w:val="28"/>
        </w:rPr>
        <w:br w:type="page"/>
      </w:r>
    </w:p>
    <w:p w14:paraId="703841AA" w14:textId="36DADBCA" w:rsidR="0056748F" w:rsidRPr="001D7CC2" w:rsidRDefault="0056748F" w:rsidP="0056748F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1D7CC2">
        <w:rPr>
          <w:rFonts w:ascii="Lato" w:hAnsi="Lato"/>
          <w:b/>
          <w:bCs/>
          <w:color w:val="00B0F0"/>
          <w:sz w:val="28"/>
          <w:szCs w:val="28"/>
        </w:rPr>
        <w:lastRenderedPageBreak/>
        <w:t>NOWE WSKAZANIA ORAZ ZMIANY W REFUNDACJI APTECZNEJ</w:t>
      </w:r>
    </w:p>
    <w:tbl>
      <w:tblPr>
        <w:tblW w:w="5000" w:type="pct"/>
        <w:tblCellMar>
          <w:top w:w="57" w:type="dxa"/>
          <w:left w:w="10" w:type="dxa"/>
          <w:bottom w:w="57" w:type="dxa"/>
          <w:right w:w="10" w:type="dxa"/>
        </w:tblCellMar>
        <w:tblLook w:val="0000" w:firstRow="0" w:lastRow="0" w:firstColumn="0" w:lastColumn="0" w:noHBand="0" w:noVBand="0"/>
      </w:tblPr>
      <w:tblGrid>
        <w:gridCol w:w="649"/>
        <w:gridCol w:w="2372"/>
        <w:gridCol w:w="2003"/>
        <w:gridCol w:w="5033"/>
        <w:gridCol w:w="3931"/>
      </w:tblGrid>
      <w:tr w:rsidR="00AD08C5" w:rsidRPr="001D7CC2" w14:paraId="2CD1B9F9" w14:textId="77777777" w:rsidTr="004D093B">
        <w:trPr>
          <w:cantSplit/>
          <w:trHeight w:val="549"/>
        </w:trPr>
        <w:tc>
          <w:tcPr>
            <w:tcW w:w="500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94C8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2"/>
          <w:p w14:paraId="05E7E891" w14:textId="77777777" w:rsidR="00AD08C5" w:rsidRPr="001D7CC2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1D7CC2">
              <w:rPr>
                <w:rFonts w:ascii="Lato" w:hAnsi="Lato" w:cstheme="majorHAnsi"/>
                <w:b/>
                <w:bCs/>
                <w:color w:val="FFFFFF"/>
              </w:rPr>
              <w:t>Apteka</w:t>
            </w:r>
          </w:p>
        </w:tc>
      </w:tr>
      <w:tr w:rsidR="00AD08C5" w:rsidRPr="001D7CC2" w14:paraId="7C1774EA" w14:textId="77777777" w:rsidTr="004D093B">
        <w:trPr>
          <w:cantSplit/>
          <w:trHeight w:val="328"/>
        </w:trPr>
        <w:tc>
          <w:tcPr>
            <w:tcW w:w="5000" w:type="pct"/>
            <w:gridSpan w:val="5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D86140" w14:textId="77777777" w:rsidR="00AD08C5" w:rsidRPr="001D7CC2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1D7CC2">
              <w:rPr>
                <w:rFonts w:ascii="Lato" w:hAnsi="Lato" w:cstheme="majorHAnsi"/>
                <w:b/>
                <w:bCs/>
                <w:color w:val="FFFFFF"/>
              </w:rPr>
              <w:t>Nowe wskazania refundacyjne</w:t>
            </w:r>
          </w:p>
        </w:tc>
      </w:tr>
      <w:tr w:rsidR="0056748F" w:rsidRPr="001D7CC2" w14:paraId="7D53B9E1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D3CB4" w14:textId="77777777" w:rsidR="00AD08C5" w:rsidRPr="001D7CC2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3E9D6E" w14:textId="70C49D87" w:rsidR="00AD08C5" w:rsidRPr="001D7CC2" w:rsidRDefault="00A118F0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 xml:space="preserve">Nazwa leku, środka spożywczego specjalnego przeznaczenia lub wyrobu </w:t>
            </w:r>
            <w:r w:rsidRPr="001D7CC2">
              <w:rPr>
                <w:rFonts w:ascii="Lato" w:hAnsi="Lato" w:cstheme="majorHAnsi"/>
                <w:b/>
                <w:bCs/>
                <w:sz w:val="19"/>
                <w:szCs w:val="19"/>
              </w:rPr>
              <w:t>medycznego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2A6F35" w14:textId="77777777" w:rsidR="00AD08C5" w:rsidRPr="001D7CC2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F933D3" w14:textId="77777777" w:rsidR="00AD08C5" w:rsidRPr="001D7CC2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5EAF7" w14:textId="77777777" w:rsidR="00AD08C5" w:rsidRPr="001D7CC2" w:rsidRDefault="006A7DCE" w:rsidP="007B043E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1D7CC2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Doprecyzowanie wskazania</w:t>
            </w:r>
          </w:p>
        </w:tc>
      </w:tr>
      <w:tr w:rsidR="00AC63C8" w:rsidRPr="001D7CC2" w14:paraId="2468732B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14081" w14:textId="6C4608DD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44AA9" w14:textId="25C35AD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Acarizax</w:t>
            </w:r>
            <w:proofErr w:type="spellEnd"/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11F44" w14:textId="52804EAE" w:rsidR="00AC63C8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s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tandaryzowany wyciąg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alergenowy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roztoczy kurzu domowego (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Dermatophagoides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pteronyssinus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Dermatophagoides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farina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966CC" w14:textId="1F5756FC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/>
                <w:sz w:val="18"/>
                <w:szCs w:val="18"/>
              </w:rPr>
              <w:t>Leczenie młodzieży w wieku od ukończonego 12. roku życia do ukończonego 17. roku życia z umiarkowanym lub ciężkim alergicznym nieżytem nosa spowodowanym kurzem domowym, utrzymującym się pomimo stosowania leków łagodzących objawy, u których rozpoznanie zostało postawione na podstawie wywiadu klinicznego oraz dodatniego testu alergicznego na roztocza kurzu domowego (punktowe testy skórne i /lub swoiste immunoglobuliny E)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95395" w14:textId="0191EEBD" w:rsidR="00AC63C8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C63C8">
              <w:rPr>
                <w:rFonts w:ascii="Lato" w:hAnsi="Lato"/>
                <w:sz w:val="18"/>
                <w:szCs w:val="18"/>
              </w:rPr>
              <w:t xml:space="preserve">Pierwszy refundowany produkt w postaci </w:t>
            </w:r>
            <w:proofErr w:type="spellStart"/>
            <w:r w:rsidRPr="00AC63C8">
              <w:rPr>
                <w:rFonts w:ascii="Lato" w:hAnsi="Lato"/>
                <w:sz w:val="18"/>
                <w:szCs w:val="18"/>
              </w:rPr>
              <w:t>liofilizatu</w:t>
            </w:r>
            <w:proofErr w:type="spellEnd"/>
            <w:r w:rsidRPr="00AC63C8">
              <w:rPr>
                <w:rFonts w:ascii="Lato" w:hAnsi="Lato"/>
                <w:sz w:val="18"/>
                <w:szCs w:val="18"/>
              </w:rPr>
              <w:t xml:space="preserve"> doustnego stanowiący wyciąg </w:t>
            </w:r>
            <w:proofErr w:type="spellStart"/>
            <w:r w:rsidRPr="00AC63C8">
              <w:rPr>
                <w:rFonts w:ascii="Lato" w:hAnsi="Lato"/>
                <w:sz w:val="18"/>
                <w:szCs w:val="18"/>
              </w:rPr>
              <w:t>alergenowy</w:t>
            </w:r>
            <w:proofErr w:type="spellEnd"/>
            <w:r w:rsidRPr="00AC63C8">
              <w:rPr>
                <w:rFonts w:ascii="Lato" w:hAnsi="Lato"/>
                <w:sz w:val="18"/>
                <w:szCs w:val="18"/>
              </w:rPr>
              <w:t xml:space="preserve"> roztoczy kurzu domowego</w:t>
            </w:r>
            <w:r w:rsidR="006D1BEB">
              <w:rPr>
                <w:rFonts w:ascii="Lato" w:hAnsi="Lato"/>
                <w:sz w:val="18"/>
                <w:szCs w:val="18"/>
              </w:rPr>
              <w:t>.</w:t>
            </w:r>
          </w:p>
        </w:tc>
      </w:tr>
      <w:tr w:rsidR="00AC63C8" w:rsidRPr="001D7CC2" w14:paraId="0EC92729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F7B9E" w14:textId="7EC08331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2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63916" w14:textId="7B9B4D7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Detriol</w:t>
            </w:r>
            <w:proofErr w:type="spellEnd"/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18CEEC" w14:textId="4D1602D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kalcytriol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6E39D" w14:textId="5F870ED6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10733" w14:textId="12B5B450" w:rsidR="00AC63C8" w:rsidRPr="00AC63C8" w:rsidRDefault="00AC63C8" w:rsidP="00AC63C8">
            <w:pPr>
              <w:spacing w:before="60" w:after="60" w:line="240" w:lineRule="auto"/>
              <w:rPr>
                <w:rFonts w:ascii="Lato" w:hAnsi="Lato"/>
                <w:sz w:val="18"/>
                <w:szCs w:val="18"/>
              </w:rPr>
            </w:pPr>
            <w:r w:rsidRPr="00AC63C8">
              <w:rPr>
                <w:rFonts w:ascii="Lato" w:hAnsi="Lato"/>
                <w:sz w:val="18"/>
                <w:szCs w:val="18"/>
              </w:rPr>
              <w:t>Wskazanie do stosowania u osób dorosłych w:</w:t>
            </w:r>
          </w:p>
          <w:p w14:paraId="4E8E191A" w14:textId="79686B4B" w:rsidR="00AC63C8" w:rsidRPr="00684F20" w:rsidRDefault="00AC63C8" w:rsidP="00684F20">
            <w:pPr>
              <w:pStyle w:val="Akapitzlist"/>
              <w:numPr>
                <w:ilvl w:val="0"/>
                <w:numId w:val="30"/>
              </w:numPr>
              <w:spacing w:before="60" w:after="60" w:line="240" w:lineRule="auto"/>
              <w:ind w:left="171" w:hanging="142"/>
              <w:rPr>
                <w:rFonts w:ascii="Lato" w:hAnsi="Lato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>ciężkiej lub postępującej wtórnej nadczynności przytarczyc prowadzącej do osteodystrofii nerkowej z umiarkowaną lub ciężką przewlekłą niewydolnością nerek,</w:t>
            </w:r>
          </w:p>
          <w:p w14:paraId="6338F16A" w14:textId="50AA7B88" w:rsidR="00AC63C8" w:rsidRPr="00684F20" w:rsidRDefault="00AC63C8" w:rsidP="00684F20">
            <w:pPr>
              <w:pStyle w:val="Akapitzlist"/>
              <w:numPr>
                <w:ilvl w:val="0"/>
                <w:numId w:val="30"/>
              </w:numPr>
              <w:spacing w:before="60" w:after="60" w:line="240" w:lineRule="auto"/>
              <w:ind w:left="171" w:hanging="142"/>
              <w:rPr>
                <w:rFonts w:ascii="Lato" w:hAnsi="Lato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>hipokalcemii spowodowanej niedoczynnością przytarczyc (pooperacyjna, idiopatyczna i rzekoma niedoczynność przytarczyc),</w:t>
            </w:r>
          </w:p>
          <w:p w14:paraId="3316DA80" w14:textId="089184B8" w:rsidR="00AC63C8" w:rsidRPr="00684F20" w:rsidRDefault="00AC63C8" w:rsidP="00684F20">
            <w:pPr>
              <w:pStyle w:val="Akapitzlist"/>
              <w:numPr>
                <w:ilvl w:val="0"/>
                <w:numId w:val="30"/>
              </w:numPr>
              <w:spacing w:before="60" w:after="60" w:line="240" w:lineRule="auto"/>
              <w:ind w:left="171" w:hanging="142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 xml:space="preserve">dziedzicznej krzywicy </w:t>
            </w:r>
            <w:proofErr w:type="spellStart"/>
            <w:r w:rsidRPr="00684F20">
              <w:rPr>
                <w:rFonts w:ascii="Lato" w:hAnsi="Lato"/>
                <w:sz w:val="18"/>
                <w:szCs w:val="18"/>
              </w:rPr>
              <w:t>hipofosfatemicznej</w:t>
            </w:r>
            <w:proofErr w:type="spellEnd"/>
            <w:r w:rsidRPr="00684F20">
              <w:rPr>
                <w:rFonts w:ascii="Lato" w:hAnsi="Lato"/>
                <w:sz w:val="18"/>
                <w:szCs w:val="18"/>
              </w:rPr>
              <w:t>.</w:t>
            </w:r>
          </w:p>
        </w:tc>
      </w:tr>
      <w:tr w:rsidR="00AC63C8" w:rsidRPr="001D7CC2" w14:paraId="60BE330F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307D" w14:textId="56C10951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9CFF2F" w14:textId="3DE6CAB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4023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Findarts</w:t>
            </w:r>
            <w:proofErr w:type="spellEnd"/>
            <w:r w:rsidRPr="00A4023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Duo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66466" w14:textId="59FB5ED0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</w:t>
            </w:r>
            <w:r w:rsidRPr="00A4023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utaster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yd</w:t>
            </w:r>
            <w:proofErr w:type="spellEnd"/>
            <w:r w:rsidRPr="00A4023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</w:t>
            </w:r>
            <w:r w:rsidRPr="00A4023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amsulo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zyna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66AFB" w14:textId="1B71425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A40232">
              <w:rPr>
                <w:rFonts w:ascii="Lato" w:hAnsi="Lato" w:cstheme="majorHAnsi"/>
                <w:color w:val="000000"/>
                <w:sz w:val="18"/>
                <w:szCs w:val="18"/>
              </w:rPr>
              <w:t>Leczenie umiarkowanych do ciężkich objawów łagodnego rozrostu gruczołu krokowego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2F56E" w14:textId="5C2CFED0" w:rsidR="00AC63C8" w:rsidRPr="001D7CC2" w:rsidRDefault="00AC63C8" w:rsidP="00684F2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 xml:space="preserve">Pierwszy lek refundowany stanowiący połączenie - </w:t>
            </w:r>
            <w:proofErr w:type="spellStart"/>
            <w:r w:rsidRPr="00684F20">
              <w:rPr>
                <w:rFonts w:ascii="Lato" w:hAnsi="Lato"/>
                <w:sz w:val="18"/>
                <w:szCs w:val="18"/>
              </w:rPr>
              <w:t>blokera</w:t>
            </w:r>
            <w:proofErr w:type="spellEnd"/>
            <w:r w:rsidRPr="00684F20">
              <w:rPr>
                <w:rFonts w:ascii="Lato" w:hAnsi="Lato"/>
                <w:sz w:val="18"/>
                <w:szCs w:val="18"/>
              </w:rPr>
              <w:t xml:space="preserve"> receptora alfa-adrenergicznego z inhibitorami 5-alfa reduktazy</w:t>
            </w:r>
            <w:r w:rsidR="003B099F">
              <w:rPr>
                <w:rFonts w:ascii="Lato" w:hAnsi="Lato"/>
                <w:sz w:val="18"/>
                <w:szCs w:val="18"/>
              </w:rPr>
              <w:t>.</w:t>
            </w:r>
          </w:p>
        </w:tc>
      </w:tr>
      <w:tr w:rsidR="00AC63C8" w:rsidRPr="001D7CC2" w14:paraId="7C174310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AD16" w14:textId="38C2B4ED" w:rsidR="00AC63C8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4.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3DFB50" w14:textId="621B2DA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Influvac</w:t>
            </w:r>
            <w:proofErr w:type="spellEnd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Tetra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DEE920" w14:textId="47B3913F" w:rsidR="00AC63C8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v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accinum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influenzae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inactivatum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ex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corticis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antigeniis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praeparatum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Szczepionka przeciw grypie (antygen powierzchniowy), inaktywowana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A2723F" w14:textId="4ED80A7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05E462" w14:textId="2D44EA02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 xml:space="preserve">Profilaktyka grypy, zwłaszcza u osób o zwiększonym ryzyku wystąpienia powikłań pogrypowych. </w:t>
            </w:r>
            <w:proofErr w:type="spellStart"/>
            <w:r w:rsidRPr="00684F20">
              <w:rPr>
                <w:rFonts w:ascii="Lato" w:hAnsi="Lato"/>
                <w:sz w:val="18"/>
                <w:szCs w:val="18"/>
              </w:rPr>
              <w:t>Influvac</w:t>
            </w:r>
            <w:proofErr w:type="spellEnd"/>
            <w:r w:rsidRPr="00684F20">
              <w:rPr>
                <w:rFonts w:ascii="Lato" w:hAnsi="Lato"/>
                <w:sz w:val="18"/>
                <w:szCs w:val="18"/>
              </w:rPr>
              <w:t xml:space="preserve"> Tetra jest wskazany dla osób dorosłych i dzieci w wieku od 6 miesięcy. </w:t>
            </w:r>
            <w:proofErr w:type="spellStart"/>
            <w:r w:rsidRPr="00684F20">
              <w:rPr>
                <w:rFonts w:ascii="Lato" w:hAnsi="Lato"/>
                <w:sz w:val="18"/>
                <w:szCs w:val="18"/>
              </w:rPr>
              <w:t>Influvac</w:t>
            </w:r>
            <w:proofErr w:type="spellEnd"/>
            <w:r w:rsidRPr="00684F20">
              <w:rPr>
                <w:rFonts w:ascii="Lato" w:hAnsi="Lato"/>
                <w:sz w:val="18"/>
                <w:szCs w:val="18"/>
              </w:rPr>
              <w:t xml:space="preserve"> Tetra powinien być stosowany zgodnie z oficjalnymi zaleceniami.</w:t>
            </w:r>
          </w:p>
        </w:tc>
      </w:tr>
      <w:tr w:rsidR="00AC63C8" w:rsidRPr="001D7CC2" w14:paraId="3E62A70D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ED6C4" w14:textId="43823AC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51D194" w14:textId="1DC3033C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Tresiba</w:t>
            </w:r>
            <w:proofErr w:type="spellEnd"/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1F354" w14:textId="78D0440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insulina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degludec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0D22F" w14:textId="149D4743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  <w:highlight w:val="yellow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Cukrzyca typu I u dorosłych; cukrzyca typu 2 u dorosłych pacjentów leczonych insuliną NPH od co najmniej 6 miesięcy i z HbA1c ≥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7,5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% oraz cukrzyca typu 2 u dorosłych pacjentów leczonych insuliną NPH od co najmniej 6 miesięcy i z udokumentowanymi nawracającymi epizodami ciężkiej lub nocnej hipoglikemii oraz cukrzyca o znanej przyczynie (zgodnie z definicją wg WHO); cukrzyca typu I u dzieci powyżej 1. roku życia i młodzieży; cukrzyca typu 2 u dzieci powyżej 1. roku życia i młodzieży leczonych insuliną NPH od co najmniej 6 miesięcy i z HbA1c ≥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7,5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% oraz cukrzyca typu 2 u dzieci powyżej 1. roku życia i młodzieży leczonych insuliną NPH od co najmniej 6 miesięcy i z udokumentowanymi nawracającymi epizodami ciężkiej lub nocnej hipoglikemii oraz cukrzyca u dzieci powyżej 1. roku życia i młodzieży o znanej przyczynie (zgodnie z definicją wg WHO)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C8613" w14:textId="220A6257" w:rsidR="00AC63C8" w:rsidRDefault="008F6309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Podskórna, długodziałająca insulina bazowa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degludec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bez skojarzenia z dodatkową substancją czynną o działaniu hipoglikemizującym. W przeszłości produkt refundowany w dwóch innych prezentacjach, których refundacja została </w:t>
            </w:r>
            <w:r w:rsidR="00C03CFC">
              <w:rPr>
                <w:rFonts w:ascii="Lato" w:hAnsi="Lato" w:cstheme="majorHAnsi"/>
                <w:color w:val="000000"/>
                <w:sz w:val="18"/>
                <w:szCs w:val="18"/>
              </w:rPr>
              <w:t>zaprzestana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</w:t>
            </w:r>
            <w:r w:rsidR="009E4927">
              <w:rPr>
                <w:rFonts w:ascii="Lato" w:hAnsi="Lato" w:cstheme="majorHAnsi"/>
                <w:color w:val="000000"/>
                <w:sz w:val="18"/>
                <w:szCs w:val="18"/>
              </w:rPr>
              <w:t>skutek decyzji podmiotu odpowiedzialnego.</w:t>
            </w:r>
          </w:p>
          <w:p w14:paraId="45CC0182" w14:textId="1ED28D57" w:rsidR="009E4927" w:rsidRPr="001D7CC2" w:rsidRDefault="009E4927" w:rsidP="00BA7983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Redukcja kryterium kwalifikującego do leczenia - poziomu hemoglobiny </w:t>
            </w:r>
            <w:proofErr w:type="spellStart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>glikowanej</w:t>
            </w:r>
            <w:proofErr w:type="spellEnd"/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o 0,5 punktu procentowego (z </w:t>
            </w:r>
            <w:r w:rsidRPr="009E4927">
              <w:rPr>
                <w:rFonts w:ascii="Lato" w:hAnsi="Lato" w:cstheme="majorHAnsi"/>
                <w:color w:val="000000"/>
                <w:sz w:val="18"/>
                <w:szCs w:val="18"/>
              </w:rPr>
              <w:t>≥8%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≥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7,5</w:t>
            </w: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%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).</w:t>
            </w:r>
          </w:p>
        </w:tc>
      </w:tr>
      <w:tr w:rsidR="00AC63C8" w:rsidRPr="001D7CC2" w14:paraId="6E8A1919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10016" w14:textId="6B68C470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6.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D168B" w14:textId="4206D72E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Trixeo</w:t>
            </w:r>
            <w:proofErr w:type="spellEnd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Aerosphere</w:t>
            </w:r>
            <w:proofErr w:type="spellEnd"/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6C870" w14:textId="7623A78A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ormoterol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fumaranu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dwuwodnego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bromek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glikopironiowy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budezonid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A42092" w14:textId="2D791DF0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podtrzymujące u pacjentów dorosłych z umiarkowaną lub ciężką przewlekłą obturacyjną chorobą płuc (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POChP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823724" w14:textId="3751EB4C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Leczenie podtrzymujące u pacjentów dorosłych z umiarkowaną lub ciężką przewlekłą obturacyjną chorobą płuc (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POChP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), u których nie uzyskuje się odpowiedniego efektu leczenia podczas jednoczesnego stosowania kortykosteroidu wziewnego i długo działającego agonisty receptorów beta 2 lub jednoczesnego stosowania długo działającego agonisty receptorów beta 2 i długo działającego antagonisty receptorów muskarynowych.</w:t>
            </w:r>
          </w:p>
        </w:tc>
      </w:tr>
      <w:tr w:rsidR="00AC63C8" w:rsidRPr="001D7CC2" w14:paraId="3A44751C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C7494" w14:textId="5DED25BA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7.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11A85" w14:textId="582BA7F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1D7CC2"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  <w:t>Vimetso</w:t>
            </w:r>
            <w:proofErr w:type="spellEnd"/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4877" w14:textId="7F9A60E0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ildaglipt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yna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chlorowodorek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metforminy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2FE980" w14:textId="41B20223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na dzień wydania decyzji</w:t>
            </w:r>
          </w:p>
        </w:tc>
        <w:tc>
          <w:tcPr>
            <w:tcW w:w="140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69600" w14:textId="6D2D4991" w:rsidR="00AC63C8" w:rsidRDefault="00AC63C8" w:rsidP="00684F20">
            <w:pPr>
              <w:spacing w:before="60" w:after="60" w:line="240" w:lineRule="auto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S</w:t>
            </w:r>
            <w:r w:rsidRPr="001757EA">
              <w:rPr>
                <w:rFonts w:ascii="Lato" w:hAnsi="Lato" w:cstheme="majorHAnsi"/>
                <w:color w:val="000000"/>
                <w:sz w:val="18"/>
                <w:szCs w:val="18"/>
              </w:rPr>
              <w:t>tosowani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e</w:t>
            </w:r>
            <w:r w:rsidRPr="001757EA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jako uzupełnienie diety i ćwiczeń fizycznych w celu poprawy kontroli glikemii u osób dorosłych z cukrzycą typu 2: </w:t>
            </w:r>
          </w:p>
          <w:p w14:paraId="677A91C2" w14:textId="05CA6F99" w:rsidR="00AC63C8" w:rsidRPr="00684F20" w:rsidRDefault="00AC63C8" w:rsidP="00684F20">
            <w:pPr>
              <w:pStyle w:val="Akapitzlist"/>
              <w:numPr>
                <w:ilvl w:val="0"/>
                <w:numId w:val="30"/>
              </w:numPr>
              <w:spacing w:before="60" w:after="60" w:line="240" w:lineRule="auto"/>
              <w:ind w:left="171" w:hanging="142"/>
              <w:rPr>
                <w:rFonts w:ascii="Lato" w:hAnsi="Lato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 xml:space="preserve">u pacjentów, u których nie uzyskano wystarczającej kontroli glikemii po zastosowaniu chlorowodorku </w:t>
            </w:r>
            <w:proofErr w:type="spellStart"/>
            <w:r w:rsidRPr="00684F20">
              <w:rPr>
                <w:rFonts w:ascii="Lato" w:hAnsi="Lato"/>
                <w:sz w:val="18"/>
                <w:szCs w:val="18"/>
              </w:rPr>
              <w:t>metforminy</w:t>
            </w:r>
            <w:proofErr w:type="spellEnd"/>
            <w:r w:rsidRPr="00684F20">
              <w:rPr>
                <w:rFonts w:ascii="Lato" w:hAnsi="Lato"/>
                <w:sz w:val="18"/>
                <w:szCs w:val="18"/>
              </w:rPr>
              <w:t xml:space="preserve"> w monoterapii</w:t>
            </w:r>
            <w:r w:rsidR="003B099F">
              <w:rPr>
                <w:rFonts w:ascii="Lato" w:hAnsi="Lato"/>
                <w:sz w:val="18"/>
                <w:szCs w:val="18"/>
              </w:rPr>
              <w:t>,</w:t>
            </w:r>
          </w:p>
          <w:p w14:paraId="339F6F02" w14:textId="7F0E0FEB" w:rsidR="00AC63C8" w:rsidRPr="00684F20" w:rsidRDefault="00AC63C8" w:rsidP="00684F20">
            <w:pPr>
              <w:pStyle w:val="Akapitzlist"/>
              <w:numPr>
                <w:ilvl w:val="0"/>
                <w:numId w:val="30"/>
              </w:numPr>
              <w:spacing w:before="60" w:after="60" w:line="240" w:lineRule="auto"/>
              <w:ind w:left="171" w:hanging="142"/>
              <w:rPr>
                <w:rFonts w:ascii="Lato" w:hAnsi="Lato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 xml:space="preserve">u pacjentów już leczonych </w:t>
            </w:r>
            <w:proofErr w:type="spellStart"/>
            <w:r w:rsidRPr="00684F20">
              <w:rPr>
                <w:rFonts w:ascii="Lato" w:hAnsi="Lato"/>
                <w:sz w:val="18"/>
                <w:szCs w:val="18"/>
              </w:rPr>
              <w:t>wildagliptyną</w:t>
            </w:r>
            <w:proofErr w:type="spellEnd"/>
            <w:r w:rsidRPr="00684F20">
              <w:rPr>
                <w:rFonts w:ascii="Lato" w:hAnsi="Lato"/>
                <w:sz w:val="18"/>
                <w:szCs w:val="18"/>
              </w:rPr>
              <w:t xml:space="preserve"> w skojarzeniu z chlorowodorkiem </w:t>
            </w:r>
            <w:proofErr w:type="spellStart"/>
            <w:r w:rsidRPr="00684F20">
              <w:rPr>
                <w:rFonts w:ascii="Lato" w:hAnsi="Lato"/>
                <w:sz w:val="18"/>
                <w:szCs w:val="18"/>
              </w:rPr>
              <w:t>metforminy</w:t>
            </w:r>
            <w:proofErr w:type="spellEnd"/>
            <w:r w:rsidRPr="00684F20">
              <w:rPr>
                <w:rFonts w:ascii="Lato" w:hAnsi="Lato"/>
                <w:sz w:val="18"/>
                <w:szCs w:val="18"/>
              </w:rPr>
              <w:t>, w postaci oddzielnych tabletek</w:t>
            </w:r>
            <w:r w:rsidR="003B099F">
              <w:rPr>
                <w:rFonts w:ascii="Lato" w:hAnsi="Lato"/>
                <w:sz w:val="18"/>
                <w:szCs w:val="18"/>
              </w:rPr>
              <w:t>,</w:t>
            </w:r>
          </w:p>
          <w:p w14:paraId="321DBF66" w14:textId="598599F0" w:rsidR="00AC63C8" w:rsidRPr="00AC63C8" w:rsidRDefault="00AC63C8" w:rsidP="00684F20">
            <w:pPr>
              <w:pStyle w:val="Akapitzlist"/>
              <w:numPr>
                <w:ilvl w:val="0"/>
                <w:numId w:val="30"/>
              </w:numPr>
              <w:spacing w:before="60" w:after="60" w:line="240" w:lineRule="auto"/>
              <w:ind w:left="171" w:hanging="142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684F20">
              <w:rPr>
                <w:rFonts w:ascii="Lato" w:hAnsi="Lato"/>
                <w:sz w:val="18"/>
                <w:szCs w:val="18"/>
              </w:rPr>
              <w:t>w skojarzeniu z innymi produktami leczniczymi stosowanymi w leczeniu cukrzycy, w tym z insuliną, gdy produkty te nie zapewniają wystarczającej kontroli glikemii</w:t>
            </w:r>
            <w:r w:rsidR="003B099F">
              <w:rPr>
                <w:rFonts w:ascii="Lato" w:hAnsi="Lato"/>
                <w:sz w:val="18"/>
                <w:szCs w:val="18"/>
              </w:rPr>
              <w:t>.</w:t>
            </w:r>
          </w:p>
        </w:tc>
      </w:tr>
      <w:tr w:rsidR="00AC63C8" w:rsidRPr="001D7CC2" w14:paraId="24EDA1BE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CD8718" w14:textId="478A9C0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8.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46D5F" w14:textId="67A1BE0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4C48F" w14:textId="2663E20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walsartan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155CC5" w14:textId="4F4515FD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BB99" w14:textId="621A8EF5" w:rsidR="00AC63C8" w:rsidRPr="001D7CC2" w:rsidRDefault="00AC63C8" w:rsidP="00684F20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Dodanie wskazania </w:t>
            </w:r>
            <w:proofErr w:type="spellStart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pozarejestracyjnego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(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off-</w:t>
            </w:r>
            <w:proofErr w:type="spellStart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label</w:t>
            </w:r>
            <w:proofErr w:type="spellEnd"/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) dla preparatów złożonych, których zastosowanie wg zarejestrowanych wskazań jest ograniczone do wskazań substytucyjnych lub addycyjnych. Rozszerzenie zakresu wskazań refundacyjnych umożliwi rozpoczęcie leczenia nadciśnienia tętniczego od terapii skojarzonej.</w:t>
            </w:r>
          </w:p>
        </w:tc>
      </w:tr>
      <w:tr w:rsidR="00AC63C8" w:rsidRPr="001D7CC2" w14:paraId="67E297D6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08F1A" w14:textId="58EF8E26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9.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BB21" w14:textId="7E25C6E0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FD9CEF" w14:textId="59FC3D3C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walsartan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hydrochlorotiazyd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7A3C4A" w14:textId="4A3F09E3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7B6F5" w14:textId="6054C51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2E95368B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7976FB" w14:textId="7AC35781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D64DE7" w14:textId="352937FD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78524" w14:textId="636F35D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andesarta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hydrochlorotiazyd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B70F9" w14:textId="25338BA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69D175" w14:textId="7B8E0D3E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152DD58B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1CAC5" w14:textId="3300D74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968C" w14:textId="6C83EA7E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F84E6D" w14:textId="3DD82C9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k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andesarta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n</w:t>
            </w:r>
            <w:proofErr w:type="spellEnd"/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</w:t>
            </w:r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E59611" w14:textId="65ECAE3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B0EA7" w14:textId="7BC4629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207F27C4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CC53" w14:textId="424F18A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27C78" w14:textId="37FF9431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DEC26" w14:textId="71ADEFC1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indapamid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793E81" w14:textId="5BBDAD7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5FA663" w14:textId="72B9D8C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396628EE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8D18C" w14:textId="6F71AD6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4BE464" w14:textId="4FACE44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5BCD3" w14:textId="73C232F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lizynopryl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9C517" w14:textId="49C072B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FAE669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75E6C100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C14E5A" w14:textId="771680D0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77671" w14:textId="04BE417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B772D0" w14:textId="03D9A2AD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lizynopryl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hydrochlorotiazyd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C8462" w14:textId="1EE0B69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F6FF4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2B30F00F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977C2" w14:textId="3558AC8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419AE" w14:textId="74D817D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9F7A4" w14:textId="1F86AAB3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losartan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DF05F" w14:textId="57487A2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B4348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797136E2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0249A" w14:textId="25DF0EA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F8D68E" w14:textId="7636526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BB850" w14:textId="60B4DE61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losartan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hydrochlorotiazyd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EAADC7" w14:textId="569881A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198789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0F63C803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29A4B" w14:textId="7942208A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60005" w14:textId="49766DD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FB924F" w14:textId="62C36382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peryndopryl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28E061" w14:textId="59846454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4B07E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18E925E5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40C1B" w14:textId="78E7425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412B3F" w14:textId="1235021E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4D5A5" w14:textId="0142AC6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peryndopryl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indapamid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1D7CC2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(bez dawki 2,5+0,625 mg)</w:t>
            </w:r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4F8E8" w14:textId="230E285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D8738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29C3980D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57B052" w14:textId="5AE91FAE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EC36" w14:textId="4B36209A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9DD2F" w14:textId="0DF57E5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ramipryl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8740CB" w14:textId="3E376216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D9B17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161597B7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ED516" w14:textId="3C713DD6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1887A" w14:textId="71214FF2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DA835" w14:textId="285E1C8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ramipryl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felodypina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5AC4B4" w14:textId="100CD590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92A38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16622189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F6DEA9" w14:textId="5F5E1C9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8AB00" w14:textId="5456E58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54DBEC" w14:textId="45CA6F42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ramipryl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hydrochlorotiazyd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93B3" w14:textId="56ED0D2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7FFEE3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10B33ECB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6E2E39" w14:textId="387BFBF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01B85" w14:textId="24B09156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C9CDA" w14:textId="33EAAC6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amlodypina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A215F" w14:textId="2F18433A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F32F8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7B2BF59D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4F93E" w14:textId="077DF92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9A83A2" w14:textId="24C45E8B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8BBF6" w14:textId="6C557CEF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hydrochlorotiazyd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AB9B" w14:textId="16E18069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7079E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59198AE3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9756" w14:textId="06CC9036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lastRenderedPageBreak/>
              <w:t>24.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AEDC" w14:textId="1C6BCD3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F07FC" w14:textId="1823CCA5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walsartan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hydrochlorotiazyd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23520" w14:textId="7C8F0BA6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CD9B9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  <w:tr w:rsidR="00AC63C8" w:rsidRPr="001D7CC2" w14:paraId="3314CB69" w14:textId="77777777" w:rsidTr="00684F20">
        <w:trPr>
          <w:cantSplit/>
        </w:trPr>
        <w:tc>
          <w:tcPr>
            <w:tcW w:w="2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6BF4C" w14:textId="70C513D2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5C550" w14:textId="6EACA533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b/>
                <w:bCs/>
                <w:sz w:val="18"/>
                <w:szCs w:val="18"/>
              </w:rPr>
              <w:t>Różne produkty handlowe</w:t>
            </w:r>
          </w:p>
        </w:tc>
        <w:tc>
          <w:tcPr>
            <w:tcW w:w="7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6DE6" w14:textId="6B3FD601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telmisartan</w:t>
            </w:r>
            <w:proofErr w:type="spellEnd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indapamid</w:t>
            </w:r>
            <w:proofErr w:type="spellEnd"/>
          </w:p>
        </w:tc>
        <w:tc>
          <w:tcPr>
            <w:tcW w:w="179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7D03E" w14:textId="695BDD98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1D7CC2">
              <w:rPr>
                <w:rFonts w:ascii="Lato" w:hAnsi="Lato" w:cstheme="majorHAnsi"/>
                <w:color w:val="000000"/>
                <w:sz w:val="18"/>
                <w:szCs w:val="18"/>
              </w:rPr>
              <w:t>Nadciśnienie tętnicze u osób dorosłych, w przypadkach innych niż określono w ChPL.</w:t>
            </w:r>
          </w:p>
        </w:tc>
        <w:tc>
          <w:tcPr>
            <w:tcW w:w="1405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ECC380" w14:textId="77777777" w:rsidR="00AC63C8" w:rsidRPr="001D7CC2" w:rsidRDefault="00AC63C8" w:rsidP="00AC63C8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</w:p>
        </w:tc>
      </w:tr>
    </w:tbl>
    <w:p w14:paraId="6B996492" w14:textId="0986F7C0" w:rsidR="009D10B8" w:rsidRDefault="009D10B8" w:rsidP="0068046C">
      <w:pPr>
        <w:suppressAutoHyphens w:val="0"/>
        <w:rPr>
          <w:rFonts w:ascii="Lato" w:hAnsi="Lato"/>
          <w:b/>
          <w:bCs/>
          <w:color w:val="00B0F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421"/>
        <w:gridCol w:w="5673"/>
        <w:gridCol w:w="5209"/>
      </w:tblGrid>
      <w:tr w:rsidR="0044187C" w:rsidRPr="0044187C" w14:paraId="7261B702" w14:textId="77777777" w:rsidTr="0044187C">
        <w:trPr>
          <w:trHeight w:val="328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5D1E57" w14:textId="7CDDB6DC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4187C">
              <w:rPr>
                <w:rFonts w:ascii="Lato" w:hAnsi="Lato" w:cstheme="majorHAnsi"/>
                <w:b/>
                <w:bCs/>
                <w:color w:val="FFFFFF"/>
              </w:rPr>
              <w:t>Zmiany na liście 75+</w:t>
            </w:r>
          </w:p>
        </w:tc>
      </w:tr>
      <w:tr w:rsidR="0044187C" w:rsidRPr="0044187C" w14:paraId="5D0AE08F" w14:textId="77777777" w:rsidTr="0044187C">
        <w:tc>
          <w:tcPr>
            <w:tcW w:w="24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B6CBE7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65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B92047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Substancja czynna</w:t>
            </w:r>
          </w:p>
        </w:tc>
        <w:tc>
          <w:tcPr>
            <w:tcW w:w="202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828F3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Wskazanie refundacyjne</w:t>
            </w:r>
          </w:p>
        </w:tc>
        <w:tc>
          <w:tcPr>
            <w:tcW w:w="186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E7AE00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20"/>
                <w:szCs w:val="20"/>
              </w:rPr>
              <w:t>Dodatkowe informacje</w:t>
            </w:r>
          </w:p>
        </w:tc>
      </w:tr>
      <w:tr w:rsidR="0044187C" w:rsidRPr="0044187C" w14:paraId="074E9916" w14:textId="77777777" w:rsidTr="0044187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55AE63" w14:textId="77777777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0FB6AD" w14:textId="7B8DABD4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insulina </w:t>
            </w: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degludec</w:t>
            </w:r>
            <w:proofErr w:type="spellEnd"/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DFD2DA" w14:textId="4C0021E3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Cukrzyca typu I u dorosłych; cukrzyca typu 2 u dorosłych pacjentów leczonych insuliną NPH od co najmniej 6 miesięcy i z HbA1c ≥7,5% oraz cukrzyca typu 2 u dorosłych pacjentów leczonych insuliną NPH od co najmniej 6 miesięcy i z udokumentowanymi nawracającymi epizodami ciężkiej lub nocnej hipoglikemii oraz cukrzyca o znanej przyczynie (zgodnie z definicją wg WHO); cukrzyca typu I u dzieci powyżej 1. roku życia i młodzieży; cukrzyca typu 2 u dzieci powyżej 1. roku życia i młodzieży leczonych insuliną NPH od co najmniej 6 miesięcy i z HbA1c ≥7,5% oraz cukrzyca typu 2 u dzieci powyżej 1. roku życia i młodzieży leczonych insuliną NPH od co najmniej 6 miesięcy i z udokumentowanymi nawracającymi epizodami ciężkiej lub nocnej hipoglikemii oraz cukrzyca u dzieci powyżej 1. roku życia i młodzieży o znanej przyczynie (zgodnie z definicją wg WHO)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A8E464" w14:textId="4EC900AB" w:rsidR="0044187C" w:rsidRPr="0044187C" w:rsidRDefault="00D16B26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Zwiększe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nie dostępności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refundacyjnej 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do leczenia długodziałającą insulin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degludec</w:t>
            </w:r>
            <w:proofErr w:type="spellEnd"/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w terapii cukrzycy, u pacjentów 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po ukończeniu 75. roku życia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4187C" w:rsidRPr="0044187C" w14:paraId="38B5BA3B" w14:textId="77777777" w:rsidTr="0044187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49872" w14:textId="4B5E214A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8F8DF" w14:textId="57325105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formoterol</w:t>
            </w:r>
            <w:proofErr w:type="spellEnd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fumaranu</w:t>
            </w:r>
            <w:proofErr w:type="spellEnd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dwuwodnego + bromek </w:t>
            </w: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glikopironiowy</w:t>
            </w:r>
            <w:proofErr w:type="spellEnd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budezonid</w:t>
            </w:r>
            <w:proofErr w:type="spellEnd"/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06A57" w14:textId="405B1B43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Leczenie podtrzymujące u pacjentów dorosłych z umiarkowaną lub ciężką przewlekłą obturacyjną chorobą płuc (</w:t>
            </w:r>
            <w:proofErr w:type="spellStart"/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POChP</w:t>
            </w:r>
            <w:proofErr w:type="spellEnd"/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5C51A9" w14:textId="63D94F06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Zwiększenie dostępności</w:t>
            </w:r>
            <w:r w:rsid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refundacyjnej do nowej technologii medycznej w leczeniu </w:t>
            </w: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umiarkowan</w:t>
            </w:r>
            <w:r w:rsidR="00D16B26">
              <w:rPr>
                <w:rFonts w:ascii="Lato" w:hAnsi="Lato" w:cstheme="majorHAnsi"/>
                <w:color w:val="000000"/>
                <w:sz w:val="18"/>
                <w:szCs w:val="18"/>
              </w:rPr>
              <w:t>ej</w:t>
            </w: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lub ciężk</w:t>
            </w:r>
            <w:r w:rsidR="00D16B26">
              <w:rPr>
                <w:rFonts w:ascii="Lato" w:hAnsi="Lato" w:cstheme="majorHAnsi"/>
                <w:color w:val="000000"/>
                <w:sz w:val="18"/>
                <w:szCs w:val="18"/>
              </w:rPr>
              <w:t>iej</w:t>
            </w: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przewlekł</w:t>
            </w:r>
            <w:r w:rsidR="00FE2114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ej </w:t>
            </w: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obturacyjn</w:t>
            </w:r>
            <w:r w:rsidR="00FE2114">
              <w:rPr>
                <w:rFonts w:ascii="Lato" w:hAnsi="Lato" w:cstheme="majorHAnsi"/>
                <w:color w:val="000000"/>
                <w:sz w:val="18"/>
                <w:szCs w:val="18"/>
              </w:rPr>
              <w:t>ej</w:t>
            </w: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chorob</w:t>
            </w:r>
            <w:r w:rsidR="00FE2114">
              <w:rPr>
                <w:rFonts w:ascii="Lato" w:hAnsi="Lato" w:cstheme="majorHAnsi"/>
                <w:color w:val="000000"/>
                <w:sz w:val="18"/>
                <w:szCs w:val="18"/>
              </w:rPr>
              <w:t>y</w:t>
            </w: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płuc (</w:t>
            </w:r>
            <w:proofErr w:type="spellStart"/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POChP</w:t>
            </w:r>
            <w:proofErr w:type="spellEnd"/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)</w:t>
            </w:r>
            <w:r w:rsid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, u pacjentów </w:t>
            </w:r>
            <w:r w:rsidR="00D16B26"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po ukończeniu 75. roku życia</w:t>
            </w:r>
            <w:r w:rsidR="00D16B26">
              <w:rPr>
                <w:rFonts w:ascii="Lato" w:hAnsi="Lato" w:cstheme="majorHAnsi"/>
                <w:color w:val="000000"/>
                <w:sz w:val="18"/>
                <w:szCs w:val="18"/>
              </w:rPr>
              <w:t>.</w:t>
            </w:r>
          </w:p>
        </w:tc>
      </w:tr>
      <w:tr w:rsidR="00417744" w:rsidRPr="0044187C" w14:paraId="65FA5B55" w14:textId="77777777" w:rsidTr="0044187C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B1951" w14:textId="5883840D" w:rsidR="00417744" w:rsidRPr="0044187C" w:rsidRDefault="00417744" w:rsidP="004177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3.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0227" w14:textId="59264A53" w:rsidR="00417744" w:rsidRPr="0044187C" w:rsidRDefault="00417744" w:rsidP="00417744">
            <w:pPr>
              <w:spacing w:before="60" w:after="60" w:line="240" w:lineRule="auto"/>
              <w:jc w:val="center"/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vaccinum</w:t>
            </w:r>
            <w:proofErr w:type="spellEnd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influenzae</w:t>
            </w:r>
            <w:proofErr w:type="spellEnd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inactivatum</w:t>
            </w:r>
            <w:proofErr w:type="spellEnd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ex </w:t>
            </w: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corticis</w:t>
            </w:r>
            <w:proofErr w:type="spellEnd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antigeniis</w:t>
            </w:r>
            <w:proofErr w:type="spellEnd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praeparatum</w:t>
            </w:r>
            <w:proofErr w:type="spellEnd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Szczepionka przeciw grypie (antygen powierzchniowy), inaktywowana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A882E" w14:textId="2CFE4911" w:rsidR="00417744" w:rsidRPr="0044187C" w:rsidRDefault="00417744" w:rsidP="004177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729C5" w14:textId="3245CEC5" w:rsidR="00417744" w:rsidRDefault="00417744" w:rsidP="00417744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/>
                <w:sz w:val="18"/>
                <w:szCs w:val="18"/>
              </w:rPr>
              <w:t>Rozszerzenie wskazania refundacyjnego do pełnego zakresu wskazań zgodnie z rejestracją szczepionki.</w:t>
            </w:r>
          </w:p>
        </w:tc>
      </w:tr>
    </w:tbl>
    <w:p w14:paraId="061449E6" w14:textId="77777777" w:rsidR="0044187C" w:rsidRDefault="0044187C" w:rsidP="0068046C">
      <w:pPr>
        <w:suppressAutoHyphens w:val="0"/>
        <w:rPr>
          <w:rFonts w:ascii="Lato" w:hAnsi="Lato"/>
          <w:b/>
          <w:bCs/>
          <w:color w:val="00B0F0"/>
        </w:rPr>
      </w:pPr>
    </w:p>
    <w:p w14:paraId="04A035DA" w14:textId="377ED479" w:rsidR="00847656" w:rsidRDefault="00847656">
      <w:pPr>
        <w:suppressAutoHyphens w:val="0"/>
        <w:rPr>
          <w:rFonts w:ascii="Lato" w:hAnsi="Lato"/>
          <w:b/>
          <w:bCs/>
          <w:color w:val="00B0F0"/>
        </w:rPr>
      </w:pPr>
      <w:r>
        <w:rPr>
          <w:rFonts w:ascii="Lato" w:hAnsi="Lato"/>
          <w:b/>
          <w:bCs/>
          <w:color w:val="00B0F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10" w:type="dxa"/>
          <w:bottom w:w="57" w:type="dxa"/>
          <w:right w:w="10" w:type="dxa"/>
        </w:tblCellMar>
        <w:tblLook w:val="04A0" w:firstRow="1" w:lastRow="0" w:firstColumn="1" w:lastColumn="0" w:noHBand="0" w:noVBand="1"/>
      </w:tblPr>
      <w:tblGrid>
        <w:gridCol w:w="691"/>
        <w:gridCol w:w="2421"/>
        <w:gridCol w:w="5673"/>
        <w:gridCol w:w="5209"/>
      </w:tblGrid>
      <w:tr w:rsidR="0044187C" w:rsidRPr="0044187C" w14:paraId="185CED0C" w14:textId="77777777" w:rsidTr="0044187C">
        <w:trPr>
          <w:trHeight w:val="328"/>
        </w:trPr>
        <w:tc>
          <w:tcPr>
            <w:tcW w:w="5000" w:type="pct"/>
            <w:gridSpan w:val="4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3EE826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FFFFFF"/>
              </w:rPr>
            </w:pPr>
            <w:r w:rsidRPr="0044187C">
              <w:rPr>
                <w:rFonts w:ascii="Lato" w:hAnsi="Lato" w:cstheme="majorHAnsi"/>
                <w:b/>
                <w:bCs/>
                <w:color w:val="FFFFFF"/>
              </w:rPr>
              <w:lastRenderedPageBreak/>
              <w:t>Zmiany na liście Ciąża+</w:t>
            </w:r>
          </w:p>
        </w:tc>
      </w:tr>
      <w:tr w:rsidR="0044187C" w:rsidRPr="0044187C" w14:paraId="3549AA0B" w14:textId="77777777" w:rsidTr="00FE2114">
        <w:tc>
          <w:tcPr>
            <w:tcW w:w="24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FEA6C6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Lp.</w:t>
            </w:r>
          </w:p>
        </w:tc>
        <w:tc>
          <w:tcPr>
            <w:tcW w:w="865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50C35C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Substancja czynna</w:t>
            </w:r>
          </w:p>
        </w:tc>
        <w:tc>
          <w:tcPr>
            <w:tcW w:w="2027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637A8F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Wskazanie refundacyjne</w:t>
            </w:r>
          </w:p>
        </w:tc>
        <w:tc>
          <w:tcPr>
            <w:tcW w:w="1861" w:type="pct"/>
            <w:shd w:val="clear" w:color="auto" w:fill="A7E8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61AD7E" w14:textId="77777777" w:rsidR="0044187C" w:rsidRPr="0044187C" w:rsidRDefault="0044187C">
            <w:pPr>
              <w:spacing w:before="60" w:after="60" w:line="240" w:lineRule="auto"/>
              <w:jc w:val="center"/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</w:pPr>
            <w:r w:rsidRPr="0044187C">
              <w:rPr>
                <w:rFonts w:ascii="Lato" w:hAnsi="Lato" w:cstheme="majorHAnsi"/>
                <w:b/>
                <w:bCs/>
                <w:color w:val="000000"/>
                <w:sz w:val="19"/>
                <w:szCs w:val="19"/>
              </w:rPr>
              <w:t>Dodatkowe informacje</w:t>
            </w:r>
          </w:p>
        </w:tc>
      </w:tr>
      <w:tr w:rsidR="0044187C" w:rsidRPr="0044187C" w14:paraId="7D929597" w14:textId="77777777" w:rsidTr="00FE2114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0D37B8" w14:textId="77777777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1.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1F71E0" w14:textId="1FC16778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insulina </w:t>
            </w: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degludec</w:t>
            </w:r>
            <w:proofErr w:type="spellEnd"/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6064A8" w14:textId="18584512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Cukrzyca typu I u dorosłych; cukrzyca typu 2 u dorosłych pacjentów leczonych insuliną NPH od co najmniej 6 miesięcy i z HbA1c ≥7,5% oraz cukrzyca typu 2 u dorosłych pacjentów leczonych insuliną NPH od co najmniej 6 miesięcy i z udokumentowanymi nawracającymi epizodami ciężkiej lub nocnej hipoglikemii oraz cukrzyca o znanej przyczynie (zgodnie z definicją wg WHO); cukrzyca typu I u dzieci powyżej 1. roku życia i młodzieży; cukrzyca typu 2 u dzieci powyżej 1. roku życia i młodzieży leczonych insuliną NPH od co najmniej 6 miesięcy i z HbA1c ≥7,5% oraz cukrzyca typu 2 u dzieci powyżej 1. roku życia i młodzieży leczonych insuliną NPH od co najmniej 6 miesięcy i z udokumentowanymi nawracającymi epizodami ciężkiej lub nocnej hipoglikemii oraz cukrzyca u dzieci powyżej 1. roku życia i młodzieży o znanej przyczynie (zgodnie z definicją wg WHO)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026968" w14:textId="1B2E4545" w:rsidR="0044187C" w:rsidRPr="0044187C" w:rsidRDefault="00D16B26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Zwiększe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nie dostępności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refundacyjnej 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do leczenia długodziałającą insulin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ą</w:t>
            </w:r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>degludec</w:t>
            </w:r>
            <w:proofErr w:type="spellEnd"/>
            <w:r w:rsidRPr="00D16B26">
              <w:rPr>
                <w:rFonts w:ascii="Lato" w:hAnsi="Lato" w:cstheme="majorHAnsi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Lato" w:hAnsi="Lato" w:cstheme="majorHAnsi"/>
                <w:color w:val="000000"/>
                <w:sz w:val="18"/>
                <w:szCs w:val="18"/>
              </w:rPr>
              <w:t>w terapii cukrzycy, u pacjentek w okresie ciąży.</w:t>
            </w:r>
          </w:p>
        </w:tc>
      </w:tr>
      <w:tr w:rsidR="0044187C" w:rsidRPr="0044187C" w14:paraId="5BDED456" w14:textId="77777777" w:rsidTr="00FE2114">
        <w:tc>
          <w:tcPr>
            <w:tcW w:w="2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12D50D" w14:textId="4B1A2FD8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  <w:sz w:val="18"/>
                <w:szCs w:val="18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2.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402EE" w14:textId="34563B46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vaccinum</w:t>
            </w:r>
            <w:proofErr w:type="spellEnd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influenzae</w:t>
            </w:r>
            <w:proofErr w:type="spellEnd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inactivatum</w:t>
            </w:r>
            <w:proofErr w:type="spellEnd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ex </w:t>
            </w: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corticis</w:t>
            </w:r>
            <w:proofErr w:type="spellEnd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antigeniis</w:t>
            </w:r>
            <w:proofErr w:type="spellEnd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>praeparatum</w:t>
            </w:r>
            <w:proofErr w:type="spellEnd"/>
            <w:r w:rsidRPr="0044187C">
              <w:rPr>
                <w:rFonts w:ascii="Lato" w:hAnsi="Lato" w:cstheme="majorHAnsi"/>
                <w:i/>
                <w:iCs/>
                <w:color w:val="000000"/>
                <w:sz w:val="18"/>
                <w:szCs w:val="18"/>
              </w:rPr>
              <w:t xml:space="preserve"> Szczepionka przeciw grypie (antygen powierzchniowy), inaktywowana</w:t>
            </w:r>
          </w:p>
        </w:tc>
        <w:tc>
          <w:tcPr>
            <w:tcW w:w="2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12894" w14:textId="6B2CC691" w:rsidR="0044187C" w:rsidRPr="0044187C" w:rsidRDefault="0044187C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 w:rsidRPr="0044187C">
              <w:rPr>
                <w:rFonts w:ascii="Lato" w:hAnsi="Lato" w:cstheme="majorHAnsi"/>
                <w:color w:val="000000"/>
                <w:sz w:val="18"/>
                <w:szCs w:val="18"/>
              </w:rPr>
              <w:t>We wszystkich zarejestrowanych wskazaniach na dzień wydania decyzji</w:t>
            </w:r>
          </w:p>
        </w:tc>
        <w:tc>
          <w:tcPr>
            <w:tcW w:w="1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E5E27" w14:textId="5F8ADA47" w:rsidR="0044187C" w:rsidRPr="0044187C" w:rsidRDefault="00D16B26" w:rsidP="0044187C">
            <w:pPr>
              <w:spacing w:before="60" w:after="60" w:line="240" w:lineRule="auto"/>
              <w:jc w:val="center"/>
              <w:rPr>
                <w:rFonts w:ascii="Lato" w:hAnsi="Lato" w:cstheme="majorHAnsi"/>
                <w:color w:val="000000"/>
              </w:rPr>
            </w:pPr>
            <w:r>
              <w:rPr>
                <w:rFonts w:ascii="Lato" w:hAnsi="Lato"/>
                <w:sz w:val="18"/>
                <w:szCs w:val="18"/>
              </w:rPr>
              <w:t>Rozszerzenie wskazania refundacyjnego do pełnego zakresu wskazań zgodnie z rejestracją szczepionki.</w:t>
            </w:r>
          </w:p>
        </w:tc>
      </w:tr>
    </w:tbl>
    <w:p w14:paraId="1D7F914C" w14:textId="709D529F" w:rsidR="0044187C" w:rsidRDefault="0044187C">
      <w:pPr>
        <w:suppressAutoHyphens w:val="0"/>
        <w:rPr>
          <w:rFonts w:ascii="Lato" w:hAnsi="Lato"/>
          <w:b/>
          <w:bCs/>
          <w:color w:val="00B0F0"/>
        </w:rPr>
      </w:pPr>
    </w:p>
    <w:p w14:paraId="47EF3534" w14:textId="77777777" w:rsidR="0044187C" w:rsidRDefault="0044187C" w:rsidP="0017308D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</w:p>
    <w:p w14:paraId="712F91B5" w14:textId="76D79800" w:rsidR="0017308D" w:rsidRPr="001D7CC2" w:rsidRDefault="0017308D" w:rsidP="0017308D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1D7CC2">
        <w:rPr>
          <w:rFonts w:ascii="Lato" w:hAnsi="Lato"/>
          <w:b/>
          <w:bCs/>
          <w:color w:val="00B0F0"/>
          <w:sz w:val="28"/>
          <w:szCs w:val="28"/>
        </w:rPr>
        <w:t>INFORMACJA DOTYCZĄCA ZMIAN W KATEGORYZACJI OPATRUNKÓW SPECJALISTYCZNYCH</w:t>
      </w:r>
    </w:p>
    <w:p w14:paraId="61423C7E" w14:textId="4B12CA5A" w:rsidR="00BC6BE8" w:rsidRDefault="001757EA" w:rsidP="007105F2">
      <w:pPr>
        <w:spacing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 xml:space="preserve">Od </w:t>
      </w:r>
      <w:r w:rsidR="0017308D" w:rsidRPr="001D7CC2">
        <w:rPr>
          <w:rFonts w:ascii="Lato" w:hAnsi="Lato"/>
        </w:rPr>
        <w:t xml:space="preserve">1 lipca 2023 r. </w:t>
      </w:r>
      <w:r w:rsidR="00D7141D">
        <w:rPr>
          <w:rFonts w:ascii="Lato" w:hAnsi="Lato"/>
        </w:rPr>
        <w:t>zostanie</w:t>
      </w:r>
      <w:r>
        <w:rPr>
          <w:rFonts w:ascii="Lato" w:hAnsi="Lato"/>
        </w:rPr>
        <w:t xml:space="preserve"> </w:t>
      </w:r>
      <w:r w:rsidR="0017308D" w:rsidRPr="001D7CC2">
        <w:rPr>
          <w:rFonts w:ascii="Lato" w:hAnsi="Lato"/>
        </w:rPr>
        <w:t>przyję</w:t>
      </w:r>
      <w:r w:rsidR="00D7141D">
        <w:rPr>
          <w:rFonts w:ascii="Lato" w:hAnsi="Lato"/>
        </w:rPr>
        <w:t>ta</w:t>
      </w:r>
      <w:r w:rsidR="0017308D" w:rsidRPr="001D7CC2">
        <w:rPr>
          <w:rFonts w:ascii="Lato" w:hAnsi="Lato"/>
        </w:rPr>
        <w:t xml:space="preserve"> now</w:t>
      </w:r>
      <w:r w:rsidR="00D7141D">
        <w:rPr>
          <w:rFonts w:ascii="Lato" w:hAnsi="Lato"/>
        </w:rPr>
        <w:t>a</w:t>
      </w:r>
      <w:r w:rsidR="0017308D" w:rsidRPr="001D7CC2">
        <w:rPr>
          <w:rFonts w:ascii="Lato" w:hAnsi="Lato"/>
        </w:rPr>
        <w:t xml:space="preserve"> kategoryzacj</w:t>
      </w:r>
      <w:r w:rsidR="00D7141D">
        <w:rPr>
          <w:rFonts w:ascii="Lato" w:hAnsi="Lato"/>
        </w:rPr>
        <w:t xml:space="preserve">a </w:t>
      </w:r>
      <w:r w:rsidR="0017308D" w:rsidRPr="001D7CC2">
        <w:rPr>
          <w:rFonts w:ascii="Lato" w:hAnsi="Lato"/>
        </w:rPr>
        <w:t>opatrunków specjalistycznych dostępnych w aptece na receptę, co doprowadzi do wyróżnienia 30 grup limitowych.</w:t>
      </w:r>
      <w:r w:rsidR="002E3EB8" w:rsidRPr="001D7CC2">
        <w:rPr>
          <w:rFonts w:ascii="Lato" w:hAnsi="Lato"/>
        </w:rPr>
        <w:t xml:space="preserve"> Obecnie opatrunki specjalistyczne skategoryzowane są w 14 grupach limitowych. Konsekwencją rozszerzenia grup limitowych będzie precyzyjne klasyfikowanie poszczególnych produktów pod względem technologicznym.</w:t>
      </w:r>
    </w:p>
    <w:tbl>
      <w:tblPr>
        <w:tblW w:w="1405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3028"/>
        <w:gridCol w:w="1522"/>
        <w:gridCol w:w="1541"/>
        <w:gridCol w:w="6408"/>
      </w:tblGrid>
      <w:tr w:rsidR="00DE677B" w:rsidRPr="00BC6BE8" w14:paraId="5F851033" w14:textId="77777777" w:rsidTr="003B099F">
        <w:trPr>
          <w:trHeight w:val="300"/>
        </w:trPr>
        <w:tc>
          <w:tcPr>
            <w:tcW w:w="458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285809A3" w14:textId="26DD6C42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>69W</w:t>
            </w:r>
            <w:r w:rsidR="003B099F"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 xml:space="preserve"> (obecnie)</w:t>
            </w:r>
          </w:p>
        </w:tc>
        <w:tc>
          <w:tcPr>
            <w:tcW w:w="152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4149" w14:textId="27D7AC46" w:rsidR="00DE677B" w:rsidRPr="00BC6BE8" w:rsidRDefault="00D75FAD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  <w:r w:rsidRPr="00BC6BE8">
              <w:rPr>
                <w:rFonts w:eastAsia="Times New Roman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70434E51" wp14:editId="642C255C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-300990</wp:posOffset>
                      </wp:positionV>
                      <wp:extent cx="695325" cy="352425"/>
                      <wp:effectExtent l="0" t="19050" r="47625" b="47625"/>
                      <wp:wrapNone/>
                      <wp:docPr id="9" name="Strzałka: w praw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524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2381"/>
                                </a:avLst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type w14:anchorId="0451565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załka: w prawo 9" o:spid="_x0000_s1026" type="#_x0000_t13" style="position:absolute;margin-left:9.3pt;margin-top:-23.7pt;width:54.75pt;height:27.7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" adj="10391" fillcolor="#00b0f0" strokecolor="#1f3763 [1604]" strokeweight="1pt"/>
                  </w:pict>
                </mc:Fallback>
              </mc:AlternateContent>
            </w:r>
          </w:p>
        </w:tc>
        <w:tc>
          <w:tcPr>
            <w:tcW w:w="7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F0"/>
            <w:vAlign w:val="center"/>
          </w:tcPr>
          <w:p w14:paraId="4280BAA4" w14:textId="57EDBB72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>70W</w:t>
            </w:r>
            <w:r w:rsidR="003B099F"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 xml:space="preserve"> (projekt obwieszczenia)</w:t>
            </w:r>
          </w:p>
        </w:tc>
      </w:tr>
      <w:tr w:rsidR="003B099F" w:rsidRPr="00BC6BE8" w14:paraId="5811BEB5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2C914AFB" w14:textId="341EA229" w:rsidR="00DE677B" w:rsidRPr="00DE677B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</w:pPr>
            <w:r w:rsidRPr="00BC6BE8"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>Identyfikator grupy limitowej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B0F0"/>
            <w:vAlign w:val="center"/>
          </w:tcPr>
          <w:p w14:paraId="5CF637C1" w14:textId="163FC076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>Nazwa grupy limitowej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00B0F0"/>
            <w:vAlign w:val="center"/>
          </w:tcPr>
          <w:p w14:paraId="6CC5C645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A543921" w14:textId="07B3F103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>Identyfikator grupy limitowej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C208EC4" w14:textId="1D31C780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b/>
                <w:bCs/>
                <w:color w:val="FFFFFF"/>
                <w:sz w:val="19"/>
                <w:szCs w:val="19"/>
                <w:lang w:eastAsia="pl-PL"/>
              </w:rPr>
              <w:t>Nazwa grupy limitowej</w:t>
            </w:r>
          </w:p>
        </w:tc>
      </w:tr>
      <w:tr w:rsidR="003B099F" w:rsidRPr="00BC6BE8" w14:paraId="38160C4B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B6094" w14:textId="2407B07E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220.1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44BE65" w14:textId="560AA99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Opatrunki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alginianowe</w:t>
            </w:r>
            <w:proofErr w:type="spellEnd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i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hydrowłókienne</w:t>
            </w:r>
            <w:proofErr w:type="spellEnd"/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748FE1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954B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8A1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Opatrunki do ran z wysiękiem - opatrunki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alginianowe</w:t>
            </w:r>
            <w:proofErr w:type="spellEnd"/>
          </w:p>
        </w:tc>
      </w:tr>
      <w:tr w:rsidR="003B099F" w:rsidRPr="00BC6BE8" w14:paraId="1C753109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E274F5" w14:textId="270D8D41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ADC16E" w14:textId="4DF0CF08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Opatrunki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hydrokoloidowe</w:t>
            </w:r>
            <w:proofErr w:type="spellEnd"/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E27E6B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801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725E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 dużym wysiękiem - o właściwościach absorpcji płynu wysiękowego bezpośrednio do wnętrza struktury włókna</w:t>
            </w:r>
          </w:p>
        </w:tc>
      </w:tr>
      <w:tr w:rsidR="003B099F" w:rsidRPr="00BC6BE8" w14:paraId="627DE89C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E6E941" w14:textId="0669716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lastRenderedPageBreak/>
              <w:t>220.3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8F4B49" w14:textId="16302CAD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regulujące poziom wilgotności rany z dodatkami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482634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E8E4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6120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 wysiękiem - o właściwościach umożliwiających zachowanie stałego, wilgotnego środowiska wewnątrz rany dzięki wykorzystaniu budowy lipidowej</w:t>
            </w:r>
          </w:p>
        </w:tc>
      </w:tr>
      <w:tr w:rsidR="003B099F" w:rsidRPr="00BC6BE8" w14:paraId="518869E2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519B9D" w14:textId="0CEFC53F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CBA1F0" w14:textId="656ECC9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poliuretanowe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104E19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11415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C655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Opatrunki do ran z wysiękiem - o właściwościach umożliwiających zachowanie stałego, wilgotnego środowiska wewnątrz rany dzięki wykorzystaniu budowy lipidowej z dodatkiem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nanooligosacharydów</w:t>
            </w:r>
            <w:proofErr w:type="spellEnd"/>
          </w:p>
        </w:tc>
      </w:tr>
      <w:tr w:rsidR="003B099F" w:rsidRPr="00BC6BE8" w14:paraId="6D88A0BE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52F48A" w14:textId="686474FD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7C527B" w14:textId="70E8F250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hydrożelowe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2753EB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4641F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1F17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 wysiękiem - piankowe z warstwami funkcjonalnymi</w:t>
            </w:r>
          </w:p>
        </w:tc>
      </w:tr>
      <w:tr w:rsidR="003B099F" w:rsidRPr="00BC6BE8" w14:paraId="47FB5D2F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8B7C4E" w14:textId="1CFC62FA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220.6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2C89BC" w14:textId="196DCFFD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regulujące poziom wilgotności rany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6ACE37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0055B" w14:textId="785C750A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50D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 wysiękiem i podatnych na uszkodzenie – piankowe posiadające silikonową warstwę kontaktową</w:t>
            </w:r>
          </w:p>
        </w:tc>
      </w:tr>
      <w:tr w:rsidR="003B099F" w:rsidRPr="00BC6BE8" w14:paraId="7EE5E345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2A633" w14:textId="5747DC40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220.7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1EA900" w14:textId="7AD970B8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przeciwbakteryjne zawierające jony srebra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64640D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32C49" w14:textId="3C045722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261.7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C9B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niechłonne do ran podatnych na uszkodzenie</w:t>
            </w:r>
            <w:r w:rsidRPr="00BC6B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 </w:t>
            </w: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– piankowe przekazujące wysięk do opatrunku wtórnego, posiadające</w:t>
            </w:r>
            <w:r w:rsidRPr="00BC6B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 </w:t>
            </w: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warstwy funkcjonalne</w:t>
            </w:r>
          </w:p>
        </w:tc>
      </w:tr>
      <w:tr w:rsidR="003B099F" w:rsidRPr="00BC6BE8" w14:paraId="6CA7F6BB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CD430" w14:textId="1F806565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220.8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7514AC" w14:textId="1BBEA71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z węglem aktywowanym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0A6DF28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BBEC0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261.8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18E9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niechłonne do ran podatnych na uszkodzenie – siatkowe przekazujące wysięk do opatrunku wtórnego, posiadające dodatkowe właściwości funkcjonalne</w:t>
            </w:r>
          </w:p>
        </w:tc>
      </w:tr>
      <w:tr w:rsidR="003B099F" w:rsidRPr="00BC6BE8" w14:paraId="329700BC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14B30" w14:textId="2F3D8E4B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220.9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9E2F9A" w14:textId="6788B03B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kolagenowe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D95058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11F8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261.9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41718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Opatrunki do ran z wysiękiem - z pianki poliuretanowej z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kalaminą</w:t>
            </w:r>
            <w:proofErr w:type="spellEnd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lub cynkiem oraz kohezyjną opaską kompresyjną</w:t>
            </w:r>
          </w:p>
        </w:tc>
      </w:tr>
      <w:tr w:rsidR="003B099F" w:rsidRPr="00BC6BE8" w14:paraId="54057A84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040070" w14:textId="274CA092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220.10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91C837" w14:textId="513D7DB6" w:rsidR="00DE677B" w:rsidRPr="00BC6BE8" w:rsidRDefault="007F3296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eastAsia="Times New Roman" w:cs="Calibri"/>
                <w:noProof/>
                <w:color w:val="00000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1BC8793" wp14:editId="3DF9131A">
                      <wp:simplePos x="0" y="0"/>
                      <wp:positionH relativeFrom="column">
                        <wp:posOffset>2032635</wp:posOffset>
                      </wp:positionH>
                      <wp:positionV relativeFrom="paragraph">
                        <wp:posOffset>40005</wp:posOffset>
                      </wp:positionV>
                      <wp:extent cx="695325" cy="352425"/>
                      <wp:effectExtent l="0" t="19050" r="47625" b="47625"/>
                      <wp:wrapNone/>
                      <wp:docPr id="2" name="Strzałka: w praw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5325" cy="35242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102381"/>
                                </a:avLst>
                              </a:prstGeom>
                              <a:solidFill>
                                <a:srgbClr val="00B0F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shape w14:anchorId="67FCE86F" id="Strzałka: w prawo 2" o:spid="_x0000_s1026" type="#_x0000_t13" style="position:absolute;margin-left:160.05pt;margin-top:3.15pt;width:54.75pt;height:27.7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" adj="10391" fillcolor="#00b0f0" strokecolor="#1f3763 [1604]" strokeweight="1pt"/>
                  </w:pict>
                </mc:Fallback>
              </mc:AlternateContent>
            </w:r>
            <w:r w:rsidR="00DE677B"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przeciwbakteryjne zawierające jony srebra pochłaniające i zatrzymujące wysięk z rany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BAC5A9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E2E0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261.10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5763B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Opatrunki do mechanicznego oczyszczania rany - z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mikrowłókniny</w:t>
            </w:r>
            <w:proofErr w:type="spellEnd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z kwasem hialuronowym i fosfolipidami</w:t>
            </w:r>
          </w:p>
        </w:tc>
      </w:tr>
      <w:tr w:rsidR="003B099F" w:rsidRPr="00BC6BE8" w14:paraId="6EB0FB4B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3A05EC" w14:textId="06C1B61F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220.12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02251F" w14:textId="1E30CD3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w postaci żelu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56EFCE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A67A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261.11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69BBB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 wysiękiem i podatnych na uszkodzenie – piankowe posiadające hydrożelową warstwę kontaktową</w:t>
            </w:r>
          </w:p>
        </w:tc>
      </w:tr>
      <w:tr w:rsidR="003B099F" w:rsidRPr="00BC6BE8" w14:paraId="3FF0A6D7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A56C74" w14:textId="0FB30229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220.13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E4986" w14:textId="15AA405C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przeciwbakteryjne zawierające nanokrystaliczne srebro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977A09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19BB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262.1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06DC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Opatrunki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wysokochłonne</w:t>
            </w:r>
            <w:proofErr w:type="spellEnd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do ran z wysiękiem – o właściwościach wysokiej absorbcji i retencji wysięku dzięki wykorzystaniu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superabsorbentu</w:t>
            </w:r>
            <w:proofErr w:type="spellEnd"/>
          </w:p>
        </w:tc>
      </w:tr>
      <w:tr w:rsidR="003B099F" w:rsidRPr="00BC6BE8" w14:paraId="16D231FB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3D5263" w14:textId="1BD5CCF2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220.14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8E4FFE" w14:textId="2C341F59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przeciwbakteryjne zawierające jony srebra regulujące poziom wilgotności rany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B9FADA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676A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262.2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1BB7A" w14:textId="3F3A0792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Opatrunki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wysokochłonne</w:t>
            </w:r>
            <w:proofErr w:type="spellEnd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do ran z wysiękiem – o właściwościach wysokiej absorbcji i retencji wysięku dzięki wykorzystaniu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superabsorbentu</w:t>
            </w:r>
            <w:proofErr w:type="spellEnd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, posiadające silikonową warstwę kontaktową</w:t>
            </w:r>
          </w:p>
        </w:tc>
      </w:tr>
      <w:tr w:rsidR="003B099F" w:rsidRPr="00BC6BE8" w14:paraId="4015C8E7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42AED" w14:textId="46E26FC4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220.15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7F772E" w14:textId="77E684EC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biopolimerowe</w:t>
            </w:r>
          </w:p>
        </w:tc>
        <w:tc>
          <w:tcPr>
            <w:tcW w:w="15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B0BD237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color w:val="00000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C4BCB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263.1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46CF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wymagających aktywnego oczyszczania – o działaniu płuczącym i absorpcyjnym</w:t>
            </w:r>
          </w:p>
        </w:tc>
      </w:tr>
      <w:tr w:rsidR="003B099F" w:rsidRPr="00BC6BE8" w14:paraId="3D2F90EF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C91917" w14:textId="46096F9A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D452A9" w14:textId="5E8F99BA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3E5ED" w14:textId="50E13683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88858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263.2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36A3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w postaci pasty lub żelu bez substancji przeciwdrobnoustrojowych</w:t>
            </w:r>
          </w:p>
        </w:tc>
      </w:tr>
      <w:tr w:rsidR="003B099F" w:rsidRPr="00BC6BE8" w14:paraId="65C82B27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F47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882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896E" w14:textId="3236BCB1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9F018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264.1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C85D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chłonne do ran zakażonych z wysiękiem - piankowe z zawartością PHMB</w:t>
            </w:r>
          </w:p>
        </w:tc>
      </w:tr>
      <w:tr w:rsidR="003B099F" w:rsidRPr="00BC6BE8" w14:paraId="04FFEE97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C5607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D22BB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A581E" w14:textId="588038A1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5E3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264.2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29D0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niechłonne</w:t>
            </w:r>
            <w:r w:rsidRPr="00BC6B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 </w:t>
            </w: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do ran zakażonych – z substancją przeciwdrobnoustrojową w postaci srebra nanokrystalicznego</w:t>
            </w:r>
          </w:p>
        </w:tc>
      </w:tr>
      <w:tr w:rsidR="003B099F" w:rsidRPr="00BC6BE8" w14:paraId="4F3696E5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0DBC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CB26B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8B2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7968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264.3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B61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niechłonne do ran zakażonych - siatkowe zawierające PVP-jod i glikol polietylenowy</w:t>
            </w:r>
          </w:p>
        </w:tc>
      </w:tr>
      <w:tr w:rsidR="003B099F" w:rsidRPr="00BC6BE8" w14:paraId="2536A3C4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BE88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5647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BE2D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A92D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264.4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630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chłonne z węglem aktywowanym</w:t>
            </w:r>
          </w:p>
        </w:tc>
      </w:tr>
      <w:tr w:rsidR="003B099F" w:rsidRPr="00BC6BE8" w14:paraId="44A3100A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4DB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3A2E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D3297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A86F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264.5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7E5A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zakażonych ze srebrem metalicznym</w:t>
            </w:r>
          </w:p>
        </w:tc>
      </w:tr>
      <w:tr w:rsidR="003B099F" w:rsidRPr="00BC6BE8" w14:paraId="78C42AB4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2294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A6487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F63F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9C04E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264.6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3738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Opatrunki do ran zakażonych z kwasem hialuronowym i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dichlorowodorkiem</w:t>
            </w:r>
            <w:proofErr w:type="spellEnd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oktenidyny</w:t>
            </w:r>
            <w:proofErr w:type="spellEnd"/>
          </w:p>
        </w:tc>
      </w:tr>
      <w:tr w:rsidR="003B099F" w:rsidRPr="00BC6BE8" w14:paraId="448C728B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36B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307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E6C1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49C2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265.1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80F3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Opatrunki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wysokochłonne</w:t>
            </w:r>
            <w:proofErr w:type="spellEnd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do ran zakażonych z wysiękiem o właściwościach żelujących, absorbujących lub zatrzymujących wysięk w strukturze włókna - ze srebrem</w:t>
            </w:r>
          </w:p>
        </w:tc>
      </w:tr>
      <w:tr w:rsidR="003B099F" w:rsidRPr="00BC6BE8" w14:paraId="3F2E04B6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15D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A9130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E0800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8E97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265.2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03B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Opatrunki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wysokochłonne</w:t>
            </w:r>
            <w:proofErr w:type="spellEnd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do ran zakażonych z wysiękiem - piankowe z warstwami funkcjonalnymi i srebrem</w:t>
            </w:r>
          </w:p>
        </w:tc>
      </w:tr>
      <w:tr w:rsidR="003B099F" w:rsidRPr="00BC6BE8" w14:paraId="764F7217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7838C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E6BFF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032F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C0EB2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265.3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92EA6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zakażonych z wysiękiem - z aktywnym węglem i srebrem</w:t>
            </w:r>
          </w:p>
        </w:tc>
      </w:tr>
      <w:tr w:rsidR="003B099F" w:rsidRPr="00BC6BE8" w14:paraId="609463A8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8C9C0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AC14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67998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39FA5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265.4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7E9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Opatrunki do ran zakażonych z wysiękiem-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alginianowe</w:t>
            </w:r>
            <w:proofErr w:type="spellEnd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ze srebrem</w:t>
            </w:r>
          </w:p>
        </w:tc>
      </w:tr>
      <w:tr w:rsidR="003B099F" w:rsidRPr="00BC6BE8" w14:paraId="025591DB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FFBD9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D892D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458E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3F37B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266.1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93DE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w postaci pasty, maści lub żelu -</w:t>
            </w:r>
            <w:r w:rsidRPr="00BC6B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 </w:t>
            </w: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zawierające</w:t>
            </w:r>
            <w:r w:rsidRPr="00BC6B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 </w:t>
            </w: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substancje</w:t>
            </w:r>
            <w:r w:rsidRPr="00BC6BE8"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  <w:t> </w:t>
            </w: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przeciwdrobnoustrojowe</w:t>
            </w:r>
          </w:p>
        </w:tc>
      </w:tr>
      <w:tr w:rsidR="003B099F" w:rsidRPr="00BC6BE8" w14:paraId="2177A931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28BF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CE4FA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478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8DCEE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267.1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71B9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z wysiękiem bez cech infekcji - zawierające kolagen</w:t>
            </w:r>
          </w:p>
        </w:tc>
      </w:tr>
      <w:tr w:rsidR="003B099F" w:rsidRPr="00BC6BE8" w14:paraId="00ADDC23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6E4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C88F5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F492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96F8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267.2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7D2C7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Opatrunki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hydrokoloidowe</w:t>
            </w:r>
            <w:proofErr w:type="spellEnd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do ran bez cech infekcji, z wysiękiem – o właściwościach żelujących w kontakcie z wysiękiem</w:t>
            </w:r>
          </w:p>
        </w:tc>
      </w:tr>
      <w:tr w:rsidR="003B099F" w:rsidRPr="00BC6BE8" w14:paraId="7195E328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D4E7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E5F8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2EF68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73D90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267.3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19821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Opatrunki </w:t>
            </w:r>
            <w:proofErr w:type="spellStart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biowchłanialne</w:t>
            </w:r>
            <w:proofErr w:type="spellEnd"/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 xml:space="preserve"> do ran bez cech infekcji</w:t>
            </w:r>
          </w:p>
        </w:tc>
      </w:tr>
      <w:tr w:rsidR="003B099F" w:rsidRPr="00BC6BE8" w14:paraId="5E30E720" w14:textId="77777777" w:rsidTr="003B099F">
        <w:trPr>
          <w:trHeight w:val="361"/>
        </w:trPr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6613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BA25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21614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C1D4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268.1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99D35" w14:textId="77777777" w:rsidR="00DE677B" w:rsidRPr="00BC6BE8" w:rsidRDefault="00DE677B" w:rsidP="00DE677B">
            <w:pPr>
              <w:suppressAutoHyphens w:val="0"/>
              <w:autoSpaceDN/>
              <w:spacing w:after="0" w:line="240" w:lineRule="auto"/>
              <w:jc w:val="center"/>
              <w:textAlignment w:val="auto"/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</w:pPr>
            <w:r w:rsidRPr="00BC6BE8">
              <w:rPr>
                <w:rFonts w:ascii="Lato" w:eastAsia="Times New Roman" w:hAnsi="Lato" w:cs="Calibri"/>
                <w:color w:val="000000"/>
                <w:sz w:val="18"/>
                <w:szCs w:val="18"/>
                <w:lang w:eastAsia="pl-PL"/>
              </w:rPr>
              <w:t>Opatrunki do ran wymagających odpowiedniego poziomu uwodnienia – o właściwościach nawilżających i absorpcyjnych</w:t>
            </w:r>
          </w:p>
        </w:tc>
      </w:tr>
    </w:tbl>
    <w:p w14:paraId="3990EAE4" w14:textId="77777777" w:rsidR="00BE502D" w:rsidRDefault="00BE502D" w:rsidP="00FC32EF">
      <w:pPr>
        <w:spacing w:after="120" w:line="360" w:lineRule="auto"/>
        <w:jc w:val="both"/>
        <w:rPr>
          <w:rFonts w:ascii="Lato" w:hAnsi="Lato"/>
        </w:rPr>
      </w:pPr>
    </w:p>
    <w:p w14:paraId="61CE0410" w14:textId="77777777" w:rsidR="00847656" w:rsidRDefault="00847656" w:rsidP="00FC32EF">
      <w:pPr>
        <w:spacing w:after="120" w:line="360" w:lineRule="auto"/>
        <w:jc w:val="both"/>
        <w:rPr>
          <w:rFonts w:ascii="Lato" w:hAnsi="Lato"/>
        </w:rPr>
      </w:pPr>
    </w:p>
    <w:p w14:paraId="46AD44EF" w14:textId="4A2CF3C7" w:rsidR="00FC32EF" w:rsidRPr="00FC32EF" w:rsidRDefault="0017308D" w:rsidP="00FC32EF">
      <w:pPr>
        <w:spacing w:after="120" w:line="360" w:lineRule="auto"/>
        <w:jc w:val="both"/>
        <w:rPr>
          <w:rFonts w:ascii="Lato" w:hAnsi="Lato"/>
        </w:rPr>
      </w:pPr>
      <w:r w:rsidRPr="001D7CC2">
        <w:rPr>
          <w:rFonts w:ascii="Lato" w:hAnsi="Lato"/>
        </w:rPr>
        <w:t>Powyższa klasyfikacja opiera się na określeniu stanu mikrobiologicznego rany, stopnia wysięku oraz zróżnicowania opatrunków pod względem technologicznym. Zaimplementowanie przedmiotowej zmiany spowoduje znaczny spadek dopłat pacjentów do refundowanych opatrunków specjalistycznych w porównaniu z dotychczas obowiązującym podziałem.</w:t>
      </w:r>
      <w:r w:rsidR="00FC32EF" w:rsidRPr="00FC32EF">
        <w:rPr>
          <w:rFonts w:ascii="Lato" w:hAnsi="Lato"/>
        </w:rPr>
        <w:t xml:space="preserve"> Szacowane oszczędności dla polskich pacjentów wzrosną o </w:t>
      </w:r>
      <w:r w:rsidR="00FC32EF" w:rsidRPr="00420732">
        <w:rPr>
          <w:rFonts w:ascii="Lato" w:hAnsi="Lato"/>
          <w:b/>
          <w:bCs/>
        </w:rPr>
        <w:t>prawie 20%</w:t>
      </w:r>
      <w:r w:rsidR="00FC32EF" w:rsidRPr="00FC32EF">
        <w:rPr>
          <w:rFonts w:ascii="Lato" w:hAnsi="Lato"/>
        </w:rPr>
        <w:t xml:space="preserve"> w porównaniu do aktualnego scenariusza i wyniosą </w:t>
      </w:r>
      <w:r w:rsidR="007F3296">
        <w:rPr>
          <w:rFonts w:ascii="Lato" w:hAnsi="Lato"/>
        </w:rPr>
        <w:t xml:space="preserve">ok. </w:t>
      </w:r>
      <w:r w:rsidR="00FC32EF" w:rsidRPr="00420732">
        <w:rPr>
          <w:rFonts w:ascii="Lato" w:hAnsi="Lato"/>
          <w:b/>
          <w:bCs/>
        </w:rPr>
        <w:t>7,96 mln zł rocznie</w:t>
      </w:r>
      <w:r w:rsidR="00FC32EF" w:rsidRPr="00FC32EF">
        <w:rPr>
          <w:rFonts w:ascii="Lato" w:hAnsi="Lato"/>
        </w:rPr>
        <w:t>.</w:t>
      </w:r>
    </w:p>
    <w:p w14:paraId="65AC703A" w14:textId="557D742F" w:rsidR="0017308D" w:rsidRDefault="007F3296" w:rsidP="007105F2">
      <w:pPr>
        <w:spacing w:after="120" w:line="360" w:lineRule="auto"/>
        <w:jc w:val="both"/>
        <w:rPr>
          <w:rFonts w:ascii="Lato" w:hAnsi="Lato"/>
        </w:rPr>
      </w:pPr>
      <w:r>
        <w:rPr>
          <w:rFonts w:ascii="Lato" w:hAnsi="Lato"/>
        </w:rPr>
        <w:t>Koordynacja wielopłaszczyznowych działań w</w:t>
      </w:r>
      <w:r w:rsidR="00FC32EF" w:rsidRPr="00FC32EF">
        <w:rPr>
          <w:rFonts w:ascii="Lato" w:hAnsi="Lato"/>
        </w:rPr>
        <w:t>prowadz</w:t>
      </w:r>
      <w:r>
        <w:rPr>
          <w:rFonts w:ascii="Lato" w:hAnsi="Lato"/>
        </w:rPr>
        <w:t>ających</w:t>
      </w:r>
      <w:r w:rsidR="00FC32EF" w:rsidRPr="00FC32EF">
        <w:rPr>
          <w:rFonts w:ascii="Lato" w:hAnsi="Lato"/>
        </w:rPr>
        <w:t xml:space="preserve"> now</w:t>
      </w:r>
      <w:r>
        <w:rPr>
          <w:rFonts w:ascii="Lato" w:hAnsi="Lato"/>
        </w:rPr>
        <w:t>ą</w:t>
      </w:r>
      <w:r w:rsidR="00FC32EF" w:rsidRPr="00FC32EF">
        <w:rPr>
          <w:rFonts w:ascii="Lato" w:hAnsi="Lato"/>
        </w:rPr>
        <w:t xml:space="preserve"> kategoryzacj</w:t>
      </w:r>
      <w:r>
        <w:rPr>
          <w:rFonts w:ascii="Lato" w:hAnsi="Lato"/>
        </w:rPr>
        <w:t>ę</w:t>
      </w:r>
      <w:r w:rsidR="00FC32EF" w:rsidRPr="00FC32EF">
        <w:rPr>
          <w:rFonts w:ascii="Lato" w:hAnsi="Lato"/>
        </w:rPr>
        <w:t xml:space="preserve"> opatrunków specjalistycznych </w:t>
      </w:r>
      <w:r>
        <w:rPr>
          <w:rFonts w:ascii="Lato" w:hAnsi="Lato"/>
        </w:rPr>
        <w:t xml:space="preserve">stanowiła </w:t>
      </w:r>
      <w:r w:rsidR="00417744">
        <w:rPr>
          <w:rFonts w:ascii="Lato" w:hAnsi="Lato"/>
        </w:rPr>
        <w:t xml:space="preserve">ogromne </w:t>
      </w:r>
      <w:r>
        <w:rPr>
          <w:rFonts w:ascii="Lato" w:hAnsi="Lato"/>
        </w:rPr>
        <w:t xml:space="preserve">wyzwanie, bowiem wymagała wszczęcia </w:t>
      </w:r>
      <w:r w:rsidR="00FC32EF" w:rsidRPr="00420732">
        <w:rPr>
          <w:rFonts w:ascii="Lato" w:hAnsi="Lato"/>
          <w:b/>
          <w:bCs/>
        </w:rPr>
        <w:t>477 postepowań</w:t>
      </w:r>
      <w:r w:rsidRPr="00420732">
        <w:rPr>
          <w:rFonts w:ascii="Lato" w:hAnsi="Lato"/>
          <w:b/>
          <w:bCs/>
        </w:rPr>
        <w:t xml:space="preserve"> administracyjnych</w:t>
      </w:r>
      <w:r w:rsidR="00FC32EF" w:rsidRPr="00FC32EF">
        <w:rPr>
          <w:rFonts w:ascii="Lato" w:hAnsi="Lato"/>
        </w:rPr>
        <w:t xml:space="preserve"> w zakresie zmian obowiązujących </w:t>
      </w:r>
      <w:r>
        <w:rPr>
          <w:rFonts w:ascii="Lato" w:hAnsi="Lato"/>
        </w:rPr>
        <w:t xml:space="preserve">dotychczas </w:t>
      </w:r>
      <w:r w:rsidR="00FC32EF" w:rsidRPr="00FC32EF">
        <w:rPr>
          <w:rFonts w:ascii="Lato" w:hAnsi="Lato"/>
        </w:rPr>
        <w:t>decyzji refundacyjnych</w:t>
      </w:r>
      <w:r>
        <w:rPr>
          <w:rFonts w:ascii="Lato" w:hAnsi="Lato"/>
        </w:rPr>
        <w:t>.</w:t>
      </w:r>
      <w:r w:rsidR="00784E31">
        <w:rPr>
          <w:rFonts w:ascii="Lato" w:hAnsi="Lato"/>
        </w:rPr>
        <w:t xml:space="preserve"> Realizacja </w:t>
      </w:r>
      <w:r w:rsidR="00784E31" w:rsidRPr="00784E31">
        <w:rPr>
          <w:rFonts w:ascii="Lato" w:hAnsi="Lato"/>
        </w:rPr>
        <w:t>przedsięwziętych</w:t>
      </w:r>
      <w:r w:rsidR="00784E31">
        <w:rPr>
          <w:rFonts w:ascii="Lato" w:hAnsi="Lato"/>
        </w:rPr>
        <w:t xml:space="preserve"> założeń we wspomnianym zakresie jest przykładem</w:t>
      </w:r>
      <w:r w:rsidR="00FC32EF" w:rsidRPr="00FC32EF">
        <w:rPr>
          <w:rFonts w:ascii="Lato" w:hAnsi="Lato"/>
        </w:rPr>
        <w:t xml:space="preserve"> </w:t>
      </w:r>
      <w:r w:rsidR="00784E31" w:rsidRPr="00420732">
        <w:rPr>
          <w:rFonts w:ascii="Lato" w:hAnsi="Lato"/>
          <w:b/>
          <w:bCs/>
        </w:rPr>
        <w:t>wzorowej</w:t>
      </w:r>
      <w:r w:rsidR="00FC32EF" w:rsidRPr="00420732">
        <w:rPr>
          <w:rFonts w:ascii="Lato" w:hAnsi="Lato"/>
          <w:b/>
          <w:bCs/>
        </w:rPr>
        <w:t xml:space="preserve"> współpracy</w:t>
      </w:r>
      <w:r w:rsidR="00FC32EF" w:rsidRPr="00FC32EF">
        <w:rPr>
          <w:rFonts w:ascii="Lato" w:hAnsi="Lato"/>
        </w:rPr>
        <w:t xml:space="preserve"> Ministerstwa Zdrowia, A</w:t>
      </w:r>
      <w:r>
        <w:rPr>
          <w:rFonts w:ascii="Lato" w:hAnsi="Lato"/>
        </w:rPr>
        <w:t xml:space="preserve">gencji </w:t>
      </w:r>
      <w:r w:rsidR="00FC32EF" w:rsidRPr="00FC32EF">
        <w:rPr>
          <w:rFonts w:ascii="Lato" w:hAnsi="Lato"/>
        </w:rPr>
        <w:t>O</w:t>
      </w:r>
      <w:r>
        <w:rPr>
          <w:rFonts w:ascii="Lato" w:hAnsi="Lato"/>
        </w:rPr>
        <w:t xml:space="preserve">ceny </w:t>
      </w:r>
      <w:r w:rsidR="00FC32EF" w:rsidRPr="00FC32EF">
        <w:rPr>
          <w:rFonts w:ascii="Lato" w:hAnsi="Lato"/>
        </w:rPr>
        <w:t>T</w:t>
      </w:r>
      <w:r>
        <w:rPr>
          <w:rFonts w:ascii="Lato" w:hAnsi="Lato"/>
        </w:rPr>
        <w:t xml:space="preserve">echnologii </w:t>
      </w:r>
      <w:r w:rsidR="00FC32EF" w:rsidRPr="00FC32EF">
        <w:rPr>
          <w:rFonts w:ascii="Lato" w:hAnsi="Lato"/>
        </w:rPr>
        <w:t>M</w:t>
      </w:r>
      <w:r>
        <w:rPr>
          <w:rFonts w:ascii="Lato" w:hAnsi="Lato"/>
        </w:rPr>
        <w:t xml:space="preserve">edycznych </w:t>
      </w:r>
      <w:r w:rsidR="00FC32EF" w:rsidRPr="00FC32EF">
        <w:rPr>
          <w:rFonts w:ascii="Lato" w:hAnsi="Lato"/>
        </w:rPr>
        <w:t>i</w:t>
      </w:r>
      <w:r>
        <w:rPr>
          <w:rFonts w:ascii="Lato" w:hAnsi="Lato"/>
        </w:rPr>
        <w:t xml:space="preserve"> </w:t>
      </w:r>
      <w:r w:rsidR="00FC32EF" w:rsidRPr="00FC32EF">
        <w:rPr>
          <w:rFonts w:ascii="Lato" w:hAnsi="Lato"/>
        </w:rPr>
        <w:t>T</w:t>
      </w:r>
      <w:r>
        <w:rPr>
          <w:rFonts w:ascii="Lato" w:hAnsi="Lato"/>
        </w:rPr>
        <w:t>aryfikacji</w:t>
      </w:r>
      <w:r w:rsidR="00FC32EF" w:rsidRPr="00FC32EF">
        <w:rPr>
          <w:rFonts w:ascii="Lato" w:hAnsi="Lato"/>
        </w:rPr>
        <w:t xml:space="preserve"> oraz podmiotów odpowiedzialnych</w:t>
      </w:r>
      <w:r w:rsidR="00784E31">
        <w:rPr>
          <w:rFonts w:ascii="Lato" w:hAnsi="Lato"/>
        </w:rPr>
        <w:t xml:space="preserve"> zaangażowanych w dostarczanie refundowanych opatrunków specjalistycznych.</w:t>
      </w:r>
      <w:r w:rsidR="00FC32EF" w:rsidRPr="00FC32EF">
        <w:rPr>
          <w:rFonts w:ascii="Lato" w:hAnsi="Lato"/>
        </w:rPr>
        <w:t> </w:t>
      </w:r>
    </w:p>
    <w:p w14:paraId="5432C952" w14:textId="77777777" w:rsidR="00847656" w:rsidRDefault="00847656" w:rsidP="007105F2">
      <w:pPr>
        <w:spacing w:after="120" w:line="360" w:lineRule="auto"/>
        <w:jc w:val="both"/>
        <w:rPr>
          <w:rFonts w:ascii="Lato" w:hAnsi="Lato"/>
        </w:rPr>
      </w:pPr>
    </w:p>
    <w:p w14:paraId="1480AD19" w14:textId="277D481D" w:rsidR="00847656" w:rsidRDefault="00847656">
      <w:pPr>
        <w:suppressAutoHyphens w:val="0"/>
        <w:rPr>
          <w:rFonts w:ascii="Lato" w:hAnsi="Lato"/>
        </w:rPr>
      </w:pPr>
      <w:r>
        <w:rPr>
          <w:rFonts w:ascii="Lato" w:hAnsi="Lato"/>
        </w:rPr>
        <w:br w:type="page"/>
      </w:r>
    </w:p>
    <w:p w14:paraId="4CF9F9D6" w14:textId="7C5A316A" w:rsidR="00AA369A" w:rsidRPr="001D7CC2" w:rsidRDefault="00AA369A" w:rsidP="00AA369A">
      <w:pPr>
        <w:jc w:val="center"/>
        <w:rPr>
          <w:rFonts w:ascii="Lato" w:hAnsi="Lato"/>
          <w:b/>
          <w:bCs/>
          <w:color w:val="00B0F0"/>
          <w:sz w:val="28"/>
          <w:szCs w:val="28"/>
        </w:rPr>
      </w:pPr>
      <w:r w:rsidRPr="001D7CC2">
        <w:rPr>
          <w:rFonts w:ascii="Lato" w:hAnsi="Lato"/>
          <w:b/>
          <w:bCs/>
          <w:color w:val="00B0F0"/>
          <w:sz w:val="28"/>
          <w:szCs w:val="28"/>
        </w:rPr>
        <w:lastRenderedPageBreak/>
        <w:t>INFORMACJA DOTYCZĄCA WSKAZANIA OFF-LABEL ZŁOŻONYCH LEKÓW HIPOTENSYJNYCH</w:t>
      </w:r>
    </w:p>
    <w:p w14:paraId="5257CE3D" w14:textId="2AE9C69F" w:rsidR="006F0AB8" w:rsidRDefault="007105F2" w:rsidP="007A07FC">
      <w:pPr>
        <w:spacing w:after="120" w:line="360" w:lineRule="auto"/>
        <w:jc w:val="both"/>
        <w:rPr>
          <w:rFonts w:ascii="Lato" w:hAnsi="Lato"/>
        </w:rPr>
      </w:pPr>
      <w:r w:rsidRPr="001D7CC2">
        <w:rPr>
          <w:rFonts w:ascii="Lato" w:hAnsi="Lato"/>
        </w:rPr>
        <w:t xml:space="preserve">We współpracy z Konsultantem Krajowym w dziedzinie </w:t>
      </w:r>
      <w:proofErr w:type="spellStart"/>
      <w:r w:rsidRPr="001D7CC2">
        <w:rPr>
          <w:rFonts w:ascii="Lato" w:hAnsi="Lato"/>
        </w:rPr>
        <w:t>hipertensjologii</w:t>
      </w:r>
      <w:proofErr w:type="spellEnd"/>
      <w:r w:rsidRPr="001D7CC2">
        <w:rPr>
          <w:rFonts w:ascii="Lato" w:hAnsi="Lato"/>
        </w:rPr>
        <w:t xml:space="preserve"> od 1 lipca 2023 r. </w:t>
      </w:r>
      <w:r w:rsidR="00D7141D">
        <w:rPr>
          <w:rFonts w:ascii="Lato" w:hAnsi="Lato"/>
        </w:rPr>
        <w:t>nastąpi</w:t>
      </w:r>
      <w:r w:rsidR="009F4A69">
        <w:rPr>
          <w:rFonts w:ascii="Lato" w:hAnsi="Lato"/>
        </w:rPr>
        <w:t xml:space="preserve"> </w:t>
      </w:r>
      <w:r w:rsidR="00AC63C8" w:rsidRPr="001D7CC2">
        <w:rPr>
          <w:rFonts w:ascii="Lato" w:hAnsi="Lato"/>
        </w:rPr>
        <w:t>rozszerz</w:t>
      </w:r>
      <w:r w:rsidR="00AC63C8">
        <w:rPr>
          <w:rFonts w:ascii="Lato" w:hAnsi="Lato"/>
        </w:rPr>
        <w:t>e</w:t>
      </w:r>
      <w:r w:rsidR="00AC63C8" w:rsidRPr="001D7CC2">
        <w:rPr>
          <w:rFonts w:ascii="Lato" w:hAnsi="Lato"/>
        </w:rPr>
        <w:t>n</w:t>
      </w:r>
      <w:r w:rsidR="00AC63C8">
        <w:rPr>
          <w:rFonts w:ascii="Lato" w:hAnsi="Lato"/>
        </w:rPr>
        <w:t>ie</w:t>
      </w:r>
      <w:r w:rsidR="00AC63C8" w:rsidRPr="001D7CC2">
        <w:rPr>
          <w:rFonts w:ascii="Lato" w:hAnsi="Lato"/>
        </w:rPr>
        <w:t xml:space="preserve"> </w:t>
      </w:r>
      <w:r w:rsidRPr="001D7CC2">
        <w:rPr>
          <w:rFonts w:ascii="Lato" w:hAnsi="Lato"/>
        </w:rPr>
        <w:t>zakres</w:t>
      </w:r>
      <w:r w:rsidR="009F4A69">
        <w:rPr>
          <w:rFonts w:ascii="Lato" w:hAnsi="Lato"/>
        </w:rPr>
        <w:t>u</w:t>
      </w:r>
      <w:r w:rsidRPr="001D7CC2">
        <w:rPr>
          <w:rFonts w:ascii="Lato" w:hAnsi="Lato"/>
        </w:rPr>
        <w:t xml:space="preserve"> wskazań refundacyjnych wobec </w:t>
      </w:r>
      <w:r w:rsidRPr="00420732">
        <w:rPr>
          <w:rFonts w:ascii="Lato" w:hAnsi="Lato"/>
          <w:b/>
          <w:bCs/>
        </w:rPr>
        <w:t>238 produktów złożonych</w:t>
      </w:r>
      <w:r w:rsidRPr="001D7CC2">
        <w:rPr>
          <w:rFonts w:ascii="Lato" w:hAnsi="Lato"/>
        </w:rPr>
        <w:t xml:space="preserve"> o działaniu hipotensyjnym zawierających wymienione powyżej substancje czynne o wskazanie </w:t>
      </w:r>
      <w:proofErr w:type="spellStart"/>
      <w:r w:rsidRPr="001D7CC2">
        <w:rPr>
          <w:rFonts w:ascii="Lato" w:hAnsi="Lato"/>
        </w:rPr>
        <w:t>pozarejestracyjne</w:t>
      </w:r>
      <w:proofErr w:type="spellEnd"/>
      <w:r w:rsidRPr="001D7CC2">
        <w:rPr>
          <w:rFonts w:ascii="Lato" w:hAnsi="Lato"/>
        </w:rPr>
        <w:t xml:space="preserve"> </w:t>
      </w:r>
      <w:r w:rsidRPr="001D7CC2">
        <w:rPr>
          <w:rFonts w:ascii="Lato" w:hAnsi="Lato"/>
          <w:i/>
          <w:iCs/>
        </w:rPr>
        <w:t>„nadciśnienie tętnicze u osób dorosłych, w przypadkach innych niż określono w ChPL”</w:t>
      </w:r>
      <w:r w:rsidRPr="001D7CC2">
        <w:rPr>
          <w:rFonts w:ascii="Lato" w:hAnsi="Lato"/>
        </w:rPr>
        <w:t>. Nowe wskazanie umożliwi stosowanie hipotensyjnych leków złożonych zgodnie z najnowszymi wytycznymi klinicznymi, tj. już w momencie rozpoczynania terapii, a także w momencie jej zmiany i intensyfikowania leczenia. Zdaniem ekspertów klinicznych stosowanie produktów dwu- lub trójskładnikowych poprawia szeroko pojętą efektywność terapii nadciśnienia tętniczego.</w:t>
      </w:r>
      <w:r w:rsidR="00105C74">
        <w:rPr>
          <w:rFonts w:ascii="Lato" w:hAnsi="Lato"/>
        </w:rPr>
        <w:t xml:space="preserve"> Przedmiotowe rozszerzenie wskazań refundacyjnych wieloskładnikowych leków stosowanych w nadciśnieniu tętniczym, stanowi największą zmianę w dziedzinie </w:t>
      </w:r>
      <w:proofErr w:type="spellStart"/>
      <w:r w:rsidR="00105C74">
        <w:rPr>
          <w:rFonts w:ascii="Lato" w:hAnsi="Lato"/>
        </w:rPr>
        <w:t>hipertensjologii</w:t>
      </w:r>
      <w:proofErr w:type="spellEnd"/>
      <w:r w:rsidR="00105C74">
        <w:rPr>
          <w:rFonts w:ascii="Lato" w:hAnsi="Lato"/>
        </w:rPr>
        <w:t xml:space="preserve"> na przełomie ostatnich lat. Nowy paradygmat leczenia nadciśnienia tętniczego zapewni lepszy poziom współpracy pacjenta z lekarzem (</w:t>
      </w:r>
      <w:proofErr w:type="spellStart"/>
      <w:r w:rsidR="00105C74" w:rsidRPr="00105C74">
        <w:rPr>
          <w:rFonts w:ascii="Lato" w:hAnsi="Lato"/>
          <w:i/>
          <w:iCs/>
        </w:rPr>
        <w:t>compliance</w:t>
      </w:r>
      <w:proofErr w:type="spellEnd"/>
      <w:r w:rsidR="00105C74">
        <w:rPr>
          <w:rFonts w:ascii="Lato" w:hAnsi="Lato"/>
        </w:rPr>
        <w:t xml:space="preserve">) i postępowanie zgodne z </w:t>
      </w:r>
      <w:r w:rsidR="008A205E">
        <w:rPr>
          <w:rFonts w:ascii="Lato" w:hAnsi="Lato"/>
        </w:rPr>
        <w:t xml:space="preserve">nowymi </w:t>
      </w:r>
      <w:r w:rsidR="00105C74">
        <w:rPr>
          <w:rFonts w:ascii="Lato" w:hAnsi="Lato"/>
        </w:rPr>
        <w:t>rekomendacjami klinicznymi.</w:t>
      </w:r>
    </w:p>
    <w:p w14:paraId="07886595" w14:textId="7C9DBD9D" w:rsidR="00CC5959" w:rsidRDefault="00CC5959">
      <w:pPr>
        <w:suppressAutoHyphens w:val="0"/>
        <w:rPr>
          <w:rFonts w:ascii="Lato" w:hAnsi="Lato"/>
        </w:rPr>
      </w:pPr>
    </w:p>
    <w:sectPr w:rsidR="00CC5959" w:rsidSect="003A19CF">
      <w:headerReference w:type="first" r:id="rId11"/>
      <w:pgSz w:w="16838" w:h="11906" w:orient="landscape"/>
      <w:pgMar w:top="1157" w:right="1417" w:bottom="993" w:left="1417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AA85F" w14:textId="77777777" w:rsidR="003066C4" w:rsidRDefault="003066C4">
      <w:pPr>
        <w:spacing w:after="0" w:line="240" w:lineRule="auto"/>
      </w:pPr>
      <w:r>
        <w:separator/>
      </w:r>
    </w:p>
  </w:endnote>
  <w:endnote w:type="continuationSeparator" w:id="0">
    <w:p w14:paraId="7152C043" w14:textId="77777777" w:rsidR="003066C4" w:rsidRDefault="00306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8ACDA" w14:textId="77777777" w:rsidR="003066C4" w:rsidRDefault="003066C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4AC834" w14:textId="77777777" w:rsidR="003066C4" w:rsidRDefault="00306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F36CF" w14:textId="4633511D" w:rsidR="005058F2" w:rsidRDefault="00143D0B">
    <w:pPr>
      <w:pStyle w:val="Nagwek"/>
    </w:pPr>
    <w:bookmarkStart w:id="3" w:name="_Hlk74147372"/>
    <w:bookmarkEnd w:id="3"/>
    <w:r>
      <w:rPr>
        <w:noProof/>
        <w:lang w:eastAsia="pl-PL"/>
      </w:rPr>
      <w:drawing>
        <wp:inline distT="0" distB="0" distL="0" distR="0" wp14:anchorId="39BB8D04" wp14:editId="6B1DB73B">
          <wp:extent cx="2381885" cy="1061720"/>
          <wp:effectExtent l="0" t="0" r="0" b="0"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owakowski\AppData\Local\Microsoft\Windows\INetCache\Content.Word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163CA"/>
    <w:multiLevelType w:val="hybridMultilevel"/>
    <w:tmpl w:val="0DE0BC64"/>
    <w:lvl w:ilvl="0" w:tplc="CEC4EFEE">
      <w:start w:val="1"/>
      <w:numFmt w:val="bullet"/>
      <w:lvlText w:val="•"/>
      <w:lvlJc w:val="left"/>
      <w:pPr>
        <w:ind w:left="1049" w:firstLine="227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0D2743CD"/>
    <w:multiLevelType w:val="hybridMultilevel"/>
    <w:tmpl w:val="C2FA7544"/>
    <w:lvl w:ilvl="0" w:tplc="04150001">
      <w:start w:val="1"/>
      <w:numFmt w:val="bullet"/>
      <w:lvlText w:val=""/>
      <w:lvlJc w:val="left"/>
      <w:pPr>
        <w:ind w:left="-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7" w:hanging="360"/>
      </w:pPr>
      <w:rPr>
        <w:rFonts w:ascii="Wingdings" w:hAnsi="Wingdings" w:hint="default"/>
      </w:rPr>
    </w:lvl>
  </w:abstractNum>
  <w:abstractNum w:abstractNumId="2" w15:restartNumberingAfterBreak="0">
    <w:nsid w:val="0D4553D4"/>
    <w:multiLevelType w:val="hybridMultilevel"/>
    <w:tmpl w:val="414EAA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E0EDD"/>
    <w:multiLevelType w:val="hybridMultilevel"/>
    <w:tmpl w:val="AD006D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F2875"/>
    <w:multiLevelType w:val="hybridMultilevel"/>
    <w:tmpl w:val="1EC49BCA"/>
    <w:lvl w:ilvl="0" w:tplc="5A3E6A7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83431"/>
    <w:multiLevelType w:val="hybridMultilevel"/>
    <w:tmpl w:val="ABB6E3FC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A42910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757CAC"/>
    <w:multiLevelType w:val="multilevel"/>
    <w:tmpl w:val="0A84EA6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8" w15:restartNumberingAfterBreak="0">
    <w:nsid w:val="1E346ADB"/>
    <w:multiLevelType w:val="multilevel"/>
    <w:tmpl w:val="887C7392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9" w15:restartNumberingAfterBreak="0">
    <w:nsid w:val="21DA6EA0"/>
    <w:multiLevelType w:val="multilevel"/>
    <w:tmpl w:val="CEDA0004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  <w:b w:val="0"/>
        <w:bCs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  <w:b w:val="0"/>
        <w:bCs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2BF91E53"/>
    <w:multiLevelType w:val="hybridMultilevel"/>
    <w:tmpl w:val="E0781596"/>
    <w:lvl w:ilvl="0" w:tplc="FC0269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F3043"/>
    <w:multiLevelType w:val="hybridMultilevel"/>
    <w:tmpl w:val="7F041AF0"/>
    <w:lvl w:ilvl="0" w:tplc="07E64A30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0" w:hanging="360"/>
      </w:pPr>
    </w:lvl>
    <w:lvl w:ilvl="2" w:tplc="0415001B" w:tentative="1">
      <w:start w:val="1"/>
      <w:numFmt w:val="lowerRoman"/>
      <w:lvlText w:val="%3."/>
      <w:lvlJc w:val="right"/>
      <w:pPr>
        <w:ind w:left="1850" w:hanging="180"/>
      </w:pPr>
    </w:lvl>
    <w:lvl w:ilvl="3" w:tplc="0415000F" w:tentative="1">
      <w:start w:val="1"/>
      <w:numFmt w:val="decimal"/>
      <w:lvlText w:val="%4."/>
      <w:lvlJc w:val="left"/>
      <w:pPr>
        <w:ind w:left="2570" w:hanging="360"/>
      </w:pPr>
    </w:lvl>
    <w:lvl w:ilvl="4" w:tplc="04150019" w:tentative="1">
      <w:start w:val="1"/>
      <w:numFmt w:val="lowerLetter"/>
      <w:lvlText w:val="%5."/>
      <w:lvlJc w:val="left"/>
      <w:pPr>
        <w:ind w:left="3290" w:hanging="360"/>
      </w:pPr>
    </w:lvl>
    <w:lvl w:ilvl="5" w:tplc="0415001B" w:tentative="1">
      <w:start w:val="1"/>
      <w:numFmt w:val="lowerRoman"/>
      <w:lvlText w:val="%6."/>
      <w:lvlJc w:val="right"/>
      <w:pPr>
        <w:ind w:left="4010" w:hanging="180"/>
      </w:pPr>
    </w:lvl>
    <w:lvl w:ilvl="6" w:tplc="0415000F" w:tentative="1">
      <w:start w:val="1"/>
      <w:numFmt w:val="decimal"/>
      <w:lvlText w:val="%7."/>
      <w:lvlJc w:val="left"/>
      <w:pPr>
        <w:ind w:left="4730" w:hanging="360"/>
      </w:pPr>
    </w:lvl>
    <w:lvl w:ilvl="7" w:tplc="04150019" w:tentative="1">
      <w:start w:val="1"/>
      <w:numFmt w:val="lowerLetter"/>
      <w:lvlText w:val="%8."/>
      <w:lvlJc w:val="left"/>
      <w:pPr>
        <w:ind w:left="5450" w:hanging="360"/>
      </w:pPr>
    </w:lvl>
    <w:lvl w:ilvl="8" w:tplc="0415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12" w15:restartNumberingAfterBreak="0">
    <w:nsid w:val="393F60CD"/>
    <w:multiLevelType w:val="hybridMultilevel"/>
    <w:tmpl w:val="758009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CE0B82"/>
    <w:multiLevelType w:val="hybridMultilevel"/>
    <w:tmpl w:val="386CFB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3C6885"/>
    <w:multiLevelType w:val="hybridMultilevel"/>
    <w:tmpl w:val="0B8EC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40582"/>
    <w:multiLevelType w:val="hybridMultilevel"/>
    <w:tmpl w:val="19703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1076C3"/>
    <w:multiLevelType w:val="hybridMultilevel"/>
    <w:tmpl w:val="ED322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5F6E8B"/>
    <w:multiLevelType w:val="multilevel"/>
    <w:tmpl w:val="C32AD0A0"/>
    <w:lvl w:ilvl="0">
      <w:start w:val="1"/>
      <w:numFmt w:val="decimal"/>
      <w:suff w:val="space"/>
      <w:lvlText w:val="%1."/>
      <w:lvlJc w:val="left"/>
      <w:pPr>
        <w:ind w:left="227" w:hanging="227"/>
      </w:pPr>
      <w:rPr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b w:val="0"/>
        <w:bCs/>
        <w:strike w:val="0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</w:lvl>
    <w:lvl w:ilvl="7">
      <w:start w:val="1"/>
      <w:numFmt w:val="decimal"/>
      <w:lvlText w:val="%1.%2.%3.%4.%5.%6.%7.%8."/>
      <w:lvlJc w:val="left"/>
      <w:pPr>
        <w:ind w:left="3950" w:hanging="1224"/>
      </w:pPr>
    </w:lvl>
    <w:lvl w:ilvl="8">
      <w:start w:val="1"/>
      <w:numFmt w:val="decimal"/>
      <w:lvlText w:val="%1.%2.%3.%4.%5.%6.%7.%8.%9."/>
      <w:lvlJc w:val="left"/>
      <w:pPr>
        <w:ind w:left="4526" w:hanging="1440"/>
      </w:pPr>
    </w:lvl>
  </w:abstractNum>
  <w:abstractNum w:abstractNumId="18" w15:restartNumberingAfterBreak="0">
    <w:nsid w:val="4EBA728E"/>
    <w:multiLevelType w:val="hybridMultilevel"/>
    <w:tmpl w:val="1748AC5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EF66E36"/>
    <w:multiLevelType w:val="hybridMultilevel"/>
    <w:tmpl w:val="B5C4A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2792B"/>
    <w:multiLevelType w:val="hybridMultilevel"/>
    <w:tmpl w:val="75AA86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B57A3B"/>
    <w:multiLevelType w:val="hybridMultilevel"/>
    <w:tmpl w:val="07C0BF30"/>
    <w:lvl w:ilvl="0" w:tplc="1D247898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FF5C7F"/>
    <w:multiLevelType w:val="hybridMultilevel"/>
    <w:tmpl w:val="5AF27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3F0D0B"/>
    <w:multiLevelType w:val="hybridMultilevel"/>
    <w:tmpl w:val="3A2E6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594C8D"/>
    <w:multiLevelType w:val="hybridMultilevel"/>
    <w:tmpl w:val="10004B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702886"/>
    <w:multiLevelType w:val="hybridMultilevel"/>
    <w:tmpl w:val="03E48064"/>
    <w:lvl w:ilvl="0" w:tplc="0415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6" w15:restartNumberingAfterBreak="0">
    <w:nsid w:val="6DA22F53"/>
    <w:multiLevelType w:val="hybridMultilevel"/>
    <w:tmpl w:val="75B63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08637A"/>
    <w:multiLevelType w:val="hybridMultilevel"/>
    <w:tmpl w:val="35E60092"/>
    <w:lvl w:ilvl="0" w:tplc="CE6EF1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12AB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1AD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DAD0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A7C7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BC0E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2A86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8667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9E94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6C1196"/>
    <w:multiLevelType w:val="hybridMultilevel"/>
    <w:tmpl w:val="CCC41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877EC9"/>
    <w:multiLevelType w:val="hybridMultilevel"/>
    <w:tmpl w:val="7494F4D8"/>
    <w:lvl w:ilvl="0" w:tplc="042C45CE">
      <w:start w:val="1"/>
      <w:numFmt w:val="bullet"/>
      <w:lvlText w:val=""/>
      <w:lvlJc w:val="left"/>
      <w:pPr>
        <w:ind w:left="720" w:firstLine="414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D324C5B"/>
    <w:multiLevelType w:val="hybridMultilevel"/>
    <w:tmpl w:val="01F6A7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DF5DFF"/>
    <w:multiLevelType w:val="hybridMultilevel"/>
    <w:tmpl w:val="A524F6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068946">
    <w:abstractNumId w:val="6"/>
  </w:num>
  <w:num w:numId="2" w16cid:durableId="983047750">
    <w:abstractNumId w:val="4"/>
  </w:num>
  <w:num w:numId="3" w16cid:durableId="912206815">
    <w:abstractNumId w:val="7"/>
  </w:num>
  <w:num w:numId="4" w16cid:durableId="19192415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53262071">
    <w:abstractNumId w:val="24"/>
  </w:num>
  <w:num w:numId="6" w16cid:durableId="1164782895">
    <w:abstractNumId w:val="5"/>
  </w:num>
  <w:num w:numId="7" w16cid:durableId="1764568987">
    <w:abstractNumId w:val="10"/>
  </w:num>
  <w:num w:numId="8" w16cid:durableId="1605840971">
    <w:abstractNumId w:val="11"/>
  </w:num>
  <w:num w:numId="9" w16cid:durableId="969629549">
    <w:abstractNumId w:val="22"/>
  </w:num>
  <w:num w:numId="10" w16cid:durableId="1576276737">
    <w:abstractNumId w:val="1"/>
  </w:num>
  <w:num w:numId="11" w16cid:durableId="409036424">
    <w:abstractNumId w:val="30"/>
  </w:num>
  <w:num w:numId="12" w16cid:durableId="1526747669">
    <w:abstractNumId w:val="3"/>
  </w:num>
  <w:num w:numId="13" w16cid:durableId="1746950255">
    <w:abstractNumId w:val="12"/>
  </w:num>
  <w:num w:numId="14" w16cid:durableId="329715522">
    <w:abstractNumId w:val="14"/>
  </w:num>
  <w:num w:numId="15" w16cid:durableId="1837842867">
    <w:abstractNumId w:val="13"/>
  </w:num>
  <w:num w:numId="16" w16cid:durableId="1970238000">
    <w:abstractNumId w:val="23"/>
  </w:num>
  <w:num w:numId="17" w16cid:durableId="485172914">
    <w:abstractNumId w:val="17"/>
  </w:num>
  <w:num w:numId="18" w16cid:durableId="338780148">
    <w:abstractNumId w:val="8"/>
  </w:num>
  <w:num w:numId="19" w16cid:durableId="1977641737">
    <w:abstractNumId w:val="1"/>
  </w:num>
  <w:num w:numId="20" w16cid:durableId="1099830501">
    <w:abstractNumId w:val="0"/>
  </w:num>
  <w:num w:numId="21" w16cid:durableId="1796680411">
    <w:abstractNumId w:val="20"/>
  </w:num>
  <w:num w:numId="22" w16cid:durableId="1157845039">
    <w:abstractNumId w:val="18"/>
  </w:num>
  <w:num w:numId="23" w16cid:durableId="1318220489">
    <w:abstractNumId w:val="15"/>
  </w:num>
  <w:num w:numId="24" w16cid:durableId="920260999">
    <w:abstractNumId w:val="9"/>
  </w:num>
  <w:num w:numId="25" w16cid:durableId="621838248">
    <w:abstractNumId w:val="26"/>
  </w:num>
  <w:num w:numId="26" w16cid:durableId="592207777">
    <w:abstractNumId w:val="31"/>
  </w:num>
  <w:num w:numId="27" w16cid:durableId="208763397">
    <w:abstractNumId w:val="28"/>
  </w:num>
  <w:num w:numId="28" w16cid:durableId="1937983789">
    <w:abstractNumId w:val="21"/>
  </w:num>
  <w:num w:numId="29" w16cid:durableId="1991709415">
    <w:abstractNumId w:val="25"/>
  </w:num>
  <w:num w:numId="30" w16cid:durableId="69543524">
    <w:abstractNumId w:val="2"/>
  </w:num>
  <w:num w:numId="31" w16cid:durableId="112870105">
    <w:abstractNumId w:val="27"/>
  </w:num>
  <w:num w:numId="32" w16cid:durableId="952902349">
    <w:abstractNumId w:val="16"/>
  </w:num>
  <w:num w:numId="33" w16cid:durableId="13717584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133791833">
    <w:abstractNumId w:val="19"/>
  </w:num>
  <w:num w:numId="35" w16cid:durableId="78558728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8C5"/>
    <w:rsid w:val="00006AE8"/>
    <w:rsid w:val="00007B0B"/>
    <w:rsid w:val="00025C7E"/>
    <w:rsid w:val="00031E9F"/>
    <w:rsid w:val="00033ED5"/>
    <w:rsid w:val="0004009C"/>
    <w:rsid w:val="0005011B"/>
    <w:rsid w:val="00052E44"/>
    <w:rsid w:val="000702E4"/>
    <w:rsid w:val="00070A13"/>
    <w:rsid w:val="00070A89"/>
    <w:rsid w:val="00072314"/>
    <w:rsid w:val="0008118E"/>
    <w:rsid w:val="00083451"/>
    <w:rsid w:val="00086074"/>
    <w:rsid w:val="0009112E"/>
    <w:rsid w:val="00097B17"/>
    <w:rsid w:val="000A4576"/>
    <w:rsid w:val="000A688D"/>
    <w:rsid w:val="000A6B96"/>
    <w:rsid w:val="000B21F0"/>
    <w:rsid w:val="000B32C4"/>
    <w:rsid w:val="000B400E"/>
    <w:rsid w:val="000B7075"/>
    <w:rsid w:val="000C7AA6"/>
    <w:rsid w:val="000D02C0"/>
    <w:rsid w:val="000D2FED"/>
    <w:rsid w:val="000E3BBE"/>
    <w:rsid w:val="000E649C"/>
    <w:rsid w:val="000F077F"/>
    <w:rsid w:val="000F3ED2"/>
    <w:rsid w:val="000F4539"/>
    <w:rsid w:val="000F5E24"/>
    <w:rsid w:val="001030B2"/>
    <w:rsid w:val="00105C74"/>
    <w:rsid w:val="00112121"/>
    <w:rsid w:val="00116DD8"/>
    <w:rsid w:val="001204EA"/>
    <w:rsid w:val="00134D6B"/>
    <w:rsid w:val="0014120D"/>
    <w:rsid w:val="00143D0B"/>
    <w:rsid w:val="00144B55"/>
    <w:rsid w:val="00155C8E"/>
    <w:rsid w:val="00161605"/>
    <w:rsid w:val="00167BD2"/>
    <w:rsid w:val="00170D7F"/>
    <w:rsid w:val="00172790"/>
    <w:rsid w:val="0017308D"/>
    <w:rsid w:val="00173D8E"/>
    <w:rsid w:val="001757EA"/>
    <w:rsid w:val="00180F5C"/>
    <w:rsid w:val="00186CB7"/>
    <w:rsid w:val="00190358"/>
    <w:rsid w:val="001933DE"/>
    <w:rsid w:val="00194CB4"/>
    <w:rsid w:val="001A1A5B"/>
    <w:rsid w:val="001A7E82"/>
    <w:rsid w:val="001B025B"/>
    <w:rsid w:val="001B0859"/>
    <w:rsid w:val="001B354B"/>
    <w:rsid w:val="001B7475"/>
    <w:rsid w:val="001D6485"/>
    <w:rsid w:val="001D7CC2"/>
    <w:rsid w:val="001E2320"/>
    <w:rsid w:val="001E610A"/>
    <w:rsid w:val="001E721F"/>
    <w:rsid w:val="00205C55"/>
    <w:rsid w:val="00206C0B"/>
    <w:rsid w:val="00221A2A"/>
    <w:rsid w:val="002270E2"/>
    <w:rsid w:val="00230BB7"/>
    <w:rsid w:val="0024697E"/>
    <w:rsid w:val="00255E53"/>
    <w:rsid w:val="0026162D"/>
    <w:rsid w:val="00275115"/>
    <w:rsid w:val="00280311"/>
    <w:rsid w:val="00281BE7"/>
    <w:rsid w:val="00286651"/>
    <w:rsid w:val="00287196"/>
    <w:rsid w:val="0029287B"/>
    <w:rsid w:val="0029403F"/>
    <w:rsid w:val="002C0340"/>
    <w:rsid w:val="002C19DE"/>
    <w:rsid w:val="002D55B8"/>
    <w:rsid w:val="002D6ED9"/>
    <w:rsid w:val="002E3EB8"/>
    <w:rsid w:val="002E46AC"/>
    <w:rsid w:val="002F0FB2"/>
    <w:rsid w:val="002F61E3"/>
    <w:rsid w:val="003051DF"/>
    <w:rsid w:val="003066C4"/>
    <w:rsid w:val="0031104C"/>
    <w:rsid w:val="003130CA"/>
    <w:rsid w:val="00326537"/>
    <w:rsid w:val="003357D9"/>
    <w:rsid w:val="00337B00"/>
    <w:rsid w:val="00355899"/>
    <w:rsid w:val="00356E75"/>
    <w:rsid w:val="0035733E"/>
    <w:rsid w:val="00374DBE"/>
    <w:rsid w:val="0037704D"/>
    <w:rsid w:val="0037714E"/>
    <w:rsid w:val="003841AB"/>
    <w:rsid w:val="003935E8"/>
    <w:rsid w:val="003975D4"/>
    <w:rsid w:val="00397AD7"/>
    <w:rsid w:val="003A0F16"/>
    <w:rsid w:val="003A19CF"/>
    <w:rsid w:val="003A5B7D"/>
    <w:rsid w:val="003A6433"/>
    <w:rsid w:val="003B099F"/>
    <w:rsid w:val="003B46BF"/>
    <w:rsid w:val="003D2AE2"/>
    <w:rsid w:val="003D71C6"/>
    <w:rsid w:val="003E6D97"/>
    <w:rsid w:val="003F072E"/>
    <w:rsid w:val="00404F9B"/>
    <w:rsid w:val="00411C64"/>
    <w:rsid w:val="004156E6"/>
    <w:rsid w:val="00415707"/>
    <w:rsid w:val="00416F70"/>
    <w:rsid w:val="0041703B"/>
    <w:rsid w:val="00417744"/>
    <w:rsid w:val="00420732"/>
    <w:rsid w:val="00424755"/>
    <w:rsid w:val="00432CB8"/>
    <w:rsid w:val="004403B4"/>
    <w:rsid w:val="0044187C"/>
    <w:rsid w:val="00446466"/>
    <w:rsid w:val="00447CE9"/>
    <w:rsid w:val="00453B55"/>
    <w:rsid w:val="00457779"/>
    <w:rsid w:val="00466FE8"/>
    <w:rsid w:val="004744CD"/>
    <w:rsid w:val="0048011A"/>
    <w:rsid w:val="004850DC"/>
    <w:rsid w:val="00485DCA"/>
    <w:rsid w:val="00490715"/>
    <w:rsid w:val="00491267"/>
    <w:rsid w:val="00491300"/>
    <w:rsid w:val="00492285"/>
    <w:rsid w:val="00497EC5"/>
    <w:rsid w:val="004A2F20"/>
    <w:rsid w:val="004A2F45"/>
    <w:rsid w:val="004A5135"/>
    <w:rsid w:val="004B2F38"/>
    <w:rsid w:val="004B663A"/>
    <w:rsid w:val="004C35E7"/>
    <w:rsid w:val="004C6292"/>
    <w:rsid w:val="004D093B"/>
    <w:rsid w:val="004D2191"/>
    <w:rsid w:val="004D7DDC"/>
    <w:rsid w:val="004E4723"/>
    <w:rsid w:val="004F3FEF"/>
    <w:rsid w:val="004F6169"/>
    <w:rsid w:val="005058F2"/>
    <w:rsid w:val="00505991"/>
    <w:rsid w:val="00512C38"/>
    <w:rsid w:val="005130EF"/>
    <w:rsid w:val="005143E4"/>
    <w:rsid w:val="0055182D"/>
    <w:rsid w:val="0056748F"/>
    <w:rsid w:val="00574D83"/>
    <w:rsid w:val="005871C9"/>
    <w:rsid w:val="005B06B3"/>
    <w:rsid w:val="005B598A"/>
    <w:rsid w:val="005C1959"/>
    <w:rsid w:val="005C3AA1"/>
    <w:rsid w:val="005C499F"/>
    <w:rsid w:val="005C608D"/>
    <w:rsid w:val="005C6551"/>
    <w:rsid w:val="005D269A"/>
    <w:rsid w:val="005D3140"/>
    <w:rsid w:val="005D5D31"/>
    <w:rsid w:val="005E1D5D"/>
    <w:rsid w:val="005E4CF5"/>
    <w:rsid w:val="005E7898"/>
    <w:rsid w:val="005F3658"/>
    <w:rsid w:val="005F70FE"/>
    <w:rsid w:val="005F7844"/>
    <w:rsid w:val="006008CD"/>
    <w:rsid w:val="00633806"/>
    <w:rsid w:val="00633883"/>
    <w:rsid w:val="00634434"/>
    <w:rsid w:val="006364CD"/>
    <w:rsid w:val="0064109C"/>
    <w:rsid w:val="00642364"/>
    <w:rsid w:val="0064487F"/>
    <w:rsid w:val="00656D7D"/>
    <w:rsid w:val="006648F3"/>
    <w:rsid w:val="00670C14"/>
    <w:rsid w:val="0068046C"/>
    <w:rsid w:val="00680B0E"/>
    <w:rsid w:val="00684F20"/>
    <w:rsid w:val="00687B5F"/>
    <w:rsid w:val="00687E5A"/>
    <w:rsid w:val="006905E7"/>
    <w:rsid w:val="006967BC"/>
    <w:rsid w:val="006A03EB"/>
    <w:rsid w:val="006A2970"/>
    <w:rsid w:val="006A533F"/>
    <w:rsid w:val="006A607B"/>
    <w:rsid w:val="006A7DCE"/>
    <w:rsid w:val="006B1374"/>
    <w:rsid w:val="006C1B62"/>
    <w:rsid w:val="006C452F"/>
    <w:rsid w:val="006C4ED5"/>
    <w:rsid w:val="006D079B"/>
    <w:rsid w:val="006D183E"/>
    <w:rsid w:val="006D1BEB"/>
    <w:rsid w:val="006D336E"/>
    <w:rsid w:val="006D7964"/>
    <w:rsid w:val="006F0AB8"/>
    <w:rsid w:val="006F4125"/>
    <w:rsid w:val="006F498A"/>
    <w:rsid w:val="006F5B7B"/>
    <w:rsid w:val="006F5BEB"/>
    <w:rsid w:val="007105F2"/>
    <w:rsid w:val="007135A8"/>
    <w:rsid w:val="007156F6"/>
    <w:rsid w:val="00715B91"/>
    <w:rsid w:val="007321D8"/>
    <w:rsid w:val="00733AF9"/>
    <w:rsid w:val="00734732"/>
    <w:rsid w:val="00740ABA"/>
    <w:rsid w:val="0074295D"/>
    <w:rsid w:val="00755E27"/>
    <w:rsid w:val="00756089"/>
    <w:rsid w:val="00757CEB"/>
    <w:rsid w:val="00783034"/>
    <w:rsid w:val="00784E31"/>
    <w:rsid w:val="00785A17"/>
    <w:rsid w:val="0078723A"/>
    <w:rsid w:val="007A07FC"/>
    <w:rsid w:val="007A4FB5"/>
    <w:rsid w:val="007B043E"/>
    <w:rsid w:val="007B779C"/>
    <w:rsid w:val="007C4332"/>
    <w:rsid w:val="007C4C95"/>
    <w:rsid w:val="007D0493"/>
    <w:rsid w:val="007D1551"/>
    <w:rsid w:val="007D273D"/>
    <w:rsid w:val="007D6A3A"/>
    <w:rsid w:val="007D6B6F"/>
    <w:rsid w:val="007D74E2"/>
    <w:rsid w:val="007F016E"/>
    <w:rsid w:val="007F0FC0"/>
    <w:rsid w:val="007F3296"/>
    <w:rsid w:val="008008F6"/>
    <w:rsid w:val="008017A7"/>
    <w:rsid w:val="00823875"/>
    <w:rsid w:val="00827817"/>
    <w:rsid w:val="00827986"/>
    <w:rsid w:val="008279BD"/>
    <w:rsid w:val="0084154E"/>
    <w:rsid w:val="00843352"/>
    <w:rsid w:val="00844624"/>
    <w:rsid w:val="008462C0"/>
    <w:rsid w:val="00847656"/>
    <w:rsid w:val="0087118E"/>
    <w:rsid w:val="008771C8"/>
    <w:rsid w:val="00882DCA"/>
    <w:rsid w:val="0088727A"/>
    <w:rsid w:val="00896D35"/>
    <w:rsid w:val="008A205E"/>
    <w:rsid w:val="008A7346"/>
    <w:rsid w:val="008B00C4"/>
    <w:rsid w:val="008B43B0"/>
    <w:rsid w:val="008C0493"/>
    <w:rsid w:val="008C0E92"/>
    <w:rsid w:val="008D45C3"/>
    <w:rsid w:val="008E18D7"/>
    <w:rsid w:val="008E33C7"/>
    <w:rsid w:val="008F1D35"/>
    <w:rsid w:val="008F6309"/>
    <w:rsid w:val="00902F5E"/>
    <w:rsid w:val="009066C7"/>
    <w:rsid w:val="009144CF"/>
    <w:rsid w:val="0092084F"/>
    <w:rsid w:val="00921D69"/>
    <w:rsid w:val="0092216D"/>
    <w:rsid w:val="00932B63"/>
    <w:rsid w:val="00933339"/>
    <w:rsid w:val="00953B84"/>
    <w:rsid w:val="00964A8D"/>
    <w:rsid w:val="00982754"/>
    <w:rsid w:val="009943F4"/>
    <w:rsid w:val="00995FDD"/>
    <w:rsid w:val="00996389"/>
    <w:rsid w:val="009A2234"/>
    <w:rsid w:val="009A6D46"/>
    <w:rsid w:val="009B2F99"/>
    <w:rsid w:val="009B7A4D"/>
    <w:rsid w:val="009C573D"/>
    <w:rsid w:val="009D10B8"/>
    <w:rsid w:val="009D185F"/>
    <w:rsid w:val="009D4310"/>
    <w:rsid w:val="009D43CC"/>
    <w:rsid w:val="009E2331"/>
    <w:rsid w:val="009E33E5"/>
    <w:rsid w:val="009E3E78"/>
    <w:rsid w:val="009E4927"/>
    <w:rsid w:val="009F413F"/>
    <w:rsid w:val="009F4A69"/>
    <w:rsid w:val="009F550A"/>
    <w:rsid w:val="009F7497"/>
    <w:rsid w:val="00A01F60"/>
    <w:rsid w:val="00A118F0"/>
    <w:rsid w:val="00A159DA"/>
    <w:rsid w:val="00A22494"/>
    <w:rsid w:val="00A22A7B"/>
    <w:rsid w:val="00A242D8"/>
    <w:rsid w:val="00A36454"/>
    <w:rsid w:val="00A434EB"/>
    <w:rsid w:val="00A5351C"/>
    <w:rsid w:val="00A54C06"/>
    <w:rsid w:val="00A633F0"/>
    <w:rsid w:val="00A6481E"/>
    <w:rsid w:val="00A66140"/>
    <w:rsid w:val="00A66626"/>
    <w:rsid w:val="00A7064A"/>
    <w:rsid w:val="00A7345A"/>
    <w:rsid w:val="00A73CDE"/>
    <w:rsid w:val="00A75027"/>
    <w:rsid w:val="00A77F8C"/>
    <w:rsid w:val="00A82683"/>
    <w:rsid w:val="00A85787"/>
    <w:rsid w:val="00A90397"/>
    <w:rsid w:val="00A90CB0"/>
    <w:rsid w:val="00A9374D"/>
    <w:rsid w:val="00A94461"/>
    <w:rsid w:val="00A960EA"/>
    <w:rsid w:val="00A966A7"/>
    <w:rsid w:val="00AA369A"/>
    <w:rsid w:val="00AA4608"/>
    <w:rsid w:val="00AA6179"/>
    <w:rsid w:val="00AB1235"/>
    <w:rsid w:val="00AB2D5E"/>
    <w:rsid w:val="00AC0511"/>
    <w:rsid w:val="00AC63C8"/>
    <w:rsid w:val="00AD08C5"/>
    <w:rsid w:val="00AE069A"/>
    <w:rsid w:val="00AE2360"/>
    <w:rsid w:val="00AF1EBC"/>
    <w:rsid w:val="00B12571"/>
    <w:rsid w:val="00B1467F"/>
    <w:rsid w:val="00B31928"/>
    <w:rsid w:val="00B326A9"/>
    <w:rsid w:val="00B45ED3"/>
    <w:rsid w:val="00B543E9"/>
    <w:rsid w:val="00B57127"/>
    <w:rsid w:val="00B65911"/>
    <w:rsid w:val="00B76B2B"/>
    <w:rsid w:val="00B8251D"/>
    <w:rsid w:val="00B94288"/>
    <w:rsid w:val="00B9538B"/>
    <w:rsid w:val="00BA15A9"/>
    <w:rsid w:val="00BA7983"/>
    <w:rsid w:val="00BB30C0"/>
    <w:rsid w:val="00BC1801"/>
    <w:rsid w:val="00BC376D"/>
    <w:rsid w:val="00BC6BE8"/>
    <w:rsid w:val="00BD0F75"/>
    <w:rsid w:val="00BD18E8"/>
    <w:rsid w:val="00BD20BC"/>
    <w:rsid w:val="00BE502D"/>
    <w:rsid w:val="00C03CFC"/>
    <w:rsid w:val="00C15673"/>
    <w:rsid w:val="00C15E6F"/>
    <w:rsid w:val="00C210A9"/>
    <w:rsid w:val="00C22821"/>
    <w:rsid w:val="00C243BF"/>
    <w:rsid w:val="00C25F63"/>
    <w:rsid w:val="00C276AE"/>
    <w:rsid w:val="00C4237C"/>
    <w:rsid w:val="00C53D58"/>
    <w:rsid w:val="00C55C85"/>
    <w:rsid w:val="00C60868"/>
    <w:rsid w:val="00C6097A"/>
    <w:rsid w:val="00C64DAA"/>
    <w:rsid w:val="00C65204"/>
    <w:rsid w:val="00C70530"/>
    <w:rsid w:val="00C77217"/>
    <w:rsid w:val="00C816A5"/>
    <w:rsid w:val="00C83BE1"/>
    <w:rsid w:val="00C97315"/>
    <w:rsid w:val="00CA1AD2"/>
    <w:rsid w:val="00CA2878"/>
    <w:rsid w:val="00CA7D06"/>
    <w:rsid w:val="00CB2E2B"/>
    <w:rsid w:val="00CB3D33"/>
    <w:rsid w:val="00CC0463"/>
    <w:rsid w:val="00CC5959"/>
    <w:rsid w:val="00CC7F58"/>
    <w:rsid w:val="00CD47C3"/>
    <w:rsid w:val="00CD6810"/>
    <w:rsid w:val="00CE099F"/>
    <w:rsid w:val="00CE73E2"/>
    <w:rsid w:val="00CF402D"/>
    <w:rsid w:val="00CF5E4F"/>
    <w:rsid w:val="00CF711A"/>
    <w:rsid w:val="00CF7674"/>
    <w:rsid w:val="00D16B26"/>
    <w:rsid w:val="00D17D3E"/>
    <w:rsid w:val="00D239FE"/>
    <w:rsid w:val="00D334A5"/>
    <w:rsid w:val="00D43F82"/>
    <w:rsid w:val="00D44A5D"/>
    <w:rsid w:val="00D510E8"/>
    <w:rsid w:val="00D554A2"/>
    <w:rsid w:val="00D5628B"/>
    <w:rsid w:val="00D63F4F"/>
    <w:rsid w:val="00D6426A"/>
    <w:rsid w:val="00D66456"/>
    <w:rsid w:val="00D7141D"/>
    <w:rsid w:val="00D75FAD"/>
    <w:rsid w:val="00D77CD0"/>
    <w:rsid w:val="00D9306F"/>
    <w:rsid w:val="00D95B0F"/>
    <w:rsid w:val="00DA7941"/>
    <w:rsid w:val="00DB0B88"/>
    <w:rsid w:val="00DD18C6"/>
    <w:rsid w:val="00DD6D00"/>
    <w:rsid w:val="00DE00F0"/>
    <w:rsid w:val="00DE1894"/>
    <w:rsid w:val="00DE5079"/>
    <w:rsid w:val="00DE677B"/>
    <w:rsid w:val="00DF6B3A"/>
    <w:rsid w:val="00E10271"/>
    <w:rsid w:val="00E16882"/>
    <w:rsid w:val="00E277A4"/>
    <w:rsid w:val="00E30221"/>
    <w:rsid w:val="00E34DF7"/>
    <w:rsid w:val="00E35DF6"/>
    <w:rsid w:val="00E469DE"/>
    <w:rsid w:val="00E50D44"/>
    <w:rsid w:val="00E52765"/>
    <w:rsid w:val="00E64133"/>
    <w:rsid w:val="00E66456"/>
    <w:rsid w:val="00E738D5"/>
    <w:rsid w:val="00E8288D"/>
    <w:rsid w:val="00E8348C"/>
    <w:rsid w:val="00E900DE"/>
    <w:rsid w:val="00E91E64"/>
    <w:rsid w:val="00EA326D"/>
    <w:rsid w:val="00EB1B3E"/>
    <w:rsid w:val="00EB5A68"/>
    <w:rsid w:val="00EB77EA"/>
    <w:rsid w:val="00EC0C4F"/>
    <w:rsid w:val="00EC13FB"/>
    <w:rsid w:val="00EC2B8F"/>
    <w:rsid w:val="00EC74BA"/>
    <w:rsid w:val="00ED0B1E"/>
    <w:rsid w:val="00ED15F0"/>
    <w:rsid w:val="00EE4384"/>
    <w:rsid w:val="00EE4BD7"/>
    <w:rsid w:val="00EF3551"/>
    <w:rsid w:val="00F017D6"/>
    <w:rsid w:val="00F12CF6"/>
    <w:rsid w:val="00F147FC"/>
    <w:rsid w:val="00F15BD4"/>
    <w:rsid w:val="00F27AFA"/>
    <w:rsid w:val="00F31A79"/>
    <w:rsid w:val="00F42214"/>
    <w:rsid w:val="00F5061B"/>
    <w:rsid w:val="00F61A7D"/>
    <w:rsid w:val="00F63AA8"/>
    <w:rsid w:val="00F67CA2"/>
    <w:rsid w:val="00F77B72"/>
    <w:rsid w:val="00F859A8"/>
    <w:rsid w:val="00F9203E"/>
    <w:rsid w:val="00F957B7"/>
    <w:rsid w:val="00FA53DF"/>
    <w:rsid w:val="00FB2364"/>
    <w:rsid w:val="00FB30AC"/>
    <w:rsid w:val="00FB3B6F"/>
    <w:rsid w:val="00FC32EF"/>
    <w:rsid w:val="00FC712D"/>
    <w:rsid w:val="00FC7E7B"/>
    <w:rsid w:val="00FD39E3"/>
    <w:rsid w:val="00FD48BC"/>
    <w:rsid w:val="00FE1242"/>
    <w:rsid w:val="00FE2114"/>
    <w:rsid w:val="00FE6EDA"/>
    <w:rsid w:val="00FF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1808D"/>
  <w15:docId w15:val="{9907FBD6-CEC2-42E2-A88E-10EDFCF3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6466"/>
    <w:pPr>
      <w:suppressAutoHyphens/>
    </w:pPr>
  </w:style>
  <w:style w:type="paragraph" w:styleId="Nagwek2">
    <w:name w:val="heading 2"/>
    <w:basedOn w:val="Normalny"/>
    <w:link w:val="Nagwek2Znak"/>
    <w:uiPriority w:val="9"/>
    <w:qFormat/>
    <w:rsid w:val="00CD6810"/>
    <w:pPr>
      <w:suppressAutoHyphens w:val="0"/>
      <w:autoSpaceDN/>
      <w:spacing w:before="100" w:beforeAutospacing="1" w:after="100" w:afterAutospacing="1" w:line="240" w:lineRule="auto"/>
      <w:textAlignment w:val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1,Styl moj,aotm_załączniki,Akapit z listą11,Table Legend,Dot pt,F5 List Paragraph,List Paragraph1,No Spacing1,List Paragraph Char Char Char,Indicator Text,Colorful List - Accent 11,Numbered Para 1,Bullet 1,Bullet Points,MAIN CONTENT"/>
    <w:basedOn w:val="Normalny"/>
    <w:link w:val="AkapitzlistZnak"/>
    <w:uiPriority w:val="34"/>
    <w:qFormat/>
    <w:rsid w:val="008C0E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92"/>
  </w:style>
  <w:style w:type="paragraph" w:styleId="Stopka">
    <w:name w:val="footer"/>
    <w:basedOn w:val="Normalny"/>
    <w:link w:val="StopkaZnak"/>
    <w:uiPriority w:val="99"/>
    <w:unhideWhenUsed/>
    <w:rsid w:val="008C0E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92"/>
  </w:style>
  <w:style w:type="paragraph" w:customStyle="1" w:styleId="Style2">
    <w:name w:val="Style2"/>
    <w:basedOn w:val="Normalny"/>
    <w:uiPriority w:val="99"/>
    <w:rsid w:val="00230BB7"/>
    <w:pPr>
      <w:widowControl w:val="0"/>
      <w:suppressAutoHyphens w:val="0"/>
      <w:autoSpaceDE w:val="0"/>
      <w:adjustRightInd w:val="0"/>
      <w:spacing w:after="0" w:line="331" w:lineRule="exact"/>
      <w:jc w:val="both"/>
      <w:textAlignment w:val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0">
    <w:name w:val="Font Style20"/>
    <w:basedOn w:val="Domylnaczcionkaakapitu"/>
    <w:uiPriority w:val="99"/>
    <w:rsid w:val="00230BB7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6C1B62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EastAsia" w:hAnsi="Times New Roman"/>
      <w:sz w:val="24"/>
      <w:szCs w:val="24"/>
      <w:lang w:val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1E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1E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1E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1E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1E9F"/>
    <w:rPr>
      <w:b/>
      <w:bCs/>
      <w:sz w:val="20"/>
      <w:szCs w:val="20"/>
    </w:rPr>
  </w:style>
  <w:style w:type="character" w:customStyle="1" w:styleId="AkapitzlistZnak">
    <w:name w:val="Akapit z listą Znak"/>
    <w:aliases w:val="Bullet1 Znak,Styl moj Znak,aotm_załączniki Znak,Akapit z listą11 Znak,Table Legend Znak,Dot pt Znak,F5 List Paragraph Znak,List Paragraph1 Znak,No Spacing1 Znak,List Paragraph Char Char Char Znak,Indicator Text Znak,Bullet 1 Znak"/>
    <w:basedOn w:val="Domylnaczcionkaakapitu"/>
    <w:link w:val="Akapitzlist"/>
    <w:uiPriority w:val="34"/>
    <w:qFormat/>
    <w:rsid w:val="001933DE"/>
  </w:style>
  <w:style w:type="paragraph" w:styleId="Poprawka">
    <w:name w:val="Revision"/>
    <w:hidden/>
    <w:uiPriority w:val="99"/>
    <w:semiHidden/>
    <w:rsid w:val="00756089"/>
    <w:pPr>
      <w:autoSpaceDN/>
      <w:spacing w:after="0" w:line="240" w:lineRule="auto"/>
      <w:textAlignment w:val="auto"/>
    </w:pPr>
  </w:style>
  <w:style w:type="character" w:customStyle="1" w:styleId="Nagwek2Znak">
    <w:name w:val="Nagłówek 2 Znak"/>
    <w:basedOn w:val="Domylnaczcionkaakapitu"/>
    <w:link w:val="Nagwek2"/>
    <w:uiPriority w:val="9"/>
    <w:rsid w:val="00CD6810"/>
    <w:rPr>
      <w:rFonts w:ascii="Times New Roman" w:eastAsia="Times New Roman" w:hAnsi="Times New Roman"/>
      <w:b/>
      <w:bCs/>
      <w:sz w:val="36"/>
      <w:szCs w:val="36"/>
      <w:lang w:eastAsia="pl-PL"/>
    </w:rPr>
  </w:style>
  <w:style w:type="paragraph" w:customStyle="1" w:styleId="pismamz">
    <w:name w:val="pisma_mz"/>
    <w:basedOn w:val="Normalny"/>
    <w:link w:val="pismamzZnak"/>
    <w:qFormat/>
    <w:rsid w:val="00D239FE"/>
    <w:pPr>
      <w:suppressAutoHyphens w:val="0"/>
      <w:autoSpaceDN/>
      <w:spacing w:after="0" w:line="360" w:lineRule="auto"/>
      <w:contextualSpacing/>
      <w:jc w:val="both"/>
      <w:textAlignment w:val="auto"/>
    </w:pPr>
    <w:rPr>
      <w:rFonts w:ascii="Lato" w:hAnsi="Lato"/>
    </w:rPr>
  </w:style>
  <w:style w:type="character" w:customStyle="1" w:styleId="pismamzZnak">
    <w:name w:val="pisma_mz Znak"/>
    <w:link w:val="pismamz"/>
    <w:rsid w:val="00D239FE"/>
    <w:rPr>
      <w:rFonts w:ascii="Lato" w:hAnsi="Lato"/>
    </w:rPr>
  </w:style>
  <w:style w:type="character" w:customStyle="1" w:styleId="ui-provider">
    <w:name w:val="ui-provider"/>
    <w:basedOn w:val="Domylnaczcionkaakapitu"/>
    <w:rsid w:val="00FC32EF"/>
  </w:style>
  <w:style w:type="character" w:customStyle="1" w:styleId="cf01">
    <w:name w:val="cf01"/>
    <w:basedOn w:val="Domylnaczcionkaakapitu"/>
    <w:rsid w:val="00105C7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3%20Wykresy%20od%20201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3%20Wykresy%20wskazania%20od%20201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universe\wric$\09_Pracownicy\1_39_Wilk_J\Nowe%20obj&#281;cia\lipiec%202023%20Wykresy%20wskazania%20od%202012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ONKO/NIEONKO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0595765564775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2023'!$A$3</c:f>
              <c:strCache>
                <c:ptCount val="1"/>
                <c:pt idx="0">
                  <c:v>Wskazania onkologiczne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2023'!$B$3:$G$3</c:f>
              <c:numCache>
                <c:formatCode>General</c:formatCode>
                <c:ptCount val="6"/>
                <c:pt idx="0">
                  <c:v>21</c:v>
                </c:pt>
                <c:pt idx="1">
                  <c:v>10</c:v>
                </c:pt>
                <c:pt idx="2">
                  <c:v>8</c:v>
                </c:pt>
                <c:pt idx="3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959-41B7-9DE8-84BB7380A681}"/>
            </c:ext>
          </c:extLst>
        </c:ser>
        <c:ser>
          <c:idx val="1"/>
          <c:order val="1"/>
          <c:tx>
            <c:strRef>
              <c:f>'miesiące 2023'!$A$4</c:f>
              <c:strCache>
                <c:ptCount val="1"/>
                <c:pt idx="0">
                  <c:v>Wskazania nieonkologiczne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6227641698925308E-17"/>
                  <c:y val="1.7115381667492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B959-41B7-9DE8-84BB7380A68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2023'!$B$2:$G$2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2023'!$B$4:$G$4</c:f>
              <c:numCache>
                <c:formatCode>General</c:formatCode>
                <c:ptCount val="6"/>
                <c:pt idx="0">
                  <c:v>2</c:v>
                </c:pt>
                <c:pt idx="1">
                  <c:v>9</c:v>
                </c:pt>
                <c:pt idx="2">
                  <c:v>8</c:v>
                </c:pt>
                <c:pt idx="3">
                  <c:v>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959-41B7-9DE8-84BB7380A681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 i="0" baseline="0">
                <a:solidFill>
                  <a:sysClr val="windowText" lastClr="000000"/>
                </a:solidFill>
                <a:effectLst/>
                <a:latin typeface="Lato" panose="020F0502020204030203" pitchFamily="34" charset="-18"/>
              </a:rPr>
              <a:t>Liczba nowych cząsteczko-wskazań w 2023 r. - choroby rzadkie</a:t>
            </a:r>
            <a:endParaRPr lang="pl-PL" sz="800">
              <a:solidFill>
                <a:sysClr val="windowText" lastClr="000000"/>
              </a:solidFill>
              <a:effectLst/>
              <a:latin typeface="Lato" panose="020F0502020204030203" pitchFamily="34" charset="-18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7.7692038495188118E-2"/>
          <c:y val="0.13625000000000001"/>
          <c:w val="0.90286351706036749"/>
          <c:h val="0.6782942997509926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'miesiące 2023'!$A$18</c:f>
              <c:strCache>
                <c:ptCount val="1"/>
                <c:pt idx="0">
                  <c:v>Wskazania rzadkie</c:v>
                </c:pt>
              </c:strCache>
            </c:strRef>
          </c:tx>
          <c:spPr>
            <a:gradFill rotWithShape="1">
              <a:gsLst>
                <a:gs pos="0">
                  <a:schemeClr val="accent6">
                    <a:satMod val="103000"/>
                    <a:lumMod val="102000"/>
                    <a:tint val="94000"/>
                  </a:schemeClr>
                </a:gs>
                <a:gs pos="50000">
                  <a:schemeClr val="accent6">
                    <a:satMod val="110000"/>
                    <a:lumMod val="100000"/>
                    <a:shade val="100000"/>
                  </a:schemeClr>
                </a:gs>
                <a:gs pos="100000">
                  <a:schemeClr val="accent6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/>
          </c:spPr>
          <c:invertIfNegative val="0"/>
          <c:dLbls>
            <c:dLbl>
              <c:idx val="1"/>
              <c:layout>
                <c:manualLayout>
                  <c:x val="-2.9459419649432907E-3"/>
                  <c:y val="1.254727774412813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F32-4379-B4B6-E20362301A8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2023'!$B$18:$G$18</c:f>
              <c:numCache>
                <c:formatCode>General</c:formatCode>
                <c:ptCount val="6"/>
                <c:pt idx="0">
                  <c:v>17</c:v>
                </c:pt>
                <c:pt idx="1">
                  <c:v>2</c:v>
                </c:pt>
                <c:pt idx="2">
                  <c:v>8</c:v>
                </c:pt>
                <c:pt idx="3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BF32-4379-B4B6-E20362301A88}"/>
            </c:ext>
          </c:extLst>
        </c:ser>
        <c:ser>
          <c:idx val="1"/>
          <c:order val="1"/>
          <c:tx>
            <c:strRef>
              <c:f>'miesiące 2023'!$A$19</c:f>
              <c:strCache>
                <c:ptCount val="1"/>
                <c:pt idx="0">
                  <c:v>Pozostałe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Lato" panose="020F0502020204030203" pitchFamily="34" charset="-18"/>
                    <a:ea typeface="+mn-ea"/>
                    <a:cs typeface="+mn-cs"/>
                  </a:defRPr>
                </a:pPr>
                <a:endParaRPr lang="pl-PL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'miesiące 2023'!$B$17:$G$17</c:f>
              <c:strCache>
                <c:ptCount val="6"/>
                <c:pt idx="0">
                  <c:v>styczeń</c:v>
                </c:pt>
                <c:pt idx="1">
                  <c:v>marzec</c:v>
                </c:pt>
                <c:pt idx="2">
                  <c:v>maj</c:v>
                </c:pt>
                <c:pt idx="3">
                  <c:v>lipiec</c:v>
                </c:pt>
                <c:pt idx="4">
                  <c:v>wrzesień</c:v>
                </c:pt>
                <c:pt idx="5">
                  <c:v>listopad</c:v>
                </c:pt>
              </c:strCache>
            </c:strRef>
          </c:cat>
          <c:val>
            <c:numRef>
              <c:f>'miesiące 2023'!$B$19:$G$19</c:f>
              <c:numCache>
                <c:formatCode>General</c:formatCode>
                <c:ptCount val="6"/>
                <c:pt idx="0">
                  <c:v>6</c:v>
                </c:pt>
                <c:pt idx="1">
                  <c:v>17</c:v>
                </c:pt>
                <c:pt idx="2">
                  <c:v>8</c:v>
                </c:pt>
                <c:pt idx="3">
                  <c:v>35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D-BF32-4379-B4B6-E20362301A88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703835919"/>
        <c:axId val="703834671"/>
      </c:barChart>
      <c:catAx>
        <c:axId val="70383591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4671"/>
        <c:crosses val="autoZero"/>
        <c:auto val="1"/>
        <c:lblAlgn val="ctr"/>
        <c:lblOffset val="100"/>
        <c:noMultiLvlLbl val="0"/>
      </c:catAx>
      <c:valAx>
        <c:axId val="703834671"/>
        <c:scaling>
          <c:orientation val="minMax"/>
          <c:max val="35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0383591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solidFill>
                  <a:sysClr val="windowText" lastClr="000000"/>
                </a:solidFill>
                <a:latin typeface="Lato" panose="020F0502020204030203" pitchFamily="34" charset="-18"/>
              </a:rPr>
              <a:t>Cząsteczko-wskazania onkologiczne w 2023 r. (stan na lipiec)</a:t>
            </a:r>
          </a:p>
        </c:rich>
      </c:tx>
      <c:layout>
        <c:manualLayout>
          <c:xMode val="edge"/>
          <c:yMode val="edge"/>
          <c:x val="0.20414988327464095"/>
          <c:y val="1.23371539157980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13582997522272922"/>
          <c:y val="9.4097337269989464E-2"/>
          <c:w val="0.84009663854336591"/>
          <c:h val="0.80821632755567829"/>
        </c:manualLayout>
      </c:layout>
      <c:barChart>
        <c:barDir val="bar"/>
        <c:grouping val="clustered"/>
        <c:varyColors val="0"/>
        <c:ser>
          <c:idx val="10"/>
          <c:order val="0"/>
          <c:tx>
            <c:strRef>
              <c:f>'miesiące 2023'!$B$2</c:f>
              <c:strCache>
                <c:ptCount val="1"/>
                <c:pt idx="0">
                  <c:v>2023
(stan na lipiec)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2023'!$A$3:$A$7,'miesiące 2023'!$A$10,'miesiące 2023'!$A$12)</c:f>
              <c:strCache>
                <c:ptCount val="7"/>
                <c:pt idx="0">
                  <c:v>Inne</c:v>
                </c:pt>
                <c:pt idx="1">
                  <c:v>Nowotwory układu 
urologicznego</c:v>
                </c:pt>
                <c:pt idx="2">
                  <c:v>Nowotwory skóry</c:v>
                </c:pt>
                <c:pt idx="3">
                  <c:v>Nowotwory układu 
pokarmowego</c:v>
                </c:pt>
                <c:pt idx="4">
                  <c:v>Nowotwory układu 
oddechowego</c:v>
                </c:pt>
                <c:pt idx="5">
                  <c:v>Nowotwory 
ginekologiczne</c:v>
                </c:pt>
                <c:pt idx="6">
                  <c:v>Hematoonkologia</c:v>
                </c:pt>
              </c:strCache>
              <c:extLst/>
            </c:strRef>
          </c:cat>
          <c:val>
            <c:numRef>
              <c:f>('miesiące 2023'!$B$3:$B$7,'miesiące 2023'!$B$10,'miesiące 2023'!$B$12)</c:f>
              <c:numCache>
                <c:formatCode>General</c:formatCode>
                <c:ptCount val="7"/>
                <c:pt idx="0">
                  <c:v>2</c:v>
                </c:pt>
                <c:pt idx="1">
                  <c:v>5</c:v>
                </c:pt>
                <c:pt idx="2">
                  <c:v>1</c:v>
                </c:pt>
                <c:pt idx="3">
                  <c:v>3</c:v>
                </c:pt>
                <c:pt idx="4">
                  <c:v>8</c:v>
                </c:pt>
                <c:pt idx="5">
                  <c:v>3</c:v>
                </c:pt>
                <c:pt idx="6">
                  <c:v>24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2DC0-4D14-B7B9-DDBC7558967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51046271"/>
        <c:axId val="751054175"/>
      </c:barChart>
      <c:valAx>
        <c:axId val="751054175"/>
        <c:scaling>
          <c:orientation val="minMax"/>
          <c:max val="25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46271"/>
        <c:crosses val="autoZero"/>
        <c:crossBetween val="between"/>
        <c:majorUnit val="2"/>
      </c:valAx>
      <c:catAx>
        <c:axId val="751046271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751054175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800" b="1" i="0" u="none" strike="noStrike" kern="1200" spc="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r>
              <a:rPr lang="pl-PL" sz="800" b="1">
                <a:latin typeface="Lato" panose="020F0502020204030203" pitchFamily="34" charset="-18"/>
              </a:rPr>
              <a:t>Cząsteczko-wskazania nieonkologiczne w 2023 r. (stan na lipiec)</a:t>
            </a:r>
          </a:p>
        </c:rich>
      </c:tx>
      <c:layout>
        <c:manualLayout>
          <c:xMode val="edge"/>
          <c:yMode val="edge"/>
          <c:x val="0.20023895926052721"/>
          <c:y val="1.066666666666666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1" i="0" u="none" strike="noStrike" kern="1200" spc="0" baseline="0">
              <a:solidFill>
                <a:sysClr val="windowText" lastClr="000000"/>
              </a:solidFill>
              <a:latin typeface="Lato" panose="020F0502020204030203" pitchFamily="34" charset="-18"/>
              <a:ea typeface="+mn-ea"/>
              <a:cs typeface="+mn-cs"/>
            </a:defRPr>
          </a:pPr>
          <a:endParaRPr lang="pl-PL"/>
        </a:p>
      </c:txPr>
    </c:title>
    <c:autoTitleDeleted val="0"/>
    <c:plotArea>
      <c:layout>
        <c:manualLayout>
          <c:layoutTarget val="inner"/>
          <c:xMode val="edge"/>
          <c:yMode val="edge"/>
          <c:x val="0.20948966438366801"/>
          <c:y val="0.10686488188976377"/>
          <c:w val="0.76644349190079053"/>
          <c:h val="0.78550971128608926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'miesiące 2023'!$B$19</c:f>
              <c:strCache>
                <c:ptCount val="1"/>
                <c:pt idx="0">
                  <c:v>2023
(stan na lipiec)</c:v>
                </c:pt>
              </c:strCache>
            </c:strRef>
          </c:tx>
          <c:spPr>
            <a:solidFill>
              <a:srgbClr val="4F93D1"/>
            </a:solidFill>
            <a:ln>
              <a:noFill/>
            </a:ln>
            <a:effectLst/>
          </c:spPr>
          <c:invertIfNegative val="0"/>
          <c:cat>
            <c:strRef>
              <c:f>('miesiące 2023'!$A$20:$A$23,'miesiące 2023'!$A$25,'miesiące 2023'!$A$27:$A$28,'miesiące 2023'!$A$30,'miesiące 2023'!$A$32:$A$36,'miesiące 2023'!$A$38)</c:f>
              <c:strCache>
                <c:ptCount val="14"/>
                <c:pt idx="0">
                  <c:v>Urologia</c:v>
                </c:pt>
                <c:pt idx="1">
                  <c:v>Reumatologia</c:v>
                </c:pt>
                <c:pt idx="2">
                  <c:v>Pulmonologia</c:v>
                </c:pt>
                <c:pt idx="3">
                  <c:v>Psychiatria</c:v>
                </c:pt>
                <c:pt idx="4">
                  <c:v>Neurologia</c:v>
                </c:pt>
                <c:pt idx="5">
                  <c:v>Kardiologia</c:v>
                </c:pt>
                <c:pt idx="6">
                  <c:v>Immunologia</c:v>
                </c:pt>
                <c:pt idx="7">
                  <c:v>Hematologia</c:v>
                </c:pt>
                <c:pt idx="8">
                  <c:v>Gastroenterologia</c:v>
                </c:pt>
                <c:pt idx="9">
                  <c:v>Endokrynologia</c:v>
                </c:pt>
                <c:pt idx="10">
                  <c:v>Diabetologia</c:v>
                </c:pt>
                <c:pt idx="11">
                  <c:v>Dermatologia</c:v>
                </c:pt>
                <c:pt idx="12">
                  <c:v>Choroby metaboliczne</c:v>
                </c:pt>
                <c:pt idx="13">
                  <c:v>Alergologia</c:v>
                </c:pt>
              </c:strCache>
              <c:extLst/>
            </c:strRef>
          </c:cat>
          <c:val>
            <c:numRef>
              <c:f>('miesiące 2023'!$B$20:$B$23,'miesiące 2023'!$B$25,'miesiące 2023'!$B$27:$B$28,'miesiące 2023'!$B$30,'miesiące 2023'!$B$32:$B$36,'miesiące 2023'!$B$38)</c:f>
              <c:numCache>
                <c:formatCode>General</c:formatCode>
                <c:ptCount val="14"/>
                <c:pt idx="0">
                  <c:v>1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3</c:v>
                </c:pt>
                <c:pt idx="5">
                  <c:v>19</c:v>
                </c:pt>
                <c:pt idx="6">
                  <c:v>2</c:v>
                </c:pt>
                <c:pt idx="7">
                  <c:v>4</c:v>
                </c:pt>
                <c:pt idx="8">
                  <c:v>4</c:v>
                </c:pt>
                <c:pt idx="9">
                  <c:v>1</c:v>
                </c:pt>
                <c:pt idx="10">
                  <c:v>3</c:v>
                </c:pt>
                <c:pt idx="11">
                  <c:v>4</c:v>
                </c:pt>
                <c:pt idx="12">
                  <c:v>1</c:v>
                </c:pt>
                <c:pt idx="13">
                  <c:v>1</c:v>
                </c:pt>
              </c:numCache>
              <c:extLst/>
            </c:numRef>
          </c:val>
          <c:extLst>
            <c:ext xmlns:c16="http://schemas.microsoft.com/office/drawing/2014/chart" uri="{C3380CC4-5D6E-409C-BE32-E72D297353CC}">
              <c16:uniqueId val="{00000000-343B-49C2-B090-096495B14E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41296495"/>
        <c:axId val="241294831"/>
      </c:barChart>
      <c:valAx>
        <c:axId val="241294831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6495"/>
        <c:crosses val="autoZero"/>
        <c:crossBetween val="between"/>
        <c:majorUnit val="2"/>
      </c:valAx>
      <c:catAx>
        <c:axId val="24129649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Lato" panose="020F0502020204030203" pitchFamily="34" charset="-18"/>
                <a:ea typeface="+mn-ea"/>
                <a:cs typeface="+mn-cs"/>
              </a:defRPr>
            </a:pPr>
            <a:endParaRPr lang="pl-PL"/>
          </a:p>
        </c:txPr>
        <c:crossAx val="241294831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14</Pages>
  <Words>3676</Words>
  <Characters>22062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Oczkowski Mateusz</dc:creator>
  <dc:description/>
  <cp:lastModifiedBy>Królak-Buzakowska Joanna</cp:lastModifiedBy>
  <cp:revision>10</cp:revision>
  <dcterms:created xsi:type="dcterms:W3CDTF">2023-06-19T08:20:00Z</dcterms:created>
  <dcterms:modified xsi:type="dcterms:W3CDTF">2023-06-20T13:32:00Z</dcterms:modified>
</cp:coreProperties>
</file>