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F1B3" w14:textId="27E21A28" w:rsid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Generalny Dyrektor Ochrony Środowiska</w:t>
      </w:r>
    </w:p>
    <w:p w14:paraId="5D85D52B" w14:textId="10DE25D6" w:rsid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Warszawa, 23 lipca 2026 r.</w:t>
      </w:r>
    </w:p>
    <w:p w14:paraId="6C32BC8A" w14:textId="5C20B9AE" w:rsid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DOOŚ-WDŚII.420.17.2026</w:t>
      </w:r>
      <w:r>
        <w:rPr>
          <w:rFonts w:ascii="Calibri" w:hAnsi="Calibri" w:cs="Calibri"/>
          <w:sz w:val="22"/>
          <w:szCs w:val="22"/>
        </w:rPr>
        <w:t>.JJB.4</w:t>
      </w:r>
    </w:p>
    <w:p w14:paraId="602924E0" w14:textId="3FFD6861" w:rsid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ZAWIADOMIENIE</w:t>
      </w:r>
    </w:p>
    <w:p w14:paraId="0C4B6E32" w14:textId="77777777" w:rsid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Generalny Dyrektor Ochrony Środowiska zawiadamia, że postępowanie odwoławcze od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decyzji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Regionalnego Dyrektora Ochrony Środowiska we Wrocławiu z 21 kwietnia 2026 r.,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znak: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WOOŚ.420.29.2023.WM.44, o środowiskowych uwarunkowaniach dla przedsięwzięcia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pn.: „Budowa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farmy wiatrowej „Udanin” w gminie Udanin wraz z infrastrukturą towarzyszącą”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nie mogło być zakończone w wyznaczonym terminie oraz wskazuje nowy termin załatwienia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sprawy na 31 sierpnia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2026 r. Przyczyną zwłoki jest konieczność przeprowadzenia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dodatkowego postępowania wyjaśniającego.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Równocześnie Generalny Dyrektor Ochrony Środowiska informuje, że stronie służy prawo do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wniesienia ponaglenia. Ponaglenie wnosi się do Generalnego Dyrektora Ochrony Środowiska,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w formie papierowej – na adres siedziby Generalnej Dyrekcji Ochrony Środowiska: Al.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Jerozolimskie 136, 02-305 Warszawa albo w formie elektronicznej – na adres do e-Doręczeń: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AE:PL-14966-78422-TRCJH-21.</w:t>
      </w:r>
    </w:p>
    <w:p w14:paraId="1E138AED" w14:textId="1CDAADD4" w:rsid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 upoważnienia Generalnego Dyrektora Ochrony Środowiska</w:t>
      </w:r>
    </w:p>
    <w:p w14:paraId="6017167D" w14:textId="77777777" w:rsidR="00EF649B" w:rsidRP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Katarzyna Bińkowska</w:t>
      </w:r>
    </w:p>
    <w:p w14:paraId="70C6B484" w14:textId="77777777" w:rsidR="00EF649B" w:rsidRP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Naczelnik Wydziału</w:t>
      </w:r>
    </w:p>
    <w:p w14:paraId="12081681" w14:textId="77777777" w:rsidR="00EF649B" w:rsidRP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Departament Ocen Oddziaływania na Środowisko</w:t>
      </w:r>
    </w:p>
    <w:p w14:paraId="5B5411BA" w14:textId="77777777" w:rsidR="00EF649B" w:rsidRP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Zawiadomienie zostało upublicznione w terminie od ……………… do …………………</w:t>
      </w:r>
    </w:p>
    <w:p w14:paraId="2860D873" w14:textId="4338F59F" w:rsid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Pieczęć urzędu i podpis:</w:t>
      </w:r>
    </w:p>
    <w:p w14:paraId="78110917" w14:textId="1B64FD8A" w:rsid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Art. 36 ustawy z dnia 14 czerwca 1960 r. – Kodeks postępowania administracyjnego (Dz. U. z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2025 r. poz. 1691), dalej k.p.a.: O każdym przypadku niezałatwienia sprawy w terminie organ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administracji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publicznej jest obowiązany zawiadomić strony, podając przyczyny zwłoki, wskazując nowy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termin załatwienia sprawy oraz pouczając o prawie do wniesienia ponaglenia (§ 1). Ten sam obowiązek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ciąży na organie administracji publicznej również w przypadku zwłoki w załatwieniu sprawy z przyczyn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niezależnych od organu (§ 2).</w:t>
      </w:r>
    </w:p>
    <w:p w14:paraId="580C6F44" w14:textId="7DA68389" w:rsidR="00EF649B" w:rsidRP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Art. 37 § 1 k.p.a.: Stronie służy prawo do wniesienia ponaglenia, jeżeli: 1) nie załatwiono sprawy w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terminie określonym w art. 35 lub przepisach szczególnych ani w terminie wskazanym zgodnie z art. 36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§ 1 (bezczynność); 2) postępowanie jest prowadzone dłużej niż jest to niezbędne do załatwienia sprawy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(przewlekłość).</w:t>
      </w:r>
    </w:p>
    <w:p w14:paraId="19F1FF64" w14:textId="226B19A7" w:rsid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Art. 37 § 3 pkt 2 k.p.a.: Ponaglenie wnosi się do organu prowadzącego postępowanie - jeżeli nie ma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organu wyższego stopnia.</w:t>
      </w:r>
    </w:p>
    <w:p w14:paraId="711C5C2F" w14:textId="01EEBC75" w:rsidR="00EF649B" w:rsidRP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Art. 49 § 1 k.p.a. Jeżeli przepis szczególny tak stanowi, zawiadomienie stron o decyzjach i innych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czynnościach organu administracji publicznej może nastąpić w formie publicznego obwieszczenia, w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innej formie publicznego ogłoszenia zwyczajowo przyjętej w danej miejscowości lub przez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udostępnienie pisma w Biuletynie Informacji Publicznej na stronie podmiotowej właściwego organu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administracji publicznej.</w:t>
      </w:r>
    </w:p>
    <w:p w14:paraId="2E46B3A0" w14:textId="52B7C8E0" w:rsid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Art. 74 ust. 3 ustawy z dnia 3 października 2008 r. o udostępnianiu informacji o środowisku i jego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ochronie, udziale społeczeństwa w ochronie środowiska oraz o ocenach oddziaływania na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środowisko (Dz. U. z 2023 r. poz. 1094): Jeżeli liczba stron postępowania w sprawie wydania decyzji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o środowiskowych uwarunkowaniach lub innego postępowania dotyczącego tej decyzji przekracza 10,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stosuje się art. 49 Kodeksu postępowania administracyjnego.</w:t>
      </w:r>
    </w:p>
    <w:p w14:paraId="06C9F220" w14:textId="2BA7781D" w:rsidR="00EF649B" w:rsidRPr="00EF649B" w:rsidRDefault="00EF649B" w:rsidP="00EF649B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49B">
        <w:rPr>
          <w:rFonts w:ascii="Calibri" w:hAnsi="Calibri" w:cs="Calibri"/>
          <w:sz w:val="22"/>
          <w:szCs w:val="22"/>
        </w:rPr>
        <w:t>Art. 15 ust. 1 ustawy z dnia 13 lipca 2023 r. o zmianie ustawy o udostępnianiu informacji o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środowisku i jego ochronie, udziale społeczeństwa w ochronie środowiska oraz o ocenach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oddziaływania na środowisko oraz niektórych innych ustaw (Dz. U. 2023 r. poz. 1890): Do spraw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prowadzonych na podstawie ustawy zmienianej w art. 1 wszczętych i niezakończonych przed dniem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wejścia w życie niniejszej ustawy stosuje się przepisy ustawy zmienianej w art. 1 w brzmieniu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dotychczasowym, z wyjątkiem przepisów art. 61 ust. 1, art. 66 ust. 1 pkt 5, art. 82 ust. 1 oraz art. 86f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ust. 2 i 4 ustawy zmienianej w art. 1, które stosuje się w brzmieniu nadanym niniejszą ustawą, oraz</w:t>
      </w:r>
      <w:r>
        <w:rPr>
          <w:rFonts w:ascii="Calibri" w:hAnsi="Calibri" w:cs="Calibri"/>
          <w:sz w:val="22"/>
          <w:szCs w:val="22"/>
        </w:rPr>
        <w:t xml:space="preserve"> </w:t>
      </w:r>
      <w:r w:rsidRPr="00EF649B">
        <w:rPr>
          <w:rFonts w:ascii="Calibri" w:hAnsi="Calibri" w:cs="Calibri"/>
          <w:sz w:val="22"/>
          <w:szCs w:val="22"/>
        </w:rPr>
        <w:t>stosuje się przepisy art. 86f ust. 1a, 2a i 8 ustawy zmienianej w art. 1.</w:t>
      </w:r>
    </w:p>
    <w:sectPr w:rsidR="00EF649B" w:rsidRPr="00EF6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9B"/>
    <w:rsid w:val="00D3707D"/>
    <w:rsid w:val="00E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677F"/>
  <w15:chartTrackingRefBased/>
  <w15:docId w15:val="{4795241B-7753-4189-B473-F929F5C1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6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6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6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6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6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6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6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6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6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6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6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6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64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64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64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64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64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64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6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6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6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6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6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64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64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64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6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64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64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544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Bodek</dc:creator>
  <cp:keywords/>
  <dc:description/>
  <cp:lastModifiedBy>Joshua Bodek</cp:lastModifiedBy>
  <cp:revision>1</cp:revision>
  <dcterms:created xsi:type="dcterms:W3CDTF">2026-07-28T08:08:00Z</dcterms:created>
  <dcterms:modified xsi:type="dcterms:W3CDTF">2026-07-28T08:18:00Z</dcterms:modified>
</cp:coreProperties>
</file>