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0C" w:rsidRPr="00200E0C" w:rsidRDefault="00200E0C" w:rsidP="00200E0C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 w:rsidRPr="00200E0C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Załącznik do zarządzenia Ministra Finansów, Funduszy i Polityki Regionalnej </w:t>
      </w:r>
    </w:p>
    <w:p w:rsidR="00200E0C" w:rsidRPr="00200E0C" w:rsidRDefault="00200E0C" w:rsidP="000611F4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</w:pPr>
      <w:r w:rsidRPr="00200E0C">
        <w:rPr>
          <w:rFonts w:ascii="Times New Roman" w:eastAsiaTheme="minorEastAsia" w:hAnsi="Times New Roman" w:cs="Times New Roman"/>
          <w:color w:val="000000"/>
          <w:sz w:val="20"/>
          <w:szCs w:val="20"/>
          <w:lang w:eastAsia="pl-PL"/>
        </w:rPr>
        <w:t xml:space="preserve">z dnia …………….. 2020 r. (poz. …) </w:t>
      </w:r>
    </w:p>
    <w:p w:rsidR="00A075D5" w:rsidRPr="004E2036" w:rsidRDefault="00A075D5" w:rsidP="00A075D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5D5" w:rsidRPr="00543FB6" w:rsidRDefault="00200E0C" w:rsidP="00A075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0E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współpracy Ministra Finansów, Funduszy i Polityki Regionalnej w zakresie działów administracji rządowej: budżet, finanse publicznych i instytucje finansowe z organizacjami pozarządowymi oraz podmiotami wymienionymi w art. 3 ust. 3 ustawy o działalności pożytku publicznego i o wolontariacie na lata 2021–2024</w:t>
      </w:r>
      <w:r w:rsidR="00A075D5" w:rsidRPr="00543F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A075D5" w:rsidRPr="00543FB6" w:rsidRDefault="00A075D5" w:rsidP="00A075D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1" w:name="_Toc45798873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I. Wprowadzenie</w:t>
      </w:r>
      <w:bookmarkEnd w:id="1"/>
    </w:p>
    <w:p w:rsidR="00A075D5" w:rsidRPr="00543FB6" w:rsidRDefault="00A075D5" w:rsidP="00A075D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Wymiana informacji, konsultacje i negocjacje są nierozerwalną częścią dialogu pom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iędzy instytucjami publicznymi a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społeczeństwem obywatelskim reprezentowanym przez organizacje pozarządowe i podmioty wymienione w art. 3 ust. 3 ustawy z dnia 24 kwietnia 2003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działalności pożytku publicznego i o </w:t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wolontariacie (Dz. U. z 2020 r. poz. 1057), zwane dalej „organizacjami”. Działania w tym zakresie podlegają systematyzacji w związku z przepisami ustawy z dnia 24 kwietnia 2003 r. o działalności pożytku publicznego i o wolontariacie (Dz. U. z 2020 r. poz. 1057), zwanej dalej „ustawą”. Każde z tych działań</w:t>
      </w:r>
      <w:r w:rsidRPr="00CB41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niezależnie od rezultatu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sprzyja poznaniu stanowisk i poglądów stron uczestniczących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konsultacjach.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Współpraca Ministra Finansów,</w:t>
      </w:r>
      <w:r w:rsidR="00200E0C" w:rsidRPr="00200E0C">
        <w:t xml:space="preserve"> </w:t>
      </w:r>
      <w:r w:rsidR="00200E0C" w:rsidRPr="00200E0C">
        <w:rPr>
          <w:rFonts w:ascii="Times New Roman" w:hAnsi="Times New Roman" w:cs="Times New Roman"/>
          <w:color w:val="000000" w:themeColor="text1"/>
          <w:sz w:val="24"/>
          <w:szCs w:val="24"/>
        </w:rPr>
        <w:t>Funduszy i Polityki Regionalnej</w:t>
      </w:r>
      <w:r w:rsidRPr="00543FB6">
        <w:rPr>
          <w:rFonts w:ascii="Times New Roman" w:hAnsi="Times New Roman" w:cs="Times New Roman"/>
          <w:sz w:val="24"/>
          <w:szCs w:val="24"/>
        </w:rPr>
        <w:t xml:space="preserve"> </w:t>
      </w:r>
      <w:r w:rsidR="00441D7E">
        <w:rPr>
          <w:rFonts w:ascii="Times New Roman" w:hAnsi="Times New Roman" w:cs="Times New Roman"/>
          <w:color w:val="000000" w:themeColor="text1"/>
          <w:sz w:val="24"/>
          <w:szCs w:val="24"/>
        </w:rPr>
        <w:t>zwanego dalej „Ministrem”, z 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organizacjami już od wielu lat przynosi pozytyw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ne efekty dla społeczeństwa obywatelskiego.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Kwestie budżetu, finansów publicznych, instytucji finansowych mają wpływ na życie każdego obywatela. Jego głos reprezentowany przez organizacje pozarządowe zyskuje rangę współdecydenta w kwestiach kluczowych dla rozwoju kraju i życia obywateli.</w:t>
      </w:r>
    </w:p>
    <w:p w:rsidR="00A075D5" w:rsidRPr="00543FB6" w:rsidRDefault="00A075D5" w:rsidP="00A075D5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współpracy </w:t>
      </w:r>
      <w:r w:rsidR="00441D7E" w:rsidRPr="00441D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Ministra </w:t>
      </w:r>
      <w:r w:rsidR="00200E0C" w:rsidRPr="00200E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Finansów, Funduszy i Polityki Regionalnej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w zakresie działów administracji rządowej: budżet, finanse publicznych i instytucje finansowe z organizacjami pozarządowymi oraz podmiotami wymienionymi w art. 3 ust. 3 ustawy o działalności pożytku publicznego i o wolontariacie na lata 2021–2024, zwany dalej „Programem”, wyznacza kierunki i priorytety współpracy Ministra i jednostek podległych Ministrowi lub przez niego nadzorowanych, zwanych dalej „jednostkami”, z organizacjami. Sposoby realizacji założeń Programu opierają się na formach współpracy, które w latach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2020 okazały się najbardziej efektywne, ale i możliwe do implementacji w obecnej sytuacji społecznej wywołanej epidemią COVID-19.</w:t>
      </w:r>
    </w:p>
    <w:p w:rsidR="00A075D5" w:rsidRPr="00543FB6" w:rsidRDefault="00A075D5" w:rsidP="00A075D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dobie zmian wywołanych sytuacją epidemiologiczną prowadzenie działalności społecznie użytecznej przez organizacje będzie wymagało wsparcia instytucji publicznych, zarówno finansowego, jak i pozafinansowego. </w:t>
      </w:r>
      <w:r w:rsidRPr="00543FB6"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t>COVID-19 wpłynął nie tylko negatywnie na życie społeczne, ale przede wszystkim na sytuację organizacji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 w:rsidRPr="00543FB6"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t xml:space="preserve">. Jednym z największych wyzwań okazała się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rewizja dotychczasowych form świadczenia działalności przez organizacje, przy jednoczesnym zachowaniu ciągłości ich funkcjonowania. Przy tak znaczących zmianach konieczna była analiza potrzeb i oczekiwań organizacji, by mimo zmian mogły spełniać dotychczasową rolę współdecydenta w kwestiach najważniejszych dla rozwoju kraju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 bezpieczeństwa obywateli. </w:t>
      </w:r>
      <w:r w:rsidRPr="00543FB6"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t xml:space="preserve">Wymienione w tym Programie propozycje zakresu i sposobu współpracy odzwierciedlają realne możliwości współpracy w dobie wyzwań społecznych </w:t>
      </w:r>
      <w:r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br/>
      </w:r>
      <w:r w:rsidRPr="00543FB6"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t>i gospodarczych spowodowanych COVID-19 w zakresie działów administracji rządowej: budżet, finanse publiczne i instytucje finansowe.</w:t>
      </w:r>
    </w:p>
    <w:p w:rsidR="00A075D5" w:rsidRPr="00543FB6" w:rsidRDefault="00A075D5" w:rsidP="00A075D5">
      <w:pPr>
        <w:keepNext/>
        <w:keepLines/>
        <w:spacing w:before="120" w:after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2" w:name="_Toc45798876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II. Tworzenie Programu</w:t>
      </w:r>
      <w:bookmarkEnd w:id="2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CB41EC" w:rsidRDefault="00A075D5" w:rsidP="00A075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Program powstaje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procesie </w:t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kilkuetapowej konsultacji wewnętrznej</w:t>
      </w:r>
      <w:r w:rsidR="00441D7E">
        <w:rPr>
          <w:rFonts w:ascii="Times New Roman" w:hAnsi="Times New Roman" w:cs="Times New Roman"/>
          <w:color w:val="000000" w:themeColor="text1"/>
          <w:sz w:val="24"/>
          <w:szCs w:val="24"/>
        </w:rPr>
        <w:t>, bazując</w:t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doświadczeniach wynikających ze współpracy Ministerstwa Finansów, zwanego dalej „Ministerstwem”, i jednostek z organizacjami. Treść Programu zostaje poddana konsultacjom przez udostępnienie na stronie Biuletynu Informacji Publicznej Ministerstwa.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konsultacjach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653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ewentualnych korektach</w:t>
      </w:r>
      <w:r w:rsidRPr="00AA3994">
        <w:rPr>
          <w:rFonts w:ascii="Times New Roman" w:hAnsi="Times New Roman" w:cs="Times New Roman"/>
          <w:sz w:val="24"/>
          <w:szCs w:val="24"/>
        </w:rPr>
        <w:t xml:space="preserve"> Program zostaje przekazany do podpisu Ministra.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3" w:name="_Toc45798877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III. Okres realizacji Programu</w:t>
      </w:r>
      <w:bookmarkEnd w:id="3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Program określa zasady współpracy z organizacjami w latach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1–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2024.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4" w:name="_Toc45798878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IV. Środki na realizację Programu</w:t>
      </w:r>
      <w:bookmarkEnd w:id="4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Realizacja Programu nie wymaga poniesienia przez Ministerstwo i jednostki dodatkowych kosztów. Działania będą podejmowane w ramach zadań własnych komórek organizacyjnych Ministerstwa i jednostek ze środków przewidzianych w planie finansowym.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keepNext/>
        <w:keepLines/>
        <w:spacing w:before="120" w:after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5" w:name="_Toc45798879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V. Zasady realizacji współpracy</w:t>
      </w:r>
      <w:bookmarkEnd w:id="5"/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Współpraca Ministra i jednostek z organizacjami jest realizowana w oparciu o zasady:  pomocniczości, suwerenności stron, partnerstwa, efektywności, uczciwej konkurencji, jawności oraz równości szans (art. 5 ust. 3 ustawy).</w:t>
      </w:r>
    </w:p>
    <w:p w:rsidR="00A075D5" w:rsidRPr="00543FB6" w:rsidRDefault="00A075D5" w:rsidP="00A075D5">
      <w:pPr>
        <w:keepNext/>
        <w:keepLines/>
        <w:spacing w:before="120" w:after="0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bookmarkStart w:id="6" w:name="_Toc45798880"/>
      <w:r w:rsidRPr="00543FB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VI. Ocena realizacji Programu</w:t>
      </w:r>
      <w:bookmarkEnd w:id="6"/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stopnia realizacji Programu odbywa się na podstawie sporządzanych przez Biuro Komunikacji i Promocji Ministerstwa: </w:t>
      </w:r>
    </w:p>
    <w:p w:rsidR="00A075D5" w:rsidRPr="00543FB6" w:rsidRDefault="00A075D5" w:rsidP="00A075D5">
      <w:pPr>
        <w:numPr>
          <w:ilvl w:val="0"/>
          <w:numId w:val="2"/>
        </w:num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raportu rocznego – opracowanego na podstawie rocznych raportów z realizacji Programu przekazywanych przez komórki organizacyjne Ministerstwa i jednostki do 28 lutego roku następującego po roku, którego dotyczy raport; </w:t>
      </w:r>
    </w:p>
    <w:p w:rsidR="00A075D5" w:rsidRPr="00543FB6" w:rsidRDefault="00A075D5" w:rsidP="00A075D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podsumowującego raportu czteroletniego – opracowanego na podstawie raportów podsumowujących cały okres realizacji Programu przekazywanych przez komórki organizacyjne Ministerstwa i jednostki do 28 lutego 2025 r.; </w:t>
      </w:r>
    </w:p>
    <w:p w:rsidR="00A075D5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Bieżąca ocena realizacji Programu może odbywać się na podstawie informacji ujętych w cotygodniowym raporcie przekazywanym przez Ministerstwo i jednostki do Biura Komunikacji i Promocji Ministerstwa. Raporty mogą zawierać w szczególności informację o dokumentach, które podlegały konsultacji z organizacjami, patronatach przyznanych w danym okresie i innych formach współpracy podjętych przez Ministerstwo i jednostki.</w:t>
      </w:r>
    </w:p>
    <w:p w:rsidR="00A075D5" w:rsidRPr="00AA3994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7" w:name="_Toc45798881"/>
      <w:r w:rsidRPr="00AA399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VII. Diagnoza</w:t>
      </w:r>
      <w:bookmarkEnd w:id="7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Zgodnie z badaniami GUS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w roku 2018 działało 88,1 tys. rejestrowych stowarzyszeń i podobnych organizacji społecznych, fundacji, społecznych podmiotów wyznaniowych oraz organizacji samorządu gospodarczego i zawodowego. Zrzeszały one łącznie 8,9 mln członków, co świadczy o silnym potencjale społecznym sektora. Możliwość wpływu organizacji na kształt polskiego ustawodawstwa i stosunków społecznych w różnych dziedzinach jest niepodważalna, wymaga jednak trwałej współpracy ze strony wszystkich interesariuszy spraw społecznych. W 2018 roku 37% organizacji pozarządowych wskazało jako partnerów społecznych instytucje publiczne na szczeblu centralnym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  <w:vertAlign w:val="superscript"/>
        </w:rPr>
        <w:footnoteReference w:id="3"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.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W latach 2017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4"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ramach </w:t>
      </w:r>
      <w:r w:rsidRPr="0036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Programu współpracy Ministra Rozwoju i Finansów w zakresie działów administracji rządowej: budżet, finanse publiczne i instytucje finansowe </w:t>
      </w:r>
      <w:r w:rsidRPr="00CB41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36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organizacjami pozarządowymi oraz podmiotami wymienionymi w art. 3 ust. 3 ustawy </w:t>
      </w:r>
      <w:r w:rsidRPr="00CB41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36707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działalności pożytku publicznego i o wolontariacie realizowanego w latach 2017–2020</w:t>
      </w:r>
      <w:r>
        <w:rPr>
          <w:rStyle w:val="Odwoanieprzypisudolnego"/>
          <w:rFonts w:ascii="Times New Roman" w:hAnsi="Times New Roman" w:cs="Times New Roman"/>
          <w:bCs/>
          <w:color w:val="000000" w:themeColor="text1"/>
          <w:sz w:val="24"/>
          <w:szCs w:val="24"/>
        </w:rPr>
        <w:footnoteReference w:id="5"/>
      </w:r>
      <w:r w:rsidRPr="00543F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Ministerstwo oraz jednostki podjęły wspólnie z </w:t>
      </w:r>
      <w:r w:rsidRPr="00543F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organizacjami ponad 2581 różnorodnych inicjatyw w ramach wydarzeń, spotkań czy konsultacji publicznych. W tym czasie przeprowadzono konsultacje publiczne dotyczące 110 aktów prawnych oraz zawarto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7 porozumień o współpracy. Ponad 242 wydarzeń zyskało patronat honorowy Ministerstwa. Przedstawiciele Ministerstwa i jednostek wzięli udział w ponad 465 wydarzeniach, których organizatorami były organizacje,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113 razy spotykali się z reprezentantami organizacji w celu zapoznania z planowanymi kierunkami działań, zmianami systemowymi czy wyjaśnienia wątpliwości dotyczących skutków planowanych działań w resorcie.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współpracy określony w </w:t>
      </w:r>
      <w:r w:rsidRPr="009678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Programie współpracy Ministra Rozwoju i Finansów </w:t>
      </w:r>
      <w:r w:rsidRPr="00CB41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678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 zakresie działów administracji rządowej: budżet, finanse publiczne i instytucje finansowe </w:t>
      </w:r>
      <w:r w:rsidRPr="00CB41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678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organizacjami pozarządowymi oraz podmiotami wymienionymi w art. 3 ust. 3 ustawy </w:t>
      </w:r>
      <w:r w:rsidRPr="00CB41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9678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 działalności pożytku publicznego i o wolontariacie realizowanego w latach 2017–2020</w:t>
      </w:r>
      <w:r w:rsidRPr="00543F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wyznaczył i utrwalił formy porozumienia z organizacjami. Doświadczenia i wnioski wynikające ze współpracy Ministra z organizacjami stały się podstawą do wyznaczania kierunków i priorytetów Programu. Pod uwagę wzięto również zdiagnozowane potrzeby organizacji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N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ajczęściej wykorzystywanymi narzędziami komunikacji organizacji są strony internetowe i media społecznościowe (72% organizacji), organizacja spotkań (59%) udział w lokalnych lu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b branżowych wydarzeniach (52%)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  <w:vertAlign w:val="superscript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.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Formy elektronicznej komunikacji wykorzystywane są przez organizacje do informowania ogółu społeczeństwa o ich działaniach, efektach pracy i w następnej kolejności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do komunikowania o istotnych problemach społecznych, którymi dana organizacja się zajmuje. Potencjał tych form pozostaje niezmienny, cho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ć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70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%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organizacji deklaruje, że dostępność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do funduszy i sprzętu komputerowego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stanowi duże wyzwanie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. Pytane o hierarchi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ę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potrzeb niezbędnych do funkcjonowania na pierwszym miejscu wskazują pozyskiwanie środków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na wkład własny do projektów, na drugim zakup sprzętu związanego z obszarem działalności (31% organizacji w 2018 roku).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W 2018 roku 80% organizacji zadeklarowało również potrzeby szkoleniowe. Najczęściej wymienianą tematyką szkoleń było pozyskiwanie funduszy (50%)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>,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DFDFD"/>
        </w:rPr>
        <w:t xml:space="preserve"> wiedza z zakresu dziedziny, w której działa organizacja (24%), budowanie wizerunku organizacji (18%), księgowość i zarządzanie finansami (18%) i zagadnienia formalno-prawne związane z funkcjonowaniem organizacji (17%). 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Potrzeby organizacji, cho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odpowiednio zdiagnozowane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uległy zmianie od początku 2020 roku. Pandemia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COVID-19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wpłynęła na funkcjonowanie organizacji w różnym stopniu – część stowarzyszeń i fundacji nadal prowadziło swoje dotychczasowe działania, inne je zmodyfikowały, ograniczyły lub zawieszały</w:t>
      </w:r>
      <w:r w:rsidRPr="00543FB6">
        <w:rPr>
          <w:rFonts w:ascii="Times New Roman" w:hAnsi="Times New Roman" w:cs="Times New Roman"/>
          <w:bCs/>
          <w:color w:val="000000" w:themeColor="text1"/>
          <w:sz w:val="24"/>
          <w:szCs w:val="24"/>
          <w:vertAlign w:val="superscript"/>
        </w:rPr>
        <w:footnoteReference w:id="7"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Dotychczas przyjęte formy działalności ulegają ciągłym zmianom, a ich ostateczny kształt nie może być do końca przewidziany. </w:t>
      </w:r>
    </w:p>
    <w:p w:rsidR="00A075D5" w:rsidRPr="00543FB6" w:rsidRDefault="00A075D5" w:rsidP="00A07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oziom aktywności organizacji w dobie pandemii jest w dużej mierze związany z tym, w jakim stopniu jest ona w stanie przenieść swoje działania do </w:t>
      </w:r>
      <w:proofErr w:type="spellStart"/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 badania wynika, że 38% badanych podmiotów planuje w dużym stopniu wykorzystywać nowe technologie w prowadzeniu działań, zaś 42% dopuszcza taki wariant, ale tylko w przypadku części swoich działań. Organizacje, które zadeklarowały, że przynajmniej część działań mogą przenieść do </w:t>
      </w:r>
      <w:proofErr w:type="spellStart"/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, zapytane o potrzeby związane z nowymi technologiami wśród niedoborów najczęściej wymieniają sprzęt komputerowy (59%). W dalszej kolejności organiza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cje potrzebują płatnego oprogramowania (45%), podnie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sienia kompetencji związanych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korzystaniem z nowych technologii w zespole organizacji (42%), a także dostępu do szybkiego </w:t>
      </w:r>
      <w:proofErr w:type="spellStart"/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(41%). Jako istotny aspekt, które ułatwiłby funkcjonowanie organizacji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wspomina się też możliwość załatwiania spraw w formie zdalnej. </w:t>
      </w:r>
    </w:p>
    <w:p w:rsidR="00A075D5" w:rsidRPr="00543FB6" w:rsidRDefault="00A075D5" w:rsidP="00A075D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Bezpłatna pomoc prawna, księgowa, ekspercka, szkolenia m.in. dot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yczące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reorganizacji organizacji, przeniesienia działań do </w:t>
      </w:r>
      <w:proofErr w:type="spellStart"/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internetu</w:t>
      </w:r>
      <w:proofErr w:type="spellEnd"/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, utrzymania działalności odpłatnej i gospodarczej online znalazły się na 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miejscu (tuż za wsparciem finansowym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w tym tarcza dla III sektora), dostosowaniem wymogów formalnych do sytuacji organizacji i dostępem do sprzętu) pod względem potrzeb całego sektora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organizacji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75D5" w:rsidRPr="00543FB6" w:rsidRDefault="00A075D5" w:rsidP="00A07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Przy tak zdiagnozowanych problemach koniecznym jest dostosowanie form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współpracy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sytuacji organizacji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spowodowanej COVID-19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Treść uchwały nr 106 Rady Działalności Pożytku Publicznego z dnia 9 czerwca 2020 r. </w:t>
      </w:r>
      <w:r w:rsidRPr="00A075D5">
        <w:rPr>
          <w:rFonts w:ascii="Times New Roman" w:eastAsia="Gulim" w:hAnsi="Times New Roman" w:cs="Times New Roman"/>
          <w:color w:val="000000" w:themeColor="text1"/>
          <w:sz w:val="24"/>
          <w:szCs w:val="24"/>
        </w:rPr>
        <w:t>w sprawie</w:t>
      </w:r>
      <w:r w:rsidRPr="00A07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potrzeby współpracy i wsparcia organizacji pozarządowych oraz podmiotów wymienionych</w:t>
      </w:r>
      <w:r w:rsidRPr="00A075D5"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t xml:space="preserve"> w art. 3 ust. 3 ustawy z dnia 24 kwietnia 2003 r. o działalności pożytku publicznego i o wolontariacie, ze strony jednostek samorządu terytorialnego oraz innych instytucji udzielających dotacji podczas trwania epidemii COVID-19 oraz po jej zakończeniu</w:t>
      </w:r>
      <w:r w:rsidRPr="00543FB6"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t xml:space="preserve"> wskazuje, że prowadzenie działalności społecznie użytecznej przez organizacje pozarządowe nie będzie możliwe bez pomocy instytucji publicznych, dlatego wszelkie formy współpracy powinny być dostosowane do ich potrzeb </w:t>
      </w:r>
      <w:r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br/>
      </w:r>
      <w:r w:rsidRPr="00543FB6">
        <w:rPr>
          <w:rFonts w:ascii="Times New Roman" w:eastAsia="Gulim" w:hAnsi="Times New Roman" w:cs="Times New Roman"/>
          <w:color w:val="000000" w:themeColor="text1"/>
          <w:sz w:val="24"/>
          <w:szCs w:val="24"/>
          <w:lang w:eastAsia="de-DE"/>
        </w:rPr>
        <w:t>i możliwości.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A075D5" w:rsidRPr="00543FB6" w:rsidRDefault="00A075D5" w:rsidP="00A075D5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8" w:name="_Toc45798882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VIII. Obszary współpracy</w:t>
      </w:r>
      <w:bookmarkEnd w:id="8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AA3994" w:rsidRDefault="00A075D5" w:rsidP="00A075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Obszary współpracy Ministra i jednostek z organizacjami wpisują się w zadania publiczne </w:t>
      </w: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wymienione w art. 4 ust. 1 ustawy.</w:t>
      </w:r>
    </w:p>
    <w:p w:rsidR="00A075D5" w:rsidRPr="00AA3994" w:rsidRDefault="00A075D5" w:rsidP="00A075D5">
      <w:pPr>
        <w:keepNext/>
        <w:keepLines/>
        <w:numPr>
          <w:ilvl w:val="0"/>
          <w:numId w:val="11"/>
        </w:numPr>
        <w:spacing w:before="40" w:after="0"/>
        <w:jc w:val="both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bookmarkStart w:id="9" w:name="_Toc45798883"/>
      <w:r w:rsidRPr="00AA399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 ramach polityki podatkowej</w:t>
      </w:r>
      <w:r w:rsidRPr="00AA399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obszar współpracy obejmuje</w:t>
      </w:r>
      <w:r w:rsidRPr="00CB41E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399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m.in.</w:t>
      </w:r>
      <w:r w:rsidRPr="00AA399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:</w:t>
      </w:r>
      <w:bookmarkEnd w:id="9"/>
      <w:r w:rsidRPr="00AA3994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A075D5" w:rsidRPr="00AA3994" w:rsidRDefault="00A075D5" w:rsidP="00A075D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działalność wspomagającą rozwój gospodarczy, w tym rozwój przedsiębiorczości;</w:t>
      </w:r>
    </w:p>
    <w:p w:rsidR="00A075D5" w:rsidRPr="00AA3994" w:rsidRDefault="00A075D5" w:rsidP="00A075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wspomagającą rozwój techniki, wynalazczości i innowacyjności oraz rozpowszechnianie i wdrażanie nowych rozwiązań technicznych w praktyce gospodarczej; </w:t>
      </w:r>
    </w:p>
    <w:p w:rsidR="00A075D5" w:rsidRPr="00543FB6" w:rsidRDefault="00A075D5" w:rsidP="00A075D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pomoc społeczną, w tym pomoc rodzinom i osobom w trudnej sytuacji życiowej oraz wyrównywanie szans tych rodzin i osób, wspieranie systemu pieczy zastępczej; </w:t>
      </w:r>
    </w:p>
    <w:p w:rsidR="00A075D5" w:rsidRPr="00543FB6" w:rsidRDefault="00A075D5" w:rsidP="00A075D5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na rzecz rodziny, macierzyństwa, rodzicielstwa, upowszechniania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i ochrony praw dziecka;</w:t>
      </w:r>
    </w:p>
    <w:p w:rsidR="00A075D5" w:rsidRPr="00543FB6" w:rsidRDefault="00A075D5" w:rsidP="00A075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działalność na rzecz integracji i reintegracji zawodowej i społecznej osób zagrożonych wykluczeniem społecznym;</w:t>
      </w:r>
    </w:p>
    <w:p w:rsidR="00A075D5" w:rsidRPr="00543FB6" w:rsidRDefault="00A075D5" w:rsidP="00A075D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promocję zatrudnienia i aktywizację zawodową osób pozostających bez pracy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i zagrożonych zwolnieniem z pracy.</w:t>
      </w:r>
    </w:p>
    <w:p w:rsidR="00A075D5" w:rsidRPr="00543FB6" w:rsidRDefault="00A075D5" w:rsidP="00A075D5">
      <w:pPr>
        <w:keepNext/>
        <w:keepLines/>
        <w:numPr>
          <w:ilvl w:val="0"/>
          <w:numId w:val="11"/>
        </w:numPr>
        <w:spacing w:before="40" w:after="0"/>
        <w:jc w:val="both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bookmarkStart w:id="10" w:name="_Toc45798884"/>
      <w:r w:rsidRPr="00543FB6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W ramach polityki informacyjnej</w:t>
      </w:r>
      <w:r w:rsidRPr="00543FB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obszar współpracy obejmuje w szczególności</w:t>
      </w:r>
      <w:r w:rsidRPr="00543FB6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:</w:t>
      </w:r>
      <w:bookmarkEnd w:id="10"/>
    </w:p>
    <w:p w:rsidR="00A075D5" w:rsidRPr="00543FB6" w:rsidRDefault="00A075D5" w:rsidP="00A075D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zwiększanie świadomości prawnej społeczeństwa, w tym upowszechniania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i ochrony praw konsumentów;</w:t>
      </w:r>
    </w:p>
    <w:p w:rsidR="00A075D5" w:rsidRPr="00543FB6" w:rsidRDefault="00A075D5" w:rsidP="00A075D5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na rzecz integracji europejskiej oraz rozwijania kontaktów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współpracy między społeczeństwami; </w:t>
      </w:r>
    </w:p>
    <w:p w:rsidR="00A075D5" w:rsidRPr="00543FB6" w:rsidRDefault="00A075D5" w:rsidP="00A075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promocję i organizację wolontariatu, pomocy Polonii i Polakom za granicą, promocji Rzeczypospolitej Polskiej za granicą; </w:t>
      </w:r>
    </w:p>
    <w:p w:rsidR="00A075D5" w:rsidRPr="00543FB6" w:rsidRDefault="00A075D5" w:rsidP="00A075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charytatywną; </w:t>
      </w:r>
    </w:p>
    <w:p w:rsidR="00A075D5" w:rsidRPr="00543FB6" w:rsidRDefault="00A075D5" w:rsidP="00A075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działalność na rzecz równych praw kobiet i mężczyzn, na rzecz osób w wieku emerytalnym, osób niepełnosprawnych, dzieci i młodzieży (w tym wypoczynku dzieci i młodzieży), kombatantów i osób represjonowanych, weteranów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weteranów poszkodowanych w rozumieniu ustawy z dnia 19 sierpnia 2011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o weteranach działań poza granicami państwa</w:t>
      </w:r>
      <w:r w:rsidR="00CA6C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C97" w:rsidRPr="00CA6C97">
        <w:rPr>
          <w:rFonts w:ascii="Times New Roman" w:hAnsi="Times New Roman" w:cs="Times New Roman"/>
          <w:color w:val="000000" w:themeColor="text1"/>
          <w:sz w:val="24"/>
          <w:szCs w:val="24"/>
        </w:rPr>
        <w:t>(Dz. U. z 2019 r. poz. 1569, 1726)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, działalność na rzecz mniejszości narodowych i etnicznych oraz języka regionalnego oraz działalności na rzecz integracji cudzoziemców;</w:t>
      </w:r>
    </w:p>
    <w:p w:rsidR="00A075D5" w:rsidRPr="00543FB6" w:rsidRDefault="00A075D5" w:rsidP="00A075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podtrzymywanie i upowszechnianie tradycji narodowej, pielęgnowanie polskości oraz rozwoju świadomości narodowej, obywatelskiej i kulturowej oraz upowszechnianie i ochronę wolności i praw człowieka oraz swobód obywatelskich, a także działań wspomagających rozwój demokracji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społeczności lokalnych; </w:t>
      </w:r>
    </w:p>
    <w:p w:rsidR="00A075D5" w:rsidRPr="00543FB6" w:rsidRDefault="00A075D5" w:rsidP="00A075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obronność państwa i działalności Sił Zbrojnych Rzeczypospolitej Polskiej, porządku i bezpieczeństwa publicznego;</w:t>
      </w:r>
    </w:p>
    <w:p w:rsidR="00A075D5" w:rsidRDefault="00A075D5" w:rsidP="00A075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wspieranie nauki, szkolnictwa wyższego, edukacji, oświaty i wychowania, kultury, sztuki, ochrony dóbr kultury i dziedzictwa narodowego, ekologii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i ochrony zwierząt oraz ochrony dziedzictwa przyrodniczego, rewitalizacji.</w:t>
      </w:r>
    </w:p>
    <w:p w:rsidR="00CA6C97" w:rsidRPr="00543FB6" w:rsidRDefault="00CA6C97" w:rsidP="00CA6C97">
      <w:pPr>
        <w:autoSpaceDE w:val="0"/>
        <w:autoSpaceDN w:val="0"/>
        <w:adjustRightInd w:val="0"/>
        <w:spacing w:after="0" w:line="240" w:lineRule="auto"/>
        <w:ind w:left="135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11" w:name="_Toc45798885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IX. Cel główny i cele szczegółowe</w:t>
      </w:r>
      <w:bookmarkEnd w:id="11"/>
    </w:p>
    <w:p w:rsidR="00A075D5" w:rsidRDefault="00A075D5" w:rsidP="00CA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Realizacja założeń Programu przez Ministerstwo oraz jednostki oparta jest na zasadzie przejrzystości.</w:t>
      </w:r>
    </w:p>
    <w:p w:rsidR="00CA6C97" w:rsidRPr="00543FB6" w:rsidRDefault="00CA6C97" w:rsidP="00CA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75D5" w:rsidRPr="00CA6C97" w:rsidRDefault="00A075D5" w:rsidP="00CA6C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głównym Programu jest zapewnienie organizacjom możliwości udziału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w procesach sprawowania władzy i stanowienia prawa w zakresie działów administracji rządowej: budżet, finanse publicznie i instytucje finansowe.</w:t>
      </w:r>
    </w:p>
    <w:p w:rsidR="00A075D5" w:rsidRPr="00AA3994" w:rsidRDefault="00A075D5" w:rsidP="00A075D5">
      <w:pPr>
        <w:numPr>
          <w:ilvl w:val="0"/>
          <w:numId w:val="1"/>
        </w:numPr>
        <w:autoSpaceDE w:val="0"/>
        <w:autoSpaceDN w:val="0"/>
        <w:adjustRightInd w:val="0"/>
        <w:spacing w:after="47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Cel główny Programu zostanie osiągnięty przez realizację celów szczegółowych skoncentrowanych na:</w:t>
      </w:r>
    </w:p>
    <w:p w:rsidR="00A075D5" w:rsidRPr="00AA3994" w:rsidRDefault="00A075D5" w:rsidP="00A075D5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ind w:left="1134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podniesieniu świadomości obywateli i popularyzacji wiedzy poprzez działania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o charakterze konsultacyjnym, edukacyjnym oraz promocyjnym w zakresie budżetu państwa,</w:t>
      </w:r>
      <w:r w:rsidRPr="00CB4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finansów publicznych i instytucji finansowych; </w:t>
      </w:r>
    </w:p>
    <w:p w:rsidR="00A075D5" w:rsidRPr="00543FB6" w:rsidRDefault="00A075D5" w:rsidP="00A075D5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ind w:left="1134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tworzeniu efektywnych i skutecznych kanałów komunikacji z organizacjami; </w:t>
      </w:r>
    </w:p>
    <w:p w:rsidR="00A075D5" w:rsidRPr="00543FB6" w:rsidRDefault="00A075D5" w:rsidP="00A075D5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ind w:left="1134" w:hanging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wspieraniu i rozwijaniu potencjału organizacji, aktywności obywatelskiej oraz nieformalnych inicjatyw;</w:t>
      </w:r>
    </w:p>
    <w:p w:rsidR="00A075D5" w:rsidRPr="00543FB6" w:rsidRDefault="00A075D5" w:rsidP="00A075D5">
      <w:pPr>
        <w:numPr>
          <w:ilvl w:val="0"/>
          <w:numId w:val="5"/>
        </w:numPr>
        <w:autoSpaceDE w:val="0"/>
        <w:autoSpaceDN w:val="0"/>
        <w:adjustRightInd w:val="0"/>
        <w:spacing w:after="47" w:line="240" w:lineRule="auto"/>
        <w:ind w:left="1134" w:hanging="567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promowaniu dobrych praktyk współpracy administracji publicznej z organizacjami.</w:t>
      </w:r>
    </w:p>
    <w:p w:rsidR="00A075D5" w:rsidRPr="00543FB6" w:rsidRDefault="00A075D5" w:rsidP="00A075D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A075D5" w:rsidRDefault="00A075D5" w:rsidP="00A075D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12" w:name="_Toc45798886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X. Wskaźniki realizacji celów</w:t>
      </w:r>
      <w:bookmarkEnd w:id="12"/>
    </w:p>
    <w:p w:rsidR="00A075D5" w:rsidRPr="00CB41EC" w:rsidRDefault="00A075D5" w:rsidP="00A075D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CB41EC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Stopień realizacji celu głównego i celów szczegółowych będzie monitorowany dzięki wskaźnikom: </w:t>
      </w:r>
    </w:p>
    <w:p w:rsidR="00A075D5" w:rsidRPr="00AA3994" w:rsidRDefault="00A075D5" w:rsidP="00A075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liczba aktów normatywnych konsultowanych z organizacjami (wartość docelowa: 100);</w:t>
      </w:r>
    </w:p>
    <w:p w:rsidR="00A075D5" w:rsidRPr="00AA3994" w:rsidRDefault="00A075D5" w:rsidP="00A075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liczba patronatów honorowych przyznanych przez Ministerstwo organizacjom (wartość docelowa: 200</w:t>
      </w:r>
      <w:r w:rsidR="00CA6C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</w:p>
    <w:p w:rsidR="00A075D5" w:rsidRPr="00AA3994" w:rsidRDefault="00A075D5" w:rsidP="00A075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liczba spotkań w ramach podzespołów lub grup doradczych (wartość docelowa: 20);</w:t>
      </w:r>
    </w:p>
    <w:p w:rsidR="00A075D5" w:rsidRPr="00AA3994" w:rsidRDefault="00A075D5" w:rsidP="00A075D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liczba podpisanych partnerstw z organizacjami (wartość docelowa: 7).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Osiągnięcie wartości docelowych wskaźników planowane jest na zako</w:t>
      </w:r>
      <w:r w:rsidRPr="00CB41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ńczenie realizacji Programu </w:t>
      </w: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do 31 grudnia 2024 roku.</w:t>
      </w:r>
    </w:p>
    <w:p w:rsidR="00A075D5" w:rsidRPr="00543FB6" w:rsidRDefault="00A075D5" w:rsidP="00A075D5">
      <w:pPr>
        <w:keepNext/>
        <w:keepLines/>
        <w:spacing w:before="40" w:after="0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3" w:name="_Toc45798887"/>
    </w:p>
    <w:p w:rsidR="00A075D5" w:rsidRPr="00543FB6" w:rsidRDefault="00A075D5" w:rsidP="00A075D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XI. Sposoby realizacji programu</w:t>
      </w:r>
      <w:bookmarkEnd w:id="13"/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75D5" w:rsidRPr="00CB41EC" w:rsidRDefault="00A075D5" w:rsidP="00A075D5">
      <w:pPr>
        <w:pStyle w:val="Akapitzlist"/>
        <w:keepNext/>
        <w:keepLines/>
        <w:numPr>
          <w:ilvl w:val="0"/>
          <w:numId w:val="12"/>
        </w:numPr>
        <w:spacing w:before="40" w:after="0"/>
        <w:ind w:left="284" w:hanging="284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bookmarkStart w:id="14" w:name="_Toc45798888"/>
      <w:r w:rsidRPr="00CB41EC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Działania konsultacyjne</w:t>
      </w:r>
      <w:bookmarkEnd w:id="14"/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: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Prowadzenie konsultacji publicznych dotyczących:</w:t>
      </w:r>
    </w:p>
    <w:p w:rsidR="00A075D5" w:rsidRPr="00AA3994" w:rsidRDefault="00A075D5" w:rsidP="00A075D5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aktów normatywnych opracowywanych w Ministerstwie; </w:t>
      </w:r>
    </w:p>
    <w:p w:rsidR="00A075D5" w:rsidRPr="00AA3994" w:rsidRDefault="00A075D5" w:rsidP="00A075D5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stanowisk Rządu w zakresie działów – budżet, finanse publiczne, instytucje finansowe; </w:t>
      </w:r>
    </w:p>
    <w:p w:rsidR="00A075D5" w:rsidRPr="00543FB6" w:rsidRDefault="00A075D5" w:rsidP="00A075D5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zadań Ministra w zakresie podatków i opłat (polityki podatkowej, prawa podatkowego, systemu podatkowego, doradztwa podatkowego); </w:t>
      </w:r>
    </w:p>
    <w:p w:rsidR="00A075D5" w:rsidRPr="00543FB6" w:rsidRDefault="00A075D5" w:rsidP="00A075D5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określania zasad i procedur tworzenia usług informatycznych dla obywateli;</w:t>
      </w:r>
    </w:p>
    <w:p w:rsidR="00A075D5" w:rsidRPr="00AA3994" w:rsidRDefault="00A075D5" w:rsidP="00A075D5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procedur i jakości </w:t>
      </w:r>
      <w:r w:rsidRPr="00CB41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kontroli </w:t>
      </w: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przeprowadzanych </w:t>
      </w:r>
      <w:r w:rsidRPr="00CB41EC">
        <w:rPr>
          <w:rFonts w:ascii="Times New Roman" w:hAnsi="Times New Roman" w:cs="Times New Roman"/>
          <w:color w:val="000000" w:themeColor="text1"/>
          <w:sz w:val="24"/>
          <w:szCs w:val="24"/>
        </w:rPr>
        <w:t>przez Ministerstwo i jednostki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6C97" w:rsidRDefault="00A075D5" w:rsidP="00CA6C97">
      <w:pPr>
        <w:numPr>
          <w:ilvl w:val="0"/>
          <w:numId w:val="6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wspierania system współpracy Ministra i organizacji poprzez identyfikację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konsultację wzajemnych potrzeb i oczekiwań w zakresie przepisów, procedur oraz standardów obsługi dotyczących Ministerstwa i jednostek, w tym w ramach wymiany informacji na temat technologii i trendów przydatnych </w:t>
      </w:r>
      <w:r w:rsidR="00CA6C97">
        <w:rPr>
          <w:rFonts w:ascii="Times New Roman" w:hAnsi="Times New Roman" w:cs="Times New Roman"/>
          <w:color w:val="000000" w:themeColor="text1"/>
          <w:sz w:val="24"/>
          <w:szCs w:val="24"/>
        </w:rPr>
        <w:t>w pracy/służbie w Ministerstwie i jednostkach.</w:t>
      </w:r>
    </w:p>
    <w:p w:rsidR="00A075D5" w:rsidRPr="00CA6C97" w:rsidRDefault="00A075D5" w:rsidP="00CA6C97">
      <w:pPr>
        <w:autoSpaceDE w:val="0"/>
        <w:autoSpaceDN w:val="0"/>
        <w:adjustRightInd w:val="0"/>
        <w:spacing w:after="28" w:line="240" w:lineRule="auto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bookmarkStart w:id="15" w:name="_Toc45798889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2. Działania promocyjne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:</w:t>
      </w:r>
      <w:bookmarkEnd w:id="15"/>
    </w:p>
    <w:p w:rsidR="00A075D5" w:rsidRPr="00543FB6" w:rsidRDefault="00A075D5" w:rsidP="00A075D5">
      <w:pPr>
        <w:numPr>
          <w:ilvl w:val="0"/>
          <w:numId w:val="7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działań organizacji, w tym przyznawanie patronatów honorowych Ministerstwa przedsięwzięciom organizowanym przez organizacje oraz udział Ministra w komitecie honorowym przedsięwzięć organizowanych przez organizacje; </w:t>
      </w:r>
    </w:p>
    <w:p w:rsidR="00A075D5" w:rsidRPr="00543FB6" w:rsidRDefault="00A075D5" w:rsidP="00A075D5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promowanie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zatrudnienia wśród osób niepełnosprawnych; </w:t>
      </w:r>
    </w:p>
    <w:p w:rsidR="00A075D5" w:rsidRPr="00543FB6" w:rsidRDefault="00A075D5" w:rsidP="00A075D5">
      <w:pPr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prowadzenie wolontariatu i staży;</w:t>
      </w:r>
    </w:p>
    <w:p w:rsidR="00A075D5" w:rsidRPr="00543FB6" w:rsidRDefault="00A075D5" w:rsidP="00CA6C97">
      <w:pPr>
        <w:autoSpaceDE w:val="0"/>
        <w:autoSpaceDN w:val="0"/>
        <w:adjustRightInd w:val="0"/>
        <w:spacing w:after="27" w:line="240" w:lineRule="auto"/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określanie dobrych praktyk obejmujących przygotowywanie treści internetowych dostępnych dla wszystkich bez względu na wiek czy niepełnosprawność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uwzględnieniem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możliwości techniczn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oprogramowania.</w:t>
      </w:r>
    </w:p>
    <w:p w:rsidR="00A075D5" w:rsidRPr="00543FB6" w:rsidRDefault="00A075D5" w:rsidP="00A075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color w:val="1F4D78" w:themeColor="accent1" w:themeShade="7F"/>
          <w:sz w:val="24"/>
          <w:szCs w:val="24"/>
        </w:rPr>
      </w:pPr>
      <w:bookmarkStart w:id="16" w:name="_Toc45798891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4. Działania informacyjno-edukacyjne</w:t>
      </w:r>
      <w:bookmarkEnd w:id="16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:</w:t>
      </w:r>
    </w:p>
    <w:p w:rsidR="00A075D5" w:rsidRPr="00AA3994" w:rsidRDefault="00A075D5" w:rsidP="00A075D5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prowadzenie wspólnych akcji i kampanii informacyjnych oraz edukacyjnych na poziomie centralnym oraz lokalnym skierowanych do ogółu obywateli lub  konkretnych grup odbiorców;</w:t>
      </w:r>
    </w:p>
    <w:p w:rsidR="00A075D5" w:rsidRPr="00AA3994" w:rsidRDefault="00A075D5" w:rsidP="00A075D5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zlecanie organizacjom szkoleń zgodnie z przepisami prawa zamówień publicznych;</w:t>
      </w:r>
    </w:p>
    <w:p w:rsidR="00A075D5" w:rsidRPr="00AA3994" w:rsidRDefault="00A075D5" w:rsidP="00A075D5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zlecanie organizacjom analiz, audytów, badań socjologicznych;</w:t>
      </w:r>
    </w:p>
    <w:p w:rsidR="00A075D5" w:rsidRPr="00AA3994" w:rsidRDefault="00A075D5" w:rsidP="00A075D5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color w:val="000000" w:themeColor="text1"/>
          <w:sz w:val="24"/>
          <w:szCs w:val="24"/>
        </w:rPr>
        <w:t>wzajemny udział w spotkaniach, konferencjach, sympozjach, szkoleniach;</w:t>
      </w:r>
    </w:p>
    <w:p w:rsidR="00A075D5" w:rsidRPr="00543FB6" w:rsidRDefault="00A075D5" w:rsidP="00A075D5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edukacyjne i informacyjne podejmowane przez Radę Rozwoju Rynku Finansowego, jako organ opiniodawczy i doradczy Ministra, oraz przez jej zespoły i grupy robocze; </w:t>
      </w:r>
    </w:p>
    <w:p w:rsidR="00A075D5" w:rsidRPr="00543FB6" w:rsidRDefault="00A075D5" w:rsidP="00A075D5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działania informacyjne, edukacyjne związane z ochroną rynku, walką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działalnością przestępczą związaną z przemytem dóbr; </w:t>
      </w:r>
    </w:p>
    <w:p w:rsidR="00A075D5" w:rsidRPr="00543FB6" w:rsidRDefault="00A075D5" w:rsidP="00A075D5">
      <w:pPr>
        <w:numPr>
          <w:ilvl w:val="0"/>
          <w:numId w:val="8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działania informacyjne o sprawach związanych z budżetem Unii Europejskiej, polityką  gospodarczą i finansową Unii Europejskiej, polityką międzynarodowych instytucji finansowych.</w:t>
      </w:r>
    </w:p>
    <w:p w:rsidR="00A075D5" w:rsidRPr="00543FB6" w:rsidRDefault="00A075D5" w:rsidP="00A075D5">
      <w:pPr>
        <w:keepNext/>
        <w:keepLines/>
        <w:spacing w:before="40" w:after="0"/>
        <w:ind w:left="1134" w:hanging="425"/>
        <w:jc w:val="both"/>
        <w:outlineLvl w:val="2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bookmarkStart w:id="17" w:name="_Toc45798892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5. Działania wspierające funkcjonowanie organizacji pozarządowych</w:t>
      </w:r>
      <w:bookmarkEnd w:id="17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:</w:t>
      </w:r>
    </w:p>
    <w:p w:rsidR="00A075D5" w:rsidRPr="00543FB6" w:rsidRDefault="00A075D5" w:rsidP="00A075D5">
      <w:pPr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organizacja szkoleń dla organizacji w obszarze budżetu, finansów publicznych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instytucji finansowych oraz rozliczania działalności zgodnie z obowiązującymi przepisami prawa; </w:t>
      </w:r>
    </w:p>
    <w:p w:rsidR="00A075D5" w:rsidRPr="00543FB6" w:rsidRDefault="00A075D5" w:rsidP="00A075D5">
      <w:pPr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propagowanie jednolitego stosowania przepisów i dobrych praktyk dotyczących raportowania niefinansowego z zakresu społecznej odpowiedzialności przedsiębiorstw; </w:t>
      </w:r>
    </w:p>
    <w:p w:rsidR="00A075D5" w:rsidRPr="00543FB6" w:rsidRDefault="00A075D5" w:rsidP="00A075D5">
      <w:pPr>
        <w:numPr>
          <w:ilvl w:val="0"/>
          <w:numId w:val="9"/>
        </w:numPr>
        <w:autoSpaceDE w:val="0"/>
        <w:autoSpaceDN w:val="0"/>
        <w:adjustRightInd w:val="0"/>
        <w:spacing w:after="28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tworzenie rozwiązań w zakresie rewizji finansowej w odniesieniu do zagadnień dotyczących organizacji; </w:t>
      </w:r>
    </w:p>
    <w:p w:rsidR="00A075D5" w:rsidRPr="00543FB6" w:rsidRDefault="00A075D5" w:rsidP="00A075D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darowizna zbędnych składników rzeczowych majątku ruchomego (sprzęt komputerowy) na rzecz organizacji.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highlight w:val="lightGray"/>
        </w:rPr>
      </w:pPr>
    </w:p>
    <w:p w:rsidR="00A075D5" w:rsidRPr="00543FB6" w:rsidRDefault="00A075D5" w:rsidP="00A075D5">
      <w:pPr>
        <w:keepNext/>
        <w:keepLines/>
        <w:spacing w:before="40" w:after="0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18" w:name="_Toc45798893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XII. Formy współpracy</w:t>
      </w:r>
      <w:bookmarkEnd w:id="18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A075D5" w:rsidRPr="00543FB6" w:rsidRDefault="00A075D5" w:rsidP="00A075D5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19" w:name="_Toc45798894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1. Konsultacje publiczne</w:t>
      </w:r>
      <w:bookmarkEnd w:id="19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Konsultacje przeprowadzane są drogą elektroniczną za pośrednictwem Biuletynu Informacji Publicznej Rządowego Centrum Legislacji. Służą poznaniu opinii organizacji w trakcie procesu stanowienia prawa, dają możliwość wypowiedzenia się oraz otrzymania rzetelnej odpowiedzi na zgłoszone uwagi. 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75D5" w:rsidRPr="00AA3994" w:rsidRDefault="00A075D5" w:rsidP="00A075D5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2. </w:t>
      </w:r>
      <w:bookmarkStart w:id="20" w:name="_Toc45798895"/>
      <w:r w:rsidRPr="00AA399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Zawieranie partnerstw</w:t>
      </w:r>
      <w:bookmarkEnd w:id="20"/>
      <w:r w:rsidRPr="00AA3994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A399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Partnerstwa dotyczące współpracy Ministra lub jednostek z organizacjami na szczeblu centralnym lub lokalnym w obszarach budżet, finanse publiczne oraz instytucje finansowe.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21" w:name="_Toc45798896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3. Działania w ramach podzespołów lub grup doradczych</w:t>
      </w:r>
      <w:bookmarkEnd w:id="21"/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Współpraca Ministra z organizacjami polega na tworzeniu wspólnych podzespołów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o charakterze doradczym i inicjatywnym (powoływanych w celu np. realizacji wspólnych przedsięwzięć). Może się ona odbywać na szczeblu centralnym (Ministerstwo), jak i lokalnym (jednostki).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4. </w:t>
      </w:r>
      <w:bookmarkStart w:id="22" w:name="_Toc45798897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Organizacja cyklicznych spotkań pomiędzy przedstawicielami Ministerstwa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br/>
      </w:r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a organizacjami </w:t>
      </w:r>
      <w:bookmarkEnd w:id="22"/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Spotkania dotyczące konkretnego obszaru współpracy mające na celu zachowanie spójności działań. Cykliczna forma współpracy sprzyja wypracowaniu rozwiązań przynoszących pozytywne efekty w perspektywie długofalowej. Forma spotkań dostosowana do odbiorców (również spotkania on-line).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5. </w:t>
      </w:r>
      <w:bookmarkStart w:id="23" w:name="_Toc45798898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Udział przedstawicieli Ministerstwa lub jednostek w wydarzeniach organizowanych przez organizacje</w:t>
      </w:r>
      <w:bookmarkEnd w:id="23"/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Udział ekspertów w formie prelekcji, wykładu, dyskusji, porady lub w szerszym znaczeniu: współorganizacji wydarzenia, zwłaszcza objętego patronatem Ministra. Udział przedstawicieli Ministerstwa i jednostek w charakterze ekspertów odbywa się za wiedzą i zgodą przełożonego. Dopuszczalne są formy wystąpień na odległość (spotkania on-line, webinaria itp.).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24" w:name="_Toc45798899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6. Promowanie działalności organizacji przez Ministerstwo</w:t>
      </w:r>
      <w:bookmarkEnd w:id="24"/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Upowszechnianie przez Ministerstwo i jednostki informacji o realizowanych przez organizacje wydarzeniach wyróżniających się odpowiednim poziomem merytorycznym i organizacyjnym.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jc w:val="both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</w:rPr>
      </w:pPr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7.</w:t>
      </w:r>
      <w:r w:rsidRPr="00543FB6">
        <w:rPr>
          <w:rFonts w:ascii="Times New Roman" w:eastAsiaTheme="majorEastAsia" w:hAnsi="Times New Roman" w:cs="Times New Roman"/>
          <w:b/>
          <w:iCs/>
          <w:color w:val="000000" w:themeColor="text1"/>
          <w:sz w:val="24"/>
          <w:szCs w:val="24"/>
        </w:rPr>
        <w:t xml:space="preserve"> Patronat Ministerstwa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Promocyjne wsparcie przedsięwzięcia równoznaczne z uznaniem wydarzenia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za szczególnie użyteczne dla polityki informacyjnej oraz edukacyjnej Ministerstwa. Patronat ma charakter honorowy i nie oznacza deklaracji wsparcia finansowego lub organizacyjnego.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25" w:name="_Toc45798900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8. Działalność szkoleniowa na rzecz organizacji</w:t>
      </w:r>
      <w:bookmarkEnd w:id="25"/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Szkolenia organizowane przez Ministra lub jednostki mogą być związane z obszarem wzajemnej współpracy lub dotyczyć działań wynikających z obowiązków sprawozdawczych organizacji. Szkolenia mogą mieć charakter informacyjny lub instruktażowy i odbywać się w formie stacjonarnej lub na odległość.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75D5" w:rsidRPr="00543FB6" w:rsidRDefault="00A075D5" w:rsidP="00A075D5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bookmarkStart w:id="26" w:name="_Toc45798901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9. Informowanie o podejmowanych działaniach</w:t>
      </w:r>
      <w:bookmarkEnd w:id="26"/>
      <w:r w:rsidRPr="00543FB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075D5" w:rsidRPr="00543FB6" w:rsidRDefault="00A075D5" w:rsidP="00A075D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Wymiana informacji odbywa się przez najbardziej powszechne i dostępne kanały komunikacji. </w:t>
      </w:r>
      <w:r w:rsidRPr="00543FB6">
        <w:rPr>
          <w:rFonts w:ascii="Times New Roman" w:hAnsi="Times New Roman" w:cs="Times New Roman"/>
          <w:color w:val="000000"/>
          <w:sz w:val="24"/>
          <w:szCs w:val="24"/>
        </w:rPr>
        <w:t>Ze strony Ministerstwa i jednostek są to strony: Biuletynu Informacji Publicznej, profile mediów społecznościowych Ministerstwa i jednostek oraz strony i profile przedsięwzięć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lub </w:t>
      </w:r>
      <w:r w:rsidRPr="00543FB6">
        <w:rPr>
          <w:rFonts w:ascii="Times New Roman" w:hAnsi="Times New Roman" w:cs="Times New Roman"/>
          <w:color w:val="000000"/>
          <w:sz w:val="24"/>
          <w:szCs w:val="24"/>
        </w:rPr>
        <w:t>akcji organizowanych przez Ministerstwo lub jednostki. Wymiana informacji z organizacjami odbywa się również przy wykorzystywaniu powszechnych form komunikacji elektronicznej i telefonicznej (w ramach dostępnych zasobów).</w:t>
      </w:r>
    </w:p>
    <w:p w:rsidR="00A075D5" w:rsidRPr="00CB41EC" w:rsidRDefault="00A075D5" w:rsidP="00A07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75D5" w:rsidRPr="00CB41EC" w:rsidRDefault="00A075D5" w:rsidP="00A075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Wskazane</w:t>
      </w:r>
      <w:r w:rsidRPr="00CB4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Programie formy współpracy odzwierciedlają potrzeby i możliwości stron </w:t>
      </w:r>
      <w:r>
        <w:rPr>
          <w:rFonts w:ascii="Times New Roman" w:hAnsi="Times New Roman" w:cs="Times New Roman"/>
          <w:sz w:val="24"/>
          <w:szCs w:val="24"/>
        </w:rPr>
        <w:br/>
        <w:t>w prowadzeniu działań na rzecz</w:t>
      </w:r>
      <w:r w:rsidRPr="00BA0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dialogu pom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iędzy instytucjami publicznymi a </w:t>
      </w:r>
      <w:r w:rsidRPr="00543FB6">
        <w:rPr>
          <w:rFonts w:ascii="Times New Roman" w:hAnsi="Times New Roman" w:cs="Times New Roman"/>
          <w:color w:val="000000" w:themeColor="text1"/>
          <w:sz w:val="24"/>
          <w:szCs w:val="24"/>
        </w:rPr>
        <w:t>społeczeństwem obywatelskim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reprezentowanym przez organizacje</w:t>
      </w:r>
      <w:r>
        <w:rPr>
          <w:rFonts w:ascii="Times New Roman" w:hAnsi="Times New Roman" w:cs="Times New Roman"/>
          <w:sz w:val="24"/>
          <w:szCs w:val="24"/>
        </w:rPr>
        <w:t xml:space="preserve">. Wypracowane dotychczas formy współpracy zostały dostosowane do sytuacji wywołanej COVID-19. Dzięki odpowiednim narzędziom nie przekreślamy wypracowanych dotąd praktyk, a jedynie dostosujemy je do formatu, w którym możemy współpracować na zasadach otwartości i partnerstwa, tak jak miało to miejsce dotychczas. Program na lata 2021–2024 jest wzbogacony o wnioski i doświadczenia płynące z tej współpracy. Jego realizacja oparta będzie na celach realnych do osiągnięcia </w:t>
      </w:r>
      <w:r>
        <w:rPr>
          <w:rFonts w:ascii="Times New Roman" w:hAnsi="Times New Roman" w:cs="Times New Roman"/>
          <w:sz w:val="24"/>
          <w:szCs w:val="24"/>
        </w:rPr>
        <w:br/>
        <w:t xml:space="preserve">w stopniu satysfakcjonującym obydwie strony. </w:t>
      </w:r>
    </w:p>
    <w:p w:rsidR="0010530F" w:rsidRDefault="00372EC1"/>
    <w:sectPr w:rsidR="0010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83A" w:rsidRDefault="0076183A" w:rsidP="00A075D5">
      <w:pPr>
        <w:spacing w:after="0" w:line="240" w:lineRule="auto"/>
      </w:pPr>
      <w:r>
        <w:separator/>
      </w:r>
    </w:p>
  </w:endnote>
  <w:endnote w:type="continuationSeparator" w:id="0">
    <w:p w:rsidR="0076183A" w:rsidRDefault="0076183A" w:rsidP="00A0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83A" w:rsidRDefault="0076183A" w:rsidP="00A075D5">
      <w:pPr>
        <w:spacing w:after="0" w:line="240" w:lineRule="auto"/>
      </w:pPr>
      <w:r>
        <w:separator/>
      </w:r>
    </w:p>
  </w:footnote>
  <w:footnote w:type="continuationSeparator" w:id="0">
    <w:p w:rsidR="0076183A" w:rsidRDefault="0076183A" w:rsidP="00A075D5">
      <w:pPr>
        <w:spacing w:after="0" w:line="240" w:lineRule="auto"/>
      </w:pPr>
      <w:r>
        <w:continuationSeparator/>
      </w:r>
    </w:p>
  </w:footnote>
  <w:footnote w:id="1">
    <w:p w:rsidR="00A075D5" w:rsidRPr="00591DEC" w:rsidRDefault="00A075D5" w:rsidP="00A075D5">
      <w:pPr>
        <w:pStyle w:val="Default"/>
        <w:rPr>
          <w:sz w:val="16"/>
          <w:szCs w:val="16"/>
        </w:rPr>
      </w:pPr>
      <w:r w:rsidRPr="00CA6C97">
        <w:rPr>
          <w:rStyle w:val="Odwoanieprzypisudolnego"/>
          <w:sz w:val="16"/>
          <w:szCs w:val="16"/>
        </w:rPr>
        <w:footnoteRef/>
      </w:r>
      <w:r>
        <w:t xml:space="preserve"> </w:t>
      </w:r>
      <w:r w:rsidRPr="00CB41EC">
        <w:rPr>
          <w:i/>
          <w:sz w:val="16"/>
          <w:szCs w:val="16"/>
        </w:rPr>
        <w:t>Program wsparcia doraźnego organizacji pozarządowych w zakresie przeciwdziałania skutkom COVID-19</w:t>
      </w:r>
      <w:r w:rsidRPr="00CB41EC">
        <w:rPr>
          <w:sz w:val="16"/>
          <w:szCs w:val="16"/>
        </w:rPr>
        <w:t>, załącznik do uchwały nr 48/2020 Rady Ministrów z dnia 27 kwietnia 2020 r.</w:t>
      </w:r>
      <w:r w:rsidRPr="00CB41EC">
        <w:rPr>
          <w:bCs/>
          <w:sz w:val="16"/>
          <w:szCs w:val="16"/>
        </w:rPr>
        <w:t xml:space="preserve">, str. 3; </w:t>
      </w:r>
      <w:hyperlink r:id="rId1" w:history="1">
        <w:r w:rsidRPr="00CB41EC">
          <w:rPr>
            <w:rStyle w:val="Hipercze"/>
            <w:sz w:val="16"/>
            <w:szCs w:val="16"/>
          </w:rPr>
          <w:t>https://niw.gov.pl/nasze-programy/program-covid-19/</w:t>
        </w:r>
      </w:hyperlink>
      <w:r w:rsidRPr="00CB41EC">
        <w:rPr>
          <w:sz w:val="16"/>
          <w:szCs w:val="16"/>
        </w:rPr>
        <w:t>;</w:t>
      </w:r>
    </w:p>
  </w:footnote>
  <w:footnote w:id="2">
    <w:p w:rsidR="00A075D5" w:rsidRPr="00CB41EC" w:rsidRDefault="00A075D5" w:rsidP="00A075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B41E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41EC">
        <w:rPr>
          <w:rFonts w:ascii="Times New Roman" w:hAnsi="Times New Roman" w:cs="Times New Roman"/>
          <w:sz w:val="16"/>
          <w:szCs w:val="16"/>
        </w:rPr>
        <w:t xml:space="preserve"> GUS</w:t>
      </w:r>
      <w:r w:rsidRPr="00CB41EC">
        <w:rPr>
          <w:rFonts w:ascii="Times New Roman" w:hAnsi="Times New Roman" w:cs="Times New Roman"/>
          <w:i/>
          <w:sz w:val="16"/>
          <w:szCs w:val="16"/>
        </w:rPr>
        <w:t>, Działalność stowarzyszeń i podobnych organizacji społecznych, fundacji, społecznych podmiotów wyznaniowych oraz samorządu gospodarczego i zawodowego w 2018 r.</w:t>
      </w:r>
      <w:r w:rsidRPr="00CB41EC">
        <w:rPr>
          <w:rFonts w:ascii="Times New Roman" w:hAnsi="Times New Roman" w:cs="Times New Roman"/>
          <w:sz w:val="16"/>
          <w:szCs w:val="16"/>
        </w:rPr>
        <w:t xml:space="preserve"> – wyniki wstępne, dostępne przez: </w:t>
      </w:r>
      <w:hyperlink r:id="rId2" w:history="1">
        <w:r w:rsidRPr="00CB41EC">
          <w:rPr>
            <w:rStyle w:val="Hipercze"/>
            <w:rFonts w:ascii="Times New Roman" w:hAnsi="Times New Roman" w:cs="Times New Roman"/>
            <w:sz w:val="16"/>
            <w:szCs w:val="16"/>
          </w:rPr>
          <w:t>https://stat.gov.pl/download/gfx/portalinformacyjny/pl/defaultaktualnosci/5490/3/8/1/dzialalnosc_stowarzyszen_i_podobnych_organizacji_spolecznych_w_2018.pdf</w:t>
        </w:r>
      </w:hyperlink>
      <w:r w:rsidRPr="00CB41EC">
        <w:rPr>
          <w:rFonts w:ascii="Times New Roman" w:hAnsi="Times New Roman" w:cs="Times New Roman"/>
          <w:sz w:val="16"/>
          <w:szCs w:val="16"/>
        </w:rPr>
        <w:t xml:space="preserve">; 28.03.2020 r.;  </w:t>
      </w:r>
    </w:p>
  </w:footnote>
  <w:footnote w:id="3">
    <w:p w:rsidR="00A075D5" w:rsidRPr="00CA6C97" w:rsidRDefault="00A075D5" w:rsidP="00A075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A6C97">
        <w:rPr>
          <w:rStyle w:val="Odwoanieprzypisudolnego"/>
          <w:sz w:val="16"/>
          <w:szCs w:val="16"/>
        </w:rPr>
        <w:footnoteRef/>
      </w:r>
      <w:r w:rsidRPr="00CA6C97">
        <w:rPr>
          <w:sz w:val="16"/>
          <w:szCs w:val="16"/>
        </w:rPr>
        <w:t xml:space="preserve"> </w:t>
      </w:r>
      <w:r w:rsidRPr="00CA6C97">
        <w:rPr>
          <w:rFonts w:ascii="Times New Roman" w:hAnsi="Times New Roman" w:cs="Times New Roman"/>
          <w:sz w:val="16"/>
          <w:szCs w:val="16"/>
        </w:rPr>
        <w:t xml:space="preserve">Stowarzyszenie Klon/Jawor, </w:t>
      </w:r>
      <w:r w:rsidRPr="00CA6C97">
        <w:rPr>
          <w:rFonts w:ascii="Times New Roman" w:hAnsi="Times New Roman" w:cs="Times New Roman"/>
          <w:i/>
          <w:sz w:val="16"/>
          <w:szCs w:val="16"/>
        </w:rPr>
        <w:t>Kondycja sektora organizacji pozarządowych w Polsce w 2018 roku</w:t>
      </w:r>
      <w:r w:rsidRPr="00CA6C97">
        <w:rPr>
          <w:rFonts w:ascii="Times New Roman" w:hAnsi="Times New Roman" w:cs="Times New Roman"/>
          <w:sz w:val="16"/>
          <w:szCs w:val="16"/>
        </w:rPr>
        <w:t xml:space="preserve">, dostępne przez: </w:t>
      </w:r>
      <w:hyperlink r:id="rId3" w:history="1">
        <w:r w:rsidRPr="00CA6C97">
          <w:rPr>
            <w:rStyle w:val="Hipercze"/>
            <w:rFonts w:ascii="Times New Roman" w:hAnsi="Times New Roman" w:cs="Times New Roman"/>
            <w:sz w:val="16"/>
            <w:szCs w:val="16"/>
          </w:rPr>
          <w:t>https://api.ngo.pl/media/get/108904</w:t>
        </w:r>
      </w:hyperlink>
      <w:r w:rsidRPr="00CA6C97">
        <w:rPr>
          <w:rFonts w:ascii="Times New Roman" w:hAnsi="Times New Roman" w:cs="Times New Roman"/>
          <w:sz w:val="16"/>
          <w:szCs w:val="16"/>
        </w:rPr>
        <w:t>; marzec 2019 r.;</w:t>
      </w:r>
    </w:p>
  </w:footnote>
  <w:footnote w:id="4">
    <w:p w:rsidR="00A075D5" w:rsidRPr="00CB41EC" w:rsidRDefault="00A075D5" w:rsidP="00A075D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CA6C97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A6C97">
        <w:rPr>
          <w:rFonts w:ascii="Times New Roman" w:hAnsi="Times New Roman" w:cs="Times New Roman"/>
          <w:sz w:val="16"/>
          <w:szCs w:val="16"/>
        </w:rPr>
        <w:t xml:space="preserve"> </w:t>
      </w:r>
      <w:r w:rsidRPr="00CA6C97">
        <w:rPr>
          <w:rFonts w:ascii="Times New Roman" w:hAnsi="Times New Roman" w:cs="Times New Roman"/>
          <w:i/>
          <w:sz w:val="16"/>
          <w:szCs w:val="16"/>
        </w:rPr>
        <w:t>Sprawozdanie z realizacji Programu współpracy Ministra Rozwoju i Finansów w zakresie działów administracji rządowej: budżet, finanse publiczne i instytucje finansowe z organizacjami pozarządowymi oraz podmiotami wymienionymi w art. 3 ust. 3 ustawy o działalności pożytku publicznego i o wolontariacie za rok 2017, 2018, 2019</w:t>
      </w:r>
      <w:r w:rsidRPr="00CA6C97">
        <w:rPr>
          <w:rFonts w:ascii="Times New Roman" w:hAnsi="Times New Roman" w:cs="Times New Roman"/>
          <w:sz w:val="16"/>
          <w:szCs w:val="16"/>
        </w:rPr>
        <w:t xml:space="preserve"> dostępne przez: </w:t>
      </w:r>
      <w:hyperlink r:id="rId4" w:history="1">
        <w:r w:rsidRPr="00CA6C97">
          <w:rPr>
            <w:rStyle w:val="Hipercze"/>
            <w:rFonts w:ascii="Times New Roman" w:hAnsi="Times New Roman" w:cs="Times New Roman"/>
            <w:sz w:val="16"/>
            <w:szCs w:val="16"/>
          </w:rPr>
          <w:t>https://www.gov.pl/web/finanse/wspolpraca-z-organizacjami-pozarzadowymi</w:t>
        </w:r>
      </w:hyperlink>
      <w:r w:rsidRPr="00CA6C97">
        <w:rPr>
          <w:rFonts w:ascii="Times New Roman" w:hAnsi="Times New Roman" w:cs="Times New Roman"/>
          <w:sz w:val="16"/>
          <w:szCs w:val="16"/>
        </w:rPr>
        <w:t xml:space="preserve"> oraz  </w:t>
      </w:r>
      <w:hyperlink r:id="rId5" w:history="1">
        <w:r w:rsidRPr="00CA6C97">
          <w:rPr>
            <w:rStyle w:val="Hipercze"/>
            <w:rFonts w:ascii="Times New Roman" w:hAnsi="Times New Roman" w:cs="Times New Roman"/>
            <w:sz w:val="16"/>
            <w:szCs w:val="16"/>
          </w:rPr>
          <w:t>https://mf-arch2.mf.gov.pl/web/bip/ministerstwo-finansow/dzialalnosc/wspolpraca-z-organizacjami-pozarzadowymi</w:t>
        </w:r>
      </w:hyperlink>
      <w:r w:rsidRPr="00CA6C97">
        <w:rPr>
          <w:rFonts w:ascii="Times New Roman" w:hAnsi="Times New Roman" w:cs="Times New Roman"/>
          <w:sz w:val="16"/>
          <w:szCs w:val="16"/>
        </w:rPr>
        <w:t>.</w:t>
      </w:r>
      <w:r w:rsidRPr="00536A92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5">
    <w:p w:rsidR="00A075D5" w:rsidRDefault="00A075D5" w:rsidP="00A075D5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sz w:val="16"/>
          <w:szCs w:val="16"/>
        </w:rPr>
        <w:t>Z</w:t>
      </w:r>
      <w:r w:rsidRPr="00CB41EC">
        <w:rPr>
          <w:rFonts w:ascii="Times New Roman" w:hAnsi="Times New Roman" w:cs="Times New Roman"/>
          <w:sz w:val="16"/>
          <w:szCs w:val="16"/>
        </w:rPr>
        <w:t>arządzenie Ministra Rozwoju i Finansów z dnia 16 sierpnia 2017 r. w sprawie Programu współpracy Ministra Rozwoju i Finansów w zakresie działów administracji rządowej: budżet, finanse publiczne i instytucje finansowe z organizacjami pozarządowymi oraz podmiotami wymienionymi w art. 3 ust. 3 ustawy o działalności pożytku publicznego i o wolontariacie realizowanego w latach 2017</w:t>
      </w:r>
      <w:r>
        <w:rPr>
          <w:rFonts w:ascii="Times New Roman" w:hAnsi="Times New Roman" w:cs="Times New Roman"/>
          <w:sz w:val="16"/>
          <w:szCs w:val="16"/>
        </w:rPr>
        <w:t>–</w:t>
      </w:r>
      <w:r w:rsidRPr="00CB41EC">
        <w:rPr>
          <w:rFonts w:ascii="Times New Roman" w:hAnsi="Times New Roman" w:cs="Times New Roman"/>
          <w:sz w:val="16"/>
          <w:szCs w:val="16"/>
        </w:rPr>
        <w:t xml:space="preserve">2020 </w:t>
      </w:r>
      <w:r w:rsidRPr="00CB41EC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Pr="00CB41EC">
        <w:rPr>
          <w:rStyle w:val="taglib-text"/>
          <w:rFonts w:ascii="Times New Roman" w:hAnsi="Times New Roman" w:cs="Times New Roman"/>
          <w:color w:val="000000" w:themeColor="text1"/>
          <w:sz w:val="16"/>
          <w:szCs w:val="16"/>
        </w:rPr>
        <w:t>Dz. Urz. Min. Roz. i Fi</w:t>
      </w:r>
      <w:r>
        <w:rPr>
          <w:rStyle w:val="taglib-text"/>
          <w:rFonts w:ascii="Times New Roman" w:hAnsi="Times New Roman" w:cs="Times New Roman"/>
          <w:color w:val="000000" w:themeColor="text1"/>
          <w:sz w:val="16"/>
          <w:szCs w:val="16"/>
        </w:rPr>
        <w:t xml:space="preserve">n. </w:t>
      </w:r>
      <w:r w:rsidRPr="00CB41EC">
        <w:rPr>
          <w:rStyle w:val="taglib-text"/>
          <w:rFonts w:ascii="Times New Roman" w:hAnsi="Times New Roman" w:cs="Times New Roman"/>
          <w:color w:val="000000" w:themeColor="text1"/>
          <w:sz w:val="16"/>
          <w:szCs w:val="16"/>
        </w:rPr>
        <w:t>poz. 161)</w:t>
      </w:r>
      <w:r w:rsidR="00930846">
        <w:rPr>
          <w:rFonts w:ascii="Times New Roman" w:hAnsi="Times New Roman" w:cs="Times New Roman"/>
          <w:sz w:val="16"/>
          <w:szCs w:val="16"/>
        </w:rPr>
        <w:t>.</w:t>
      </w:r>
    </w:p>
  </w:footnote>
  <w:footnote w:id="6">
    <w:p w:rsidR="00A075D5" w:rsidRPr="00591DEC" w:rsidRDefault="00A075D5" w:rsidP="00A075D5">
      <w:pPr>
        <w:pStyle w:val="Tekstprzypisudolnego"/>
        <w:jc w:val="both"/>
        <w:rPr>
          <w:sz w:val="16"/>
          <w:szCs w:val="16"/>
        </w:rPr>
      </w:pPr>
      <w:r w:rsidRPr="00CB41E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B41EC">
        <w:rPr>
          <w:rFonts w:ascii="Times New Roman" w:hAnsi="Times New Roman" w:cs="Times New Roman"/>
          <w:sz w:val="16"/>
          <w:szCs w:val="16"/>
        </w:rPr>
        <w:t xml:space="preserve"> Stowarzyszenie Klon/Jawor, </w:t>
      </w:r>
      <w:r w:rsidRPr="00CB41EC">
        <w:rPr>
          <w:rFonts w:ascii="Times New Roman" w:hAnsi="Times New Roman" w:cs="Times New Roman"/>
          <w:i/>
          <w:sz w:val="16"/>
          <w:szCs w:val="16"/>
        </w:rPr>
        <w:t xml:space="preserve">Kondycja sektora organizacji pozarządowych w Polsce w 2018 roku, </w:t>
      </w:r>
      <w:r w:rsidRPr="00CB41EC">
        <w:rPr>
          <w:rFonts w:ascii="Times New Roman" w:hAnsi="Times New Roman" w:cs="Times New Roman"/>
          <w:sz w:val="16"/>
          <w:szCs w:val="16"/>
        </w:rPr>
        <w:t>str. 25;</w:t>
      </w:r>
    </w:p>
  </w:footnote>
  <w:footnote w:id="7">
    <w:p w:rsidR="00A075D5" w:rsidRPr="00591DEC" w:rsidRDefault="00A075D5" w:rsidP="00A075D5">
      <w:pPr>
        <w:pStyle w:val="Tekstprzypisudolnego"/>
        <w:jc w:val="both"/>
        <w:rPr>
          <w:rFonts w:cstheme="minorHAnsi"/>
          <w:color w:val="222222"/>
          <w:sz w:val="16"/>
          <w:szCs w:val="16"/>
          <w:shd w:val="clear" w:color="auto" w:fill="FFFFFF"/>
        </w:rPr>
      </w:pPr>
      <w:r w:rsidRPr="00591DEC">
        <w:rPr>
          <w:rStyle w:val="Odwoanieprzypisudolnego"/>
          <w:sz w:val="16"/>
          <w:szCs w:val="16"/>
        </w:rPr>
        <w:footnoteRef/>
      </w:r>
      <w:r w:rsidRPr="00591DEC">
        <w:rPr>
          <w:sz w:val="16"/>
          <w:szCs w:val="16"/>
        </w:rPr>
        <w:t xml:space="preserve"> </w:t>
      </w:r>
      <w:r w:rsidRPr="00CB41E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Stowarzyszenie Klon/Jawor, </w:t>
      </w:r>
      <w:r w:rsidRPr="00CB41E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Organizacje pozarządowe wobec pandemii</w:t>
      </w:r>
      <w:r w:rsidRPr="00CB41E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. </w:t>
      </w:r>
      <w:r w:rsidRPr="00CB41EC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Raport z badań 2020</w:t>
      </w:r>
      <w:r w:rsidRPr="00CB41E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 xml:space="preserve">, dostępne przez: </w:t>
      </w:r>
      <w:hyperlink r:id="rId6" w:history="1">
        <w:r w:rsidRPr="00CB41EC">
          <w:rPr>
            <w:rStyle w:val="Hipercze"/>
            <w:rFonts w:ascii="Times New Roman" w:hAnsi="Times New Roman" w:cs="Times New Roman"/>
            <w:sz w:val="16"/>
            <w:szCs w:val="16"/>
            <w:shd w:val="clear" w:color="auto" w:fill="FFFFFF"/>
          </w:rPr>
          <w:t>https://api.ngo.pl/media/get/135421</w:t>
        </w:r>
      </w:hyperlink>
      <w:r w:rsidRPr="00CB41EC"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  <w:t>, maj 2020;</w:t>
      </w:r>
      <w:r w:rsidRPr="00591DEC">
        <w:rPr>
          <w:rFonts w:cstheme="minorHAnsi"/>
          <w:color w:val="222222"/>
          <w:sz w:val="16"/>
          <w:szCs w:val="16"/>
          <w:shd w:val="clear" w:color="auto" w:fill="FFFFFF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A2177"/>
    <w:multiLevelType w:val="hybridMultilevel"/>
    <w:tmpl w:val="9EB61708"/>
    <w:lvl w:ilvl="0" w:tplc="6E4610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70463"/>
    <w:multiLevelType w:val="hybridMultilevel"/>
    <w:tmpl w:val="02FA680E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222A35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76CE"/>
    <w:multiLevelType w:val="hybridMultilevel"/>
    <w:tmpl w:val="76C4984C"/>
    <w:lvl w:ilvl="0" w:tplc="1750C9F0">
      <w:start w:val="1"/>
      <w:numFmt w:val="decimal"/>
      <w:lvlText w:val="%1)"/>
      <w:lvlJc w:val="left"/>
      <w:pPr>
        <w:ind w:left="135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7CF13BE"/>
    <w:multiLevelType w:val="hybridMultilevel"/>
    <w:tmpl w:val="D99E3F42"/>
    <w:lvl w:ilvl="0" w:tplc="584A8C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4334"/>
    <w:multiLevelType w:val="hybridMultilevel"/>
    <w:tmpl w:val="B31A9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620A7"/>
    <w:multiLevelType w:val="hybridMultilevel"/>
    <w:tmpl w:val="3F029DF2"/>
    <w:lvl w:ilvl="0" w:tplc="F73A1E3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F4288"/>
    <w:multiLevelType w:val="hybridMultilevel"/>
    <w:tmpl w:val="367693D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A152CB7"/>
    <w:multiLevelType w:val="hybridMultilevel"/>
    <w:tmpl w:val="2A70547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CF55B1"/>
    <w:multiLevelType w:val="hybridMultilevel"/>
    <w:tmpl w:val="F8F09414"/>
    <w:lvl w:ilvl="0" w:tplc="6E644A6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20909"/>
    <w:multiLevelType w:val="hybridMultilevel"/>
    <w:tmpl w:val="6EBC8E54"/>
    <w:lvl w:ilvl="0" w:tplc="3EA6E1C8">
      <w:start w:val="1"/>
      <w:numFmt w:val="decimal"/>
      <w:lvlText w:val="%1)"/>
      <w:lvlJc w:val="left"/>
      <w:pPr>
        <w:ind w:left="1355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1B17"/>
    <w:multiLevelType w:val="hybridMultilevel"/>
    <w:tmpl w:val="E0D6EEA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F585D59"/>
    <w:multiLevelType w:val="hybridMultilevel"/>
    <w:tmpl w:val="AE1CE9FE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D5"/>
    <w:rsid w:val="000611F4"/>
    <w:rsid w:val="00200E0C"/>
    <w:rsid w:val="00372EC1"/>
    <w:rsid w:val="00437F48"/>
    <w:rsid w:val="00441D7E"/>
    <w:rsid w:val="005A6AB0"/>
    <w:rsid w:val="0076183A"/>
    <w:rsid w:val="00930846"/>
    <w:rsid w:val="00A075D5"/>
    <w:rsid w:val="00A37A91"/>
    <w:rsid w:val="00B653E0"/>
    <w:rsid w:val="00B92EB8"/>
    <w:rsid w:val="00CA6C97"/>
    <w:rsid w:val="00CC59DB"/>
    <w:rsid w:val="00E20DA8"/>
    <w:rsid w:val="00EE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D7F55-F01D-4336-815D-021DC43E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75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5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5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5D5"/>
    <w:rPr>
      <w:vertAlign w:val="superscript"/>
    </w:rPr>
  </w:style>
  <w:style w:type="paragraph" w:customStyle="1" w:styleId="Default">
    <w:name w:val="Default"/>
    <w:rsid w:val="00A07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075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5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5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5D5"/>
    <w:rPr>
      <w:sz w:val="20"/>
      <w:szCs w:val="20"/>
    </w:rPr>
  </w:style>
  <w:style w:type="character" w:customStyle="1" w:styleId="taglib-text">
    <w:name w:val="taglib-text"/>
    <w:basedOn w:val="Domylnaczcionkaakapitu"/>
    <w:rsid w:val="00A075D5"/>
  </w:style>
  <w:style w:type="paragraph" w:styleId="Akapitzlist">
    <w:name w:val="List Paragraph"/>
    <w:basedOn w:val="Normalny"/>
    <w:uiPriority w:val="34"/>
    <w:qFormat/>
    <w:rsid w:val="00A075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A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C97"/>
  </w:style>
  <w:style w:type="paragraph" w:styleId="Stopka">
    <w:name w:val="footer"/>
    <w:basedOn w:val="Normalny"/>
    <w:link w:val="StopkaZnak"/>
    <w:uiPriority w:val="99"/>
    <w:unhideWhenUsed/>
    <w:rsid w:val="00CA6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i.ngo.pl/media/get/108904" TargetMode="External"/><Relationship Id="rId2" Type="http://schemas.openxmlformats.org/officeDocument/2006/relationships/hyperlink" Target="https://stat.gov.pl/download/gfx/portalinformacyjny/pl/defaultaktualnosci/5490/3/8/1/dzialalnosc_stowarzyszen_i_podobnych_organizacji_spolecznych_w_2018.pdf" TargetMode="External"/><Relationship Id="rId1" Type="http://schemas.openxmlformats.org/officeDocument/2006/relationships/hyperlink" Target="https://niw.gov.pl/nasze-programy/program-covid-19/" TargetMode="External"/><Relationship Id="rId6" Type="http://schemas.openxmlformats.org/officeDocument/2006/relationships/hyperlink" Target="https://api.ngo.pl/media/get/135421" TargetMode="External"/><Relationship Id="rId5" Type="http://schemas.openxmlformats.org/officeDocument/2006/relationships/hyperlink" Target="https://mf-arch2.mf.gov.pl/web/bip/ministerstwo-finansow/dzialalnosc/wspolpraca-z-organizacjami-pozarzadowymi" TargetMode="External"/><Relationship Id="rId4" Type="http://schemas.openxmlformats.org/officeDocument/2006/relationships/hyperlink" Target="https://www.gov.pl/web/finanse/wspolpraca-z-organizacjami-pozarzadowy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3168</Words>
  <Characters>19009</Characters>
  <Application>Microsoft Office Word</Application>
  <DocSecurity>4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22133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Dytyniak Monika</dc:creator>
  <cp:keywords/>
  <dc:description/>
  <cp:lastModifiedBy>Dytyniak Monika</cp:lastModifiedBy>
  <cp:revision>2</cp:revision>
  <dcterms:created xsi:type="dcterms:W3CDTF">2020-10-27T13:40:00Z</dcterms:created>
  <dcterms:modified xsi:type="dcterms:W3CDTF">2020-10-27T13:40:00Z</dcterms:modified>
</cp:coreProperties>
</file>