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AA4B" w14:textId="3E694B82" w:rsidR="00513E07" w:rsidRPr="008E63B1" w:rsidRDefault="00E849A5" w:rsidP="00E849A5">
      <w:pPr>
        <w:ind w:left="708" w:firstLine="708"/>
        <w:jc w:val="both"/>
        <w:rPr>
          <w:rFonts w:ascii="Times New Roman" w:hAnsi="Times New Roman" w:cs="Times New Roman"/>
          <w:b/>
          <w:bCs/>
        </w:rPr>
      </w:pPr>
      <w:r>
        <w:rPr>
          <w:rFonts w:ascii="Times New Roman" w:hAnsi="Times New Roman" w:cs="Times New Roman"/>
          <w:b/>
          <w:bCs/>
        </w:rPr>
        <w:t>S</w:t>
      </w:r>
      <w:r w:rsidR="009B293C">
        <w:rPr>
          <w:rFonts w:ascii="Times New Roman" w:hAnsi="Times New Roman" w:cs="Times New Roman"/>
          <w:b/>
          <w:bCs/>
        </w:rPr>
        <w:t>tanowisk</w:t>
      </w:r>
      <w:r>
        <w:rPr>
          <w:rFonts w:ascii="Times New Roman" w:hAnsi="Times New Roman" w:cs="Times New Roman"/>
          <w:b/>
          <w:bCs/>
        </w:rPr>
        <w:t>o</w:t>
      </w:r>
      <w:r w:rsidR="009B293C">
        <w:rPr>
          <w:rFonts w:ascii="Times New Roman" w:hAnsi="Times New Roman" w:cs="Times New Roman"/>
          <w:b/>
          <w:bCs/>
        </w:rPr>
        <w:t xml:space="preserve"> K</w:t>
      </w:r>
      <w:r w:rsidR="00513E07" w:rsidRPr="008E63B1">
        <w:rPr>
          <w:rFonts w:ascii="Times New Roman" w:hAnsi="Times New Roman" w:cs="Times New Roman"/>
          <w:b/>
          <w:bCs/>
        </w:rPr>
        <w:t>omisji Kodyfikacyjnej Prawa Karnego</w:t>
      </w:r>
    </w:p>
    <w:p w14:paraId="07F1D21F" w14:textId="5159D541" w:rsidR="00513E07" w:rsidRPr="008E63B1" w:rsidRDefault="00513E07" w:rsidP="00E849A5">
      <w:pPr>
        <w:jc w:val="both"/>
        <w:rPr>
          <w:rFonts w:ascii="Times New Roman" w:hAnsi="Times New Roman" w:cs="Times New Roman"/>
          <w:b/>
          <w:bCs/>
        </w:rPr>
      </w:pPr>
      <w:r w:rsidRPr="008E63B1">
        <w:rPr>
          <w:rFonts w:ascii="Times New Roman" w:hAnsi="Times New Roman" w:cs="Times New Roman"/>
          <w:b/>
          <w:bCs/>
        </w:rPr>
        <w:t xml:space="preserve">w sprawie </w:t>
      </w:r>
      <w:r w:rsidR="00424504" w:rsidRPr="009B293C">
        <w:rPr>
          <w:rFonts w:ascii="Times New Roman" w:hAnsi="Times New Roman" w:cs="Times New Roman"/>
          <w:b/>
          <w:bCs/>
        </w:rPr>
        <w:t>projektu</w:t>
      </w:r>
      <w:r w:rsidRPr="009B293C">
        <w:rPr>
          <w:rFonts w:ascii="Times New Roman" w:hAnsi="Times New Roman" w:cs="Times New Roman"/>
          <w:b/>
          <w:bCs/>
        </w:rPr>
        <w:t xml:space="preserve"> </w:t>
      </w:r>
      <w:r w:rsidRPr="008E63B1">
        <w:rPr>
          <w:rFonts w:ascii="Times New Roman" w:hAnsi="Times New Roman" w:cs="Times New Roman"/>
          <w:b/>
          <w:bCs/>
        </w:rPr>
        <w:t xml:space="preserve">zmian w art. 302 </w:t>
      </w:r>
      <w:r>
        <w:rPr>
          <w:rFonts w:ascii="Times New Roman" w:hAnsi="Times New Roman" w:cs="Times New Roman"/>
          <w:b/>
          <w:bCs/>
        </w:rPr>
        <w:t xml:space="preserve">k.p.k. </w:t>
      </w:r>
      <w:r w:rsidRPr="008E63B1">
        <w:rPr>
          <w:rFonts w:ascii="Times New Roman" w:hAnsi="Times New Roman" w:cs="Times New Roman"/>
          <w:b/>
          <w:bCs/>
        </w:rPr>
        <w:t xml:space="preserve">i art.310 k.p.k. </w:t>
      </w:r>
      <w:r w:rsidR="00424504">
        <w:rPr>
          <w:rFonts w:ascii="Times New Roman" w:hAnsi="Times New Roman" w:cs="Times New Roman"/>
          <w:b/>
          <w:bCs/>
        </w:rPr>
        <w:br/>
      </w:r>
      <w:r w:rsidRPr="008E63B1">
        <w:rPr>
          <w:rFonts w:ascii="Times New Roman" w:hAnsi="Times New Roman" w:cs="Times New Roman"/>
          <w:b/>
          <w:bCs/>
        </w:rPr>
        <w:t>w związku z sygnalizacją problemową podnoszoną przez Prokuraturę Europejską</w:t>
      </w:r>
      <w:r>
        <w:rPr>
          <w:rFonts w:ascii="Times New Roman" w:hAnsi="Times New Roman" w:cs="Times New Roman"/>
          <w:b/>
          <w:bCs/>
        </w:rPr>
        <w:t>, dotyczącą między innymi konsekwencji wyroku Trybunału Sprawiedliwości Unii Europejskiej z dnia 8 kwietnia 2025 roku w sprawie C-292/23</w:t>
      </w:r>
    </w:p>
    <w:p w14:paraId="63169EB1" w14:textId="77777777" w:rsidR="00513E07" w:rsidRPr="008E63B1" w:rsidRDefault="00513E07" w:rsidP="00513E07">
      <w:pPr>
        <w:jc w:val="both"/>
        <w:rPr>
          <w:rFonts w:ascii="Times New Roman" w:hAnsi="Times New Roman" w:cs="Times New Roman"/>
        </w:rPr>
      </w:pPr>
    </w:p>
    <w:p w14:paraId="75D2C550" w14:textId="77777777" w:rsidR="00513E07" w:rsidRDefault="00513E07" w:rsidP="00513E07">
      <w:pPr>
        <w:pStyle w:val="Akapitzlist"/>
        <w:numPr>
          <w:ilvl w:val="0"/>
          <w:numId w:val="1"/>
        </w:numPr>
        <w:jc w:val="both"/>
        <w:rPr>
          <w:rFonts w:ascii="Times New Roman" w:hAnsi="Times New Roman" w:cs="Times New Roman"/>
        </w:rPr>
      </w:pPr>
      <w:r>
        <w:rPr>
          <w:rFonts w:ascii="Times New Roman" w:hAnsi="Times New Roman" w:cs="Times New Roman"/>
        </w:rPr>
        <w:t>Prezentacja problemów i dotychczasowa korespondencja w sprawie.</w:t>
      </w:r>
    </w:p>
    <w:p w14:paraId="31E8862C" w14:textId="77777777" w:rsidR="00513E07" w:rsidRDefault="00513E07" w:rsidP="00513E07">
      <w:pPr>
        <w:jc w:val="both"/>
        <w:rPr>
          <w:rFonts w:ascii="Times New Roman" w:hAnsi="Times New Roman" w:cs="Times New Roman"/>
        </w:rPr>
      </w:pPr>
    </w:p>
    <w:p w14:paraId="4070266B" w14:textId="77777777" w:rsidR="00513E07" w:rsidRDefault="00513E07" w:rsidP="00513E07">
      <w:pPr>
        <w:ind w:firstLine="360"/>
        <w:jc w:val="both"/>
        <w:rPr>
          <w:rFonts w:ascii="Times New Roman" w:hAnsi="Times New Roman" w:cs="Times New Roman"/>
        </w:rPr>
      </w:pPr>
      <w:r>
        <w:rPr>
          <w:rFonts w:ascii="Times New Roman" w:hAnsi="Times New Roman" w:cs="Times New Roman"/>
        </w:rPr>
        <w:t>Pismem z dnia 14 sierpnia 2025 roku Zastępca Dyrektora Departamentu Prawa Europejskiego Ministerstwa Sprawiedliwości przekazał Dyrektorowi Departamentu Prawa Karnego projekt zmian w Ustawie z dnia 6 czerwca 1997 roku – Kodeks postępowania karnego, dotyczący art. 302 ( dwie wersje) i art.310 oraz zmiany w Ustawie z dnia 10 września 1999 roku - Kodeks karny skarbowy , dotyczący art.153. Wystąpienie zawiera wniosek o uzyskanie od Komisji Kodyfikacyjnej Prawa Karnego stanowiska co do możliwości, zasadności i zakresu ewentualnych zmian w tym zakresie.</w:t>
      </w:r>
    </w:p>
    <w:p w14:paraId="297EA7F2" w14:textId="77777777" w:rsidR="00513E07" w:rsidRDefault="00513E07" w:rsidP="00513E07">
      <w:pPr>
        <w:ind w:firstLine="360"/>
        <w:jc w:val="both"/>
        <w:rPr>
          <w:rFonts w:ascii="Times New Roman" w:hAnsi="Times New Roman" w:cs="Times New Roman"/>
        </w:rPr>
      </w:pPr>
      <w:r>
        <w:rPr>
          <w:rFonts w:ascii="Times New Roman" w:hAnsi="Times New Roman" w:cs="Times New Roman"/>
        </w:rPr>
        <w:t>Projektowane przepisy przedstawiono bez formalnego uzasadnienia, załączając do wystąpienia dotychczasową korespondencję z Prokuraturą Krajową i polską Prokurator Europejską oraz treść wyroku Trybunału Sprawiedliwości Unii Europejskiej z dnia 8 kwietnia 2025 roku, zapadłego w sprawie C-292/23.</w:t>
      </w:r>
    </w:p>
    <w:p w14:paraId="7AFDB6EB" w14:textId="56F70743" w:rsidR="00513E07" w:rsidRDefault="00513E07" w:rsidP="00513E07">
      <w:pPr>
        <w:ind w:firstLine="360"/>
        <w:jc w:val="both"/>
        <w:rPr>
          <w:rFonts w:ascii="Times New Roman" w:hAnsi="Times New Roman" w:cs="Times New Roman"/>
        </w:rPr>
      </w:pPr>
      <w:r>
        <w:rPr>
          <w:rFonts w:ascii="Times New Roman" w:hAnsi="Times New Roman" w:cs="Times New Roman"/>
        </w:rPr>
        <w:t>Merytorycznie projekt dotyczy dwóch zagadnień związanych z funkcjonowaniem Prokuratury Europejskiej:</w:t>
      </w:r>
    </w:p>
    <w:p w14:paraId="725F4490" w14:textId="77777777" w:rsidR="00513E07" w:rsidRDefault="00513E07" w:rsidP="00513E07">
      <w:pPr>
        <w:pStyle w:val="Akapitzlist"/>
        <w:numPr>
          <w:ilvl w:val="0"/>
          <w:numId w:val="2"/>
        </w:numPr>
        <w:jc w:val="both"/>
        <w:rPr>
          <w:rFonts w:ascii="Times New Roman" w:hAnsi="Times New Roman" w:cs="Times New Roman"/>
        </w:rPr>
      </w:pPr>
      <w:r>
        <w:rPr>
          <w:rFonts w:ascii="Times New Roman" w:hAnsi="Times New Roman" w:cs="Times New Roman"/>
        </w:rPr>
        <w:t>trybu przedłużenia postępowania przygotowawczego prowadzonego przez ten organ,</w:t>
      </w:r>
    </w:p>
    <w:p w14:paraId="4BD6376E" w14:textId="77777777" w:rsidR="00513E07" w:rsidRDefault="00513E07" w:rsidP="00513E07">
      <w:pPr>
        <w:pStyle w:val="Akapitzlist"/>
        <w:numPr>
          <w:ilvl w:val="0"/>
          <w:numId w:val="2"/>
        </w:numPr>
        <w:jc w:val="both"/>
        <w:rPr>
          <w:rFonts w:ascii="Times New Roman" w:hAnsi="Times New Roman" w:cs="Times New Roman"/>
        </w:rPr>
      </w:pPr>
      <w:r>
        <w:rPr>
          <w:rFonts w:ascii="Times New Roman" w:hAnsi="Times New Roman" w:cs="Times New Roman"/>
        </w:rPr>
        <w:t>wprowadzenia sądowej kontroli działań tego organu w trybie przewidzianym dotychczas w art.302 par. 3 k.p.k.</w:t>
      </w:r>
    </w:p>
    <w:p w14:paraId="74195F2F" w14:textId="77777777" w:rsidR="00513E07" w:rsidRDefault="00513E07" w:rsidP="00513E07">
      <w:pPr>
        <w:ind w:left="360"/>
        <w:jc w:val="both"/>
        <w:rPr>
          <w:rFonts w:ascii="Times New Roman" w:hAnsi="Times New Roman" w:cs="Times New Roman"/>
        </w:rPr>
      </w:pPr>
      <w:r>
        <w:rPr>
          <w:rFonts w:ascii="Times New Roman" w:hAnsi="Times New Roman" w:cs="Times New Roman"/>
        </w:rPr>
        <w:t>Przekazana korespondencja i materiały związkowe obejmują :</w:t>
      </w:r>
    </w:p>
    <w:p w14:paraId="0C658151" w14:textId="77777777" w:rsidR="00513E0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Wyrok Trybunału Sprawiedliwości Unii Europejskiej sygn. C-292/23 z dnia 8 kwietnia 2025 roku,</w:t>
      </w:r>
    </w:p>
    <w:p w14:paraId="2D1EC1FD" w14:textId="77777777" w:rsidR="00513E0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Pismo EPPO do Prokuratury Krajowej z dnia 24 kwietnia 2025 roku,</w:t>
      </w:r>
    </w:p>
    <w:p w14:paraId="1004DE48" w14:textId="77777777" w:rsidR="00513E0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Wystąpienie EPPO do Ministra Sprawiedliwości z dnia 12 maja 2025 roku,</w:t>
      </w:r>
    </w:p>
    <w:p w14:paraId="25D01BB1" w14:textId="77777777" w:rsidR="00513E0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Opinię Biura Prezydialnego Prokuratury Krajowej z dnia 12 czerwca 2025 roku,</w:t>
      </w:r>
    </w:p>
    <w:p w14:paraId="3BC31D3C" w14:textId="77777777" w:rsidR="00513E0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Pismo Departamentu Prawa Europejskiego Ministerstwa Sprawiedliwości z dnia 14 sierpnia 2025 roku.</w:t>
      </w:r>
    </w:p>
    <w:p w14:paraId="474548A9" w14:textId="77777777" w:rsidR="00513E0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Ponowne wystąpienie EPPO do Ministra Sprawiedliwości z dnia 25 sierpnia 2025 roku,</w:t>
      </w:r>
    </w:p>
    <w:p w14:paraId="48014845" w14:textId="77777777" w:rsidR="00513E07" w:rsidRPr="00D77AB7" w:rsidRDefault="00513E07" w:rsidP="00513E07">
      <w:pPr>
        <w:pStyle w:val="Akapitzlist"/>
        <w:numPr>
          <w:ilvl w:val="0"/>
          <w:numId w:val="3"/>
        </w:numPr>
        <w:jc w:val="both"/>
        <w:rPr>
          <w:rFonts w:ascii="Times New Roman" w:hAnsi="Times New Roman" w:cs="Times New Roman"/>
        </w:rPr>
      </w:pPr>
      <w:r>
        <w:rPr>
          <w:rFonts w:ascii="Times New Roman" w:hAnsi="Times New Roman" w:cs="Times New Roman"/>
        </w:rPr>
        <w:t xml:space="preserve">Projekt zmian art.302 k.p.k. (wersyjny), art.310 k.p.k. oraz art.153 </w:t>
      </w:r>
      <w:proofErr w:type="spellStart"/>
      <w:r>
        <w:rPr>
          <w:rFonts w:ascii="Times New Roman" w:hAnsi="Times New Roman" w:cs="Times New Roman"/>
        </w:rPr>
        <w:t>k.k.s</w:t>
      </w:r>
      <w:proofErr w:type="spellEnd"/>
      <w:r>
        <w:rPr>
          <w:rFonts w:ascii="Times New Roman" w:hAnsi="Times New Roman" w:cs="Times New Roman"/>
        </w:rPr>
        <w:t>. ( bez uzasadnienia).</w:t>
      </w:r>
    </w:p>
    <w:p w14:paraId="743E66D7" w14:textId="77777777" w:rsidR="00513E07" w:rsidRDefault="00513E07" w:rsidP="00513E07">
      <w:pPr>
        <w:ind w:firstLine="360"/>
        <w:jc w:val="both"/>
        <w:rPr>
          <w:rFonts w:ascii="Times New Roman" w:hAnsi="Times New Roman" w:cs="Times New Roman"/>
        </w:rPr>
      </w:pPr>
      <w:r w:rsidRPr="00C46909">
        <w:rPr>
          <w:rFonts w:ascii="Times New Roman" w:hAnsi="Times New Roman" w:cs="Times New Roman"/>
        </w:rPr>
        <w:t xml:space="preserve">Prokuratura Europejska w nawiązaniu do w/w wyroku TSUE </w:t>
      </w:r>
      <w:r>
        <w:rPr>
          <w:rFonts w:ascii="Times New Roman" w:hAnsi="Times New Roman" w:cs="Times New Roman"/>
        </w:rPr>
        <w:t xml:space="preserve">zwracając się do Prokuratury Krajowej </w:t>
      </w:r>
      <w:r w:rsidRPr="00C46909">
        <w:rPr>
          <w:rFonts w:ascii="Times New Roman" w:hAnsi="Times New Roman" w:cs="Times New Roman"/>
        </w:rPr>
        <w:t>zaprezentowała stanowisko, że w wyniku jego wydania niezbędne jest pilne uchylenie art.302 par.</w:t>
      </w:r>
      <w:r>
        <w:rPr>
          <w:rFonts w:ascii="Times New Roman" w:hAnsi="Times New Roman" w:cs="Times New Roman"/>
        </w:rPr>
        <w:t xml:space="preserve"> </w:t>
      </w:r>
      <w:r w:rsidRPr="00C46909">
        <w:rPr>
          <w:rFonts w:ascii="Times New Roman" w:hAnsi="Times New Roman" w:cs="Times New Roman"/>
        </w:rPr>
        <w:t>3 k.p.k., a to w związku z zaprezentowaną</w:t>
      </w:r>
      <w:r>
        <w:rPr>
          <w:rFonts w:ascii="Times New Roman" w:hAnsi="Times New Roman" w:cs="Times New Roman"/>
        </w:rPr>
        <w:t xml:space="preserve"> w orzeczeniu</w:t>
      </w:r>
      <w:r w:rsidRPr="00C46909">
        <w:rPr>
          <w:rFonts w:ascii="Times New Roman" w:hAnsi="Times New Roman" w:cs="Times New Roman"/>
        </w:rPr>
        <w:t xml:space="preserve"> wykładnią art.42 par. 1 </w:t>
      </w:r>
      <w:r w:rsidRPr="00C46909">
        <w:rPr>
          <w:rFonts w:ascii="Times New Roman" w:hAnsi="Times New Roman" w:cs="Times New Roman"/>
        </w:rPr>
        <w:lastRenderedPageBreak/>
        <w:t xml:space="preserve">Rozporządzenia 2017/1939, która w ocenie EPPO zobowiązuje państwa członkowskie </w:t>
      </w:r>
      <w:r>
        <w:rPr>
          <w:rFonts w:ascii="Times New Roman" w:hAnsi="Times New Roman" w:cs="Times New Roman"/>
        </w:rPr>
        <w:br/>
      </w:r>
      <w:r w:rsidRPr="00C46909">
        <w:rPr>
          <w:rFonts w:ascii="Times New Roman" w:hAnsi="Times New Roman" w:cs="Times New Roman"/>
        </w:rPr>
        <w:t>do zapewnienia skutecznej kontroli sądowej</w:t>
      </w:r>
      <w:r>
        <w:rPr>
          <w:rFonts w:ascii="Times New Roman" w:hAnsi="Times New Roman" w:cs="Times New Roman"/>
        </w:rPr>
        <w:t xml:space="preserve"> a</w:t>
      </w:r>
      <w:r w:rsidRPr="00333FDC">
        <w:rPr>
          <w:rFonts w:ascii="Times New Roman" w:hAnsi="Times New Roman" w:cs="Times New Roman"/>
        </w:rPr>
        <w:t>kt</w:t>
      </w:r>
      <w:r>
        <w:rPr>
          <w:rFonts w:ascii="Times New Roman" w:hAnsi="Times New Roman" w:cs="Times New Roman"/>
        </w:rPr>
        <w:t>ów</w:t>
      </w:r>
      <w:r w:rsidRPr="00333FDC">
        <w:rPr>
          <w:rFonts w:ascii="Times New Roman" w:hAnsi="Times New Roman" w:cs="Times New Roman"/>
        </w:rPr>
        <w:t xml:space="preserve"> proceduraln</w:t>
      </w:r>
      <w:r>
        <w:rPr>
          <w:rFonts w:ascii="Times New Roman" w:hAnsi="Times New Roman" w:cs="Times New Roman"/>
        </w:rPr>
        <w:t>ych</w:t>
      </w:r>
      <w:r w:rsidRPr="00333FDC">
        <w:rPr>
          <w:rFonts w:ascii="Times New Roman" w:hAnsi="Times New Roman" w:cs="Times New Roman"/>
        </w:rPr>
        <w:t xml:space="preserve"> Prokuratury Europejskiej, które mają wywoływać skutki prawne wobec osób trzecich</w:t>
      </w:r>
      <w:r w:rsidRPr="00C46909">
        <w:rPr>
          <w:rFonts w:ascii="Times New Roman" w:hAnsi="Times New Roman" w:cs="Times New Roman"/>
        </w:rPr>
        <w:t xml:space="preserve">, co ma stanowić konsekwencję powierzenia sądom krajowym kontroli, która zastępuje w tym zakresie kontrolę sądów Unii, wynikającą z art.263 TFUE. </w:t>
      </w:r>
    </w:p>
    <w:p w14:paraId="18FC35E7" w14:textId="77777777" w:rsidR="00513E07" w:rsidRDefault="00513E07" w:rsidP="00513E07">
      <w:pPr>
        <w:ind w:firstLine="360"/>
        <w:jc w:val="both"/>
        <w:rPr>
          <w:rFonts w:ascii="Times New Roman" w:hAnsi="Times New Roman" w:cs="Times New Roman"/>
        </w:rPr>
      </w:pPr>
      <w:r w:rsidRPr="00C46909">
        <w:rPr>
          <w:rFonts w:ascii="Times New Roman" w:hAnsi="Times New Roman" w:cs="Times New Roman"/>
        </w:rPr>
        <w:t>Nadto w korespondencji wyrażono pogląd, że w przypadku przejęcia przez polskiego Prokuratora Europejskiego postępowania przygotowawczego od delegowanego prokuratora europejskiego ( tryb z art.28 ust. 4 Rozporządzenia) nie ma organu, który mógłby wykonywać w tym postępowaniu uprawnienia</w:t>
      </w:r>
      <w:r>
        <w:rPr>
          <w:rFonts w:ascii="Times New Roman" w:hAnsi="Times New Roman" w:cs="Times New Roman"/>
        </w:rPr>
        <w:t xml:space="preserve"> określone w prawie krajowym, w szczególności :</w:t>
      </w:r>
      <w:r w:rsidRPr="00C46909">
        <w:rPr>
          <w:rFonts w:ascii="Times New Roman" w:hAnsi="Times New Roman" w:cs="Times New Roman"/>
        </w:rPr>
        <w:t xml:space="preserve"> z art. 48 par. 1 k.p.k. (</w:t>
      </w:r>
      <w:r>
        <w:rPr>
          <w:rFonts w:ascii="Times New Roman" w:hAnsi="Times New Roman" w:cs="Times New Roman"/>
        </w:rPr>
        <w:t xml:space="preserve"> rozpoznanie wniosku o</w:t>
      </w:r>
      <w:r w:rsidRPr="00C46909">
        <w:rPr>
          <w:rFonts w:ascii="Times New Roman" w:hAnsi="Times New Roman" w:cs="Times New Roman"/>
        </w:rPr>
        <w:t xml:space="preserve"> wyłączenie oskarżyciela), z art.263 par.4 k.p.k. </w:t>
      </w:r>
      <w:r>
        <w:rPr>
          <w:rFonts w:ascii="Times New Roman" w:hAnsi="Times New Roman" w:cs="Times New Roman"/>
        </w:rPr>
        <w:br/>
      </w:r>
      <w:r w:rsidRPr="00C46909">
        <w:rPr>
          <w:rFonts w:ascii="Times New Roman" w:hAnsi="Times New Roman" w:cs="Times New Roman"/>
        </w:rPr>
        <w:t xml:space="preserve">( uprawnienie do skierowania wniosku o przedłużenie tymczasowego aresztowania </w:t>
      </w:r>
      <w:r>
        <w:rPr>
          <w:rFonts w:ascii="Times New Roman" w:hAnsi="Times New Roman" w:cs="Times New Roman"/>
        </w:rPr>
        <w:t xml:space="preserve">trwającego </w:t>
      </w:r>
      <w:r w:rsidRPr="00C46909">
        <w:rPr>
          <w:rFonts w:ascii="Times New Roman" w:hAnsi="Times New Roman" w:cs="Times New Roman"/>
        </w:rPr>
        <w:t xml:space="preserve">w postępowaniu przygotowawczym powyżej 2 lat), </w:t>
      </w:r>
      <w:r>
        <w:rPr>
          <w:rFonts w:ascii="Times New Roman" w:hAnsi="Times New Roman" w:cs="Times New Roman"/>
        </w:rPr>
        <w:t xml:space="preserve">z </w:t>
      </w:r>
      <w:r w:rsidRPr="00C46909">
        <w:rPr>
          <w:rFonts w:ascii="Times New Roman" w:hAnsi="Times New Roman" w:cs="Times New Roman"/>
        </w:rPr>
        <w:t xml:space="preserve">art.310 par. 2 k.p.k. ( przedłużenie śledztwa powyżej roku), </w:t>
      </w:r>
      <w:r>
        <w:rPr>
          <w:rFonts w:ascii="Times New Roman" w:hAnsi="Times New Roman" w:cs="Times New Roman"/>
        </w:rPr>
        <w:t xml:space="preserve">z </w:t>
      </w:r>
      <w:r w:rsidRPr="00C46909">
        <w:rPr>
          <w:rFonts w:ascii="Times New Roman" w:hAnsi="Times New Roman" w:cs="Times New Roman"/>
        </w:rPr>
        <w:t xml:space="preserve">art.153 </w:t>
      </w:r>
      <w:proofErr w:type="spellStart"/>
      <w:r w:rsidRPr="00C46909">
        <w:rPr>
          <w:rFonts w:ascii="Times New Roman" w:hAnsi="Times New Roman" w:cs="Times New Roman"/>
        </w:rPr>
        <w:t>k.k.s</w:t>
      </w:r>
      <w:proofErr w:type="spellEnd"/>
      <w:r w:rsidRPr="00C46909">
        <w:rPr>
          <w:rFonts w:ascii="Times New Roman" w:hAnsi="Times New Roman" w:cs="Times New Roman"/>
        </w:rPr>
        <w:t xml:space="preserve">. ( przedłużenie postępowania w sprawie o przestępstwo skarbowe), </w:t>
      </w:r>
      <w:r>
        <w:rPr>
          <w:rFonts w:ascii="Times New Roman" w:hAnsi="Times New Roman" w:cs="Times New Roman"/>
        </w:rPr>
        <w:t xml:space="preserve">z </w:t>
      </w:r>
      <w:r w:rsidRPr="00C46909">
        <w:rPr>
          <w:rFonts w:ascii="Times New Roman" w:hAnsi="Times New Roman" w:cs="Times New Roman"/>
        </w:rPr>
        <w:t xml:space="preserve">art.127 </w:t>
      </w:r>
      <w:proofErr w:type="spellStart"/>
      <w:r w:rsidRPr="00C46909">
        <w:rPr>
          <w:rFonts w:ascii="Times New Roman" w:hAnsi="Times New Roman" w:cs="Times New Roman"/>
        </w:rPr>
        <w:t>k.k.s</w:t>
      </w:r>
      <w:proofErr w:type="spellEnd"/>
      <w:r w:rsidRPr="00C46909">
        <w:rPr>
          <w:rFonts w:ascii="Times New Roman" w:hAnsi="Times New Roman" w:cs="Times New Roman"/>
        </w:rPr>
        <w:t xml:space="preserve">. ( rozpoznanie zażalenia na odmowę przyjęcia interwencji), </w:t>
      </w:r>
      <w:r>
        <w:rPr>
          <w:rFonts w:ascii="Times New Roman" w:hAnsi="Times New Roman" w:cs="Times New Roman"/>
        </w:rPr>
        <w:t xml:space="preserve">z </w:t>
      </w:r>
      <w:r w:rsidRPr="00C46909">
        <w:rPr>
          <w:rFonts w:ascii="Times New Roman" w:hAnsi="Times New Roman" w:cs="Times New Roman"/>
        </w:rPr>
        <w:t xml:space="preserve">art.217 </w:t>
      </w:r>
      <w:proofErr w:type="spellStart"/>
      <w:r w:rsidRPr="00C46909">
        <w:rPr>
          <w:rFonts w:ascii="Times New Roman" w:hAnsi="Times New Roman" w:cs="Times New Roman"/>
        </w:rPr>
        <w:t>k.k.w</w:t>
      </w:r>
      <w:proofErr w:type="spellEnd"/>
      <w:r w:rsidRPr="00C46909">
        <w:rPr>
          <w:rFonts w:ascii="Times New Roman" w:hAnsi="Times New Roman" w:cs="Times New Roman"/>
        </w:rPr>
        <w:t xml:space="preserve">. ( rozpoznanie zażalenia na zarządzenie o odmowie wyrażenia zgody na widzenie), </w:t>
      </w:r>
      <w:r>
        <w:rPr>
          <w:rFonts w:ascii="Times New Roman" w:hAnsi="Times New Roman" w:cs="Times New Roman"/>
        </w:rPr>
        <w:br/>
        <w:t xml:space="preserve">z </w:t>
      </w:r>
      <w:r w:rsidRPr="00C46909">
        <w:rPr>
          <w:rFonts w:ascii="Times New Roman" w:hAnsi="Times New Roman" w:cs="Times New Roman"/>
        </w:rPr>
        <w:t xml:space="preserve">art.217 c </w:t>
      </w:r>
      <w:proofErr w:type="spellStart"/>
      <w:r w:rsidRPr="00C46909">
        <w:rPr>
          <w:rFonts w:ascii="Times New Roman" w:hAnsi="Times New Roman" w:cs="Times New Roman"/>
        </w:rPr>
        <w:t>k.k.w</w:t>
      </w:r>
      <w:proofErr w:type="spellEnd"/>
      <w:r w:rsidRPr="00C46909">
        <w:rPr>
          <w:rFonts w:ascii="Times New Roman" w:hAnsi="Times New Roman" w:cs="Times New Roman"/>
        </w:rPr>
        <w:t>. ( rozpoznanie zażalenia na zarządzenie o odmowie wyrażenia zgody na korzystanie z samoinkasującego aparatu telefonicznego albo o jej cofnięciu).</w:t>
      </w:r>
    </w:p>
    <w:p w14:paraId="1EAC92B2" w14:textId="77777777" w:rsidR="00513E07" w:rsidRDefault="00513E07" w:rsidP="00513E07">
      <w:pPr>
        <w:ind w:firstLine="360"/>
        <w:jc w:val="both"/>
        <w:rPr>
          <w:rFonts w:ascii="Times New Roman" w:hAnsi="Times New Roman" w:cs="Times New Roman"/>
        </w:rPr>
      </w:pPr>
      <w:r>
        <w:rPr>
          <w:rFonts w:ascii="Times New Roman" w:hAnsi="Times New Roman" w:cs="Times New Roman"/>
        </w:rPr>
        <w:t xml:space="preserve">Zaznaczyć przy tym należy, że tryb z art.28 ust. 4 Rozporządzenia ma charakter wyjątku </w:t>
      </w:r>
      <w:r>
        <w:rPr>
          <w:rFonts w:ascii="Times New Roman" w:hAnsi="Times New Roman" w:cs="Times New Roman"/>
        </w:rPr>
        <w:br/>
        <w:t>i prowadzi do przejęcia przez polskiego Prokuratora Europejskiego do dalszego własnego prowadzenia postępowania, które dotychczas było prowadzone przez prokuratora delegowanego, co wymaga zgody właściwej izby.</w:t>
      </w:r>
    </w:p>
    <w:p w14:paraId="5D847DD8" w14:textId="77777777" w:rsidR="00513E07" w:rsidRDefault="00513E07" w:rsidP="00513E07">
      <w:pPr>
        <w:ind w:firstLine="360"/>
        <w:jc w:val="both"/>
        <w:rPr>
          <w:rFonts w:ascii="Times New Roman" w:hAnsi="Times New Roman" w:cs="Times New Roman"/>
        </w:rPr>
      </w:pPr>
      <w:r>
        <w:rPr>
          <w:rFonts w:ascii="Times New Roman" w:hAnsi="Times New Roman" w:cs="Times New Roman"/>
        </w:rPr>
        <w:t>W pierwszym z pism skierowanych do Ministra Sprawiedliwości polska Prokurator Europejska zasygnalizowała „</w:t>
      </w:r>
      <w:r>
        <w:rPr>
          <w:rFonts w:ascii="Times New Roman" w:hAnsi="Times New Roman" w:cs="Times New Roman"/>
          <w:i/>
          <w:iCs/>
        </w:rPr>
        <w:t xml:space="preserve">istotne luki oraz niespójności regulacji krajowych z mającym pierwszeństwo stosowania prawem unijnym”. </w:t>
      </w:r>
      <w:r>
        <w:rPr>
          <w:rFonts w:ascii="Times New Roman" w:hAnsi="Times New Roman" w:cs="Times New Roman"/>
        </w:rPr>
        <w:t>Odwołała się równocześnie do okoliczności, że zidentyfikowane problemy prawne oraz propozycja nowelizacji przepisów zyskały akceptację i poparcie Zespołu Problemowego do Spraw Prokuratury, działającego przy Komisji Kodyfikacyjnej Ustroju Sądownictwa i Prokuratury.</w:t>
      </w:r>
    </w:p>
    <w:p w14:paraId="3EDCB6BD" w14:textId="365938CF" w:rsidR="00513E07" w:rsidRDefault="00513E07" w:rsidP="00513E07">
      <w:pPr>
        <w:ind w:firstLine="360"/>
        <w:jc w:val="both"/>
        <w:rPr>
          <w:rFonts w:ascii="Times New Roman" w:hAnsi="Times New Roman" w:cs="Times New Roman"/>
        </w:rPr>
      </w:pPr>
      <w:r>
        <w:rPr>
          <w:rFonts w:ascii="Times New Roman" w:hAnsi="Times New Roman" w:cs="Times New Roman"/>
        </w:rPr>
        <w:t xml:space="preserve"> </w:t>
      </w:r>
      <w:r w:rsidR="00606F55">
        <w:rPr>
          <w:rFonts w:ascii="Times New Roman" w:hAnsi="Times New Roman" w:cs="Times New Roman"/>
        </w:rPr>
        <w:t xml:space="preserve">Nie udostępniono jednak KKPK </w:t>
      </w:r>
      <w:r>
        <w:rPr>
          <w:rFonts w:ascii="Times New Roman" w:hAnsi="Times New Roman" w:cs="Times New Roman"/>
        </w:rPr>
        <w:t>oficjalnego dokumentu przywołanej Komisji Kodyfikacyjnej ani jej Zespołu, który odnosiłby się do omawianego zagadnienia.</w:t>
      </w:r>
    </w:p>
    <w:p w14:paraId="345B4063" w14:textId="5EDDE930" w:rsidR="00513E07" w:rsidRDefault="00513E07" w:rsidP="00513E07">
      <w:pPr>
        <w:ind w:firstLine="360"/>
        <w:jc w:val="both"/>
        <w:rPr>
          <w:rFonts w:ascii="Times New Roman" w:hAnsi="Times New Roman" w:cs="Times New Roman"/>
          <w:i/>
          <w:iCs/>
        </w:rPr>
      </w:pPr>
      <w:r>
        <w:rPr>
          <w:rFonts w:ascii="Times New Roman" w:hAnsi="Times New Roman" w:cs="Times New Roman"/>
        </w:rPr>
        <w:t xml:space="preserve">Polska Prokurator Europejska przedstawiła schemat nadzoru sprawowanego </w:t>
      </w:r>
      <w:r>
        <w:rPr>
          <w:rFonts w:ascii="Times New Roman" w:hAnsi="Times New Roman" w:cs="Times New Roman"/>
        </w:rPr>
        <w:br/>
        <w:t xml:space="preserve">w postępowaniu europejskim przez właściwą Stałą Izbę oraz właściwego Prokuratora Europejskiego. Wobec tej regulacji wskazała, że wydawanie odrębnego postanowienia </w:t>
      </w:r>
      <w:r>
        <w:rPr>
          <w:rFonts w:ascii="Times New Roman" w:hAnsi="Times New Roman" w:cs="Times New Roman"/>
        </w:rPr>
        <w:br/>
        <w:t xml:space="preserve">o przedłużeniu śledztwa, po myśli prawa krajowego jawi się jako </w:t>
      </w:r>
      <w:r>
        <w:rPr>
          <w:rFonts w:ascii="Times New Roman" w:hAnsi="Times New Roman" w:cs="Times New Roman"/>
          <w:i/>
          <w:iCs/>
        </w:rPr>
        <w:t>„niemal wyłącznie czynność o technicznym charakterze”.</w:t>
      </w:r>
    </w:p>
    <w:p w14:paraId="2BC1D3A2" w14:textId="0247C81C" w:rsidR="00513E07" w:rsidRDefault="00513E07" w:rsidP="00513E07">
      <w:pPr>
        <w:ind w:firstLine="360"/>
        <w:jc w:val="both"/>
        <w:rPr>
          <w:rFonts w:ascii="Times New Roman" w:hAnsi="Times New Roman" w:cs="Times New Roman"/>
          <w:i/>
          <w:iCs/>
        </w:rPr>
      </w:pPr>
      <w:r>
        <w:rPr>
          <w:rFonts w:ascii="Times New Roman" w:hAnsi="Times New Roman" w:cs="Times New Roman"/>
        </w:rPr>
        <w:t xml:space="preserve">Nawiązała też do niedostatków ustawy wydanej w związku z przystąpieniem Polski </w:t>
      </w:r>
      <w:r>
        <w:rPr>
          <w:rFonts w:ascii="Times New Roman" w:hAnsi="Times New Roman" w:cs="Times New Roman"/>
        </w:rPr>
        <w:br/>
        <w:t>do wzmocnionej współpracy w zakresie Prokuratury Europejskiej oraz związanych z nią aktów wykonawczych, które nie przewidziały (podobnie jak regulacje prawa europejskiego) powstania komórki administracyjnej mającej na celu „</w:t>
      </w:r>
      <w:r>
        <w:rPr>
          <w:rFonts w:ascii="Times New Roman" w:hAnsi="Times New Roman" w:cs="Times New Roman"/>
          <w:i/>
          <w:iCs/>
        </w:rPr>
        <w:t>wspomożenie pracy Prokuratora Europejskiego na krajowym odcinku jego zadań”.</w:t>
      </w:r>
    </w:p>
    <w:p w14:paraId="45E0B422" w14:textId="77777777" w:rsidR="00513E07" w:rsidRDefault="00513E07" w:rsidP="00513E07">
      <w:pPr>
        <w:ind w:firstLine="360"/>
        <w:jc w:val="both"/>
        <w:rPr>
          <w:rFonts w:ascii="Times New Roman" w:hAnsi="Times New Roman" w:cs="Times New Roman"/>
        </w:rPr>
      </w:pPr>
      <w:r>
        <w:rPr>
          <w:rFonts w:ascii="Times New Roman" w:hAnsi="Times New Roman" w:cs="Times New Roman"/>
        </w:rPr>
        <w:lastRenderedPageBreak/>
        <w:t>W konkluzji swojego pierwszego wystąpienia Pani Prokurator Europejska zaproponowała dwie możliwe modyfikacje art.310 par. 2 k.p.k. :</w:t>
      </w:r>
    </w:p>
    <w:p w14:paraId="586B64BA" w14:textId="77777777" w:rsidR="00513E07" w:rsidRDefault="00513E07" w:rsidP="00513E07">
      <w:pPr>
        <w:pStyle w:val="Akapitzlist"/>
        <w:numPr>
          <w:ilvl w:val="0"/>
          <w:numId w:val="4"/>
        </w:numPr>
        <w:jc w:val="both"/>
        <w:rPr>
          <w:rFonts w:ascii="Times New Roman" w:hAnsi="Times New Roman" w:cs="Times New Roman"/>
        </w:rPr>
      </w:pPr>
      <w:r>
        <w:rPr>
          <w:rFonts w:ascii="Times New Roman" w:hAnsi="Times New Roman" w:cs="Times New Roman"/>
        </w:rPr>
        <w:t>„</w:t>
      </w:r>
      <w:r w:rsidRPr="00A95571">
        <w:rPr>
          <w:rFonts w:ascii="Times New Roman" w:hAnsi="Times New Roman" w:cs="Times New Roman"/>
          <w:i/>
          <w:iCs/>
        </w:rPr>
        <w:t xml:space="preserve">wykreślenie art.310 par. 2 k.p.k. i art.153 par. 1 </w:t>
      </w:r>
      <w:proofErr w:type="spellStart"/>
      <w:r w:rsidRPr="00A95571">
        <w:rPr>
          <w:rFonts w:ascii="Times New Roman" w:hAnsi="Times New Roman" w:cs="Times New Roman"/>
          <w:i/>
          <w:iCs/>
        </w:rPr>
        <w:t>k.k.s</w:t>
      </w:r>
      <w:proofErr w:type="spellEnd"/>
      <w:r w:rsidRPr="00A95571">
        <w:rPr>
          <w:rFonts w:ascii="Times New Roman" w:hAnsi="Times New Roman" w:cs="Times New Roman"/>
          <w:i/>
          <w:iCs/>
        </w:rPr>
        <w:t>. zdania drugiego i trzeciego</w:t>
      </w:r>
      <w:r>
        <w:rPr>
          <w:rFonts w:ascii="Times New Roman" w:hAnsi="Times New Roman" w:cs="Times New Roman"/>
        </w:rPr>
        <w:t>”,</w:t>
      </w:r>
    </w:p>
    <w:p w14:paraId="2B040E63" w14:textId="77777777" w:rsidR="00513E07" w:rsidRDefault="00513E07" w:rsidP="00513E07">
      <w:pPr>
        <w:pStyle w:val="Akapitzlist"/>
        <w:numPr>
          <w:ilvl w:val="0"/>
          <w:numId w:val="4"/>
        </w:numPr>
        <w:jc w:val="both"/>
        <w:rPr>
          <w:rFonts w:ascii="Times New Roman" w:hAnsi="Times New Roman" w:cs="Times New Roman"/>
        </w:rPr>
      </w:pPr>
      <w:r>
        <w:rPr>
          <w:rFonts w:ascii="Times New Roman" w:hAnsi="Times New Roman" w:cs="Times New Roman"/>
        </w:rPr>
        <w:t>alternatywnie wprowadzenie normy wyłączającej ich stosowanie do postępowań europejskich,</w:t>
      </w:r>
    </w:p>
    <w:p w14:paraId="55A8A522" w14:textId="79E01540" w:rsidR="00513E07" w:rsidRDefault="00513E07" w:rsidP="00513E07">
      <w:pPr>
        <w:pStyle w:val="Akapitzlist"/>
        <w:numPr>
          <w:ilvl w:val="0"/>
          <w:numId w:val="4"/>
        </w:numPr>
        <w:jc w:val="both"/>
        <w:rPr>
          <w:rFonts w:ascii="Times New Roman" w:hAnsi="Times New Roman" w:cs="Times New Roman"/>
        </w:rPr>
      </w:pPr>
      <w:r>
        <w:rPr>
          <w:rFonts w:ascii="Times New Roman" w:hAnsi="Times New Roman" w:cs="Times New Roman"/>
        </w:rPr>
        <w:t>wprowadzenie przepisów ustanawiających i normujących pracę biura Prokuratora Europejskiego w Polsce „</w:t>
      </w:r>
      <w:r>
        <w:rPr>
          <w:rFonts w:ascii="Times New Roman" w:hAnsi="Times New Roman" w:cs="Times New Roman"/>
          <w:i/>
          <w:iCs/>
        </w:rPr>
        <w:t xml:space="preserve">w celu zinstytucjonalizowania tego podmiotu prawnego </w:t>
      </w:r>
      <w:r>
        <w:rPr>
          <w:rFonts w:ascii="Times New Roman" w:hAnsi="Times New Roman" w:cs="Times New Roman"/>
          <w:i/>
          <w:iCs/>
        </w:rPr>
        <w:br/>
        <w:t>i zapewnienia dla pełnego zakresu jego działalności właściwych zasobów kadrowych, lokalowych, sprzętowych i kancelaryjnych”.</w:t>
      </w:r>
      <w:r>
        <w:rPr>
          <w:rFonts w:ascii="Times New Roman" w:hAnsi="Times New Roman" w:cs="Times New Roman"/>
        </w:rPr>
        <w:t xml:space="preserve"> </w:t>
      </w:r>
    </w:p>
    <w:p w14:paraId="41D3F9E5" w14:textId="17E535C4" w:rsidR="00513E07" w:rsidRPr="00A95571" w:rsidRDefault="00513E07" w:rsidP="00513E07">
      <w:pPr>
        <w:ind w:left="360"/>
        <w:jc w:val="both"/>
        <w:rPr>
          <w:rFonts w:ascii="Times New Roman" w:hAnsi="Times New Roman" w:cs="Times New Roman"/>
        </w:rPr>
      </w:pPr>
      <w:r>
        <w:rPr>
          <w:rFonts w:ascii="Times New Roman" w:hAnsi="Times New Roman" w:cs="Times New Roman"/>
        </w:rPr>
        <w:t xml:space="preserve">Na marginesie należy jedynie zaznaczyć, że propozycja zmian zrelacjonowana w </w:t>
      </w:r>
      <w:proofErr w:type="spellStart"/>
      <w:r>
        <w:rPr>
          <w:rFonts w:ascii="Times New Roman" w:hAnsi="Times New Roman" w:cs="Times New Roman"/>
        </w:rPr>
        <w:t>ppkcie</w:t>
      </w:r>
      <w:proofErr w:type="spellEnd"/>
      <w:r>
        <w:rPr>
          <w:rFonts w:ascii="Times New Roman" w:hAnsi="Times New Roman" w:cs="Times New Roman"/>
        </w:rPr>
        <w:t xml:space="preserve"> a. jest błędnie skonstruowana wobec podnoszonej argumentacji, ale ponieważ nie znalazła odzwierciedlenia w opiniowanym projekcie, nie będzie przedmiotem dalszych rozważań w opinii Komisji.</w:t>
      </w:r>
    </w:p>
    <w:p w14:paraId="7C269949" w14:textId="4F4C6E81" w:rsidR="00513E07" w:rsidRDefault="00513E07" w:rsidP="00513E07">
      <w:pPr>
        <w:ind w:firstLine="360"/>
        <w:jc w:val="both"/>
        <w:rPr>
          <w:rFonts w:ascii="Times New Roman" w:hAnsi="Times New Roman" w:cs="Times New Roman"/>
        </w:rPr>
      </w:pPr>
      <w:r>
        <w:rPr>
          <w:rFonts w:ascii="Times New Roman" w:hAnsi="Times New Roman" w:cs="Times New Roman"/>
        </w:rPr>
        <w:t>Druga część pisma dotyczy stanowiska wobec konsekwencji, jakie dla strony polskiej płyną z powołanego wyroku TSUE. Pani Prokurator Europejska prezentuje w niej pogląd, że Rozporządzenie 2017/1939 wymaga, aby czynności procesowe Prokuratury Europejskiej wywołujące skutki prawne wobec osób trzecich podlegały kontroli sądów krajowych. Sięga przy tym po argument, że „</w:t>
      </w:r>
      <w:r>
        <w:rPr>
          <w:rFonts w:ascii="Times New Roman" w:hAnsi="Times New Roman" w:cs="Times New Roman"/>
          <w:i/>
          <w:iCs/>
        </w:rPr>
        <w:t xml:space="preserve">brak ingerencji ustawodawcy w treść art.302 par.3 k.p.k. doprowadzi do nieakceptowalnego z punktu widzenia zasad państwa prawa stanu, w którym odmiennie ukształtowane będą prawa osób biorących udział w postępowaniu karnym, </w:t>
      </w:r>
      <w:r>
        <w:rPr>
          <w:rFonts w:ascii="Times New Roman" w:hAnsi="Times New Roman" w:cs="Times New Roman"/>
          <w:i/>
          <w:iCs/>
        </w:rPr>
        <w:br/>
        <w:t xml:space="preserve">a elementem różnicującym zakres tych praw będzie wyłącznie organ prowadzący śledztwo”. </w:t>
      </w:r>
      <w:r>
        <w:rPr>
          <w:rFonts w:ascii="Times New Roman" w:hAnsi="Times New Roman" w:cs="Times New Roman"/>
        </w:rPr>
        <w:t>Konsekwentnie przedstawia przy tym pogląd, że w sprawie żalącego się w trybie art.302 par. 3 k.p.k. w postępowaniu europejskim powołanym do rozpoznania zażalenia będzie sąd właściwy do rozpoznania sprawy po myśli art.465 par.2 k.p.k. w zw. z art.42 ust. 1 Rozporządzenia 2017/1939.</w:t>
      </w:r>
    </w:p>
    <w:p w14:paraId="6FD37037" w14:textId="77777777" w:rsidR="00513E07" w:rsidRDefault="00513E07" w:rsidP="00513E07">
      <w:pPr>
        <w:ind w:firstLine="360"/>
        <w:jc w:val="both"/>
        <w:rPr>
          <w:rFonts w:ascii="Times New Roman" w:hAnsi="Times New Roman" w:cs="Times New Roman"/>
        </w:rPr>
      </w:pPr>
      <w:r>
        <w:rPr>
          <w:rFonts w:ascii="Times New Roman" w:hAnsi="Times New Roman" w:cs="Times New Roman"/>
        </w:rPr>
        <w:t>Trzeci element sygnalizowany Ministrowi Sprawiedliwości w pierwszym wystąpieniu EPPO dotyczy opisanej już sytuacji braku organu wyższego rzędu w sytuacji przejęcia przez Prokuratora Europejskiego postępowania do osobistego prowadzenia. Ponownie odwołując się do prac Komisji Kodyfikacyjnej Ustroju Sądownictwa i Prokuratury – za celowe uznano przeniesienie rozpoznania całej kategorii zażaleń do właściwości sądów.</w:t>
      </w:r>
    </w:p>
    <w:p w14:paraId="1D84E0FF" w14:textId="6A200C00" w:rsidR="00513E07" w:rsidRDefault="00513E07" w:rsidP="00513E07">
      <w:pPr>
        <w:ind w:firstLine="360"/>
        <w:jc w:val="both"/>
        <w:rPr>
          <w:rFonts w:ascii="Times New Roman" w:hAnsi="Times New Roman" w:cs="Times New Roman"/>
        </w:rPr>
      </w:pPr>
      <w:r>
        <w:rPr>
          <w:rFonts w:ascii="Times New Roman" w:hAnsi="Times New Roman" w:cs="Times New Roman"/>
        </w:rPr>
        <w:t xml:space="preserve">Propozycję zmian ustawowych opiniowało po przekazaniu materiałów z Ministerstwa Sprawiedliwości Biuro Prezydialne Prokuratury Krajowej. Stanęło ono na stanowisku, że omawiany wyrok TSUE zapadł w odniesieniu do sytuacji powstałej na gruncie prawa hiszpańskiego, określającego odrębnie uprawnienia uczestników postępowania karnego, </w:t>
      </w:r>
      <w:r>
        <w:rPr>
          <w:rFonts w:ascii="Times New Roman" w:hAnsi="Times New Roman" w:cs="Times New Roman"/>
        </w:rPr>
        <w:br/>
        <w:t>w sposób znaczący różniące się od tych przewidzianych w regulacji obowiązujących na gruncie k.p.k., a co za tym idzie nie skutkuje on obligatoryjnością zmiany obowiązującego w Polsce prawa. Jednocześnie uznano, że jest to dobry punkt wyjścia do prac analitycznych związanych ze stosowaniem w obecnej praktyce wymiaru sprawiedliwości tryb</w:t>
      </w:r>
      <w:r w:rsidR="00710C41">
        <w:rPr>
          <w:rFonts w:ascii="Times New Roman" w:hAnsi="Times New Roman" w:cs="Times New Roman"/>
        </w:rPr>
        <w:t>u</w:t>
      </w:r>
      <w:r>
        <w:rPr>
          <w:rFonts w:ascii="Times New Roman" w:hAnsi="Times New Roman" w:cs="Times New Roman"/>
        </w:rPr>
        <w:t xml:space="preserve"> zaskarżenia z art.302 par.3 k.p.k. Dopiero w świetle wniosków z takiej analizy możliwe będzie projektowanie zmiany polegającej na wprowadzeniu kontroli sądowej w powołanym trybie. Stanowisko Prokuratury Krajowej jako propozycję do rozważenia w kontekście postulowanej zmiany wskazuje </w:t>
      </w:r>
      <w:r>
        <w:rPr>
          <w:rFonts w:ascii="Times New Roman" w:hAnsi="Times New Roman" w:cs="Times New Roman"/>
        </w:rPr>
        <w:br/>
      </w:r>
      <w:r>
        <w:rPr>
          <w:rFonts w:ascii="Times New Roman" w:hAnsi="Times New Roman" w:cs="Times New Roman"/>
        </w:rPr>
        <w:lastRenderedPageBreak/>
        <w:t>na możliwość wprowadzenia katalogu zarządzeń i czynności w postępowaniu przygotowawczym, od których zażalenie kierowałoby się do sądu.</w:t>
      </w:r>
    </w:p>
    <w:p w14:paraId="0DB86996" w14:textId="4C81FD7F" w:rsidR="00513E07" w:rsidRDefault="00513E07" w:rsidP="00513E07">
      <w:pPr>
        <w:ind w:firstLine="360"/>
        <w:jc w:val="both"/>
        <w:rPr>
          <w:rFonts w:ascii="Times New Roman" w:hAnsi="Times New Roman" w:cs="Times New Roman"/>
        </w:rPr>
      </w:pPr>
      <w:r>
        <w:rPr>
          <w:rFonts w:ascii="Times New Roman" w:hAnsi="Times New Roman" w:cs="Times New Roman"/>
        </w:rPr>
        <w:t>Prokuratura Krajowa nie poparła też propozycji zmian w przepisach regulujących tryb przedłużania postępowania przygotowawczego. Wskazano na to, że przyjęcie pozycji wiązałoby się z faktycznym wprowadzeniem odrębnych regulacji procesowych, dla spraw prowadzonych przez różne organy</w:t>
      </w:r>
      <w:r w:rsidR="00606F55">
        <w:rPr>
          <w:rFonts w:ascii="Times New Roman" w:hAnsi="Times New Roman" w:cs="Times New Roman"/>
        </w:rPr>
        <w:t>,</w:t>
      </w:r>
      <w:r>
        <w:rPr>
          <w:rFonts w:ascii="Times New Roman" w:hAnsi="Times New Roman" w:cs="Times New Roman"/>
        </w:rPr>
        <w:t xml:space="preserve"> ale o tego samego typu przestępstwa. Przypomniano zasadę wynikającą z motywu 30 Rozporządzenia, odnoszącą się do sposobu procedowania przez prokuratorów delegowanych i relacji prawa unijnego do procedur krajowych. Jednocześnie podkreślono, że niewłaściwe wydaje się, aby przepisy spełniające funkcje gwarancyjne były odmienne w postępowaniach krajowych i europejskich.</w:t>
      </w:r>
    </w:p>
    <w:p w14:paraId="76B755E3" w14:textId="42381D96" w:rsidR="00513E07" w:rsidRDefault="00513E07" w:rsidP="00513E07">
      <w:pPr>
        <w:ind w:firstLine="360"/>
        <w:jc w:val="both"/>
        <w:rPr>
          <w:rFonts w:ascii="Times New Roman" w:hAnsi="Times New Roman" w:cs="Times New Roman"/>
        </w:rPr>
      </w:pPr>
      <w:r>
        <w:rPr>
          <w:rFonts w:ascii="Times New Roman" w:hAnsi="Times New Roman" w:cs="Times New Roman"/>
        </w:rPr>
        <w:t xml:space="preserve">Argumenty natury organizacyjnej – także nie przekonały Prokuratury Krajowej </w:t>
      </w:r>
      <w:r>
        <w:rPr>
          <w:rFonts w:ascii="Times New Roman" w:hAnsi="Times New Roman" w:cs="Times New Roman"/>
        </w:rPr>
        <w:br/>
        <w:t>do rezygnacji z wydawania postanowień o przedłużeniu postępowania przygotowawczego. Zaś co do braków w przepisach krajowych – wskazano na art.95 c ustawy Prawo o prokuraturze, którego paragraf 2 brzmi:</w:t>
      </w:r>
    </w:p>
    <w:p w14:paraId="7266E0B8" w14:textId="7DD3CB58" w:rsidR="00513E07" w:rsidRDefault="00513E07" w:rsidP="00513E07">
      <w:pPr>
        <w:ind w:firstLine="360"/>
        <w:jc w:val="both"/>
        <w:rPr>
          <w:rFonts w:ascii="Times New Roman" w:hAnsi="Times New Roman" w:cs="Times New Roman"/>
        </w:rPr>
      </w:pPr>
      <w:r>
        <w:rPr>
          <w:rFonts w:ascii="Times New Roman" w:hAnsi="Times New Roman" w:cs="Times New Roman"/>
        </w:rPr>
        <w:t>„</w:t>
      </w:r>
      <w:r w:rsidRPr="001476A1">
        <w:rPr>
          <w:rFonts w:ascii="Times New Roman" w:hAnsi="Times New Roman" w:cs="Times New Roman"/>
        </w:rPr>
        <w:t xml:space="preserve">Uprawnienia i obowiązki przełożonego w postępowaniu europejskim, w innych postępowaniach prowadzonych przez prokuratora Prokuratury Europejskiej zgodnie </w:t>
      </w:r>
      <w:r>
        <w:rPr>
          <w:rFonts w:ascii="Times New Roman" w:hAnsi="Times New Roman" w:cs="Times New Roman"/>
        </w:rPr>
        <w:br/>
      </w:r>
      <w:r w:rsidRPr="001476A1">
        <w:rPr>
          <w:rFonts w:ascii="Times New Roman" w:hAnsi="Times New Roman" w:cs="Times New Roman"/>
        </w:rPr>
        <w:t xml:space="preserve">z właściwością określoną w </w:t>
      </w:r>
      <w:hyperlink r:id="rId7" w:anchor="/document/68975577" w:history="1">
        <w:r w:rsidR="009B293C">
          <w:rPr>
            <w:rStyle w:val="Hipercze"/>
            <w:rFonts w:ascii="Times New Roman" w:hAnsi="Times New Roman" w:cs="Times New Roman"/>
            <w:color w:val="auto"/>
            <w:u w:val="none"/>
          </w:rPr>
          <w:t>R</w:t>
        </w:r>
        <w:r w:rsidRPr="009B293C">
          <w:rPr>
            <w:rStyle w:val="Hipercze"/>
            <w:rFonts w:ascii="Times New Roman" w:hAnsi="Times New Roman" w:cs="Times New Roman"/>
            <w:color w:val="auto"/>
            <w:u w:val="none"/>
          </w:rPr>
          <w:t>ozporządzeniu</w:t>
        </w:r>
      </w:hyperlink>
      <w:r w:rsidRPr="001476A1">
        <w:rPr>
          <w:rFonts w:ascii="Times New Roman" w:hAnsi="Times New Roman" w:cs="Times New Roman"/>
        </w:rPr>
        <w:t xml:space="preserve"> 2017/1939, a także pozostałe uprawnienia </w:t>
      </w:r>
      <w:r>
        <w:rPr>
          <w:rFonts w:ascii="Times New Roman" w:hAnsi="Times New Roman" w:cs="Times New Roman"/>
        </w:rPr>
        <w:br/>
      </w:r>
      <w:r w:rsidRPr="001476A1">
        <w:rPr>
          <w:rFonts w:ascii="Times New Roman" w:hAnsi="Times New Roman" w:cs="Times New Roman"/>
        </w:rPr>
        <w:t>i obowiązki wobec prokuratora Prokuratury Europejskiej w związku z pełnieniem przez niego tego urzędu wykonują organy określone w tym rozporządzeniu, w zakresie tam wskazanym.</w:t>
      </w:r>
      <w:r>
        <w:rPr>
          <w:rFonts w:ascii="Times New Roman" w:hAnsi="Times New Roman" w:cs="Times New Roman"/>
        </w:rPr>
        <w:t>”</w:t>
      </w:r>
    </w:p>
    <w:p w14:paraId="6FC7EB67" w14:textId="77777777" w:rsidR="00513E07" w:rsidRDefault="00513E07" w:rsidP="00513E07">
      <w:pPr>
        <w:jc w:val="both"/>
        <w:rPr>
          <w:rFonts w:ascii="Times New Roman" w:hAnsi="Times New Roman" w:cs="Times New Roman"/>
        </w:rPr>
      </w:pPr>
      <w:r>
        <w:rPr>
          <w:rFonts w:ascii="Times New Roman" w:hAnsi="Times New Roman" w:cs="Times New Roman"/>
        </w:rPr>
        <w:tab/>
        <w:t>Zwrócono także uwagę, że wystąpienie nie zawiera żadnej propozycji zmian prawnych w zakresie sygnalizowanych trudności organizacyjnych związanych z funkcjonowaniem zaplecza administracyjnego dla Prokuratury Europejskiej na odcinku zadań krajowych.</w:t>
      </w:r>
    </w:p>
    <w:p w14:paraId="639EB24C" w14:textId="3CFDC746" w:rsidR="00513E07" w:rsidRDefault="00513E07" w:rsidP="00513E07">
      <w:pPr>
        <w:jc w:val="both"/>
        <w:rPr>
          <w:rFonts w:ascii="Times New Roman" w:hAnsi="Times New Roman" w:cs="Times New Roman"/>
        </w:rPr>
      </w:pPr>
      <w:r>
        <w:rPr>
          <w:rFonts w:ascii="Times New Roman" w:hAnsi="Times New Roman" w:cs="Times New Roman"/>
        </w:rPr>
        <w:tab/>
        <w:t xml:space="preserve">W tym miejscu - niejako na marginesie głównych rozważań – należy przypomnieć, że Komisja Kodyfikacyjna Prawa Karnego opiniując projekt zmian ustawowych związanych </w:t>
      </w:r>
      <w:r>
        <w:rPr>
          <w:rFonts w:ascii="Times New Roman" w:hAnsi="Times New Roman" w:cs="Times New Roman"/>
        </w:rPr>
        <w:br/>
        <w:t xml:space="preserve">z przystąpieniem Polski do wzmocnionej współpracy w zakresie ustanowienia Prokuratury Europejskiej, zajęła stanowisko co do niebezpieczeństw mogących powstać w sytuacji wprowadzania dwóch standardów w postępowaniu karnym, zróżnicowanych tylko z uwagi na organ prowadzący postępowanie przygotowawcze i to w sytuacji zachowania jurysdykcji sądu krajowego do rozpoznania spraw prowadzonych przez EPPO. Stosowne uwagi poczyniono wtedy w odniesieniu do rozważań nad potrzebą zmian legislacyjnych co do </w:t>
      </w:r>
      <w:r w:rsidRPr="001569C3">
        <w:rPr>
          <w:rFonts w:ascii="Times New Roman" w:hAnsi="Times New Roman" w:cs="Times New Roman"/>
        </w:rPr>
        <w:t xml:space="preserve">standardu kontroli czynności intruzywnych wymienionych w wyroku TS wydanym w sprawie C-281/22 </w:t>
      </w:r>
      <w:r>
        <w:rPr>
          <w:rFonts w:ascii="Times New Roman" w:hAnsi="Times New Roman" w:cs="Times New Roman"/>
        </w:rPr>
        <w:t xml:space="preserve">. </w:t>
      </w:r>
      <w:r w:rsidR="00AE3803">
        <w:rPr>
          <w:rFonts w:ascii="Times New Roman" w:hAnsi="Times New Roman" w:cs="Times New Roman"/>
        </w:rPr>
        <w:t xml:space="preserve">Objęły one także zalecenie ostrożnego traktowania nieutrwalonych stanowisk orzeczniczych, które </w:t>
      </w:r>
      <w:r w:rsidR="00AE3803">
        <w:rPr>
          <w:rFonts w:ascii="Times New Roman" w:hAnsi="Times New Roman" w:cs="Times New Roman"/>
        </w:rPr>
        <w:br/>
        <w:t>z założenia nie powinny generować zmian ustawowych przed ich utrwaleniem</w:t>
      </w:r>
    </w:p>
    <w:p w14:paraId="5A2AEC64" w14:textId="77777777" w:rsidR="00513E07" w:rsidRDefault="00513E07" w:rsidP="00513E07">
      <w:pPr>
        <w:jc w:val="both"/>
        <w:rPr>
          <w:rFonts w:ascii="Times New Roman" w:hAnsi="Times New Roman" w:cs="Times New Roman"/>
        </w:rPr>
      </w:pPr>
      <w:r>
        <w:rPr>
          <w:rFonts w:ascii="Times New Roman" w:hAnsi="Times New Roman" w:cs="Times New Roman"/>
        </w:rPr>
        <w:tab/>
        <w:t>Drugie wystąpienie EPPO do Ministra Sprawiedliwości z uwagi na zbieżność treściową z pierwszym potraktować należy jako przypomnienie o sprawie, w związku ze zmianą osoby pełniącej ten urząd.</w:t>
      </w:r>
    </w:p>
    <w:p w14:paraId="3BBBAFEA" w14:textId="77777777" w:rsidR="00513E07" w:rsidRDefault="00513E07" w:rsidP="00513E07">
      <w:pPr>
        <w:pStyle w:val="Akapitzlist"/>
        <w:numPr>
          <w:ilvl w:val="0"/>
          <w:numId w:val="1"/>
        </w:numPr>
        <w:jc w:val="both"/>
        <w:rPr>
          <w:rFonts w:ascii="Times New Roman" w:hAnsi="Times New Roman" w:cs="Times New Roman"/>
        </w:rPr>
      </w:pPr>
      <w:r>
        <w:rPr>
          <w:rFonts w:ascii="Times New Roman" w:hAnsi="Times New Roman" w:cs="Times New Roman"/>
        </w:rPr>
        <w:t>Stanowisko Komisji Kodyfikacyjnej Prawa Karnego</w:t>
      </w:r>
    </w:p>
    <w:p w14:paraId="2A5879F4" w14:textId="77777777" w:rsidR="00513E07" w:rsidRDefault="00513E07" w:rsidP="00513E07">
      <w:pPr>
        <w:jc w:val="both"/>
        <w:rPr>
          <w:rFonts w:ascii="Times New Roman" w:hAnsi="Times New Roman" w:cs="Times New Roman"/>
        </w:rPr>
      </w:pPr>
      <w:r>
        <w:rPr>
          <w:rFonts w:ascii="Times New Roman" w:hAnsi="Times New Roman" w:cs="Times New Roman"/>
        </w:rPr>
        <w:t>Przedłożony do opiniowania projekt w zakresie Ustawy z dnia 6 czerwca 1997 roku obejmuje:</w:t>
      </w:r>
    </w:p>
    <w:p w14:paraId="1F4B463B" w14:textId="77777777" w:rsidR="00513E07" w:rsidRPr="005E0ADF" w:rsidRDefault="00513E07" w:rsidP="00513E07">
      <w:pPr>
        <w:ind w:left="360"/>
        <w:jc w:val="both"/>
        <w:rPr>
          <w:rFonts w:ascii="Times New Roman" w:hAnsi="Times New Roman" w:cs="Times New Roman"/>
        </w:rPr>
      </w:pPr>
      <w:r>
        <w:rPr>
          <w:rFonts w:ascii="Times New Roman" w:hAnsi="Times New Roman" w:cs="Times New Roman"/>
        </w:rPr>
        <w:t>a.  u</w:t>
      </w:r>
      <w:r w:rsidRPr="005E0ADF">
        <w:rPr>
          <w:rFonts w:ascii="Times New Roman" w:hAnsi="Times New Roman" w:cs="Times New Roman"/>
        </w:rPr>
        <w:t xml:space="preserve">jętą wersyjnie zmianę w art.302. </w:t>
      </w:r>
    </w:p>
    <w:p w14:paraId="25D20EF1" w14:textId="77777777" w:rsidR="00513E07" w:rsidRDefault="00513E07" w:rsidP="00513E07">
      <w:pPr>
        <w:jc w:val="both"/>
        <w:rPr>
          <w:rFonts w:ascii="Times New Roman" w:hAnsi="Times New Roman" w:cs="Times New Roman"/>
        </w:rPr>
      </w:pPr>
      <w:r>
        <w:rPr>
          <w:rFonts w:ascii="Times New Roman" w:hAnsi="Times New Roman" w:cs="Times New Roman"/>
        </w:rPr>
        <w:lastRenderedPageBreak/>
        <w:t xml:space="preserve">Pierwsza propozycja obejmuje wykreślenie w całości paragrafu 3. Druga z kolei – zmianę </w:t>
      </w:r>
      <w:r>
        <w:rPr>
          <w:rFonts w:ascii="Times New Roman" w:hAnsi="Times New Roman" w:cs="Times New Roman"/>
        </w:rPr>
        <w:br/>
        <w:t>w treści tego przepisu polegającą na odmiennym określeniu organu właściwego do rozpoznania zażalenia: w miejsce prokuratora bezpośrednio przełożonego wpisany miałby być sąd rejonowy właściwy miejscowo ze względu na miejsce prowadzenia postępowania.</w:t>
      </w:r>
    </w:p>
    <w:p w14:paraId="0693EE4C" w14:textId="77777777" w:rsidR="00513E07" w:rsidRPr="005E0ADF" w:rsidRDefault="00513E07" w:rsidP="00513E07">
      <w:pPr>
        <w:pStyle w:val="Akapitzlist"/>
        <w:numPr>
          <w:ilvl w:val="0"/>
          <w:numId w:val="5"/>
        </w:numPr>
        <w:jc w:val="both"/>
        <w:rPr>
          <w:rFonts w:ascii="Times New Roman" w:hAnsi="Times New Roman" w:cs="Times New Roman"/>
        </w:rPr>
      </w:pPr>
      <w:r>
        <w:rPr>
          <w:rFonts w:ascii="Times New Roman" w:hAnsi="Times New Roman" w:cs="Times New Roman"/>
        </w:rPr>
        <w:t>u</w:t>
      </w:r>
      <w:r w:rsidRPr="005E0ADF">
        <w:rPr>
          <w:rFonts w:ascii="Times New Roman" w:hAnsi="Times New Roman" w:cs="Times New Roman"/>
        </w:rPr>
        <w:t>zupełnienie art.310 poprzez dodanie w jego treści paragrafu 3, wyłączającego jego zastosowanie do postępowań europejskich. Jako zdanie drugie proponowanego przepisu umieszczono odesłanie w zakresie długości trwania postępowania europejskiego do regulacji z Rozporządzenia 2017/1939.</w:t>
      </w:r>
    </w:p>
    <w:p w14:paraId="74299CAB" w14:textId="53750030" w:rsidR="00513E07" w:rsidRDefault="00513E07" w:rsidP="00513E07">
      <w:pPr>
        <w:jc w:val="both"/>
        <w:rPr>
          <w:rFonts w:ascii="Times New Roman" w:hAnsi="Times New Roman" w:cs="Times New Roman"/>
        </w:rPr>
      </w:pPr>
      <w:r>
        <w:rPr>
          <w:rFonts w:ascii="Times New Roman" w:hAnsi="Times New Roman" w:cs="Times New Roman"/>
        </w:rPr>
        <w:t>Z kolei w odniesieniu do zmiany w Ustawie z dnia 10 września 1999 roku Kodeks karny skarbowy, zaproponowano:</w:t>
      </w:r>
    </w:p>
    <w:p w14:paraId="7B6C3BC3" w14:textId="77777777" w:rsidR="00513E07" w:rsidRPr="005E0ADF" w:rsidRDefault="00513E07" w:rsidP="00513E07">
      <w:pPr>
        <w:pStyle w:val="Akapitzlist"/>
        <w:numPr>
          <w:ilvl w:val="0"/>
          <w:numId w:val="5"/>
        </w:numPr>
        <w:jc w:val="both"/>
        <w:rPr>
          <w:rFonts w:ascii="Times New Roman" w:hAnsi="Times New Roman" w:cs="Times New Roman"/>
        </w:rPr>
      </w:pPr>
      <w:r>
        <w:rPr>
          <w:rFonts w:ascii="Times New Roman" w:hAnsi="Times New Roman" w:cs="Times New Roman"/>
        </w:rPr>
        <w:t xml:space="preserve">Uzupełnienie art.153 o paragraf 4, o treści analogicznej jak w przypadku zmiany </w:t>
      </w:r>
      <w:r>
        <w:rPr>
          <w:rFonts w:ascii="Times New Roman" w:hAnsi="Times New Roman" w:cs="Times New Roman"/>
        </w:rPr>
        <w:br/>
        <w:t>w art.310 k.p.k.</w:t>
      </w:r>
    </w:p>
    <w:p w14:paraId="023D9A8F" w14:textId="77777777" w:rsidR="00513E07" w:rsidRDefault="00513E07" w:rsidP="00513E07">
      <w:pPr>
        <w:ind w:left="360"/>
        <w:jc w:val="both"/>
        <w:rPr>
          <w:rFonts w:ascii="Times New Roman" w:hAnsi="Times New Roman" w:cs="Times New Roman"/>
        </w:rPr>
      </w:pPr>
      <w:r>
        <w:rPr>
          <w:rFonts w:ascii="Times New Roman" w:hAnsi="Times New Roman" w:cs="Times New Roman"/>
        </w:rPr>
        <w:t>Projekt jak sygnalizowano powyżej nie zawiera uzasadnienia, w szczególności nie odnosi się w najmniejszym zakresie do skutków proponowanych regulacji.</w:t>
      </w:r>
    </w:p>
    <w:p w14:paraId="105F1706" w14:textId="077CB1DE" w:rsidR="00513E07" w:rsidRDefault="00513E07" w:rsidP="00513E07">
      <w:pPr>
        <w:jc w:val="both"/>
        <w:rPr>
          <w:rFonts w:ascii="Times New Roman" w:hAnsi="Times New Roman" w:cs="Times New Roman"/>
        </w:rPr>
      </w:pPr>
      <w:r>
        <w:rPr>
          <w:rFonts w:ascii="Times New Roman" w:hAnsi="Times New Roman" w:cs="Times New Roman"/>
        </w:rPr>
        <w:t xml:space="preserve">Odwołując się do deklarowanej genezy projektu, związanej z treścią orzeczenia TSUE </w:t>
      </w:r>
      <w:r>
        <w:rPr>
          <w:rFonts w:ascii="Times New Roman" w:hAnsi="Times New Roman" w:cs="Times New Roman"/>
        </w:rPr>
        <w:br/>
        <w:t xml:space="preserve">w sprawie C-292/23 celowym wydaje się krótkie przytoczenie okoliczności sprawy, w której orzeczenie to zapadło. Zapytanie do Trybunału skierował sąd hiszpański i wydarzenia </w:t>
      </w:r>
      <w:r>
        <w:rPr>
          <w:rFonts w:ascii="Times New Roman" w:hAnsi="Times New Roman" w:cs="Times New Roman"/>
        </w:rPr>
        <w:br/>
        <w:t>do których odnosiło się postępowanie miały miejsce na obszarze obowiązywania prawa hiszpańskiego. W systemie hiszpańskim do prowadzenia tego typu spraw właściwym jest sąd. Ostatecznie – po decyzji hiszpańskiego Sądu Najwyższego sprawę prowadził prokurator delegowany do EPPO. Zdecydował on o wezwaniu w charakterze świadka osoby, która była już przesłuchana</w:t>
      </w:r>
      <w:r w:rsidR="00606F55">
        <w:rPr>
          <w:rFonts w:ascii="Times New Roman" w:hAnsi="Times New Roman" w:cs="Times New Roman"/>
        </w:rPr>
        <w:t>,</w:t>
      </w:r>
      <w:r>
        <w:rPr>
          <w:rFonts w:ascii="Times New Roman" w:hAnsi="Times New Roman" w:cs="Times New Roman"/>
        </w:rPr>
        <w:t xml:space="preserve"> gdy sprawę przed sporem kompetencyjnym prowadził sąd, a także </w:t>
      </w:r>
      <w:r>
        <w:rPr>
          <w:rFonts w:ascii="Times New Roman" w:hAnsi="Times New Roman" w:cs="Times New Roman"/>
        </w:rPr>
        <w:br/>
        <w:t xml:space="preserve">z okoliczności sprawy wynikało podejrzenie, że mogła ona współdziałać w popełnieniu przestępstwa. W systemie hiszpańskim obowiązuje katalog decyzji prokuratora delegowanego do EPPO, od których przysługuje odwołanie do sądu. Sprawę rozpoznaje wtedy sędzia ds. gwarancji. W katalogu ustawowym nie ma czynności wezwania do złożenia zeznań </w:t>
      </w:r>
      <w:r>
        <w:rPr>
          <w:rFonts w:ascii="Times New Roman" w:hAnsi="Times New Roman" w:cs="Times New Roman"/>
        </w:rPr>
        <w:br/>
        <w:t xml:space="preserve">w charakterze świadka. Sąd odsyłający doszedł do wniosku, że brak odwołania od tej decyzji prokuratora delegowanego może ograniczać korzystanie z prawa jednostki wynikającego </w:t>
      </w:r>
      <w:r>
        <w:rPr>
          <w:rFonts w:ascii="Times New Roman" w:hAnsi="Times New Roman" w:cs="Times New Roman"/>
        </w:rPr>
        <w:br/>
        <w:t xml:space="preserve">z prawa Unii, co byłoby nieuzasadnione w świetle zasady równoważności i skuteczności. W tle pojawiły się wątpliwości interpretacyjne i wykładnicze w systemie krajowym. Sąd odsyłający nie przyjął za utrwaloną linii orzeczniczej, dotyczącej art.311 hiszpańskiego k.p.k., zgodnie </w:t>
      </w:r>
      <w:r>
        <w:rPr>
          <w:rFonts w:ascii="Times New Roman" w:hAnsi="Times New Roman" w:cs="Times New Roman"/>
        </w:rPr>
        <w:br/>
        <w:t>z którą postanowienie o podjęciu czynności dochodzeniowych, o które wnioskują strony nie podlega zaskarżeniu. Sytuacja prawna wyg</w:t>
      </w:r>
      <w:r w:rsidR="00A54D7C">
        <w:rPr>
          <w:rFonts w:ascii="Times New Roman" w:hAnsi="Times New Roman" w:cs="Times New Roman"/>
        </w:rPr>
        <w:t>lą</w:t>
      </w:r>
      <w:r>
        <w:rPr>
          <w:rFonts w:ascii="Times New Roman" w:hAnsi="Times New Roman" w:cs="Times New Roman"/>
        </w:rPr>
        <w:t>dała zdaniem sądu odsyłającego w ten sposób, że ujawniła się istotna różnica standardów – albowiem stosowna ustawa wprowadzająca katalog decyzji prokuratora delegowanego do EPPO podlegających zaskarżeniu do sądu nie przewiduje zaskarżenia wezwania świadka na przesłuchanie a prawo stosowane w przypadku procesu krajowego – nie wyklucza takiego zaskarżenia.</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513E07" w:rsidRPr="007A601D" w14:paraId="2E593836" w14:textId="77777777" w:rsidTr="0013161A">
        <w:tc>
          <w:tcPr>
            <w:tcW w:w="0" w:type="auto"/>
            <w:shd w:val="clear" w:color="auto" w:fill="FFFFFF"/>
            <w:vAlign w:val="center"/>
            <w:hideMark/>
          </w:tcPr>
          <w:p w14:paraId="2B030811" w14:textId="412CF697" w:rsidR="00513E07" w:rsidRPr="007A601D" w:rsidRDefault="00513E07" w:rsidP="0013161A">
            <w:pPr>
              <w:jc w:val="both"/>
              <w:rPr>
                <w:rFonts w:ascii="Times New Roman" w:hAnsi="Times New Roman" w:cs="Times New Roman"/>
              </w:rPr>
            </w:pPr>
            <w:r>
              <w:rPr>
                <w:rFonts w:ascii="Times New Roman" w:hAnsi="Times New Roman" w:cs="Times New Roman"/>
              </w:rPr>
              <w:t>Zapadłe orzeczenie wskazuje, że a</w:t>
            </w:r>
            <w:r w:rsidRPr="007A601D">
              <w:rPr>
                <w:rFonts w:ascii="Times New Roman" w:hAnsi="Times New Roman" w:cs="Times New Roman"/>
              </w:rPr>
              <w:t xml:space="preserve">rtykuł 42 ust. 1 rozporządzenia Rady (UE) 2017/1939 z dnia 12 października 2017 r. wdrażającego wzmocnioną współpracę w zakresie ustanowienia Prokuratury Europejskiej w świetle art. 19 ust. 1 akapit drugi TUE, art. 47 i 48 Karty praw </w:t>
            </w:r>
            <w:r w:rsidRPr="007A601D">
              <w:rPr>
                <w:rFonts w:ascii="Times New Roman" w:hAnsi="Times New Roman" w:cs="Times New Roman"/>
              </w:rPr>
              <w:lastRenderedPageBreak/>
              <w:t>podstawowych Unii Europejskiej oraz zasad równoważności i skuteczności</w:t>
            </w:r>
            <w:r>
              <w:rPr>
                <w:rFonts w:ascii="Times New Roman" w:hAnsi="Times New Roman" w:cs="Times New Roman"/>
              </w:rPr>
              <w:t xml:space="preserve"> </w:t>
            </w:r>
            <w:r w:rsidRPr="007A601D">
              <w:rPr>
                <w:rFonts w:ascii="Times New Roman" w:hAnsi="Times New Roman" w:cs="Times New Roman"/>
              </w:rPr>
              <w:t>należy interpretować w ten sposób, że:</w:t>
            </w:r>
          </w:p>
        </w:tc>
      </w:tr>
    </w:tbl>
    <w:p w14:paraId="177D63D6" w14:textId="77777777" w:rsidR="00513E07" w:rsidRPr="007A601D" w:rsidRDefault="00513E07" w:rsidP="00513E07">
      <w:pPr>
        <w:jc w:val="both"/>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60"/>
        <w:gridCol w:w="9012"/>
      </w:tblGrid>
      <w:tr w:rsidR="00513E07" w:rsidRPr="007A601D" w14:paraId="19CE10F0" w14:textId="77777777" w:rsidTr="0013161A">
        <w:tc>
          <w:tcPr>
            <w:tcW w:w="0" w:type="auto"/>
            <w:shd w:val="clear" w:color="auto" w:fill="FFFFFF"/>
            <w:vAlign w:val="center"/>
            <w:hideMark/>
          </w:tcPr>
          <w:p w14:paraId="406BB6AC" w14:textId="77777777" w:rsidR="00513E07" w:rsidRPr="007A601D" w:rsidRDefault="00513E07" w:rsidP="0013161A">
            <w:pPr>
              <w:jc w:val="both"/>
              <w:rPr>
                <w:rFonts w:ascii="Times New Roman" w:hAnsi="Times New Roman" w:cs="Times New Roman"/>
              </w:rPr>
            </w:pPr>
            <w:r w:rsidRPr="007A601D">
              <w:rPr>
                <w:rFonts w:ascii="Times New Roman" w:hAnsi="Times New Roman" w:cs="Times New Roman"/>
              </w:rPr>
              <w:t> </w:t>
            </w:r>
          </w:p>
        </w:tc>
        <w:tc>
          <w:tcPr>
            <w:tcW w:w="0" w:type="auto"/>
            <w:shd w:val="clear" w:color="auto" w:fill="FFFFFF"/>
            <w:vAlign w:val="center"/>
            <w:hideMark/>
          </w:tcPr>
          <w:p w14:paraId="7F4BCB95" w14:textId="77777777" w:rsidR="00513E07" w:rsidRPr="007A601D" w:rsidRDefault="00513E07" w:rsidP="0013161A">
            <w:pPr>
              <w:jc w:val="both"/>
              <w:rPr>
                <w:rFonts w:ascii="Times New Roman" w:hAnsi="Times New Roman" w:cs="Times New Roman"/>
              </w:rPr>
            </w:pPr>
            <w:r>
              <w:rPr>
                <w:rFonts w:ascii="Times New Roman" w:hAnsi="Times New Roman" w:cs="Times New Roman"/>
              </w:rPr>
              <w:t xml:space="preserve">- </w:t>
            </w:r>
            <w:r w:rsidRPr="007A601D">
              <w:rPr>
                <w:rFonts w:ascii="Times New Roman" w:hAnsi="Times New Roman" w:cs="Times New Roman"/>
              </w:rPr>
              <w:t>decyzja, którą w ramach postępowania przygotowawczego delegowany prokurator europejski prowadzący daną sprawę wzywa świadków do stawiennictwa, podlega kontroli właściwego sądu krajowego na podstawie tego art. 42 ust. 1, jeżeli decyzja ta ma wywołać wiążące skutki prawne mogące wpłynąć na interesy osób kwestionujących tę decyzję, takich jak w niniejszym przypadku osoby objęte tym postępowaniem przygotowawczym, poprzez istotną zmianę ich sytuacji prawnej.</w:t>
            </w:r>
          </w:p>
        </w:tc>
      </w:tr>
    </w:tbl>
    <w:p w14:paraId="116C79C4" w14:textId="77777777" w:rsidR="00513E07" w:rsidRPr="007A601D" w:rsidRDefault="00513E07" w:rsidP="00513E07">
      <w:pPr>
        <w:jc w:val="both"/>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60"/>
        <w:gridCol w:w="9012"/>
      </w:tblGrid>
      <w:tr w:rsidR="00513E07" w:rsidRPr="007A601D" w14:paraId="57AAAE7C" w14:textId="77777777" w:rsidTr="0013161A">
        <w:tc>
          <w:tcPr>
            <w:tcW w:w="0" w:type="auto"/>
            <w:shd w:val="clear" w:color="auto" w:fill="FFFFFF"/>
            <w:vAlign w:val="center"/>
            <w:hideMark/>
          </w:tcPr>
          <w:p w14:paraId="09881EFC" w14:textId="77777777" w:rsidR="00513E07" w:rsidRPr="007A601D" w:rsidRDefault="00513E07" w:rsidP="0013161A">
            <w:pPr>
              <w:jc w:val="both"/>
              <w:rPr>
                <w:rFonts w:ascii="Times New Roman" w:hAnsi="Times New Roman" w:cs="Times New Roman"/>
              </w:rPr>
            </w:pPr>
            <w:r w:rsidRPr="007A601D">
              <w:rPr>
                <w:rFonts w:ascii="Times New Roman" w:hAnsi="Times New Roman" w:cs="Times New Roman"/>
              </w:rPr>
              <w:t> </w:t>
            </w:r>
          </w:p>
        </w:tc>
        <w:tc>
          <w:tcPr>
            <w:tcW w:w="0" w:type="auto"/>
            <w:shd w:val="clear" w:color="auto" w:fill="FFFFFF"/>
            <w:vAlign w:val="center"/>
            <w:hideMark/>
          </w:tcPr>
          <w:p w14:paraId="461967AA" w14:textId="77777777" w:rsidR="00513E07" w:rsidRPr="007A601D" w:rsidRDefault="00513E07" w:rsidP="0013161A">
            <w:pPr>
              <w:jc w:val="both"/>
              <w:rPr>
                <w:rFonts w:ascii="Times New Roman" w:hAnsi="Times New Roman" w:cs="Times New Roman"/>
              </w:rPr>
            </w:pPr>
            <w:r>
              <w:rPr>
                <w:rFonts w:ascii="Times New Roman" w:hAnsi="Times New Roman" w:cs="Times New Roman"/>
              </w:rPr>
              <w:t>- j</w:t>
            </w:r>
            <w:r w:rsidRPr="007A601D">
              <w:rPr>
                <w:rFonts w:ascii="Times New Roman" w:hAnsi="Times New Roman" w:cs="Times New Roman"/>
              </w:rPr>
              <w:t>eśli tak jest, prawo krajowe musi gwarantować tym osobom skuteczną kontrolę sądową tej decyzji przynajmniej w trybie incydentalnym, w stosownym przypadku przez sąd karny właściwy do wydania wyroku.</w:t>
            </w:r>
          </w:p>
        </w:tc>
      </w:tr>
    </w:tbl>
    <w:p w14:paraId="49F4C10F" w14:textId="77777777" w:rsidR="00513E07" w:rsidRPr="007A601D" w:rsidRDefault="00513E07" w:rsidP="00513E07">
      <w:pPr>
        <w:jc w:val="both"/>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60"/>
        <w:gridCol w:w="9012"/>
      </w:tblGrid>
      <w:tr w:rsidR="00513E07" w:rsidRPr="007A601D" w14:paraId="4BF49846" w14:textId="77777777" w:rsidTr="0013161A">
        <w:tc>
          <w:tcPr>
            <w:tcW w:w="0" w:type="auto"/>
            <w:shd w:val="clear" w:color="auto" w:fill="FFFFFF"/>
            <w:vAlign w:val="center"/>
            <w:hideMark/>
          </w:tcPr>
          <w:p w14:paraId="4D9F3982" w14:textId="77777777" w:rsidR="00513E07" w:rsidRPr="007A601D" w:rsidRDefault="00513E07" w:rsidP="0013161A">
            <w:pPr>
              <w:jc w:val="both"/>
              <w:rPr>
                <w:rFonts w:ascii="Times New Roman" w:hAnsi="Times New Roman" w:cs="Times New Roman"/>
              </w:rPr>
            </w:pPr>
            <w:r w:rsidRPr="007A601D">
              <w:rPr>
                <w:rFonts w:ascii="Times New Roman" w:hAnsi="Times New Roman" w:cs="Times New Roman"/>
              </w:rPr>
              <w:t> </w:t>
            </w:r>
          </w:p>
        </w:tc>
        <w:tc>
          <w:tcPr>
            <w:tcW w:w="0" w:type="auto"/>
            <w:shd w:val="clear" w:color="auto" w:fill="FFFFFF"/>
            <w:vAlign w:val="center"/>
            <w:hideMark/>
          </w:tcPr>
          <w:p w14:paraId="706E20FE" w14:textId="201E9FC5" w:rsidR="00513E07" w:rsidRPr="007A601D" w:rsidRDefault="00513E07" w:rsidP="0013161A">
            <w:pPr>
              <w:jc w:val="both"/>
              <w:rPr>
                <w:rFonts w:ascii="Times New Roman" w:hAnsi="Times New Roman" w:cs="Times New Roman"/>
              </w:rPr>
            </w:pPr>
            <w:r>
              <w:rPr>
                <w:rFonts w:ascii="Times New Roman" w:hAnsi="Times New Roman" w:cs="Times New Roman"/>
              </w:rPr>
              <w:t>- j</w:t>
            </w:r>
            <w:r w:rsidRPr="007A601D">
              <w:rPr>
                <w:rFonts w:ascii="Times New Roman" w:hAnsi="Times New Roman" w:cs="Times New Roman"/>
              </w:rPr>
              <w:t>ednakże zgodnie z zasadą równoważności, jeżeli krajowe przepisy procesowe dotyczące podobnych środków prawnych o charakterze wewnętrznym przewidują możliwość bezpośredniego zaskarżenia analogicznej decyzji, możliwość taka powinna również przysługiwać tym osobom</w:t>
            </w:r>
            <w:r w:rsidR="00A54D7C">
              <w:rPr>
                <w:rFonts w:ascii="Times New Roman" w:hAnsi="Times New Roman" w:cs="Times New Roman"/>
              </w:rPr>
              <w:t>.</w:t>
            </w:r>
          </w:p>
        </w:tc>
      </w:tr>
    </w:tbl>
    <w:p w14:paraId="018293C5" w14:textId="77777777" w:rsidR="00513E07" w:rsidRPr="007A601D" w:rsidRDefault="00513E07" w:rsidP="00513E07">
      <w:pPr>
        <w:jc w:val="both"/>
        <w:rPr>
          <w:rFonts w:ascii="Times New Roman" w:hAnsi="Times New Roman" w:cs="Times New Roman"/>
        </w:rPr>
      </w:pPr>
      <w:r>
        <w:rPr>
          <w:rFonts w:ascii="Times New Roman" w:hAnsi="Times New Roman" w:cs="Times New Roman"/>
        </w:rPr>
        <w:t>Warto w tym miejscu odwołać się jeszcze przed wywodem opinii do treści art.42 ust.1 Rozporządzenia, którego zdanie pierwsze brzmi:</w:t>
      </w:r>
    </w:p>
    <w:p w14:paraId="096B93FB" w14:textId="77777777" w:rsidR="00513E07" w:rsidRPr="007A601D" w:rsidRDefault="00513E07" w:rsidP="00513E07">
      <w:pPr>
        <w:ind w:firstLine="708"/>
        <w:jc w:val="both"/>
        <w:rPr>
          <w:rFonts w:ascii="Times New Roman" w:hAnsi="Times New Roman" w:cs="Times New Roman"/>
        </w:rPr>
      </w:pPr>
      <w:r w:rsidRPr="007A601D">
        <w:rPr>
          <w:rFonts w:ascii="Times New Roman" w:hAnsi="Times New Roman" w:cs="Times New Roman"/>
        </w:rPr>
        <w:t xml:space="preserve">Akty proceduralne Prokuratury Europejskiej, które mają wywoływać skutki prawne wobec osób trzecich, podlegają kontroli przez właściwe sądy krajowe zgodnie z wymogami </w:t>
      </w:r>
      <w:r>
        <w:rPr>
          <w:rFonts w:ascii="Times New Roman" w:hAnsi="Times New Roman" w:cs="Times New Roman"/>
        </w:rPr>
        <w:br/>
      </w:r>
      <w:r w:rsidRPr="007A601D">
        <w:rPr>
          <w:rFonts w:ascii="Times New Roman" w:hAnsi="Times New Roman" w:cs="Times New Roman"/>
        </w:rPr>
        <w:t xml:space="preserve">i procedurami określonymi w prawie krajowym. </w:t>
      </w:r>
    </w:p>
    <w:p w14:paraId="7F18CC7D" w14:textId="51E410CC" w:rsidR="00513E07" w:rsidRDefault="00513E07" w:rsidP="00513E07">
      <w:pPr>
        <w:jc w:val="both"/>
        <w:rPr>
          <w:rFonts w:ascii="Times New Roman" w:hAnsi="Times New Roman" w:cs="Times New Roman"/>
        </w:rPr>
      </w:pPr>
      <w:r>
        <w:rPr>
          <w:rFonts w:ascii="Times New Roman" w:hAnsi="Times New Roman" w:cs="Times New Roman"/>
        </w:rPr>
        <w:tab/>
        <w:t>Zagadnienie kluczowe dotyczy tego</w:t>
      </w:r>
      <w:r w:rsidR="00A54D7C">
        <w:rPr>
          <w:rFonts w:ascii="Times New Roman" w:hAnsi="Times New Roman" w:cs="Times New Roman"/>
        </w:rPr>
        <w:t>,</w:t>
      </w:r>
      <w:r>
        <w:rPr>
          <w:rFonts w:ascii="Times New Roman" w:hAnsi="Times New Roman" w:cs="Times New Roman"/>
        </w:rPr>
        <w:t xml:space="preserve"> czy treść orzeczenia rodzi po polskiej stronie potrzebę nagłego dostosowania prawa krajowego.</w:t>
      </w:r>
    </w:p>
    <w:p w14:paraId="7569C79D" w14:textId="6D24047C" w:rsidR="00513E07" w:rsidRDefault="00513E07" w:rsidP="00513E07">
      <w:pPr>
        <w:jc w:val="both"/>
        <w:rPr>
          <w:rFonts w:ascii="Times New Roman" w:hAnsi="Times New Roman" w:cs="Times New Roman"/>
        </w:rPr>
      </w:pPr>
      <w:r>
        <w:rPr>
          <w:rFonts w:ascii="Times New Roman" w:hAnsi="Times New Roman" w:cs="Times New Roman"/>
        </w:rPr>
        <w:tab/>
        <w:t>W ocenie</w:t>
      </w:r>
      <w:r w:rsidR="00AE3803">
        <w:rPr>
          <w:rFonts w:ascii="Times New Roman" w:hAnsi="Times New Roman" w:cs="Times New Roman"/>
        </w:rPr>
        <w:t xml:space="preserve"> Komisji Kodyfikacyjnej Prawa Karnego</w:t>
      </w:r>
      <w:r>
        <w:rPr>
          <w:rFonts w:ascii="Times New Roman" w:hAnsi="Times New Roman" w:cs="Times New Roman"/>
        </w:rPr>
        <w:t xml:space="preserve"> – nie. Wyrok wydano nie tylko </w:t>
      </w:r>
      <w:r w:rsidR="00C7347E">
        <w:rPr>
          <w:rFonts w:ascii="Times New Roman" w:hAnsi="Times New Roman" w:cs="Times New Roman"/>
        </w:rPr>
        <w:br/>
      </w:r>
      <w:r>
        <w:rPr>
          <w:rFonts w:ascii="Times New Roman" w:hAnsi="Times New Roman" w:cs="Times New Roman"/>
        </w:rPr>
        <w:t>w nawiązaniu do odmiennego krajowego systemu proceduralnego, ale też w odniesieniu do różnego sposobu uregulowania procedowania przez EPPO. W polskim systemie procesu karnego występuje tryb zażalenia z art.302 k.p.k., ale z uwagi na prowadzenie czynności w postępowaniu przygotowawczym przez organy niesądowe – organem właściwym w tym trybie jako nadzorczym jest prokurator bezpośrednio przełożony. Nie ma w tym zakresie odrębności pomiędzy postępowaniem europejskim a postępowaniem krajowym, odpadła więc podstawa różnych standardów, które legły u podstaw pytania sądu hiszpańskiego.</w:t>
      </w:r>
    </w:p>
    <w:p w14:paraId="67D7C5CA" w14:textId="20960F48" w:rsidR="00C7347E" w:rsidRDefault="00C7347E" w:rsidP="00513E07">
      <w:pPr>
        <w:jc w:val="both"/>
        <w:rPr>
          <w:rFonts w:ascii="Times New Roman" w:hAnsi="Times New Roman" w:cs="Times New Roman"/>
        </w:rPr>
      </w:pPr>
      <w:r>
        <w:rPr>
          <w:rFonts w:ascii="Times New Roman" w:hAnsi="Times New Roman" w:cs="Times New Roman"/>
        </w:rPr>
        <w:tab/>
        <w:t xml:space="preserve">Jak zwrócono uwagę w dyskusji plenarnej– samo wezwanie osoby do złożenia zeznań w charakterze świadka w prawie polskim nie wpływa na jej sytuację prawną, zaś w zakresie faktycznie intruzywnych czynności zapewniona jest kontrola ich wdrożenia i przeprowadzenia. Priorytetowe przy tym jest nie tyle zapewnienie </w:t>
      </w:r>
      <w:r w:rsidR="00927358">
        <w:rPr>
          <w:rFonts w:ascii="Times New Roman" w:hAnsi="Times New Roman" w:cs="Times New Roman"/>
        </w:rPr>
        <w:t xml:space="preserve">ścisłej </w:t>
      </w:r>
      <w:r>
        <w:rPr>
          <w:rFonts w:ascii="Times New Roman" w:hAnsi="Times New Roman" w:cs="Times New Roman"/>
        </w:rPr>
        <w:t>kontroli sądowej, co funkcjonowani</w:t>
      </w:r>
      <w:r w:rsidR="00927358">
        <w:rPr>
          <w:rFonts w:ascii="Times New Roman" w:hAnsi="Times New Roman" w:cs="Times New Roman"/>
        </w:rPr>
        <w:t>a</w:t>
      </w:r>
      <w:r>
        <w:rPr>
          <w:rFonts w:ascii="Times New Roman" w:hAnsi="Times New Roman" w:cs="Times New Roman"/>
        </w:rPr>
        <w:t xml:space="preserve"> skutecznego środka naprawczego.</w:t>
      </w:r>
    </w:p>
    <w:p w14:paraId="761BBF5A" w14:textId="70C689E3" w:rsidR="00513E07" w:rsidRDefault="00513E07" w:rsidP="00513E07">
      <w:pPr>
        <w:jc w:val="both"/>
        <w:rPr>
          <w:rFonts w:ascii="Times New Roman" w:hAnsi="Times New Roman" w:cs="Times New Roman"/>
        </w:rPr>
      </w:pPr>
      <w:r>
        <w:rPr>
          <w:rFonts w:ascii="Times New Roman" w:hAnsi="Times New Roman" w:cs="Times New Roman"/>
        </w:rPr>
        <w:lastRenderedPageBreak/>
        <w:tab/>
        <w:t>Doraźnie – możliwe są próby zastosowania bezpośredni</w:t>
      </w:r>
      <w:r w:rsidR="00A54D7C">
        <w:rPr>
          <w:rFonts w:ascii="Times New Roman" w:hAnsi="Times New Roman" w:cs="Times New Roman"/>
        </w:rPr>
        <w:t>o</w:t>
      </w:r>
      <w:r>
        <w:rPr>
          <w:rFonts w:ascii="Times New Roman" w:hAnsi="Times New Roman" w:cs="Times New Roman"/>
        </w:rPr>
        <w:t xml:space="preserve"> Rozporządzenia, w trybie przewidzianym w jednym z wystąpień przez EPPO, co skutkowałoby praktycznym kierowaniem zażaleń złożonych w postępowaniach europejskich w omawianym trybie do sądu krajowego. Jeżeli EPPO będzie konsekwentne w swoich poglądach – może przetestować gotowość sądów krajowych do uznania tej drogi. Jak się jednak wydaje – aktualny tryb zaskarżenia do prokuratora bezpośrednio przełożonego jest wystarczający. </w:t>
      </w:r>
    </w:p>
    <w:p w14:paraId="2188E080" w14:textId="77777777" w:rsidR="00513E07" w:rsidRDefault="00513E07" w:rsidP="00513E07">
      <w:pPr>
        <w:jc w:val="both"/>
        <w:rPr>
          <w:rFonts w:ascii="Times New Roman" w:hAnsi="Times New Roman" w:cs="Times New Roman"/>
        </w:rPr>
      </w:pPr>
      <w:r>
        <w:rPr>
          <w:rFonts w:ascii="Times New Roman" w:hAnsi="Times New Roman" w:cs="Times New Roman"/>
        </w:rPr>
        <w:tab/>
        <w:t>Wprowadzanie tej zmiany w przyszłości – być może w określonym zakresie celowej ze względów gwarancyjnych, musi poprzedzić wnikliwa analiza skutków dla funkcjonowania wymiaru sprawiedliwości. Brak realnych możliwości totalnej kontroli sądowej może prowadzić do zniweczenia celów zmiany.</w:t>
      </w:r>
    </w:p>
    <w:p w14:paraId="1B194B45" w14:textId="77777777" w:rsidR="00513E07" w:rsidRDefault="00513E07" w:rsidP="00513E07">
      <w:pPr>
        <w:jc w:val="both"/>
        <w:rPr>
          <w:rFonts w:ascii="Times New Roman" w:hAnsi="Times New Roman" w:cs="Times New Roman"/>
        </w:rPr>
      </w:pPr>
      <w:r>
        <w:rPr>
          <w:rFonts w:ascii="Times New Roman" w:hAnsi="Times New Roman" w:cs="Times New Roman"/>
        </w:rPr>
        <w:tab/>
        <w:t>Przy czym – samo orzeczenie nie narzuca środka bezpośredniego kontroli, dopuszczając sądową kontrolę incydentalną.</w:t>
      </w:r>
    </w:p>
    <w:p w14:paraId="34695575" w14:textId="72D65499" w:rsidR="00513E07" w:rsidRDefault="00513E07" w:rsidP="00513E07">
      <w:pPr>
        <w:jc w:val="both"/>
        <w:rPr>
          <w:rFonts w:ascii="Times New Roman" w:hAnsi="Times New Roman" w:cs="Times New Roman"/>
        </w:rPr>
      </w:pPr>
      <w:r>
        <w:rPr>
          <w:rFonts w:ascii="Times New Roman" w:hAnsi="Times New Roman" w:cs="Times New Roman"/>
        </w:rPr>
        <w:tab/>
        <w:t xml:space="preserve">Warto przy tym zwrócić uwagę, że proponowana zmiana traci z pola widzenia różnicę jaką przewiduje dyspozycja normy procesowej z art.302 par.3 k.p.k., zbudowana w oparciu </w:t>
      </w:r>
      <w:r>
        <w:rPr>
          <w:rFonts w:ascii="Times New Roman" w:hAnsi="Times New Roman" w:cs="Times New Roman"/>
        </w:rPr>
        <w:br/>
        <w:t>o materialny element naruszenia prawa stron</w:t>
      </w:r>
      <w:r w:rsidR="00E849A5">
        <w:rPr>
          <w:rFonts w:ascii="Times New Roman" w:hAnsi="Times New Roman" w:cs="Times New Roman"/>
        </w:rPr>
        <w:t>,</w:t>
      </w:r>
      <w:r>
        <w:rPr>
          <w:rFonts w:ascii="Times New Roman" w:hAnsi="Times New Roman" w:cs="Times New Roman"/>
        </w:rPr>
        <w:t xml:space="preserve"> ale też innych osób, nie tylko przez decyzje prokuratora, ale wręcz jego czynności. Taki sposób określenia jawi się jako odmienny </w:t>
      </w:r>
      <w:r>
        <w:rPr>
          <w:rFonts w:ascii="Times New Roman" w:hAnsi="Times New Roman" w:cs="Times New Roman"/>
        </w:rPr>
        <w:br/>
        <w:t>od użytego w Rozporządzeniu określenia: a</w:t>
      </w:r>
      <w:r w:rsidRPr="00CA074C">
        <w:rPr>
          <w:rFonts w:ascii="Times New Roman" w:hAnsi="Times New Roman" w:cs="Times New Roman"/>
        </w:rPr>
        <w:t>kty proceduralne Prokuratury Europejskiej, które mają wywoływać skutki prawne wobec osób trzecich</w:t>
      </w:r>
      <w:r>
        <w:rPr>
          <w:rFonts w:ascii="Times New Roman" w:hAnsi="Times New Roman" w:cs="Times New Roman"/>
        </w:rPr>
        <w:t xml:space="preserve">. </w:t>
      </w:r>
    </w:p>
    <w:p w14:paraId="4800369B" w14:textId="77777777" w:rsidR="00513E07" w:rsidRDefault="00513E07" w:rsidP="00513E07">
      <w:pPr>
        <w:jc w:val="both"/>
        <w:rPr>
          <w:rFonts w:ascii="Times New Roman" w:hAnsi="Times New Roman" w:cs="Times New Roman"/>
        </w:rPr>
      </w:pPr>
      <w:r>
        <w:rPr>
          <w:rFonts w:ascii="Times New Roman" w:hAnsi="Times New Roman" w:cs="Times New Roman"/>
        </w:rPr>
        <w:tab/>
        <w:t xml:space="preserve">Szczegółowe opisanie tych zakresów wymaga gruntownego zbadania praktyki – zarówno w stosowaniu trybu z art.302 par. 3 </w:t>
      </w:r>
      <w:proofErr w:type="spellStart"/>
      <w:r>
        <w:rPr>
          <w:rFonts w:ascii="Times New Roman" w:hAnsi="Times New Roman" w:cs="Times New Roman"/>
        </w:rPr>
        <w:t>k.p.k</w:t>
      </w:r>
      <w:proofErr w:type="spellEnd"/>
      <w:r>
        <w:rPr>
          <w:rFonts w:ascii="Times New Roman" w:hAnsi="Times New Roman" w:cs="Times New Roman"/>
        </w:rPr>
        <w:t xml:space="preserve"> jak i art.42 ust. 1 Rozporządzenia.</w:t>
      </w:r>
    </w:p>
    <w:p w14:paraId="4B3BAEA0" w14:textId="77777777" w:rsidR="00513E07" w:rsidRDefault="00513E07" w:rsidP="00513E07">
      <w:pPr>
        <w:jc w:val="both"/>
        <w:rPr>
          <w:rFonts w:ascii="Times New Roman" w:hAnsi="Times New Roman" w:cs="Times New Roman"/>
        </w:rPr>
      </w:pPr>
      <w:r>
        <w:rPr>
          <w:rFonts w:ascii="Times New Roman" w:hAnsi="Times New Roman" w:cs="Times New Roman"/>
        </w:rPr>
        <w:tab/>
        <w:t xml:space="preserve">Ewentualne projektowanie zmian powinno przy tym uwzględniać specyfikę dopuszczania i oceny dowodów w polskiej procedurze karnej, dokonywanej zasadniczo </w:t>
      </w:r>
      <w:r>
        <w:rPr>
          <w:rFonts w:ascii="Times New Roman" w:hAnsi="Times New Roman" w:cs="Times New Roman"/>
        </w:rPr>
        <w:br/>
        <w:t xml:space="preserve">w formie decyzji procesowych, z możliwością podnoszenia argumentacji przeciwnej </w:t>
      </w:r>
      <w:r>
        <w:rPr>
          <w:rFonts w:ascii="Times New Roman" w:hAnsi="Times New Roman" w:cs="Times New Roman"/>
        </w:rPr>
        <w:br/>
        <w:t>w środkach zaskarżenia. W takiej formie przewiduje je obowiązujące prawo krajowe, co także należy uwzględnić przy wykładni art.42 ust. 1 Rozporządzenia.</w:t>
      </w:r>
    </w:p>
    <w:p w14:paraId="4BA7138E" w14:textId="77777777" w:rsidR="00513E07" w:rsidRDefault="00513E07" w:rsidP="00513E07">
      <w:pPr>
        <w:jc w:val="both"/>
        <w:rPr>
          <w:rFonts w:ascii="Times New Roman" w:hAnsi="Times New Roman" w:cs="Times New Roman"/>
        </w:rPr>
      </w:pPr>
      <w:r>
        <w:rPr>
          <w:rFonts w:ascii="Times New Roman" w:hAnsi="Times New Roman" w:cs="Times New Roman"/>
        </w:rPr>
        <w:tab/>
        <w:t xml:space="preserve">W tym kontekście jako niezwykle ciekawe jawi się stanowisko wyrażone w opinii Rzecznika w tezie 51: </w:t>
      </w:r>
    </w:p>
    <w:p w14:paraId="63A609D9" w14:textId="77777777" w:rsidR="00513E07" w:rsidRPr="00751160" w:rsidRDefault="00513E07" w:rsidP="00513E07">
      <w:pPr>
        <w:jc w:val="both"/>
        <w:rPr>
          <w:rFonts w:ascii="Times New Roman" w:hAnsi="Times New Roman" w:cs="Times New Roman"/>
          <w:i/>
          <w:iCs/>
        </w:rPr>
      </w:pPr>
      <w:r>
        <w:rPr>
          <w:rFonts w:ascii="Times New Roman" w:hAnsi="Times New Roman" w:cs="Times New Roman"/>
        </w:rPr>
        <w:t>„</w:t>
      </w:r>
      <w:r w:rsidRPr="00751160">
        <w:rPr>
          <w:rFonts w:ascii="Times New Roman" w:hAnsi="Times New Roman" w:cs="Times New Roman"/>
          <w:i/>
          <w:iCs/>
        </w:rPr>
        <w:t>Niezależnie od powyższych rozważań uważam, że kwestia, czy wydana przez DPE decyzja o wezwaniu osoby trzeciej do stawiennictwa w charakterze świadka jest aktem proceduralnym, który ma wywoływać skutki prawne wobec osoby, przeciwko której toczy się postępowanie przygotowawcze, nie może zostać oceniona i rozstrzygnięta w sposób ogólny i abstrakcyjny.</w:t>
      </w:r>
      <w:r>
        <w:rPr>
          <w:rFonts w:ascii="Times New Roman" w:hAnsi="Times New Roman" w:cs="Times New Roman"/>
          <w:i/>
          <w:iCs/>
        </w:rPr>
        <w:t>”</w:t>
      </w:r>
    </w:p>
    <w:p w14:paraId="73D4ACCF" w14:textId="77777777" w:rsidR="00513E07" w:rsidRDefault="00513E07" w:rsidP="00513E07">
      <w:pPr>
        <w:jc w:val="both"/>
        <w:rPr>
          <w:rFonts w:ascii="Times New Roman" w:hAnsi="Times New Roman" w:cs="Times New Roman"/>
        </w:rPr>
      </w:pPr>
      <w:r>
        <w:rPr>
          <w:rFonts w:ascii="Times New Roman" w:hAnsi="Times New Roman" w:cs="Times New Roman"/>
        </w:rPr>
        <w:tab/>
        <w:t xml:space="preserve">Nie sposób także zaakceptować przedstawionego projektu zmiany przepisów dotyczących przedłużenia śledztwa, także prowadzonego o przestępstwo skarbowe. Komisja </w:t>
      </w:r>
      <w:r>
        <w:rPr>
          <w:rFonts w:ascii="Times New Roman" w:hAnsi="Times New Roman" w:cs="Times New Roman"/>
        </w:rPr>
        <w:br/>
        <w:t xml:space="preserve">w toku swych prac proponowała zmianę organu uprawnionego do przedłużania postępowania przygotowawczego, ale nie likwidację samego przedłużenia. </w:t>
      </w:r>
    </w:p>
    <w:p w14:paraId="40F67F61" w14:textId="77777777" w:rsidR="00513E07" w:rsidRDefault="00513E07" w:rsidP="00513E07">
      <w:pPr>
        <w:jc w:val="both"/>
        <w:rPr>
          <w:rFonts w:ascii="Times New Roman" w:hAnsi="Times New Roman" w:cs="Times New Roman"/>
        </w:rPr>
      </w:pPr>
      <w:r>
        <w:rPr>
          <w:rFonts w:ascii="Times New Roman" w:hAnsi="Times New Roman" w:cs="Times New Roman"/>
        </w:rPr>
        <w:tab/>
        <w:t xml:space="preserve">Co ciekawe – jak sygnalizuje EPPO – Rozporządzenie i akty wykonawcze przewidują kontrolę przebiegu postępowania europejskiego w sensie nadzorczym, z wykorzystaniem Izb. Referent śledztwa opracowuje raport o postępach i może zwrotnie otrzymać zalecenia </w:t>
      </w:r>
      <w:r>
        <w:rPr>
          <w:rFonts w:ascii="Times New Roman" w:hAnsi="Times New Roman" w:cs="Times New Roman"/>
        </w:rPr>
        <w:br/>
        <w:t xml:space="preserve">do realizacji. Określa się też wiążący go termin złożenia kolejnego raportu. Praktyka ta </w:t>
      </w:r>
      <w:r>
        <w:rPr>
          <w:rFonts w:ascii="Times New Roman" w:hAnsi="Times New Roman" w:cs="Times New Roman"/>
        </w:rPr>
        <w:br/>
      </w:r>
      <w:r>
        <w:rPr>
          <w:rFonts w:ascii="Times New Roman" w:hAnsi="Times New Roman" w:cs="Times New Roman"/>
        </w:rPr>
        <w:lastRenderedPageBreak/>
        <w:t xml:space="preserve">co do zasady odpowiada roli przedłużenia postępowania, choć nie jest związana z wydaniem żadnej decyzji procesowej. </w:t>
      </w:r>
    </w:p>
    <w:p w14:paraId="4B818195" w14:textId="29AA0016" w:rsidR="00513E07" w:rsidRDefault="00513E07" w:rsidP="00513E07">
      <w:pPr>
        <w:jc w:val="both"/>
        <w:rPr>
          <w:rFonts w:ascii="Times New Roman" w:hAnsi="Times New Roman" w:cs="Times New Roman"/>
        </w:rPr>
      </w:pPr>
      <w:r>
        <w:rPr>
          <w:rFonts w:ascii="Times New Roman" w:hAnsi="Times New Roman" w:cs="Times New Roman"/>
        </w:rPr>
        <w:tab/>
        <w:t xml:space="preserve">Pewnym wskazaniem interpretacyjnym może być treść art.577 c k.p.k., zgodnie </w:t>
      </w:r>
      <w:r>
        <w:rPr>
          <w:rFonts w:ascii="Times New Roman" w:hAnsi="Times New Roman" w:cs="Times New Roman"/>
        </w:rPr>
        <w:br/>
        <w:t xml:space="preserve">z którym czasu postępowania europejskiego nie wlicza się do biegu postępowania krajowego. Uznając regulację Rozporządzenia za kompletną i mającą pierwszeństwo przed stosowaniem prawa krajowego można więc przyjąć, że nie ma potrzeby wydawania w postępowaniu europejskim decyzji o przedłużeniu śledztwa. Odstępstwo takie </w:t>
      </w:r>
      <w:r w:rsidR="00803320">
        <w:rPr>
          <w:rFonts w:ascii="Times New Roman" w:hAnsi="Times New Roman" w:cs="Times New Roman"/>
        </w:rPr>
        <w:t xml:space="preserve">wprawdzie zróżnicuje w tym zakresie </w:t>
      </w:r>
      <w:r>
        <w:rPr>
          <w:rFonts w:ascii="Times New Roman" w:hAnsi="Times New Roman" w:cs="Times New Roman"/>
        </w:rPr>
        <w:t>prowadzone postępowanie europejskie i krajowe,</w:t>
      </w:r>
      <w:r w:rsidR="001314C1">
        <w:rPr>
          <w:rFonts w:ascii="Times New Roman" w:hAnsi="Times New Roman" w:cs="Times New Roman"/>
        </w:rPr>
        <w:t xml:space="preserve"> przed czym zasadniczo przestrzega</w:t>
      </w:r>
      <w:r>
        <w:rPr>
          <w:rFonts w:ascii="Times New Roman" w:hAnsi="Times New Roman" w:cs="Times New Roman"/>
        </w:rPr>
        <w:t xml:space="preserve"> </w:t>
      </w:r>
      <w:r w:rsidR="001314C1">
        <w:rPr>
          <w:rFonts w:ascii="Times New Roman" w:hAnsi="Times New Roman" w:cs="Times New Roman"/>
        </w:rPr>
        <w:t xml:space="preserve">Komisja Kodyfikacyjna Prawa Karnego, ale </w:t>
      </w:r>
      <w:r>
        <w:rPr>
          <w:rFonts w:ascii="Times New Roman" w:hAnsi="Times New Roman" w:cs="Times New Roman"/>
        </w:rPr>
        <w:t>dokona</w:t>
      </w:r>
      <w:r w:rsidR="009D360D">
        <w:rPr>
          <w:rFonts w:ascii="Times New Roman" w:hAnsi="Times New Roman" w:cs="Times New Roman"/>
        </w:rPr>
        <w:t>łoby</w:t>
      </w:r>
      <w:r>
        <w:rPr>
          <w:rFonts w:ascii="Times New Roman" w:hAnsi="Times New Roman" w:cs="Times New Roman"/>
        </w:rPr>
        <w:t xml:space="preserve"> się to jednak w stopniu nie mającym większego znaczenia przy ocenie gwarancyjności tego rodzaju decyzji.</w:t>
      </w:r>
    </w:p>
    <w:p w14:paraId="7EA5A467" w14:textId="2FE9A46E" w:rsidR="00576BF2" w:rsidRDefault="00576BF2" w:rsidP="00513E07">
      <w:pPr>
        <w:jc w:val="both"/>
        <w:rPr>
          <w:rFonts w:ascii="Times New Roman" w:hAnsi="Times New Roman" w:cs="Times New Roman"/>
        </w:rPr>
      </w:pPr>
      <w:r>
        <w:rPr>
          <w:rFonts w:ascii="Times New Roman" w:hAnsi="Times New Roman" w:cs="Times New Roman"/>
        </w:rPr>
        <w:tab/>
        <w:t xml:space="preserve">Nie bez znaczenia jest i to, że w dotychczasowym funkcjonowaniu EPPO utrwaliła się </w:t>
      </w:r>
      <w:r w:rsidR="00E5019B">
        <w:rPr>
          <w:rFonts w:ascii="Times New Roman" w:hAnsi="Times New Roman" w:cs="Times New Roman"/>
        </w:rPr>
        <w:t xml:space="preserve">już </w:t>
      </w:r>
      <w:r>
        <w:rPr>
          <w:rFonts w:ascii="Times New Roman" w:hAnsi="Times New Roman" w:cs="Times New Roman"/>
        </w:rPr>
        <w:t>praktyka przedłużania śledztw na podstawie aktualnie obowiązujących przepisów</w:t>
      </w:r>
      <w:r w:rsidR="00E5019B">
        <w:rPr>
          <w:rFonts w:ascii="Times New Roman" w:hAnsi="Times New Roman" w:cs="Times New Roman"/>
        </w:rPr>
        <w:t xml:space="preserve"> krajowych</w:t>
      </w:r>
      <w:r>
        <w:rPr>
          <w:rFonts w:ascii="Times New Roman" w:hAnsi="Times New Roman" w:cs="Times New Roman"/>
        </w:rPr>
        <w:t>.</w:t>
      </w:r>
    </w:p>
    <w:p w14:paraId="425506B2" w14:textId="77777777" w:rsidR="00513E07" w:rsidRDefault="00513E07" w:rsidP="00513E07">
      <w:pPr>
        <w:jc w:val="both"/>
        <w:rPr>
          <w:rFonts w:ascii="Times New Roman" w:hAnsi="Times New Roman" w:cs="Times New Roman"/>
        </w:rPr>
      </w:pPr>
      <w:r>
        <w:rPr>
          <w:rFonts w:ascii="Times New Roman" w:hAnsi="Times New Roman" w:cs="Times New Roman"/>
        </w:rPr>
        <w:tab/>
        <w:t>Pozostałe kwestie podnoszone w załączonej korespondencji nie znalazły odzwierciedlenia w projekcie zmian ustawowych, stąd nie ma potrzeby na obecnym etapie ich bliższego omawiania.</w:t>
      </w:r>
    </w:p>
    <w:p w14:paraId="220981F7" w14:textId="57787585" w:rsidR="00C7347E" w:rsidRDefault="00C7347E" w:rsidP="00513E07">
      <w:pPr>
        <w:jc w:val="both"/>
        <w:rPr>
          <w:rFonts w:ascii="Times New Roman" w:hAnsi="Times New Roman" w:cs="Times New Roman"/>
        </w:rPr>
      </w:pPr>
      <w:r>
        <w:rPr>
          <w:rFonts w:ascii="Times New Roman" w:hAnsi="Times New Roman" w:cs="Times New Roman"/>
        </w:rPr>
        <w:tab/>
        <w:t xml:space="preserve">Jednocześnie Komisja Kodyfikacyjna Prawa Karnego wyraża gotowość szerszego zajęcia się </w:t>
      </w:r>
      <w:r w:rsidR="00FD4032">
        <w:rPr>
          <w:rFonts w:ascii="Times New Roman" w:hAnsi="Times New Roman" w:cs="Times New Roman"/>
        </w:rPr>
        <w:t xml:space="preserve">w przyszłości </w:t>
      </w:r>
      <w:r>
        <w:rPr>
          <w:rFonts w:ascii="Times New Roman" w:hAnsi="Times New Roman" w:cs="Times New Roman"/>
        </w:rPr>
        <w:t>projektem zmian w omawianym zakresie</w:t>
      </w:r>
      <w:r w:rsidR="00FD4032">
        <w:rPr>
          <w:rFonts w:ascii="Times New Roman" w:hAnsi="Times New Roman" w:cs="Times New Roman"/>
        </w:rPr>
        <w:t xml:space="preserve">, o ile zostanie </w:t>
      </w:r>
      <w:r>
        <w:rPr>
          <w:rFonts w:ascii="Times New Roman" w:hAnsi="Times New Roman" w:cs="Times New Roman"/>
        </w:rPr>
        <w:t>przedstawi</w:t>
      </w:r>
      <w:r w:rsidR="00FD4032">
        <w:rPr>
          <w:rFonts w:ascii="Times New Roman" w:hAnsi="Times New Roman" w:cs="Times New Roman"/>
        </w:rPr>
        <w:t>one</w:t>
      </w:r>
      <w:r>
        <w:rPr>
          <w:rFonts w:ascii="Times New Roman" w:hAnsi="Times New Roman" w:cs="Times New Roman"/>
        </w:rPr>
        <w:t xml:space="preserve"> </w:t>
      </w:r>
      <w:r w:rsidR="00FD4032">
        <w:rPr>
          <w:rFonts w:ascii="Times New Roman" w:hAnsi="Times New Roman" w:cs="Times New Roman"/>
        </w:rPr>
        <w:t xml:space="preserve">jego </w:t>
      </w:r>
      <w:r>
        <w:rPr>
          <w:rFonts w:ascii="Times New Roman" w:hAnsi="Times New Roman" w:cs="Times New Roman"/>
        </w:rPr>
        <w:t>uzasadnieni</w:t>
      </w:r>
      <w:r w:rsidR="00FD4032">
        <w:rPr>
          <w:rFonts w:ascii="Times New Roman" w:hAnsi="Times New Roman" w:cs="Times New Roman"/>
        </w:rPr>
        <w:t>e</w:t>
      </w:r>
      <w:r>
        <w:rPr>
          <w:rFonts w:ascii="Times New Roman" w:hAnsi="Times New Roman" w:cs="Times New Roman"/>
        </w:rPr>
        <w:t xml:space="preserve"> wraz z</w:t>
      </w:r>
      <w:r w:rsidR="00FD4032">
        <w:rPr>
          <w:rFonts w:ascii="Times New Roman" w:hAnsi="Times New Roman" w:cs="Times New Roman"/>
        </w:rPr>
        <w:t>e szczegółową</w:t>
      </w:r>
      <w:r>
        <w:rPr>
          <w:rFonts w:ascii="Times New Roman" w:hAnsi="Times New Roman" w:cs="Times New Roman"/>
        </w:rPr>
        <w:t xml:space="preserve"> argumentacją</w:t>
      </w:r>
      <w:r w:rsidR="00FD4032">
        <w:rPr>
          <w:rFonts w:ascii="Times New Roman" w:hAnsi="Times New Roman" w:cs="Times New Roman"/>
        </w:rPr>
        <w:t xml:space="preserve">. </w:t>
      </w:r>
    </w:p>
    <w:p w14:paraId="52EEC523" w14:textId="23786114" w:rsidR="00513E07" w:rsidRDefault="00513E07" w:rsidP="00513E07">
      <w:pPr>
        <w:jc w:val="both"/>
        <w:rPr>
          <w:rFonts w:ascii="Times New Roman" w:hAnsi="Times New Roman" w:cs="Times New Roman"/>
        </w:rPr>
      </w:pPr>
      <w:r>
        <w:rPr>
          <w:rFonts w:ascii="Times New Roman" w:hAnsi="Times New Roman" w:cs="Times New Roman"/>
        </w:rPr>
        <w:tab/>
        <w:t xml:space="preserve">Sprawa organizacji zaplecza administracyjnego polskiego Prokuratora Europejskiego oraz określenia sposobu wykonywania nadzoru nad wyjątkowo prowadzonymi przez niego osobiście postępowaniami pozostaje poza zakresem kompetencji Komisji Kodyfikacyjnej Prawa Karnego. </w:t>
      </w:r>
    </w:p>
    <w:p w14:paraId="547645B9" w14:textId="585D9AAE" w:rsidR="00C7347E" w:rsidRDefault="00C7347E" w:rsidP="00513E07">
      <w:pPr>
        <w:jc w:val="both"/>
        <w:rPr>
          <w:rFonts w:ascii="Times New Roman" w:hAnsi="Times New Roman" w:cs="Times New Roman"/>
        </w:rPr>
      </w:pPr>
      <w:r>
        <w:rPr>
          <w:rFonts w:ascii="Times New Roman" w:hAnsi="Times New Roman" w:cs="Times New Roman"/>
        </w:rPr>
        <w:tab/>
      </w:r>
    </w:p>
    <w:p w14:paraId="2D0DADD4" w14:textId="77777777" w:rsidR="00513E07" w:rsidRPr="00552CE5" w:rsidRDefault="00513E07" w:rsidP="00513E07">
      <w:pPr>
        <w:jc w:val="both"/>
        <w:rPr>
          <w:rFonts w:ascii="Times New Roman" w:hAnsi="Times New Roman" w:cs="Times New Roman"/>
          <w:vanish/>
        </w:rPr>
      </w:pPr>
    </w:p>
    <w:p w14:paraId="00D256E4" w14:textId="77777777" w:rsidR="00513E07" w:rsidRPr="00552CE5" w:rsidRDefault="00513E07" w:rsidP="00513E07">
      <w:pPr>
        <w:jc w:val="both"/>
        <w:rPr>
          <w:rFonts w:ascii="Times New Roman" w:hAnsi="Times New Roman" w:cs="Times New Roman"/>
          <w:vanish/>
        </w:rPr>
      </w:pPr>
    </w:p>
    <w:p w14:paraId="2AF6531B" w14:textId="77777777" w:rsidR="00513E07" w:rsidRPr="008E63B1" w:rsidRDefault="00513E07" w:rsidP="00513E07">
      <w:pPr>
        <w:jc w:val="both"/>
        <w:rPr>
          <w:rFonts w:ascii="Times New Roman" w:hAnsi="Times New Roman" w:cs="Times New Roman"/>
        </w:rPr>
      </w:pPr>
      <w:r w:rsidRPr="008E63B1">
        <w:rPr>
          <w:rFonts w:ascii="Times New Roman" w:hAnsi="Times New Roman" w:cs="Times New Roman"/>
        </w:rPr>
        <w:t>projekt przygotował</w:t>
      </w:r>
      <w:r>
        <w:rPr>
          <w:rFonts w:ascii="Times New Roman" w:hAnsi="Times New Roman" w:cs="Times New Roman"/>
        </w:rPr>
        <w:t xml:space="preserve"> </w:t>
      </w:r>
    </w:p>
    <w:p w14:paraId="46DF078D" w14:textId="77777777" w:rsidR="00513E07" w:rsidRPr="008E63B1" w:rsidRDefault="00513E07" w:rsidP="00513E07">
      <w:pPr>
        <w:jc w:val="both"/>
        <w:rPr>
          <w:rFonts w:ascii="Times New Roman" w:hAnsi="Times New Roman" w:cs="Times New Roman"/>
        </w:rPr>
      </w:pPr>
      <w:r w:rsidRPr="008E63B1">
        <w:rPr>
          <w:rFonts w:ascii="Times New Roman" w:hAnsi="Times New Roman" w:cs="Times New Roman"/>
        </w:rPr>
        <w:t>pro</w:t>
      </w:r>
      <w:r>
        <w:rPr>
          <w:rFonts w:ascii="Times New Roman" w:hAnsi="Times New Roman" w:cs="Times New Roman"/>
        </w:rPr>
        <w:t>k. Janusz Śliwa</w:t>
      </w:r>
    </w:p>
    <w:p w14:paraId="753196C5" w14:textId="77777777" w:rsidR="00513E07" w:rsidRPr="008E63B1" w:rsidRDefault="00513E07" w:rsidP="00513E07">
      <w:pPr>
        <w:jc w:val="both"/>
        <w:rPr>
          <w:rFonts w:ascii="Times New Roman" w:hAnsi="Times New Roman" w:cs="Times New Roman"/>
        </w:rPr>
      </w:pPr>
    </w:p>
    <w:p w14:paraId="392CC71C" w14:textId="77777777" w:rsidR="00DC6A4F" w:rsidRDefault="00DC6A4F"/>
    <w:sectPr w:rsidR="00DC6A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569C" w14:textId="77777777" w:rsidR="009E18BF" w:rsidRDefault="009E18BF" w:rsidP="00C77E33">
      <w:pPr>
        <w:spacing w:after="0" w:line="240" w:lineRule="auto"/>
      </w:pPr>
      <w:r>
        <w:separator/>
      </w:r>
    </w:p>
  </w:endnote>
  <w:endnote w:type="continuationSeparator" w:id="0">
    <w:p w14:paraId="530E7F5D" w14:textId="77777777" w:rsidR="009E18BF" w:rsidRDefault="009E18BF" w:rsidP="00C7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37045"/>
      <w:docPartObj>
        <w:docPartGallery w:val="Page Numbers (Bottom of Page)"/>
        <w:docPartUnique/>
      </w:docPartObj>
    </w:sdtPr>
    <w:sdtContent>
      <w:p w14:paraId="3CFD6359" w14:textId="7EC880D9" w:rsidR="00C77E33" w:rsidRDefault="00C77E33">
        <w:pPr>
          <w:pStyle w:val="Stopka"/>
          <w:jc w:val="center"/>
        </w:pPr>
        <w:r>
          <w:fldChar w:fldCharType="begin"/>
        </w:r>
        <w:r>
          <w:instrText>PAGE   \* MERGEFORMAT</w:instrText>
        </w:r>
        <w:r>
          <w:fldChar w:fldCharType="separate"/>
        </w:r>
        <w:r>
          <w:t>2</w:t>
        </w:r>
        <w:r>
          <w:fldChar w:fldCharType="end"/>
        </w:r>
      </w:p>
    </w:sdtContent>
  </w:sdt>
  <w:p w14:paraId="65ADC0A0" w14:textId="77777777" w:rsidR="00C77E33" w:rsidRDefault="00C77E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09A0" w14:textId="77777777" w:rsidR="009E18BF" w:rsidRDefault="009E18BF" w:rsidP="00C77E33">
      <w:pPr>
        <w:spacing w:after="0" w:line="240" w:lineRule="auto"/>
      </w:pPr>
      <w:r>
        <w:separator/>
      </w:r>
    </w:p>
  </w:footnote>
  <w:footnote w:type="continuationSeparator" w:id="0">
    <w:p w14:paraId="270026F1" w14:textId="77777777" w:rsidR="009E18BF" w:rsidRDefault="009E18BF" w:rsidP="00C77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521C2"/>
    <w:multiLevelType w:val="hybridMultilevel"/>
    <w:tmpl w:val="35F67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D665B5"/>
    <w:multiLevelType w:val="hybridMultilevel"/>
    <w:tmpl w:val="40B867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AD08E2"/>
    <w:multiLevelType w:val="hybridMultilevel"/>
    <w:tmpl w:val="2C1EFE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D742E7"/>
    <w:multiLevelType w:val="hybridMultilevel"/>
    <w:tmpl w:val="401830F8"/>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2771F5"/>
    <w:multiLevelType w:val="hybridMultilevel"/>
    <w:tmpl w:val="98962A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0616134">
    <w:abstractNumId w:val="0"/>
  </w:num>
  <w:num w:numId="2" w16cid:durableId="1102841594">
    <w:abstractNumId w:val="4"/>
  </w:num>
  <w:num w:numId="3" w16cid:durableId="58749629">
    <w:abstractNumId w:val="1"/>
  </w:num>
  <w:num w:numId="4" w16cid:durableId="908930384">
    <w:abstractNumId w:val="2"/>
  </w:num>
  <w:num w:numId="5" w16cid:durableId="1157067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7"/>
    <w:rsid w:val="00006086"/>
    <w:rsid w:val="00067B0D"/>
    <w:rsid w:val="001314C1"/>
    <w:rsid w:val="00237625"/>
    <w:rsid w:val="0041685F"/>
    <w:rsid w:val="00424504"/>
    <w:rsid w:val="004954A2"/>
    <w:rsid w:val="00513E07"/>
    <w:rsid w:val="00576BF2"/>
    <w:rsid w:val="00597A4F"/>
    <w:rsid w:val="00606F55"/>
    <w:rsid w:val="006A52C7"/>
    <w:rsid w:val="00710C41"/>
    <w:rsid w:val="00716289"/>
    <w:rsid w:val="007A3A26"/>
    <w:rsid w:val="00803320"/>
    <w:rsid w:val="008A78B2"/>
    <w:rsid w:val="00927358"/>
    <w:rsid w:val="009B293C"/>
    <w:rsid w:val="009D285E"/>
    <w:rsid w:val="009D360D"/>
    <w:rsid w:val="009E18BF"/>
    <w:rsid w:val="00A54D7C"/>
    <w:rsid w:val="00AE3803"/>
    <w:rsid w:val="00AE6AC5"/>
    <w:rsid w:val="00AF2E92"/>
    <w:rsid w:val="00C3602D"/>
    <w:rsid w:val="00C7347E"/>
    <w:rsid w:val="00C77E33"/>
    <w:rsid w:val="00C95C50"/>
    <w:rsid w:val="00DC6A4F"/>
    <w:rsid w:val="00E5019B"/>
    <w:rsid w:val="00E849A5"/>
    <w:rsid w:val="00F21CDE"/>
    <w:rsid w:val="00F603BB"/>
    <w:rsid w:val="00FD4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AF28"/>
  <w15:chartTrackingRefBased/>
  <w15:docId w15:val="{F91E76A9-7562-4374-A519-7324C8F9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07"/>
    <w:pPr>
      <w:spacing w:line="278" w:lineRule="auto"/>
    </w:pPr>
    <w:rPr>
      <w:sz w:val="24"/>
      <w:szCs w:val="24"/>
    </w:rPr>
  </w:style>
  <w:style w:type="paragraph" w:styleId="Nagwek1">
    <w:name w:val="heading 1"/>
    <w:basedOn w:val="Normalny"/>
    <w:next w:val="Normalny"/>
    <w:link w:val="Nagwek1Znak"/>
    <w:uiPriority w:val="9"/>
    <w:qFormat/>
    <w:rsid w:val="00513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13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13E0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13E0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13E0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13E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3E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3E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3E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3E0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13E0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13E0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13E0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13E0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13E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3E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3E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3E07"/>
    <w:rPr>
      <w:rFonts w:eastAsiaTheme="majorEastAsia" w:cstheme="majorBidi"/>
      <w:color w:val="272727" w:themeColor="text1" w:themeTint="D8"/>
    </w:rPr>
  </w:style>
  <w:style w:type="paragraph" w:styleId="Tytu">
    <w:name w:val="Title"/>
    <w:basedOn w:val="Normalny"/>
    <w:next w:val="Normalny"/>
    <w:link w:val="TytuZnak"/>
    <w:uiPriority w:val="10"/>
    <w:qFormat/>
    <w:rsid w:val="00513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3E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3E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3E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3E07"/>
    <w:pPr>
      <w:spacing w:before="160"/>
      <w:jc w:val="center"/>
    </w:pPr>
    <w:rPr>
      <w:i/>
      <w:iCs/>
      <w:color w:val="404040" w:themeColor="text1" w:themeTint="BF"/>
    </w:rPr>
  </w:style>
  <w:style w:type="character" w:customStyle="1" w:styleId="CytatZnak">
    <w:name w:val="Cytat Znak"/>
    <w:basedOn w:val="Domylnaczcionkaakapitu"/>
    <w:link w:val="Cytat"/>
    <w:uiPriority w:val="29"/>
    <w:rsid w:val="00513E07"/>
    <w:rPr>
      <w:i/>
      <w:iCs/>
      <w:color w:val="404040" w:themeColor="text1" w:themeTint="BF"/>
    </w:rPr>
  </w:style>
  <w:style w:type="paragraph" w:styleId="Akapitzlist">
    <w:name w:val="List Paragraph"/>
    <w:basedOn w:val="Normalny"/>
    <w:uiPriority w:val="34"/>
    <w:qFormat/>
    <w:rsid w:val="00513E07"/>
    <w:pPr>
      <w:ind w:left="720"/>
      <w:contextualSpacing/>
    </w:pPr>
  </w:style>
  <w:style w:type="character" w:styleId="Wyrnienieintensywne">
    <w:name w:val="Intense Emphasis"/>
    <w:basedOn w:val="Domylnaczcionkaakapitu"/>
    <w:uiPriority w:val="21"/>
    <w:qFormat/>
    <w:rsid w:val="00513E07"/>
    <w:rPr>
      <w:i/>
      <w:iCs/>
      <w:color w:val="2F5496" w:themeColor="accent1" w:themeShade="BF"/>
    </w:rPr>
  </w:style>
  <w:style w:type="paragraph" w:styleId="Cytatintensywny">
    <w:name w:val="Intense Quote"/>
    <w:basedOn w:val="Normalny"/>
    <w:next w:val="Normalny"/>
    <w:link w:val="CytatintensywnyZnak"/>
    <w:uiPriority w:val="30"/>
    <w:qFormat/>
    <w:rsid w:val="00513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13E07"/>
    <w:rPr>
      <w:i/>
      <w:iCs/>
      <w:color w:val="2F5496" w:themeColor="accent1" w:themeShade="BF"/>
    </w:rPr>
  </w:style>
  <w:style w:type="character" w:styleId="Odwoanieintensywne">
    <w:name w:val="Intense Reference"/>
    <w:basedOn w:val="Domylnaczcionkaakapitu"/>
    <w:uiPriority w:val="32"/>
    <w:qFormat/>
    <w:rsid w:val="00513E07"/>
    <w:rPr>
      <w:b/>
      <w:bCs/>
      <w:smallCaps/>
      <w:color w:val="2F5496" w:themeColor="accent1" w:themeShade="BF"/>
      <w:spacing w:val="5"/>
    </w:rPr>
  </w:style>
  <w:style w:type="character" w:styleId="Hipercze">
    <w:name w:val="Hyperlink"/>
    <w:basedOn w:val="Domylnaczcionkaakapitu"/>
    <w:uiPriority w:val="99"/>
    <w:unhideWhenUsed/>
    <w:rsid w:val="00513E07"/>
    <w:rPr>
      <w:color w:val="0563C1" w:themeColor="hyperlink"/>
      <w:u w:val="single"/>
    </w:rPr>
  </w:style>
  <w:style w:type="paragraph" w:styleId="Nagwek">
    <w:name w:val="header"/>
    <w:basedOn w:val="Normalny"/>
    <w:link w:val="NagwekZnak"/>
    <w:uiPriority w:val="99"/>
    <w:unhideWhenUsed/>
    <w:rsid w:val="00C77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7E33"/>
    <w:rPr>
      <w:sz w:val="24"/>
      <w:szCs w:val="24"/>
    </w:rPr>
  </w:style>
  <w:style w:type="paragraph" w:styleId="Stopka">
    <w:name w:val="footer"/>
    <w:basedOn w:val="Normalny"/>
    <w:link w:val="StopkaZnak"/>
    <w:uiPriority w:val="99"/>
    <w:unhideWhenUsed/>
    <w:rsid w:val="00C77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7E33"/>
    <w:rPr>
      <w:sz w:val="24"/>
      <w:szCs w:val="24"/>
    </w:rPr>
  </w:style>
  <w:style w:type="paragraph" w:styleId="Poprawka">
    <w:name w:val="Revision"/>
    <w:hidden/>
    <w:uiPriority w:val="99"/>
    <w:semiHidden/>
    <w:rsid w:val="00606F5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3182</Words>
  <Characters>19098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Śliwa</dc:creator>
  <cp:keywords/>
  <dc:description/>
  <cp:lastModifiedBy>Wiraszka-Bereza Beata  (DPK)</cp:lastModifiedBy>
  <cp:revision>2</cp:revision>
  <dcterms:created xsi:type="dcterms:W3CDTF">2026-04-16T08:43:00Z</dcterms:created>
  <dcterms:modified xsi:type="dcterms:W3CDTF">2026-04-16T08:43:00Z</dcterms:modified>
</cp:coreProperties>
</file>