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91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1"/>
        <w:gridCol w:w="7913"/>
      </w:tblGrid>
      <w:tr w:rsidR="004F31C9" w:rsidRPr="004F31C9" w:rsidTr="00167500">
        <w:trPr>
          <w:trHeight w:hRule="exact" w:val="451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Numer porządkowy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4903B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09.41</w:t>
            </w:r>
            <w:r w:rsidR="004903B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98</w:t>
            </w:r>
          </w:p>
        </w:tc>
      </w:tr>
      <w:tr w:rsidR="004F31C9" w:rsidRPr="004F31C9" w:rsidTr="00167500">
        <w:trPr>
          <w:trHeight w:hRule="exact" w:val="3953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Default="00FC6AC6" w:rsidP="00D4139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Decyzja Rady 2010/36/WE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 dnia </w:t>
            </w:r>
            <w:r w:rsidRPr="00A67844">
              <w:rPr>
                <w:rFonts w:ascii="Arial" w:hAnsi="Arial" w:cs="Arial"/>
                <w:szCs w:val="20"/>
              </w:rPr>
              <w:t xml:space="preserve">29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kwietnia </w:t>
            </w:r>
            <w:r w:rsidRPr="00A67844">
              <w:rPr>
                <w:rFonts w:ascii="Arial" w:hAnsi="Arial" w:cs="Arial"/>
                <w:szCs w:val="20"/>
              </w:rPr>
              <w:t xml:space="preserve">2008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r. w sprawie podpisania i zawarcia Umowy przejściowej w sprawie handlu i kwestii związanych z handlem między Wspólnotą Europejską, z jednej strony, a Republiką Serbii, z drugiej strony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FC6AC6" w:rsidRPr="00D41392" w:rsidRDefault="00FC6AC6" w:rsidP="00D4139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F31C9" w:rsidRPr="00E518C7" w:rsidRDefault="004F31C9" w:rsidP="00D41392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4F31C9" w:rsidRPr="00E518C7" w:rsidRDefault="004F31C9" w:rsidP="00D4139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4F31C9" w:rsidRPr="005C2DB9" w:rsidRDefault="004F31C9" w:rsidP="00D4139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szCs w:val="20"/>
              </w:rPr>
            </w:pPr>
            <w:r w:rsidRPr="00E518C7">
              <w:rPr>
                <w:rFonts w:ascii="Arial" w:hAnsi="Arial" w:cs="Arial"/>
                <w:szCs w:val="20"/>
              </w:rPr>
              <w:t xml:space="preserve">Rozporządzenie Wykonawcze Komisji (UE) 2020/761 z dnia 17 grudnia 2019 r. ustanawiające zasady stosowania rozporządzeń Parlamentu Europejskiego i Rady (WE) nr 1306/2013, (UE) nr 1308/2013 i (UE) nr 510/2014 w odniesieniu do </w:t>
            </w:r>
            <w:r w:rsidRPr="00400224">
              <w:rPr>
                <w:rFonts w:ascii="Arial" w:hAnsi="Arial" w:cs="Arial"/>
                <w:szCs w:val="20"/>
              </w:rPr>
              <w:t>systemu</w:t>
            </w:r>
            <w:r w:rsidRPr="00400224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4F31C9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.</w:t>
            </w:r>
          </w:p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F31C9" w:rsidRPr="004F31C9" w:rsidTr="00167500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FC6AC6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4F31C9" w:rsidRPr="004F31C9" w:rsidTr="00167500">
        <w:trPr>
          <w:trHeight w:hRule="exact" w:val="603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9963E8">
        <w:trPr>
          <w:trHeight w:hRule="exact" w:val="4251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572FC" w:rsidRPr="001530B6" w:rsidRDefault="009572FC" w:rsidP="009572F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1530B6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D11E16" w:rsidRPr="00D11E16" w:rsidRDefault="00D11E16" w:rsidP="00D11E1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11E16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D11E16" w:rsidRPr="00D11E16" w:rsidRDefault="00D11E16" w:rsidP="00D11E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11E16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D11E16" w:rsidRPr="00D11E16" w:rsidRDefault="00D11E16" w:rsidP="00D11E1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11E16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D11E16" w:rsidRPr="00D11E16" w:rsidRDefault="00D11E16" w:rsidP="00D11E16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D11E16" w:rsidRPr="00D11E16" w:rsidRDefault="00D11E16" w:rsidP="00D11E16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D11E16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2016/123), uznaje się za niedopuszczalne.</w:t>
            </w:r>
          </w:p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F31C9" w:rsidRPr="004F31C9" w:rsidTr="00167500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F80C94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Określone żywe zwierzęta i określone rodzaje mięsa („młoda wołowina”), o których mowa w załączniku II do Umowy przejściowej z Serbią</w:t>
            </w:r>
          </w:p>
        </w:tc>
      </w:tr>
      <w:tr w:rsidR="004F31C9" w:rsidRPr="004F31C9" w:rsidTr="00167500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F80C94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Serbia</w:t>
            </w:r>
          </w:p>
        </w:tc>
      </w:tr>
      <w:tr w:rsidR="004F31C9" w:rsidRPr="004903BB" w:rsidTr="00F80C94">
        <w:trPr>
          <w:trHeight w:hRule="exact" w:val="1378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F80C94" w:rsidRPr="00A67844" w:rsidRDefault="00F80C94" w:rsidP="00F80C9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do niniejszego rozporządzenia.</w:t>
            </w:r>
          </w:p>
          <w:p w:rsidR="00F80C94" w:rsidRPr="00A67844" w:rsidRDefault="00F80C94" w:rsidP="00F80C94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Organ wydający: Śerbia: Inslilulc for Meat Hygiene and Technology, Kacaskog 13, Belgrad, Serbia.</w:t>
            </w:r>
          </w:p>
          <w:p w:rsidR="004F31C9" w:rsidRPr="00F80C94" w:rsidRDefault="00F80C94" w:rsidP="00F80C9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(Odniesienie - załącznik II do Umowy przejściowej z Serbią zatwierdzonej decyzją Rady 2010/36/WE)</w:t>
            </w:r>
          </w:p>
        </w:tc>
      </w:tr>
      <w:tr w:rsidR="004F31C9" w:rsidRPr="004F31C9" w:rsidTr="00167500">
        <w:trPr>
          <w:trHeight w:hRule="exact" w:val="563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A74568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Tak. Świadectwo autentyczności, którego wzór określono w załączniku XIV rozporządzenia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4F31C9" w:rsidRPr="004F31C9" w:rsidTr="00F80C94">
        <w:trPr>
          <w:trHeight w:hRule="exact" w:val="853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F80C94" w:rsidP="00822965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8 700 000 kg, wyrażone jako masa tuszy</w:t>
            </w:r>
          </w:p>
        </w:tc>
      </w:tr>
      <w:tr w:rsidR="004F31C9" w:rsidRPr="009963E8" w:rsidTr="00822965">
        <w:trPr>
          <w:trHeight w:hRule="exact" w:val="1001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Kody CN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822965" w:rsidRDefault="00822965" w:rsidP="00BE3952">
            <w:pPr>
              <w:spacing w:after="0" w:line="240" w:lineRule="auto"/>
              <w:rPr>
                <w:rFonts w:ascii="Arial" w:hAnsi="Arial" w:cs="Arial"/>
                <w:szCs w:val="20"/>
                <w:lang w:val="en-US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  <w:lang w:val="en-US"/>
              </w:rPr>
              <w:t>Ex0202 10 00; Ex02 02 2010; Ex02 02 20 30; Ex02 02 20 50; Ex02 02 20 90 Ex02 02 3010; Ex02 02 30 50; Ex02 02 30 90; Ex02 06 29 91; Ex02 10 20 10; Ex02 10 20 90; Ex02 10 99 51; Ex02 10 99 59</w:t>
            </w:r>
          </w:p>
        </w:tc>
      </w:tr>
      <w:tr w:rsidR="004F31C9" w:rsidRPr="004F31C9" w:rsidTr="00167500">
        <w:trPr>
          <w:trHeight w:hRule="exact" w:val="514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F80C94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cło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 xml:space="preserve">ad </w:t>
            </w:r>
            <w:r>
              <w:rPr>
                <w:rStyle w:val="Teksttreci2BezpogrubieniaKursywa"/>
                <w:rFonts w:ascii="Arial" w:hAnsi="Arial" w:cs="Arial"/>
                <w:szCs w:val="20"/>
              </w:rPr>
              <w:t>v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alorem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oraz 20 </w:t>
            </w:r>
            <w:r w:rsidRPr="00A67844">
              <w:rPr>
                <w:rStyle w:val="Teksttreci2BezpogrubieniaKursywa"/>
                <w:rFonts w:ascii="Arial" w:hAnsi="Arial" w:cs="Arial"/>
                <w:szCs w:val="20"/>
              </w:rPr>
              <w:t>%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cło specyficzne określone we wspólnej taryfie celnej</w:t>
            </w:r>
          </w:p>
        </w:tc>
      </w:tr>
      <w:tr w:rsidR="004F31C9" w:rsidRPr="004F31C9" w:rsidTr="00167500">
        <w:trPr>
          <w:trHeight w:hRule="exact" w:val="518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handlu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167500">
        <w:trPr>
          <w:trHeight w:hRule="exact" w:val="587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4F31C9" w:rsidRPr="004F31C9" w:rsidTr="009572FC">
        <w:trPr>
          <w:trHeight w:hRule="exact" w:val="1502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Szczegółowe adnotacje dokonywane we wniosku o pozwolenie i w pozwoleniu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9572FC" w:rsidRDefault="009572FC" w:rsidP="00BE395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9572FC" w:rsidRDefault="009572FC" w:rsidP="009572F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</w:t>
            </w:r>
            <w:r w:rsidR="004F31C9"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8 wniosku o pozwolenie na przywóz i pozwolenia na przywóz wskazuje kraj pochodzenia; należy zaznaczyć pole „tak”.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9572FC" w:rsidRDefault="009572FC" w:rsidP="009572F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Pole 20:</w:t>
            </w:r>
            <w:r w:rsidRPr="00CF58F1">
              <w:rPr>
                <w:rFonts w:ascii="Arial" w:hAnsi="Arial" w:cs="Arial"/>
                <w:szCs w:val="20"/>
              </w:rPr>
              <w:t xml:space="preserve"> numer porz</w:t>
            </w:r>
            <w:r>
              <w:rPr>
                <w:rFonts w:ascii="Arial" w:hAnsi="Arial" w:cs="Arial"/>
                <w:szCs w:val="20"/>
              </w:rPr>
              <w:t xml:space="preserve">ądkowy przywozowego kontyngentu </w:t>
            </w:r>
            <w:r w:rsidRPr="00CF58F1">
              <w:rPr>
                <w:rFonts w:ascii="Arial" w:hAnsi="Arial" w:cs="Arial"/>
                <w:szCs w:val="20"/>
              </w:rPr>
              <w:t>taryfowego</w:t>
            </w:r>
          </w:p>
          <w:p w:rsidR="009572FC" w:rsidRDefault="009572FC" w:rsidP="00957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CF58F1">
              <w:rPr>
                <w:rFonts w:ascii="Arial" w:hAnsi="Arial" w:cs="Arial"/>
                <w:szCs w:val="20"/>
              </w:rPr>
              <w:t>stawkę celną ad valorem i specyficzną stawkę celną („stawkę celną w ramach kontyngentu”) mające zastosowanie do danego produktu;</w:t>
            </w:r>
          </w:p>
          <w:p w:rsidR="004F31C9" w:rsidRPr="004F31C9" w:rsidRDefault="004F31C9" w:rsidP="009572F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4F31C9" w:rsidRPr="004F31C9" w:rsidTr="0060758E">
        <w:trPr>
          <w:trHeight w:hRule="exact" w:val="846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Okres ważności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60758E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obowiązywania kontyngentu taryfowego;</w:t>
            </w:r>
          </w:p>
        </w:tc>
      </w:tr>
      <w:tr w:rsidR="004F31C9" w:rsidRPr="004F31C9" w:rsidTr="00167500">
        <w:trPr>
          <w:trHeight w:hRule="exact" w:val="449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Możliwość przeniesienia pozwolenia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4F31C9" w:rsidRPr="004F31C9" w:rsidTr="00167500">
        <w:trPr>
          <w:trHeight w:hRule="exact" w:val="428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Ilość referencyjna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167500">
        <w:trPr>
          <w:trHeight w:hRule="exact" w:val="406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Podmiot zarejestrowany w bazie danych LORI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F31C9" w:rsidRPr="004F31C9" w:rsidTr="00167500">
        <w:trPr>
          <w:trHeight w:hRule="exact" w:val="749"/>
        </w:trPr>
        <w:tc>
          <w:tcPr>
            <w:tcW w:w="1164" w:type="pct"/>
            <w:shd w:val="clear" w:color="auto" w:fill="FFFFFF"/>
            <w:vAlign w:val="center"/>
          </w:tcPr>
          <w:p w:rsidR="004F31C9" w:rsidRPr="004F31C9" w:rsidRDefault="004F31C9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F31C9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Warunki szczególne</w:t>
            </w:r>
          </w:p>
        </w:tc>
        <w:tc>
          <w:tcPr>
            <w:tcW w:w="3836" w:type="pct"/>
            <w:shd w:val="clear" w:color="auto" w:fill="FFFFFF"/>
            <w:vAlign w:val="center"/>
          </w:tcPr>
          <w:p w:rsidR="004F31C9" w:rsidRPr="004F31C9" w:rsidRDefault="00F80C94" w:rsidP="00BE3952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Na potrzeby przypisania tego kontyngentu 100 kg żywej wagi odpowiada 50 kg masy tuszy</w:t>
            </w:r>
          </w:p>
        </w:tc>
      </w:tr>
    </w:tbl>
    <w:p w:rsidR="004F31C9" w:rsidRPr="004F31C9" w:rsidRDefault="004F31C9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F31C9" w:rsidRPr="004F31C9" w:rsidRDefault="004F31C9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4F31C9" w:rsidRDefault="004F31C9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Default="00655BCE" w:rsidP="004F31C9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655BCE" w:rsidRPr="00F230AE" w:rsidRDefault="00655BCE" w:rsidP="00655BCE">
      <w:pPr>
        <w:rPr>
          <w:rFonts w:ascii="Arial" w:hAnsi="Arial" w:cs="Arial"/>
          <w:szCs w:val="20"/>
        </w:rPr>
      </w:pPr>
      <w:r w:rsidRPr="00F230AE">
        <w:rPr>
          <w:rFonts w:ascii="Arial" w:hAnsi="Arial" w:cs="Arial"/>
          <w:szCs w:val="20"/>
        </w:rPr>
        <w:t>* Wzór świadectwa autentyczności dla kontyngentu taryfowego o numerze porządkowym 09.4</w:t>
      </w:r>
      <w:r w:rsidR="00716A36">
        <w:rPr>
          <w:rFonts w:ascii="Arial" w:hAnsi="Arial" w:cs="Arial"/>
          <w:szCs w:val="20"/>
        </w:rPr>
        <w:t>1</w:t>
      </w:r>
      <w:r w:rsidR="00181ACF">
        <w:rPr>
          <w:rFonts w:ascii="Arial" w:hAnsi="Arial" w:cs="Arial"/>
          <w:szCs w:val="20"/>
        </w:rPr>
        <w:t>98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1"/>
        <w:gridCol w:w="2511"/>
        <w:gridCol w:w="704"/>
        <w:gridCol w:w="704"/>
        <w:gridCol w:w="1302"/>
      </w:tblGrid>
      <w:tr w:rsidR="0089711E" w:rsidRPr="0089711E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671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Nadawca (pełna nazwa/nazwisko i adres):</w:t>
                  </w: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NR 0000</w:t>
            </w:r>
          </w:p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ORYGINAŁ</w:t>
            </w:r>
          </w:p>
          <w:p w:rsid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Serbia</w:t>
            </w:r>
          </w:p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11E" w:rsidRPr="0089711E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671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Odbiorca (pełna nazwa/nazwisko i adres):</w:t>
                  </w: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4"/>
            <w:hideMark/>
          </w:tcPr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ŚWIADECTWO AUTENTYCZNOŚCI</w:t>
            </w:r>
          </w:p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dotyczące wywozu bydła i mięsa z bydła do UE</w:t>
            </w:r>
          </w:p>
          <w:p w:rsid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[stosowanie rozporządzenia wykonawczego (UE) 2020/761]</w:t>
            </w:r>
          </w:p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11E" w:rsidRPr="0089711E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UWAGI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5"/>
              <w:gridCol w:w="8807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A.</w:t>
                  </w:r>
                </w:p>
              </w:tc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Niniejsze świadectwo zostało sporządzone w jednym oryginale i dwóch kopiach.</w:t>
                  </w: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pl-PL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8851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Oryginał i jego dwie kopie należy wypełnić pismem maszynowym lub odręcznie. W tym ostatnim przypadku muszą one być wypełnione czarnym tuszem i drukowanymi literami.</w:t>
                  </w:r>
                </w:p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11E" w:rsidRPr="0089711E" w:rsidTr="003E5F83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3671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Znaki, numery, liczba i rodzaj opakowań lub sztuki bydła; opis towarów:</w:t>
                  </w: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2331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Kod Nomenklatury scalonej:</w:t>
                  </w: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228"/>
            </w:tblGrid>
            <w:tr w:rsidR="0089711E" w:rsidRPr="0089711E" w:rsidTr="0089711E">
              <w:trPr>
                <w:tblCellSpacing w:w="0" w:type="dxa"/>
              </w:trPr>
              <w:tc>
                <w:tcPr>
                  <w:tcW w:w="285" w:type="pct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5.</w:t>
                  </w:r>
                </w:p>
              </w:tc>
              <w:tc>
                <w:tcPr>
                  <w:tcW w:w="4715" w:type="pct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brutto (kg):</w:t>
                  </w: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1122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(kg):</w:t>
                  </w:r>
                </w:p>
              </w:tc>
            </w:tr>
          </w:tbl>
          <w:p w:rsid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11E" w:rsidRPr="0089711E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7"/>
              <w:gridCol w:w="8475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Masa netto (kg) (słownie):</w:t>
                  </w:r>
                </w:p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11E" w:rsidRPr="0089711E" w:rsidTr="003E5F83">
        <w:trPr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"/>
              <w:gridCol w:w="8892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Ja, niżej podpisany(-a) …, działając w imieniu upoważnionego organu wydającego (pole 9), zaświadczam, że towary opisane powyżej zostały poddane kontroli zdrowotnej w …, zgodnie z załączonym świadectwem weterynaryjnym z dnia …, pochodzą i są sprowadzane z Serbii oraz dokładnie odpowiadają definicji zawartej w załączniku II do Umowy przejściowej w sprawie handlu i kwestii związanych z handlem między Wspólnotą Europejską, z jednej strony, a Republiką Serbii, z drugiej strony, określonej w decyzji 2010/36/WE (</w:t>
                  </w:r>
                  <w:hyperlink r:id="rId7" w:history="1">
                    <w:r w:rsidRPr="0089711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pl-PL"/>
                      </w:rPr>
                      <w:t>Dz.U. L 28 z 30.1.2010, s. 1</w:t>
                    </w:r>
                  </w:hyperlink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).</w:t>
                  </w: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11E" w:rsidRPr="0089711E" w:rsidTr="003E5F83">
        <w:trPr>
          <w:tblCellSpacing w:w="0" w:type="dxa"/>
        </w:trPr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3633"/>
            </w:tblGrid>
            <w:tr w:rsidR="0089711E" w:rsidRPr="0089711E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971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Upoważniony organ wydający:</w:t>
                  </w:r>
                </w:p>
                <w:p w:rsid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  <w:p w:rsidR="0089711E" w:rsidRPr="0089711E" w:rsidRDefault="0089711E" w:rsidP="0089711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0" w:type="auto"/>
            <w:gridSpan w:val="2"/>
            <w:hideMark/>
          </w:tcPr>
          <w:p w:rsid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Data:</w:t>
            </w:r>
          </w:p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11E" w:rsidRPr="0089711E" w:rsidTr="003E5F8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711E" w:rsidRPr="0089711E" w:rsidRDefault="0089711E" w:rsidP="00897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gridSpan w:val="2"/>
            <w:hideMark/>
          </w:tcPr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(Pieczęć organu wydającego) </w:t>
            </w:r>
          </w:p>
        </w:tc>
        <w:tc>
          <w:tcPr>
            <w:tcW w:w="0" w:type="auto"/>
            <w:gridSpan w:val="2"/>
            <w:hideMark/>
          </w:tcPr>
          <w:p w:rsid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9711E" w:rsidRPr="0089711E" w:rsidRDefault="0089711E" w:rsidP="008971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1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(podpis) </w:t>
            </w:r>
          </w:p>
        </w:tc>
      </w:tr>
    </w:tbl>
    <w:p w:rsidR="000106FC" w:rsidRDefault="0089711E">
      <w:r w:rsidRPr="007125DA">
        <w:t>Należy wypełnić maszynowo lub ręcznie, drukowanymi literami.</w:t>
      </w:r>
    </w:p>
    <w:sectPr w:rsidR="000106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0B" w:rsidRDefault="00F9150B" w:rsidP="00D11E16">
      <w:pPr>
        <w:spacing w:after="0" w:line="240" w:lineRule="auto"/>
      </w:pPr>
      <w:r>
        <w:separator/>
      </w:r>
    </w:p>
  </w:endnote>
  <w:endnote w:type="continuationSeparator" w:id="0">
    <w:p w:rsidR="00F9150B" w:rsidRDefault="00F9150B" w:rsidP="00D1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0B" w:rsidRDefault="00F9150B" w:rsidP="00D11E16">
      <w:pPr>
        <w:spacing w:after="0" w:line="240" w:lineRule="auto"/>
      </w:pPr>
      <w:r>
        <w:separator/>
      </w:r>
    </w:p>
  </w:footnote>
  <w:footnote w:type="continuationSeparator" w:id="0">
    <w:p w:rsidR="00F9150B" w:rsidRDefault="00F9150B" w:rsidP="00D1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E16" w:rsidRDefault="00D11E16" w:rsidP="00D11E16">
    <w:pPr>
      <w:pStyle w:val="Nagwek"/>
      <w:jc w:val="center"/>
    </w:pPr>
    <w:r w:rsidRPr="00D3479E">
      <w:rPr>
        <w:rFonts w:ascii="Arial" w:hAnsi="Arial" w:cs="Arial"/>
      </w:rPr>
      <w:t xml:space="preserve">Kontyngenty taryfowe w sektorze </w:t>
    </w:r>
    <w:r>
      <w:rPr>
        <w:rFonts w:ascii="Arial" w:hAnsi="Arial" w:cs="Arial"/>
      </w:rPr>
      <w:t>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C9"/>
    <w:rsid w:val="000106FC"/>
    <w:rsid w:val="00167500"/>
    <w:rsid w:val="00181ACF"/>
    <w:rsid w:val="002959F6"/>
    <w:rsid w:val="002F3F00"/>
    <w:rsid w:val="004903BB"/>
    <w:rsid w:val="004F31C9"/>
    <w:rsid w:val="0060758E"/>
    <w:rsid w:val="00655BCE"/>
    <w:rsid w:val="00716A36"/>
    <w:rsid w:val="007F0C3C"/>
    <w:rsid w:val="00822965"/>
    <w:rsid w:val="0089711E"/>
    <w:rsid w:val="009572FC"/>
    <w:rsid w:val="009963E8"/>
    <w:rsid w:val="00A74568"/>
    <w:rsid w:val="00D11E16"/>
    <w:rsid w:val="00D41392"/>
    <w:rsid w:val="00D73D73"/>
    <w:rsid w:val="00F80C94"/>
    <w:rsid w:val="00F9150B"/>
    <w:rsid w:val="00FC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2907B-91CF-438F-95A2-80640EB3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1C9"/>
    <w:rPr>
      <w:rFonts w:ascii="Cambria" w:hAnsi="Cambri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4F31C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4F31C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styleId="Hipercze">
    <w:name w:val="Hyperlink"/>
    <w:basedOn w:val="Domylnaczcionkaakapitu"/>
    <w:rsid w:val="004F31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5BCE"/>
    <w:pPr>
      <w:ind w:left="720"/>
      <w:contextualSpacing/>
    </w:pPr>
  </w:style>
  <w:style w:type="character" w:customStyle="1" w:styleId="Teksttreci2BezpogrubieniaKursywa">
    <w:name w:val="Tekst treści (2) + Bez pogrubienia;Kursywa"/>
    <w:basedOn w:val="Domylnaczcionkaakapitu"/>
    <w:rsid w:val="00F80C94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1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E16"/>
    <w:rPr>
      <w:rFonts w:ascii="Cambria" w:hAnsi="Cambria"/>
      <w:sz w:val="20"/>
    </w:rPr>
  </w:style>
  <w:style w:type="paragraph" w:styleId="Stopka">
    <w:name w:val="footer"/>
    <w:basedOn w:val="Normalny"/>
    <w:link w:val="StopkaZnak"/>
    <w:uiPriority w:val="99"/>
    <w:unhideWhenUsed/>
    <w:rsid w:val="00D1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E16"/>
    <w:rPr>
      <w:rFonts w:ascii="Cambria" w:hAnsi="Cambr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AUTO/?uri=OJ:L:2010:028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Barcikowska Dorota</dc:creator>
  <cp:lastModifiedBy>Śliwska Dorota</cp:lastModifiedBy>
  <cp:revision>2</cp:revision>
  <dcterms:created xsi:type="dcterms:W3CDTF">2023-03-14T12:11:00Z</dcterms:created>
  <dcterms:modified xsi:type="dcterms:W3CDTF">2023-03-14T12:11:00Z</dcterms:modified>
</cp:coreProperties>
</file>