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5D241" w14:textId="77777777" w:rsidR="007679ED" w:rsidRDefault="00E84FBE" w:rsidP="00E84FBE">
      <w:pPr>
        <w:tabs>
          <w:tab w:val="left" w:pos="0"/>
        </w:tabs>
        <w:spacing w:line="276" w:lineRule="auto"/>
        <w:jc w:val="center"/>
        <w:rPr>
          <w:rFonts w:ascii="Calibri" w:hAnsi="Calibri"/>
          <w:b/>
          <w:sz w:val="22"/>
          <w:szCs w:val="22"/>
        </w:rPr>
      </w:pPr>
      <w:r w:rsidRPr="00F80662">
        <w:rPr>
          <w:rFonts w:ascii="Calibri" w:hAnsi="Calibri"/>
          <w:b/>
          <w:sz w:val="22"/>
          <w:szCs w:val="22"/>
        </w:rPr>
        <w:t xml:space="preserve">WYKAZ </w:t>
      </w:r>
      <w:r w:rsidR="004D694B">
        <w:rPr>
          <w:rFonts w:ascii="Calibri" w:hAnsi="Calibri"/>
          <w:b/>
          <w:sz w:val="22"/>
          <w:szCs w:val="22"/>
        </w:rPr>
        <w:t xml:space="preserve"> </w:t>
      </w:r>
      <w:r w:rsidRPr="00F80662">
        <w:rPr>
          <w:rFonts w:ascii="Calibri" w:hAnsi="Calibri"/>
          <w:b/>
          <w:sz w:val="22"/>
          <w:szCs w:val="22"/>
        </w:rPr>
        <w:t xml:space="preserve"> METOD BADAWCZYCH </w:t>
      </w:r>
      <w:r w:rsidR="004D694B">
        <w:rPr>
          <w:rFonts w:ascii="Calibri" w:hAnsi="Calibri"/>
          <w:b/>
          <w:sz w:val="22"/>
          <w:szCs w:val="22"/>
        </w:rPr>
        <w:t>stosowanych w obszarze środowiska pracy</w:t>
      </w:r>
    </w:p>
    <w:p w14:paraId="666FCCD8" w14:textId="30D7DEC5" w:rsidR="00E84FBE" w:rsidRDefault="00CF305F" w:rsidP="00E84FBE">
      <w:pPr>
        <w:tabs>
          <w:tab w:val="left" w:pos="0"/>
        </w:tabs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Obowiązujący od </w:t>
      </w:r>
      <w:r w:rsidR="00C17BD6">
        <w:rPr>
          <w:rFonts w:ascii="Calibri" w:hAnsi="Calibri"/>
          <w:b/>
          <w:color w:val="FF0000"/>
          <w:sz w:val="22"/>
          <w:szCs w:val="22"/>
        </w:rPr>
        <w:t>18.07.2022 r.</w:t>
      </w:r>
    </w:p>
    <w:p w14:paraId="6A127460" w14:textId="77777777" w:rsidR="00CF305F" w:rsidRDefault="00CF305F" w:rsidP="00E84FBE">
      <w:pPr>
        <w:tabs>
          <w:tab w:val="left" w:pos="0"/>
        </w:tabs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3260"/>
        <w:gridCol w:w="856"/>
      </w:tblGrid>
      <w:tr w:rsidR="00A9372E" w:rsidRPr="00B92378" w14:paraId="477EFE20" w14:textId="77777777" w:rsidTr="00CA7B87">
        <w:trPr>
          <w:trHeight w:val="283"/>
          <w:tblHeader/>
          <w:jc w:val="center"/>
        </w:trPr>
        <w:tc>
          <w:tcPr>
            <w:tcW w:w="5240" w:type="dxa"/>
            <w:vAlign w:val="center"/>
          </w:tcPr>
          <w:p w14:paraId="61077505" w14:textId="77777777" w:rsidR="00A9372E" w:rsidRPr="0008668A" w:rsidRDefault="00A9372E" w:rsidP="005934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08668A">
              <w:rPr>
                <w:b/>
                <w:color w:val="000000"/>
                <w:sz w:val="18"/>
                <w:szCs w:val="18"/>
              </w:rPr>
              <w:t>Badany obiekt</w:t>
            </w:r>
          </w:p>
        </w:tc>
        <w:tc>
          <w:tcPr>
            <w:tcW w:w="3260" w:type="dxa"/>
            <w:vAlign w:val="center"/>
          </w:tcPr>
          <w:p w14:paraId="76211B1A" w14:textId="77777777" w:rsidR="00A9372E" w:rsidRPr="00506D15" w:rsidRDefault="004D694B" w:rsidP="005934A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Dokumenty odniesienia</w:t>
            </w:r>
          </w:p>
        </w:tc>
        <w:tc>
          <w:tcPr>
            <w:tcW w:w="856" w:type="dxa"/>
            <w:vAlign w:val="center"/>
          </w:tcPr>
          <w:p w14:paraId="6F19AFED" w14:textId="77777777" w:rsidR="00A9372E" w:rsidRPr="00506D15" w:rsidRDefault="00A9372E" w:rsidP="00A9372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A9372E" w:rsidRPr="00B92378" w14:paraId="1337D7F2" w14:textId="77777777" w:rsidTr="00CA7B87">
        <w:trPr>
          <w:trHeight w:val="635"/>
          <w:jc w:val="center"/>
        </w:trPr>
        <w:tc>
          <w:tcPr>
            <w:tcW w:w="5240" w:type="dxa"/>
            <w:vAlign w:val="center"/>
          </w:tcPr>
          <w:p w14:paraId="6DE7E22C" w14:textId="77777777" w:rsidR="00A9372E" w:rsidRPr="00CB1EA1" w:rsidRDefault="004D694B" w:rsidP="005934AD">
            <w:pPr>
              <w:rPr>
                <w:color w:val="000000"/>
                <w:sz w:val="18"/>
                <w:szCs w:val="18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H</w:t>
            </w:r>
            <w:r w:rsidR="00A9372E" w:rsidRPr="00CB1EA1">
              <w:rPr>
                <w:rFonts w:eastAsiaTheme="minorHAnsi"/>
                <w:bCs/>
                <w:sz w:val="18"/>
                <w:szCs w:val="18"/>
                <w:lang w:eastAsia="en-US"/>
              </w:rPr>
              <w:t>ałas</w:t>
            </w:r>
          </w:p>
        </w:tc>
        <w:tc>
          <w:tcPr>
            <w:tcW w:w="3260" w:type="dxa"/>
            <w:vAlign w:val="center"/>
          </w:tcPr>
          <w:p w14:paraId="73DC95F0" w14:textId="77777777" w:rsidR="00A9372E" w:rsidRPr="00CB1EA1" w:rsidRDefault="00A9372E" w:rsidP="00CB1EA1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CB1EA1">
              <w:rPr>
                <w:rFonts w:eastAsia="ArialMT"/>
                <w:sz w:val="18"/>
                <w:szCs w:val="18"/>
                <w:lang w:eastAsia="en-US"/>
              </w:rPr>
              <w:t>PN-N-01307:1994</w:t>
            </w:r>
          </w:p>
          <w:p w14:paraId="7070FE03" w14:textId="77777777" w:rsidR="00A9372E" w:rsidRPr="008B0EC5" w:rsidRDefault="00A9372E" w:rsidP="008B0EC5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CB1EA1">
              <w:rPr>
                <w:rFonts w:eastAsia="ArialMT"/>
                <w:sz w:val="18"/>
                <w:szCs w:val="18"/>
                <w:lang w:eastAsia="en-US"/>
              </w:rPr>
              <w:t>PN-EN ISO 9612:2011 z wyłą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czeniem </w:t>
            </w:r>
            <w:r w:rsidRPr="00CB1EA1">
              <w:rPr>
                <w:rFonts w:eastAsia="ArialMT"/>
                <w:sz w:val="18"/>
                <w:szCs w:val="18"/>
                <w:lang w:eastAsia="en-US"/>
              </w:rPr>
              <w:t>strategii nr 2 i 3, p. 10 i 11</w:t>
            </w:r>
          </w:p>
        </w:tc>
        <w:tc>
          <w:tcPr>
            <w:tcW w:w="856" w:type="dxa"/>
            <w:vAlign w:val="center"/>
          </w:tcPr>
          <w:p w14:paraId="39CDB399" w14:textId="77777777" w:rsidR="00A9372E" w:rsidRPr="004D694B" w:rsidRDefault="004D694B" w:rsidP="004D694B">
            <w:pPr>
              <w:spacing w:after="200" w:line="276" w:lineRule="auto"/>
              <w:jc w:val="center"/>
              <w:rPr>
                <w:rFonts w:eastAsia="ArialMT"/>
                <w:b/>
                <w:sz w:val="18"/>
                <w:szCs w:val="18"/>
                <w:lang w:eastAsia="en-US"/>
              </w:rPr>
            </w:pPr>
            <w:r w:rsidRPr="004D694B">
              <w:rPr>
                <w:rFonts w:eastAsia="ArialMT"/>
                <w:b/>
                <w:sz w:val="18"/>
                <w:szCs w:val="18"/>
                <w:lang w:eastAsia="en-US"/>
              </w:rPr>
              <w:t>A</w:t>
            </w:r>
          </w:p>
          <w:p w14:paraId="236FCDD3" w14:textId="77777777" w:rsidR="00A9372E" w:rsidRPr="008B0EC5" w:rsidRDefault="00A9372E" w:rsidP="004D694B">
            <w:pPr>
              <w:autoSpaceDE w:val="0"/>
              <w:autoSpaceDN w:val="0"/>
              <w:adjustRightInd w:val="0"/>
              <w:jc w:val="center"/>
              <w:rPr>
                <w:rFonts w:eastAsia="ArialMT"/>
                <w:sz w:val="18"/>
                <w:szCs w:val="18"/>
                <w:lang w:eastAsia="en-US"/>
              </w:rPr>
            </w:pPr>
          </w:p>
        </w:tc>
      </w:tr>
      <w:tr w:rsidR="00A9372E" w:rsidRPr="00B92378" w14:paraId="04FEC2ED" w14:textId="77777777" w:rsidTr="00CA7B87">
        <w:trPr>
          <w:trHeight w:val="843"/>
          <w:jc w:val="center"/>
        </w:trPr>
        <w:tc>
          <w:tcPr>
            <w:tcW w:w="5240" w:type="dxa"/>
            <w:vAlign w:val="center"/>
          </w:tcPr>
          <w:p w14:paraId="60640C8B" w14:textId="77777777" w:rsidR="00A9372E" w:rsidRPr="00FF36FB" w:rsidRDefault="004D694B" w:rsidP="00CB1EA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79422216" w14:textId="77777777" w:rsidR="00A9372E" w:rsidRPr="00FF36FB" w:rsidRDefault="004D694B" w:rsidP="00FF36F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D</w:t>
            </w:r>
            <w:r w:rsidR="00A9372E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rgania mechaniczne działające na organizm człowieka przez </w:t>
            </w:r>
            <w:r w:rsidR="00A9372E" w:rsidRPr="00FF36FB">
              <w:rPr>
                <w:rFonts w:eastAsiaTheme="minorHAnsi"/>
                <w:bCs/>
                <w:sz w:val="18"/>
                <w:szCs w:val="18"/>
                <w:lang w:eastAsia="en-US"/>
              </w:rPr>
              <w:t>kończyny górne</w:t>
            </w:r>
          </w:p>
        </w:tc>
        <w:tc>
          <w:tcPr>
            <w:tcW w:w="3260" w:type="dxa"/>
            <w:vAlign w:val="center"/>
          </w:tcPr>
          <w:p w14:paraId="79228DEA" w14:textId="77777777" w:rsidR="00A9372E" w:rsidRPr="00FF36FB" w:rsidRDefault="00A9372E" w:rsidP="00CB1EA1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val="en-US" w:eastAsia="en-US"/>
              </w:rPr>
            </w:pPr>
            <w:r w:rsidRPr="00FF36FB">
              <w:rPr>
                <w:rFonts w:eastAsia="ArialMT"/>
                <w:sz w:val="18"/>
                <w:szCs w:val="18"/>
                <w:lang w:val="en-US" w:eastAsia="en-US"/>
              </w:rPr>
              <w:t>PN-EN ISO 5349-1:2004</w:t>
            </w:r>
          </w:p>
          <w:p w14:paraId="3DAB47D0" w14:textId="77777777" w:rsidR="00A9372E" w:rsidRPr="00FF36FB" w:rsidRDefault="00A9372E" w:rsidP="00CB1EA1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val="en-US" w:eastAsia="en-US"/>
              </w:rPr>
            </w:pPr>
            <w:r w:rsidRPr="00FF36FB">
              <w:rPr>
                <w:rFonts w:eastAsia="ArialMT"/>
                <w:sz w:val="18"/>
                <w:szCs w:val="18"/>
                <w:lang w:val="en-US" w:eastAsia="en-US"/>
              </w:rPr>
              <w:t>PN-EN ISO 5349-2:2004</w:t>
            </w:r>
          </w:p>
          <w:p w14:paraId="6EEECF80" w14:textId="77777777" w:rsidR="00A9372E" w:rsidRPr="00FF36FB" w:rsidRDefault="00A9372E" w:rsidP="00CB1EA1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PN-EN ISO 5349-2:2004/A1:2015-11</w:t>
            </w:r>
          </w:p>
        </w:tc>
        <w:tc>
          <w:tcPr>
            <w:tcW w:w="856" w:type="dxa"/>
            <w:vAlign w:val="center"/>
          </w:tcPr>
          <w:p w14:paraId="5A9B52A4" w14:textId="77777777" w:rsidR="00A9372E" w:rsidRPr="004D694B" w:rsidRDefault="004D694B" w:rsidP="004D694B">
            <w:pPr>
              <w:spacing w:after="200" w:line="276" w:lineRule="auto"/>
              <w:jc w:val="center"/>
              <w:rPr>
                <w:b/>
                <w:spacing w:val="-1"/>
                <w:sz w:val="18"/>
                <w:szCs w:val="18"/>
              </w:rPr>
            </w:pPr>
            <w:r w:rsidRPr="004D694B">
              <w:rPr>
                <w:b/>
                <w:spacing w:val="-1"/>
                <w:sz w:val="18"/>
                <w:szCs w:val="18"/>
              </w:rPr>
              <w:t>A</w:t>
            </w:r>
          </w:p>
          <w:p w14:paraId="13BE4236" w14:textId="77777777" w:rsidR="00A9372E" w:rsidRPr="00FF36FB" w:rsidRDefault="00A9372E" w:rsidP="004D69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9372E" w:rsidRPr="00B92378" w14:paraId="3CF6031C" w14:textId="77777777" w:rsidTr="00CA7B87">
        <w:trPr>
          <w:trHeight w:val="416"/>
          <w:jc w:val="center"/>
        </w:trPr>
        <w:tc>
          <w:tcPr>
            <w:tcW w:w="5240" w:type="dxa"/>
            <w:vAlign w:val="center"/>
          </w:tcPr>
          <w:p w14:paraId="3C889F24" w14:textId="77777777" w:rsidR="00A9372E" w:rsidRPr="00FF36FB" w:rsidRDefault="004D694B" w:rsidP="00CB1EA1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604E05E3" w14:textId="77777777" w:rsidR="00A9372E" w:rsidRDefault="004D694B" w:rsidP="00FF36F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D</w:t>
            </w:r>
            <w:r w:rsidR="00A9372E" w:rsidRPr="00FF36FB">
              <w:rPr>
                <w:rFonts w:eastAsiaTheme="minorHAnsi"/>
                <w:bCs/>
                <w:sz w:val="18"/>
                <w:szCs w:val="18"/>
                <w:lang w:eastAsia="en-US"/>
              </w:rPr>
              <w:t>rgania mechaniczne o o</w:t>
            </w:r>
            <w:r w:rsidR="00A9372E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gólnym </w:t>
            </w:r>
            <w:r w:rsidR="00A9372E" w:rsidRPr="00FF36FB">
              <w:rPr>
                <w:rFonts w:eastAsiaTheme="minorHAnsi"/>
                <w:bCs/>
                <w:sz w:val="18"/>
                <w:szCs w:val="18"/>
                <w:lang w:eastAsia="en-US"/>
              </w:rPr>
              <w:t>działaniu na organizm człowieka</w:t>
            </w:r>
          </w:p>
          <w:p w14:paraId="2C44BF31" w14:textId="77777777" w:rsidR="009526A2" w:rsidRPr="00FF36FB" w:rsidRDefault="009526A2" w:rsidP="00FF36F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64677997" w14:textId="77777777" w:rsidR="00A9372E" w:rsidRPr="00FF36FB" w:rsidRDefault="00A9372E" w:rsidP="005934A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PN-EN 14253+A1:2011</w:t>
            </w:r>
          </w:p>
        </w:tc>
        <w:tc>
          <w:tcPr>
            <w:tcW w:w="856" w:type="dxa"/>
            <w:vAlign w:val="center"/>
          </w:tcPr>
          <w:p w14:paraId="70B077EF" w14:textId="77777777" w:rsidR="00A9372E" w:rsidRPr="004D694B" w:rsidRDefault="004D694B" w:rsidP="004D694B">
            <w:pPr>
              <w:shd w:val="clear" w:color="auto" w:fill="FFFFFF"/>
              <w:jc w:val="center"/>
              <w:rPr>
                <w:b/>
                <w:spacing w:val="-1"/>
                <w:sz w:val="18"/>
                <w:szCs w:val="18"/>
              </w:rPr>
            </w:pPr>
            <w:r w:rsidRPr="004D694B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A9372E" w:rsidRPr="00B92378" w14:paraId="269D92A0" w14:textId="77777777" w:rsidTr="00CA7B87">
        <w:trPr>
          <w:trHeight w:val="408"/>
          <w:jc w:val="center"/>
        </w:trPr>
        <w:tc>
          <w:tcPr>
            <w:tcW w:w="5240" w:type="dxa"/>
            <w:vAlign w:val="center"/>
          </w:tcPr>
          <w:p w14:paraId="44E2299B" w14:textId="77777777" w:rsidR="00A9372E" w:rsidRPr="00FF36FB" w:rsidRDefault="004D694B" w:rsidP="002C2069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 </w:t>
            </w:r>
          </w:p>
          <w:p w14:paraId="3362F062" w14:textId="77777777" w:rsidR="00A9372E" w:rsidRDefault="004D694B" w:rsidP="00FF36F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O</w:t>
            </w:r>
            <w:r w:rsidR="00A9372E">
              <w:rPr>
                <w:rFonts w:eastAsiaTheme="minorHAnsi"/>
                <w:bCs/>
                <w:sz w:val="18"/>
                <w:szCs w:val="18"/>
                <w:lang w:eastAsia="en-US"/>
              </w:rPr>
              <w:t xml:space="preserve">świetlenie elektryczne </w:t>
            </w:r>
            <w:r w:rsidR="00A9372E" w:rsidRPr="00FF36FB">
              <w:rPr>
                <w:rFonts w:eastAsiaTheme="minorHAnsi"/>
                <w:bCs/>
                <w:sz w:val="18"/>
                <w:szCs w:val="18"/>
                <w:lang w:eastAsia="en-US"/>
              </w:rPr>
              <w:t>we wnętrza</w:t>
            </w:r>
            <w:r w:rsidR="00A9372E">
              <w:rPr>
                <w:rFonts w:eastAsiaTheme="minorHAnsi"/>
                <w:bCs/>
                <w:sz w:val="18"/>
                <w:szCs w:val="18"/>
                <w:lang w:eastAsia="en-US"/>
              </w:rPr>
              <w:t>ch</w:t>
            </w:r>
          </w:p>
          <w:p w14:paraId="75ACA79B" w14:textId="77777777" w:rsidR="009526A2" w:rsidRPr="00FF36FB" w:rsidRDefault="009526A2" w:rsidP="00FF36FB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vAlign w:val="center"/>
          </w:tcPr>
          <w:p w14:paraId="7BA6D480" w14:textId="77777777" w:rsidR="00A9372E" w:rsidRPr="00FF36FB" w:rsidRDefault="00A9372E" w:rsidP="005934A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PN-83/E-04040.03</w:t>
            </w:r>
            <w:r w:rsidR="00332992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="00332992" w:rsidRPr="00332992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(1)</w:t>
            </w:r>
          </w:p>
        </w:tc>
        <w:tc>
          <w:tcPr>
            <w:tcW w:w="856" w:type="dxa"/>
            <w:vAlign w:val="center"/>
          </w:tcPr>
          <w:p w14:paraId="4A33219E" w14:textId="77777777" w:rsidR="00A9372E" w:rsidRPr="004D694B" w:rsidRDefault="004D694B" w:rsidP="004D694B">
            <w:pPr>
              <w:shd w:val="clear" w:color="auto" w:fill="FFFFFF"/>
              <w:jc w:val="center"/>
              <w:rPr>
                <w:b/>
                <w:spacing w:val="-1"/>
                <w:sz w:val="18"/>
                <w:szCs w:val="18"/>
              </w:rPr>
            </w:pPr>
            <w:r w:rsidRPr="004D694B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A9372E" w:rsidRPr="00B92378" w14:paraId="664F7D77" w14:textId="77777777" w:rsidTr="00CA7B87">
        <w:trPr>
          <w:trHeight w:val="1269"/>
          <w:jc w:val="center"/>
        </w:trPr>
        <w:tc>
          <w:tcPr>
            <w:tcW w:w="5240" w:type="dxa"/>
            <w:vAlign w:val="center"/>
          </w:tcPr>
          <w:p w14:paraId="060ED101" w14:textId="77777777" w:rsidR="00A9372E" w:rsidRPr="00FF36FB" w:rsidRDefault="004D694B" w:rsidP="005934AD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P</w:t>
            </w:r>
            <w:r w:rsidR="00A9372E" w:rsidRPr="00FF36FB">
              <w:rPr>
                <w:rFonts w:eastAsiaTheme="minorHAnsi"/>
                <w:bCs/>
                <w:sz w:val="18"/>
                <w:szCs w:val="18"/>
                <w:lang w:eastAsia="en-US"/>
              </w:rPr>
              <w:t>owietrze</w:t>
            </w:r>
          </w:p>
          <w:p w14:paraId="0174D4C8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Pobieranie pró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bek do oceny </w:t>
            </w:r>
            <w:r w:rsidRPr="00FF36FB">
              <w:rPr>
                <w:rFonts w:eastAsia="ArialMT"/>
                <w:sz w:val="18"/>
                <w:szCs w:val="18"/>
                <w:lang w:eastAsia="en-US"/>
              </w:rPr>
              <w:t>narażenia zawodowego na;</w:t>
            </w:r>
          </w:p>
          <w:p w14:paraId="7A139FB8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- pyły przemysłowe</w:t>
            </w:r>
          </w:p>
          <w:p w14:paraId="5DE35658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</w:t>
            </w:r>
            <w:r w:rsidRPr="00FF36FB">
              <w:rPr>
                <w:rFonts w:eastAsia="ArialMT"/>
                <w:sz w:val="18"/>
                <w:szCs w:val="18"/>
                <w:lang w:eastAsia="en-US"/>
              </w:rPr>
              <w:t xml:space="preserve">- frakcja </w:t>
            </w:r>
            <w:proofErr w:type="spellStart"/>
            <w:r w:rsidRPr="00FF36FB">
              <w:rPr>
                <w:rFonts w:eastAsia="ArialMT"/>
                <w:sz w:val="18"/>
                <w:szCs w:val="18"/>
                <w:lang w:eastAsia="en-US"/>
              </w:rPr>
              <w:t>wdychalna</w:t>
            </w:r>
            <w:proofErr w:type="spellEnd"/>
          </w:p>
          <w:p w14:paraId="75746720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</w:t>
            </w:r>
            <w:r w:rsidRPr="00FF36FB">
              <w:rPr>
                <w:rFonts w:eastAsia="ArialMT"/>
                <w:sz w:val="18"/>
                <w:szCs w:val="18"/>
                <w:lang w:eastAsia="en-US"/>
              </w:rPr>
              <w:t xml:space="preserve">- frakcja </w:t>
            </w:r>
            <w:proofErr w:type="spellStart"/>
            <w:r w:rsidRPr="00FF36FB">
              <w:rPr>
                <w:rFonts w:eastAsia="ArialMT"/>
                <w:sz w:val="18"/>
                <w:szCs w:val="18"/>
                <w:lang w:eastAsia="en-US"/>
              </w:rPr>
              <w:t>respirabilna</w:t>
            </w:r>
            <w:proofErr w:type="spellEnd"/>
          </w:p>
          <w:p w14:paraId="0DA52BD1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- substancje organiczne</w:t>
            </w:r>
          </w:p>
          <w:p w14:paraId="148EA7B4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</w:t>
            </w:r>
            <w:r w:rsidRPr="00FF36FB">
              <w:rPr>
                <w:rFonts w:eastAsia="ArialMT"/>
                <w:sz w:val="18"/>
                <w:szCs w:val="18"/>
                <w:lang w:eastAsia="en-US"/>
              </w:rPr>
              <w:t xml:space="preserve">- frakcja </w:t>
            </w:r>
            <w:proofErr w:type="spellStart"/>
            <w:r w:rsidRPr="00FF36FB">
              <w:rPr>
                <w:rFonts w:eastAsia="ArialMT"/>
                <w:sz w:val="18"/>
                <w:szCs w:val="18"/>
                <w:lang w:eastAsia="en-US"/>
              </w:rPr>
              <w:t>wdychalna</w:t>
            </w:r>
            <w:proofErr w:type="spellEnd"/>
          </w:p>
          <w:p w14:paraId="3FC44F66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- substancje nieorganiczne</w:t>
            </w:r>
          </w:p>
          <w:p w14:paraId="6926DFEF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</w:t>
            </w:r>
            <w:r w:rsidRPr="00FF36FB">
              <w:rPr>
                <w:rFonts w:eastAsia="ArialMT"/>
                <w:sz w:val="18"/>
                <w:szCs w:val="18"/>
                <w:lang w:eastAsia="en-US"/>
              </w:rPr>
              <w:t xml:space="preserve">- frakcja </w:t>
            </w:r>
            <w:proofErr w:type="spellStart"/>
            <w:r w:rsidRPr="00FF36FB">
              <w:rPr>
                <w:rFonts w:eastAsia="ArialMT"/>
                <w:sz w:val="18"/>
                <w:szCs w:val="18"/>
                <w:lang w:eastAsia="en-US"/>
              </w:rPr>
              <w:t>wdychalna</w:t>
            </w:r>
            <w:proofErr w:type="spellEnd"/>
          </w:p>
          <w:p w14:paraId="1369B289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</w:t>
            </w:r>
            <w:r w:rsidRPr="00FF36FB">
              <w:rPr>
                <w:rFonts w:eastAsia="ArialMT"/>
                <w:sz w:val="18"/>
                <w:szCs w:val="18"/>
                <w:lang w:eastAsia="en-US"/>
              </w:rPr>
              <w:t xml:space="preserve">- frakcja </w:t>
            </w:r>
            <w:proofErr w:type="spellStart"/>
            <w:r w:rsidRPr="00FF36FB">
              <w:rPr>
                <w:rFonts w:eastAsia="ArialMT"/>
                <w:sz w:val="18"/>
                <w:szCs w:val="18"/>
                <w:lang w:eastAsia="en-US"/>
              </w:rPr>
              <w:t>respirabilna</w:t>
            </w:r>
            <w:proofErr w:type="spellEnd"/>
          </w:p>
          <w:p w14:paraId="58F2FC06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- metale</w:t>
            </w:r>
          </w:p>
          <w:p w14:paraId="7CBB4C3D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</w:t>
            </w:r>
            <w:r w:rsidRPr="00FF36FB">
              <w:rPr>
                <w:rFonts w:eastAsia="ArialMT"/>
                <w:sz w:val="18"/>
                <w:szCs w:val="18"/>
                <w:lang w:eastAsia="en-US"/>
              </w:rPr>
              <w:t xml:space="preserve">- frakcja </w:t>
            </w:r>
            <w:proofErr w:type="spellStart"/>
            <w:r w:rsidRPr="00FF36FB">
              <w:rPr>
                <w:rFonts w:eastAsia="ArialMT"/>
                <w:sz w:val="18"/>
                <w:szCs w:val="18"/>
                <w:lang w:eastAsia="en-US"/>
              </w:rPr>
              <w:t>wdychalna</w:t>
            </w:r>
            <w:proofErr w:type="spellEnd"/>
          </w:p>
          <w:p w14:paraId="3868CD1A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</w:t>
            </w:r>
            <w:r w:rsidRPr="00FF36FB">
              <w:rPr>
                <w:rFonts w:eastAsia="ArialMT"/>
                <w:sz w:val="18"/>
                <w:szCs w:val="18"/>
                <w:lang w:eastAsia="en-US"/>
              </w:rPr>
              <w:t xml:space="preserve">- frakcja </w:t>
            </w:r>
            <w:proofErr w:type="spellStart"/>
            <w:r w:rsidRPr="00FF36FB">
              <w:rPr>
                <w:rFonts w:eastAsia="ArialMT"/>
                <w:sz w:val="18"/>
                <w:szCs w:val="18"/>
                <w:lang w:eastAsia="en-US"/>
              </w:rPr>
              <w:t>respirabilna</w:t>
            </w:r>
            <w:proofErr w:type="spellEnd"/>
          </w:p>
          <w:p w14:paraId="27912B8C" w14:textId="77777777" w:rsidR="00A9372E" w:rsidRPr="00FF36FB" w:rsidRDefault="00A9372E" w:rsidP="002C2069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Metoda dozymetrii indywidualnej</w:t>
            </w:r>
          </w:p>
          <w:p w14:paraId="0740702E" w14:textId="77777777" w:rsidR="00A9372E" w:rsidRPr="00FF36FB" w:rsidRDefault="00A9372E" w:rsidP="002C2069">
            <w:pPr>
              <w:rPr>
                <w:color w:val="000000"/>
                <w:sz w:val="18"/>
                <w:szCs w:val="18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Metoda stacjonarna</w:t>
            </w:r>
          </w:p>
        </w:tc>
        <w:tc>
          <w:tcPr>
            <w:tcW w:w="3260" w:type="dxa"/>
          </w:tcPr>
          <w:p w14:paraId="4E1C51C7" w14:textId="77777777" w:rsidR="00A9372E" w:rsidRPr="00FF36FB" w:rsidRDefault="00A9372E" w:rsidP="008B0EC5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PN-Z-04008-07:2002</w:t>
            </w:r>
          </w:p>
          <w:p w14:paraId="2F7A1A8F" w14:textId="77777777" w:rsidR="00A9372E" w:rsidRPr="00FF36FB" w:rsidRDefault="00A9372E" w:rsidP="008B0EC5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PN-Z-04008-07:2002/Az1:2004</w:t>
            </w:r>
          </w:p>
          <w:p w14:paraId="7A599C90" w14:textId="77777777" w:rsidR="00A9372E" w:rsidRPr="00FF36FB" w:rsidRDefault="00A9372E" w:rsidP="008B0EC5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856" w:type="dxa"/>
          </w:tcPr>
          <w:p w14:paraId="5AD83E7E" w14:textId="77777777" w:rsidR="00A9372E" w:rsidRPr="004D694B" w:rsidRDefault="004D694B" w:rsidP="004D694B">
            <w:pPr>
              <w:spacing w:after="200" w:line="276" w:lineRule="auto"/>
              <w:jc w:val="center"/>
              <w:rPr>
                <w:b/>
                <w:spacing w:val="-1"/>
                <w:sz w:val="18"/>
                <w:szCs w:val="18"/>
              </w:rPr>
            </w:pPr>
            <w:r w:rsidRPr="004D694B">
              <w:rPr>
                <w:b/>
                <w:spacing w:val="-1"/>
                <w:sz w:val="18"/>
                <w:szCs w:val="18"/>
              </w:rPr>
              <w:t>A</w:t>
            </w:r>
          </w:p>
          <w:p w14:paraId="34E23D1E" w14:textId="77777777" w:rsidR="00A9372E" w:rsidRPr="00FF36FB" w:rsidRDefault="00A9372E" w:rsidP="004D694B">
            <w:pPr>
              <w:shd w:val="clear" w:color="auto" w:fill="FFFFFF"/>
              <w:jc w:val="center"/>
              <w:rPr>
                <w:spacing w:val="-1"/>
                <w:sz w:val="18"/>
                <w:szCs w:val="18"/>
              </w:rPr>
            </w:pPr>
          </w:p>
        </w:tc>
      </w:tr>
      <w:tr w:rsidR="00A9372E" w:rsidRPr="00B92378" w14:paraId="321BBD20" w14:textId="77777777" w:rsidTr="00CA7B87">
        <w:trPr>
          <w:trHeight w:val="856"/>
          <w:jc w:val="center"/>
        </w:trPr>
        <w:tc>
          <w:tcPr>
            <w:tcW w:w="5240" w:type="dxa"/>
            <w:vAlign w:val="center"/>
          </w:tcPr>
          <w:p w14:paraId="128D28B5" w14:textId="77777777" w:rsidR="00A9372E" w:rsidRPr="00FF36FB" w:rsidRDefault="004D694B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P</w:t>
            </w:r>
            <w:r w:rsidR="00A9372E" w:rsidRPr="00FF36FB">
              <w:rPr>
                <w:rFonts w:eastAsiaTheme="minorHAnsi"/>
                <w:bCs/>
                <w:sz w:val="18"/>
                <w:szCs w:val="18"/>
                <w:lang w:eastAsia="en-US"/>
              </w:rPr>
              <w:t>owietrze</w:t>
            </w:r>
          </w:p>
          <w:p w14:paraId="4C5F5F80" w14:textId="77777777" w:rsidR="004D694B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 xml:space="preserve">Stężenie </w:t>
            </w:r>
            <w:r w:rsidR="004D694B">
              <w:rPr>
                <w:rFonts w:eastAsia="ArialMT"/>
                <w:sz w:val="18"/>
                <w:szCs w:val="18"/>
                <w:lang w:eastAsia="en-US"/>
              </w:rPr>
              <w:t xml:space="preserve"> pyłowych czynników szkodliwych dla zdrowia</w:t>
            </w:r>
          </w:p>
          <w:p w14:paraId="01DF90BD" w14:textId="77777777" w:rsidR="00A9372E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- frakcja </w:t>
            </w:r>
            <w:proofErr w:type="spellStart"/>
            <w:r>
              <w:rPr>
                <w:rFonts w:eastAsia="ArialMT"/>
                <w:sz w:val="18"/>
                <w:szCs w:val="18"/>
                <w:lang w:eastAsia="en-US"/>
              </w:rPr>
              <w:t>wdychalna</w:t>
            </w:r>
            <w:proofErr w:type="spellEnd"/>
          </w:p>
          <w:p w14:paraId="78C050F6" w14:textId="77777777" w:rsidR="004D694B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apatyty i fosforyty</w:t>
            </w:r>
          </w:p>
          <w:p w14:paraId="04EEF751" w14:textId="77777777" w:rsidR="004D694B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cement portlandzki</w:t>
            </w:r>
          </w:p>
          <w:p w14:paraId="5E9291E6" w14:textId="77777777" w:rsidR="004D694B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- </w:t>
            </w:r>
            <w:proofErr w:type="spellStart"/>
            <w:r>
              <w:rPr>
                <w:rFonts w:eastAsia="ArialMT"/>
                <w:sz w:val="18"/>
                <w:szCs w:val="18"/>
                <w:lang w:eastAsia="en-US"/>
              </w:rPr>
              <w:t>ditlenek</w:t>
            </w:r>
            <w:proofErr w:type="spellEnd"/>
            <w:r>
              <w:rPr>
                <w:rFonts w:eastAsia="ArialMT"/>
                <w:sz w:val="18"/>
                <w:szCs w:val="18"/>
                <w:lang w:eastAsia="en-US"/>
              </w:rPr>
              <w:t xml:space="preserve"> tytanu</w:t>
            </w:r>
          </w:p>
          <w:p w14:paraId="37F41C97" w14:textId="77777777" w:rsidR="004D694B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grafit naturalny</w:t>
            </w:r>
          </w:p>
          <w:p w14:paraId="2AF9A63F" w14:textId="77777777" w:rsidR="004D694B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grafit syntetyczny</w:t>
            </w:r>
          </w:p>
          <w:p w14:paraId="466B8D1D" w14:textId="77777777" w:rsidR="004D694B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kaolin</w:t>
            </w:r>
          </w:p>
          <w:p w14:paraId="27115D4A" w14:textId="77777777" w:rsidR="004D694B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krzemionka bezpostaciowa i syntetyczna</w:t>
            </w:r>
          </w:p>
          <w:p w14:paraId="6034ABDC" w14:textId="77777777" w:rsidR="004D694B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pyły drewna</w:t>
            </w:r>
          </w:p>
          <w:p w14:paraId="5FB1F7CD" w14:textId="77777777" w:rsidR="004D694B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pyły maki</w:t>
            </w:r>
          </w:p>
          <w:p w14:paraId="497C6E5B" w14:textId="77777777" w:rsidR="004D694B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pyły niesklasyfikowane ze względu na toksyczność</w:t>
            </w:r>
          </w:p>
          <w:p w14:paraId="45A26EB4" w14:textId="77777777" w:rsidR="004D694B" w:rsidRDefault="004D694B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- pyły organiczne  pochodzenia zwierzęcego i roślinnego z wyjątkiem </w:t>
            </w:r>
            <w:r w:rsidR="00E37B6E">
              <w:rPr>
                <w:rFonts w:eastAsia="ArialMT"/>
                <w:sz w:val="18"/>
                <w:szCs w:val="18"/>
                <w:lang w:eastAsia="en-US"/>
              </w:rPr>
              <w:t>pyłów drewna i mą</w:t>
            </w:r>
            <w:r>
              <w:rPr>
                <w:rFonts w:eastAsia="ArialMT"/>
                <w:sz w:val="18"/>
                <w:szCs w:val="18"/>
                <w:lang w:eastAsia="en-US"/>
              </w:rPr>
              <w:t>ki</w:t>
            </w:r>
          </w:p>
          <w:p w14:paraId="037DBA79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siarczan(VI) wapnia (gips)</w:t>
            </w:r>
          </w:p>
          <w:p w14:paraId="09676796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sadza techniczna</w:t>
            </w:r>
          </w:p>
          <w:p w14:paraId="5EFD9EBC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talk</w:t>
            </w:r>
          </w:p>
          <w:p w14:paraId="42BF89CF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węgiel (kamienny, brunatny)</w:t>
            </w:r>
          </w:p>
          <w:p w14:paraId="4916992C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węglan magnezu wapnia(dolomit)</w:t>
            </w:r>
          </w:p>
          <w:p w14:paraId="02FF1810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węglik krzemu, niewłóknisty</w:t>
            </w:r>
          </w:p>
          <w:p w14:paraId="0F4AC095" w14:textId="77777777" w:rsidR="00A9372E" w:rsidRPr="00FF36FB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 xml:space="preserve">Metoda </w:t>
            </w:r>
            <w:proofErr w:type="spellStart"/>
            <w:r w:rsidRPr="00FF36FB">
              <w:rPr>
                <w:rFonts w:eastAsia="ArialMT"/>
                <w:sz w:val="18"/>
                <w:szCs w:val="18"/>
                <w:lang w:eastAsia="en-US"/>
              </w:rPr>
              <w:t>filtracyjno</w:t>
            </w:r>
            <w:proofErr w:type="spellEnd"/>
            <w:r w:rsidRPr="00FF36FB">
              <w:rPr>
                <w:rFonts w:eastAsia="ArialMT"/>
                <w:sz w:val="18"/>
                <w:szCs w:val="18"/>
                <w:lang w:eastAsia="en-US"/>
              </w:rPr>
              <w:t xml:space="preserve"> – wagowa</w:t>
            </w:r>
          </w:p>
        </w:tc>
        <w:tc>
          <w:tcPr>
            <w:tcW w:w="3260" w:type="dxa"/>
            <w:vAlign w:val="center"/>
          </w:tcPr>
          <w:p w14:paraId="41CAD266" w14:textId="77777777" w:rsidR="00A9372E" w:rsidRPr="00FF36FB" w:rsidRDefault="00A9372E" w:rsidP="00FF36FB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PN-91/Z-04030/05</w:t>
            </w:r>
            <w:r w:rsidR="00332992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="00332992" w:rsidRPr="00332992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(1)</w:t>
            </w:r>
          </w:p>
        </w:tc>
        <w:tc>
          <w:tcPr>
            <w:tcW w:w="856" w:type="dxa"/>
            <w:vAlign w:val="center"/>
          </w:tcPr>
          <w:p w14:paraId="1CF65B5D" w14:textId="77777777" w:rsidR="00A9372E" w:rsidRPr="00E37B6E" w:rsidRDefault="00E37B6E" w:rsidP="00A9372E">
            <w:pPr>
              <w:shd w:val="clear" w:color="auto" w:fill="FFFFFF"/>
              <w:rPr>
                <w:b/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   </w:t>
            </w:r>
            <w:r w:rsidRPr="00E37B6E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A9372E" w:rsidRPr="00B92378" w14:paraId="47668CBD" w14:textId="77777777" w:rsidTr="00CA7B87">
        <w:trPr>
          <w:trHeight w:val="340"/>
          <w:jc w:val="center"/>
        </w:trPr>
        <w:tc>
          <w:tcPr>
            <w:tcW w:w="5240" w:type="dxa"/>
            <w:vAlign w:val="center"/>
          </w:tcPr>
          <w:p w14:paraId="6D335342" w14:textId="77777777" w:rsidR="00A9372E" w:rsidRPr="00FF36FB" w:rsidRDefault="00E37B6E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P</w:t>
            </w:r>
            <w:r w:rsidR="00A9372E" w:rsidRPr="00FF36FB">
              <w:rPr>
                <w:rFonts w:eastAsiaTheme="minorHAnsi"/>
                <w:bCs/>
                <w:sz w:val="18"/>
                <w:szCs w:val="18"/>
                <w:lang w:eastAsia="en-US"/>
              </w:rPr>
              <w:t>owietrze</w:t>
            </w:r>
          </w:p>
          <w:p w14:paraId="650DF4A0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Stężenie pyłowych czynników szkodliwych dla zdrowia </w:t>
            </w:r>
          </w:p>
          <w:p w14:paraId="636E7C75" w14:textId="77777777" w:rsidR="00A9372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- </w:t>
            </w:r>
            <w:r w:rsidR="00A9372E" w:rsidRPr="00FF36FB">
              <w:rPr>
                <w:rFonts w:eastAsia="ArialMT"/>
                <w:sz w:val="18"/>
                <w:szCs w:val="18"/>
                <w:lang w:eastAsia="en-US"/>
              </w:rPr>
              <w:t xml:space="preserve"> frakcja </w:t>
            </w:r>
            <w:proofErr w:type="spellStart"/>
            <w:r w:rsidR="00A9372E" w:rsidRPr="00FF36FB">
              <w:rPr>
                <w:rFonts w:eastAsia="ArialMT"/>
                <w:sz w:val="18"/>
                <w:szCs w:val="18"/>
                <w:lang w:eastAsia="en-US"/>
              </w:rPr>
              <w:t>respirabilna</w:t>
            </w:r>
            <w:proofErr w:type="spellEnd"/>
          </w:p>
          <w:p w14:paraId="20A988A5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apatyty, fosforyty</w:t>
            </w:r>
          </w:p>
          <w:p w14:paraId="22EBEA40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cement portlandzki</w:t>
            </w:r>
          </w:p>
          <w:p w14:paraId="4F865797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grafit naturalny</w:t>
            </w:r>
          </w:p>
          <w:p w14:paraId="6FDB1A7D" w14:textId="77777777" w:rsidR="009526A2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krzemionka bezpostaciowa i syntetyczna</w:t>
            </w:r>
          </w:p>
          <w:p w14:paraId="4394170F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lastRenderedPageBreak/>
              <w:t>- pyły organiczne pochodzenia zwierzęcego i roślinnego</w:t>
            </w:r>
            <w:r w:rsidR="00951946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ArialMT"/>
                <w:sz w:val="18"/>
                <w:szCs w:val="18"/>
                <w:lang w:eastAsia="en-US"/>
              </w:rPr>
              <w:t>z wyjątkiem pyłów drewna i maki</w:t>
            </w:r>
          </w:p>
          <w:p w14:paraId="234578C9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spaliny silnika diesla</w:t>
            </w:r>
          </w:p>
          <w:p w14:paraId="3B3784CC" w14:textId="77777777" w:rsidR="00E37B6E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talk</w:t>
            </w:r>
          </w:p>
          <w:p w14:paraId="5BEE4E6A" w14:textId="77777777" w:rsidR="00E37B6E" w:rsidRPr="00FF36FB" w:rsidRDefault="00E37B6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węgiel (kamienny, brunatny)</w:t>
            </w:r>
          </w:p>
          <w:p w14:paraId="60431D36" w14:textId="77777777" w:rsidR="00A9372E" w:rsidRPr="00FF36FB" w:rsidRDefault="00A9372E" w:rsidP="00FF36FB">
            <w:pPr>
              <w:rPr>
                <w:color w:val="000000"/>
                <w:sz w:val="18"/>
                <w:szCs w:val="18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Metoda filtracyjno-wagowa</w:t>
            </w:r>
          </w:p>
        </w:tc>
        <w:tc>
          <w:tcPr>
            <w:tcW w:w="3260" w:type="dxa"/>
            <w:vAlign w:val="center"/>
          </w:tcPr>
          <w:p w14:paraId="09C47F41" w14:textId="77777777" w:rsidR="00A9372E" w:rsidRPr="00FF36FB" w:rsidRDefault="00A9372E" w:rsidP="00FF36FB">
            <w:pPr>
              <w:autoSpaceDE w:val="0"/>
              <w:autoSpaceDN w:val="0"/>
              <w:adjustRightInd w:val="0"/>
              <w:rPr>
                <w:spacing w:val="-1"/>
                <w:sz w:val="18"/>
                <w:szCs w:val="18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lastRenderedPageBreak/>
              <w:t>PN-91/Z-04030/06</w:t>
            </w:r>
            <w:r w:rsidR="00332992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="00332992" w:rsidRPr="00332992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(1)</w:t>
            </w:r>
          </w:p>
        </w:tc>
        <w:tc>
          <w:tcPr>
            <w:tcW w:w="856" w:type="dxa"/>
            <w:vAlign w:val="center"/>
          </w:tcPr>
          <w:p w14:paraId="5252A3E6" w14:textId="77777777" w:rsidR="00A9372E" w:rsidRPr="00E37B6E" w:rsidRDefault="00E37B6E" w:rsidP="00DF5250">
            <w:pPr>
              <w:autoSpaceDE w:val="0"/>
              <w:autoSpaceDN w:val="0"/>
              <w:adjustRightInd w:val="0"/>
              <w:jc w:val="center"/>
              <w:rPr>
                <w:b/>
                <w:spacing w:val="-1"/>
                <w:sz w:val="18"/>
                <w:szCs w:val="18"/>
              </w:rPr>
            </w:pPr>
            <w:r w:rsidRPr="00E37B6E">
              <w:rPr>
                <w:b/>
                <w:spacing w:val="-1"/>
                <w:sz w:val="18"/>
                <w:szCs w:val="18"/>
              </w:rPr>
              <w:t>A</w:t>
            </w:r>
          </w:p>
        </w:tc>
      </w:tr>
      <w:tr w:rsidR="00A9372E" w:rsidRPr="00B92378" w14:paraId="3A7DB63B" w14:textId="77777777" w:rsidTr="00CA7B87">
        <w:trPr>
          <w:trHeight w:val="340"/>
          <w:jc w:val="center"/>
        </w:trPr>
        <w:tc>
          <w:tcPr>
            <w:tcW w:w="5240" w:type="dxa"/>
            <w:vAlign w:val="center"/>
          </w:tcPr>
          <w:p w14:paraId="443214DD" w14:textId="77777777" w:rsidR="00A9372E" w:rsidRPr="00FF36FB" w:rsidRDefault="00A9372E" w:rsidP="00E37B6E">
            <w:pPr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Stężenie tlenku węgla</w:t>
            </w:r>
          </w:p>
          <w:p w14:paraId="505732D5" w14:textId="77777777" w:rsidR="00A9372E" w:rsidRPr="00FF36FB" w:rsidRDefault="00A9372E" w:rsidP="00FF36FB">
            <w:pPr>
              <w:rPr>
                <w:color w:val="000000"/>
                <w:sz w:val="18"/>
                <w:szCs w:val="18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Metoda elektrochemiczna</w:t>
            </w:r>
          </w:p>
        </w:tc>
        <w:tc>
          <w:tcPr>
            <w:tcW w:w="3260" w:type="dxa"/>
            <w:vAlign w:val="center"/>
          </w:tcPr>
          <w:p w14:paraId="3C45F955" w14:textId="77777777" w:rsidR="00A9372E" w:rsidRPr="00FF36FB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PB-OBŚPBR-01</w:t>
            </w:r>
          </w:p>
          <w:p w14:paraId="637B178E" w14:textId="77777777" w:rsidR="00A9372E" w:rsidRPr="007F79CE" w:rsidRDefault="00C653CF" w:rsidP="00FF36FB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w</w:t>
            </w:r>
            <w:r w:rsidR="00E37B6E">
              <w:rPr>
                <w:rFonts w:eastAsia="ArialMT"/>
                <w:sz w:val="18"/>
                <w:szCs w:val="18"/>
                <w:lang w:eastAsia="en-US"/>
              </w:rPr>
              <w:t>ydanie 2 z dnia  15.02.2019</w:t>
            </w:r>
            <w:r w:rsidR="00A9372E" w:rsidRPr="00FF36FB">
              <w:rPr>
                <w:rFonts w:eastAsia="ArialMT"/>
                <w:sz w:val="18"/>
                <w:szCs w:val="18"/>
                <w:lang w:eastAsia="en-US"/>
              </w:rPr>
              <w:t xml:space="preserve"> r.</w:t>
            </w:r>
          </w:p>
        </w:tc>
        <w:tc>
          <w:tcPr>
            <w:tcW w:w="856" w:type="dxa"/>
            <w:vAlign w:val="center"/>
          </w:tcPr>
          <w:p w14:paraId="04438F16" w14:textId="77777777" w:rsidR="00A9372E" w:rsidRPr="00E37B6E" w:rsidRDefault="00E37B6E">
            <w:pPr>
              <w:spacing w:after="200" w:line="276" w:lineRule="auto"/>
              <w:rPr>
                <w:b/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     </w:t>
            </w:r>
            <w:r w:rsidRPr="00E37B6E">
              <w:rPr>
                <w:b/>
                <w:spacing w:val="-1"/>
                <w:sz w:val="18"/>
                <w:szCs w:val="18"/>
              </w:rPr>
              <w:t xml:space="preserve">A                            </w:t>
            </w:r>
          </w:p>
          <w:p w14:paraId="2ED4F312" w14:textId="77777777" w:rsidR="00A9372E" w:rsidRPr="007F79CE" w:rsidRDefault="00A9372E" w:rsidP="00FF36FB">
            <w:pPr>
              <w:shd w:val="clear" w:color="auto" w:fill="FFFFFF"/>
              <w:rPr>
                <w:spacing w:val="-1"/>
                <w:sz w:val="18"/>
                <w:szCs w:val="18"/>
              </w:rPr>
            </w:pPr>
          </w:p>
        </w:tc>
      </w:tr>
      <w:tr w:rsidR="00A9372E" w:rsidRPr="00B92378" w14:paraId="1175D13C" w14:textId="77777777" w:rsidTr="00CA7B87">
        <w:trPr>
          <w:trHeight w:val="340"/>
          <w:jc w:val="center"/>
        </w:trPr>
        <w:tc>
          <w:tcPr>
            <w:tcW w:w="5240" w:type="dxa"/>
          </w:tcPr>
          <w:p w14:paraId="03C4D439" w14:textId="77777777" w:rsidR="00A02EA9" w:rsidRDefault="00A02EA9" w:rsidP="00E37B6E">
            <w:pPr>
              <w:rPr>
                <w:rFonts w:eastAsia="ArialMT"/>
                <w:sz w:val="18"/>
                <w:szCs w:val="18"/>
                <w:lang w:eastAsia="en-US"/>
              </w:rPr>
            </w:pPr>
          </w:p>
          <w:p w14:paraId="310E3991" w14:textId="77777777" w:rsidR="00A9372E" w:rsidRDefault="00A9372E" w:rsidP="00E37B6E">
            <w:pPr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Stężenie amoniaku</w:t>
            </w:r>
          </w:p>
          <w:p w14:paraId="09C3459F" w14:textId="77777777" w:rsidR="00A9372E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Metoda spektrofotometryczna</w:t>
            </w:r>
          </w:p>
          <w:p w14:paraId="2352A55A" w14:textId="77777777" w:rsidR="00A02EA9" w:rsidRPr="00FF36FB" w:rsidRDefault="00A02EA9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349E3733" w14:textId="77777777" w:rsidR="00A02EA9" w:rsidRDefault="00A02EA9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34B880A3" w14:textId="77777777" w:rsidR="00A9372E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PN-71/Z-04041</w:t>
            </w:r>
            <w:r w:rsidR="00A02EA9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="00A02EA9" w:rsidRPr="00271FDE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(1</w:t>
            </w:r>
            <w:r w:rsidRPr="00271FDE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)</w:t>
            </w:r>
            <w:r w:rsidR="00271FDE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="00271FDE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(2</w:t>
            </w:r>
            <w:r w:rsidR="00271FDE" w:rsidRPr="00332992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)</w:t>
            </w:r>
          </w:p>
          <w:p w14:paraId="252BB047" w14:textId="77777777" w:rsidR="00A02EA9" w:rsidRPr="00FF36FB" w:rsidRDefault="00A02EA9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</w:tcPr>
          <w:p w14:paraId="18165D13" w14:textId="77777777" w:rsidR="00A02EA9" w:rsidRDefault="00E37B6E" w:rsidP="00A9372E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</w:t>
            </w:r>
          </w:p>
          <w:p w14:paraId="2CFD6E1B" w14:textId="77777777" w:rsidR="00A9372E" w:rsidRPr="00E37B6E" w:rsidRDefault="00A02EA9" w:rsidP="00A9372E">
            <w:pPr>
              <w:autoSpaceDE w:val="0"/>
              <w:autoSpaceDN w:val="0"/>
              <w:adjustRightInd w:val="0"/>
              <w:rPr>
                <w:rFonts w:eastAsia="ArialMT"/>
                <w:b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</w:t>
            </w:r>
            <w:r w:rsidR="00E37B6E">
              <w:rPr>
                <w:rFonts w:eastAsia="ArialMT"/>
                <w:sz w:val="18"/>
                <w:szCs w:val="18"/>
                <w:lang w:eastAsia="en-US"/>
              </w:rPr>
              <w:t xml:space="preserve">  </w:t>
            </w:r>
            <w:r w:rsidR="00E37B6E" w:rsidRPr="00E37B6E">
              <w:rPr>
                <w:rFonts w:eastAsia="ArialMT"/>
                <w:b/>
                <w:sz w:val="18"/>
                <w:szCs w:val="18"/>
                <w:lang w:eastAsia="en-US"/>
              </w:rPr>
              <w:t>A</w:t>
            </w:r>
          </w:p>
        </w:tc>
      </w:tr>
      <w:tr w:rsidR="00A9372E" w:rsidRPr="00B92378" w14:paraId="4746F9EA" w14:textId="77777777" w:rsidTr="00CA7B87">
        <w:trPr>
          <w:trHeight w:val="340"/>
          <w:jc w:val="center"/>
        </w:trPr>
        <w:tc>
          <w:tcPr>
            <w:tcW w:w="5240" w:type="dxa"/>
          </w:tcPr>
          <w:p w14:paraId="6FE8B2F3" w14:textId="77777777" w:rsidR="00A9372E" w:rsidRDefault="00A9372E" w:rsidP="00E37B6E">
            <w:pPr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Stężenie tlenków żelaza –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w </w:t>
            </w:r>
            <w:r w:rsidRPr="00FF36FB">
              <w:rPr>
                <w:rFonts w:eastAsia="ArialMT"/>
                <w:sz w:val="18"/>
                <w:szCs w:val="18"/>
                <w:lang w:eastAsia="en-US"/>
              </w:rPr>
              <w:t>przeliczeniu na Fe</w:t>
            </w:r>
          </w:p>
          <w:p w14:paraId="4D261168" w14:textId="77777777" w:rsidR="00E37B6E" w:rsidRDefault="00E37B6E" w:rsidP="00E37B6E">
            <w:pPr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Tlenek żelaza (III)</w:t>
            </w:r>
          </w:p>
          <w:p w14:paraId="4876A9CF" w14:textId="77777777" w:rsidR="00E37B6E" w:rsidRDefault="00E37B6E" w:rsidP="00E37B6E">
            <w:pPr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Tlenek żelaza (II)</w:t>
            </w:r>
          </w:p>
          <w:p w14:paraId="0B5D3AAD" w14:textId="77777777" w:rsidR="00E37B6E" w:rsidRDefault="00E37B6E" w:rsidP="00E37B6E">
            <w:pPr>
              <w:rPr>
                <w:rFonts w:eastAsia="ArialM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ArialMT"/>
                <w:sz w:val="18"/>
                <w:szCs w:val="18"/>
                <w:lang w:eastAsia="en-US"/>
              </w:rPr>
              <w:t>Tetratlenek</w:t>
            </w:r>
            <w:proofErr w:type="spellEnd"/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ArialMT"/>
                <w:sz w:val="18"/>
                <w:szCs w:val="18"/>
                <w:lang w:eastAsia="en-US"/>
              </w:rPr>
              <w:t>triżelaza</w:t>
            </w:r>
            <w:proofErr w:type="spellEnd"/>
          </w:p>
          <w:p w14:paraId="12A0B579" w14:textId="77777777" w:rsidR="00A9372E" w:rsidRPr="00FF36FB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- frakcja </w:t>
            </w:r>
            <w:proofErr w:type="spellStart"/>
            <w:r>
              <w:rPr>
                <w:rFonts w:eastAsia="ArialMT"/>
                <w:sz w:val="18"/>
                <w:szCs w:val="18"/>
                <w:lang w:eastAsia="en-US"/>
              </w:rPr>
              <w:t>wdychalna</w:t>
            </w:r>
            <w:proofErr w:type="spellEnd"/>
          </w:p>
          <w:p w14:paraId="3A5EA665" w14:textId="77777777" w:rsidR="00A9372E" w:rsidRPr="00FF36FB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frakcja respirabilna</w:t>
            </w:r>
          </w:p>
          <w:p w14:paraId="5C223673" w14:textId="77777777" w:rsidR="00A9372E" w:rsidRPr="008B0EC5" w:rsidRDefault="00A9372E" w:rsidP="008B0EC5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Metoda pł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omieniowej absorpcyjnej </w:t>
            </w:r>
            <w:r w:rsidRPr="00FF36FB">
              <w:rPr>
                <w:rFonts w:eastAsia="ArialMT"/>
                <w:sz w:val="18"/>
                <w:szCs w:val="18"/>
                <w:lang w:eastAsia="en-US"/>
              </w:rPr>
              <w:t>spektometrii atomowej (FAAS)</w:t>
            </w:r>
          </w:p>
        </w:tc>
        <w:tc>
          <w:tcPr>
            <w:tcW w:w="3260" w:type="dxa"/>
          </w:tcPr>
          <w:p w14:paraId="278FB7BD" w14:textId="77777777" w:rsidR="00A9372E" w:rsidRPr="00FF36FB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FF36FB">
              <w:rPr>
                <w:rFonts w:eastAsia="ArialMT"/>
                <w:sz w:val="18"/>
                <w:szCs w:val="18"/>
                <w:lang w:eastAsia="en-US"/>
              </w:rPr>
              <w:t>PN-Z-04469:2015-10</w:t>
            </w:r>
          </w:p>
        </w:tc>
        <w:tc>
          <w:tcPr>
            <w:tcW w:w="856" w:type="dxa"/>
          </w:tcPr>
          <w:p w14:paraId="4F889EF5" w14:textId="77777777" w:rsidR="00A9372E" w:rsidRPr="00CD40F0" w:rsidRDefault="00CD40F0" w:rsidP="00A9372E">
            <w:pPr>
              <w:autoSpaceDE w:val="0"/>
              <w:autoSpaceDN w:val="0"/>
              <w:adjustRightInd w:val="0"/>
              <w:rPr>
                <w:rFonts w:eastAsia="ArialMT"/>
                <w:b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  </w:t>
            </w:r>
            <w:r w:rsidRPr="00CD40F0">
              <w:rPr>
                <w:rFonts w:eastAsia="ArialMT"/>
                <w:b/>
                <w:sz w:val="18"/>
                <w:szCs w:val="18"/>
                <w:lang w:eastAsia="en-US"/>
              </w:rPr>
              <w:t>A</w:t>
            </w:r>
          </w:p>
        </w:tc>
      </w:tr>
      <w:tr w:rsidR="00A9372E" w:rsidRPr="00B92378" w14:paraId="351D2BD7" w14:textId="77777777" w:rsidTr="00CA7B87">
        <w:trPr>
          <w:trHeight w:val="340"/>
          <w:jc w:val="center"/>
        </w:trPr>
        <w:tc>
          <w:tcPr>
            <w:tcW w:w="5240" w:type="dxa"/>
          </w:tcPr>
          <w:p w14:paraId="08EE68D8" w14:textId="77777777" w:rsidR="00A9372E" w:rsidRPr="00E82ABD" w:rsidRDefault="00A9372E" w:rsidP="00CD40F0">
            <w:pPr>
              <w:rPr>
                <w:rFonts w:eastAsia="ArialMT"/>
                <w:sz w:val="18"/>
                <w:szCs w:val="18"/>
                <w:lang w:eastAsia="en-US"/>
              </w:rPr>
            </w:pPr>
            <w:r w:rsidRPr="00E82ABD">
              <w:rPr>
                <w:rFonts w:eastAsia="ArialMT"/>
                <w:sz w:val="18"/>
                <w:szCs w:val="18"/>
                <w:lang w:eastAsia="en-US"/>
              </w:rPr>
              <w:t>Stężenie manganu i jego związków nieorganicznych w przeliczeniu na Mn</w:t>
            </w:r>
          </w:p>
          <w:p w14:paraId="3D38C9FC" w14:textId="77777777" w:rsidR="00A9372E" w:rsidRPr="00E82ABD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E82ABD">
              <w:rPr>
                <w:rFonts w:eastAsia="ArialMT"/>
                <w:sz w:val="18"/>
                <w:szCs w:val="18"/>
                <w:lang w:eastAsia="en-US"/>
              </w:rPr>
              <w:t>- frakcja wdychalna</w:t>
            </w:r>
          </w:p>
          <w:p w14:paraId="46A9A622" w14:textId="77777777" w:rsidR="00A9372E" w:rsidRPr="00E82ABD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E82ABD">
              <w:rPr>
                <w:rFonts w:eastAsia="ArialMT"/>
                <w:sz w:val="18"/>
                <w:szCs w:val="18"/>
                <w:lang w:eastAsia="en-US"/>
              </w:rPr>
              <w:t>- frakcja respirabilna</w:t>
            </w:r>
          </w:p>
          <w:p w14:paraId="75573B2B" w14:textId="77777777" w:rsidR="00A9372E" w:rsidRPr="00E82ABD" w:rsidRDefault="00A9372E" w:rsidP="008B0EC5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E82ABD">
              <w:rPr>
                <w:rFonts w:eastAsia="ArialMT"/>
                <w:sz w:val="18"/>
                <w:szCs w:val="18"/>
                <w:lang w:eastAsia="en-US"/>
              </w:rPr>
              <w:t>Metoda płomieniowej absorpcyjnej spektometrii atomowej (FAAS)</w:t>
            </w:r>
          </w:p>
        </w:tc>
        <w:tc>
          <w:tcPr>
            <w:tcW w:w="3260" w:type="dxa"/>
          </w:tcPr>
          <w:p w14:paraId="2E85D224" w14:textId="77777777" w:rsidR="00A9372E" w:rsidRPr="00E82ABD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E82ABD">
              <w:rPr>
                <w:rFonts w:eastAsia="ArialMT"/>
                <w:sz w:val="18"/>
                <w:szCs w:val="18"/>
                <w:lang w:eastAsia="en-US"/>
              </w:rPr>
              <w:t>PN-Z-04472:2015-10</w:t>
            </w:r>
          </w:p>
          <w:p w14:paraId="5EDB69BF" w14:textId="77777777" w:rsidR="00A9372E" w:rsidRPr="00E82ABD" w:rsidRDefault="00A9372E" w:rsidP="00FF36FB">
            <w:pPr>
              <w:autoSpaceDE w:val="0"/>
              <w:autoSpaceDN w:val="0"/>
              <w:adjustRightInd w:val="0"/>
              <w:rPr>
                <w:rFonts w:ascii="ArialMT" w:eastAsia="ArialMT" w:hAnsiTheme="minorHAnsi" w:cs="ArialMT"/>
                <w:sz w:val="18"/>
                <w:szCs w:val="18"/>
                <w:lang w:eastAsia="en-US"/>
              </w:rPr>
            </w:pPr>
            <w:r w:rsidRPr="00E82ABD">
              <w:rPr>
                <w:rFonts w:eastAsia="ArialMT"/>
                <w:sz w:val="18"/>
                <w:szCs w:val="18"/>
                <w:lang w:eastAsia="en-US"/>
              </w:rPr>
              <w:t>PN-Z-04472:2015-10/Ap1</w:t>
            </w:r>
          </w:p>
        </w:tc>
        <w:tc>
          <w:tcPr>
            <w:tcW w:w="856" w:type="dxa"/>
          </w:tcPr>
          <w:p w14:paraId="2274A6D8" w14:textId="77777777" w:rsidR="00A9372E" w:rsidRPr="00CD40F0" w:rsidRDefault="00CD40F0">
            <w:pPr>
              <w:spacing w:after="200" w:line="276" w:lineRule="auto"/>
              <w:rPr>
                <w:rFonts w:eastAsia="ArialMT"/>
                <w:b/>
                <w:sz w:val="18"/>
                <w:szCs w:val="18"/>
                <w:lang w:eastAsia="en-US"/>
              </w:rPr>
            </w:pPr>
            <w:r>
              <w:rPr>
                <w:rFonts w:ascii="ArialMT" w:eastAsia="ArialMT" w:hAnsiTheme="minorHAnsi" w:cs="ArialMT"/>
                <w:sz w:val="18"/>
                <w:szCs w:val="18"/>
                <w:lang w:eastAsia="en-US"/>
              </w:rPr>
              <w:t xml:space="preserve">  </w:t>
            </w:r>
            <w:r w:rsidRPr="00CD40F0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CD40F0">
              <w:rPr>
                <w:rFonts w:eastAsia="ArialMT"/>
                <w:b/>
                <w:sz w:val="18"/>
                <w:szCs w:val="18"/>
                <w:lang w:eastAsia="en-US"/>
              </w:rPr>
              <w:t>A</w:t>
            </w:r>
          </w:p>
          <w:p w14:paraId="703179DE" w14:textId="77777777" w:rsidR="00A9372E" w:rsidRPr="00E82ABD" w:rsidRDefault="00A9372E" w:rsidP="00FF36FB">
            <w:pPr>
              <w:autoSpaceDE w:val="0"/>
              <w:autoSpaceDN w:val="0"/>
              <w:adjustRightInd w:val="0"/>
              <w:rPr>
                <w:rFonts w:ascii="ArialMT" w:eastAsia="ArialMT" w:hAnsiTheme="minorHAnsi" w:cs="ArialMT"/>
                <w:sz w:val="18"/>
                <w:szCs w:val="18"/>
                <w:lang w:eastAsia="en-US"/>
              </w:rPr>
            </w:pPr>
          </w:p>
        </w:tc>
      </w:tr>
      <w:tr w:rsidR="00A9372E" w:rsidRPr="00B92378" w14:paraId="49629C31" w14:textId="77777777" w:rsidTr="00CA7B87">
        <w:trPr>
          <w:trHeight w:val="690"/>
          <w:jc w:val="center"/>
        </w:trPr>
        <w:tc>
          <w:tcPr>
            <w:tcW w:w="5240" w:type="dxa"/>
          </w:tcPr>
          <w:p w14:paraId="3B27AA0D" w14:textId="77777777" w:rsidR="00A9372E" w:rsidRPr="008B0EC5" w:rsidRDefault="00A9372E" w:rsidP="00CD40F0">
            <w:pPr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Stężenie miedzi i jej związkó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w </w:t>
            </w:r>
            <w:r w:rsidRPr="008B0EC5">
              <w:rPr>
                <w:rFonts w:eastAsia="ArialMT"/>
                <w:sz w:val="18"/>
                <w:szCs w:val="18"/>
                <w:lang w:eastAsia="en-US"/>
              </w:rPr>
              <w:t>ni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eorganicznych w przeliczeniu </w:t>
            </w:r>
            <w:r w:rsidR="00CD40F0">
              <w:rPr>
                <w:rFonts w:eastAsia="ArialMT"/>
                <w:sz w:val="18"/>
                <w:szCs w:val="18"/>
                <w:lang w:eastAsia="en-US"/>
              </w:rPr>
              <w:t xml:space="preserve">                  </w:t>
            </w:r>
            <w:r>
              <w:rPr>
                <w:rFonts w:eastAsia="ArialMT"/>
                <w:sz w:val="18"/>
                <w:szCs w:val="18"/>
                <w:lang w:eastAsia="en-US"/>
              </w:rPr>
              <w:t>na Cu</w:t>
            </w:r>
          </w:p>
          <w:p w14:paraId="7BB3917B" w14:textId="77777777" w:rsidR="00A9372E" w:rsidRPr="008B0EC5" w:rsidRDefault="00A9372E" w:rsidP="008B0EC5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Metoda pł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omieniowej absorpcyjnej </w:t>
            </w:r>
            <w:r w:rsidRPr="008B0EC5">
              <w:rPr>
                <w:rFonts w:eastAsia="ArialMT"/>
                <w:sz w:val="18"/>
                <w:szCs w:val="18"/>
                <w:lang w:eastAsia="en-US"/>
              </w:rPr>
              <w:t>spektometrii atomowej (FAAS)</w:t>
            </w:r>
          </w:p>
        </w:tc>
        <w:tc>
          <w:tcPr>
            <w:tcW w:w="3260" w:type="dxa"/>
          </w:tcPr>
          <w:p w14:paraId="32E116F1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PN-79/Z-04106.02</w:t>
            </w:r>
            <w:r w:rsidR="00271FDE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="00271FDE" w:rsidRPr="00332992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(1)</w:t>
            </w:r>
          </w:p>
        </w:tc>
        <w:tc>
          <w:tcPr>
            <w:tcW w:w="856" w:type="dxa"/>
          </w:tcPr>
          <w:p w14:paraId="0039EDC0" w14:textId="77777777" w:rsidR="00A9372E" w:rsidRPr="007B6794" w:rsidRDefault="007B6794" w:rsidP="00A9372E">
            <w:pPr>
              <w:autoSpaceDE w:val="0"/>
              <w:autoSpaceDN w:val="0"/>
              <w:adjustRightInd w:val="0"/>
              <w:rPr>
                <w:rFonts w:eastAsia="ArialMT"/>
                <w:b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  </w:t>
            </w:r>
            <w:r w:rsidRPr="007B6794">
              <w:rPr>
                <w:rFonts w:eastAsia="ArialMT"/>
                <w:b/>
                <w:sz w:val="18"/>
                <w:szCs w:val="18"/>
                <w:lang w:eastAsia="en-US"/>
              </w:rPr>
              <w:t>A</w:t>
            </w:r>
          </w:p>
        </w:tc>
      </w:tr>
      <w:tr w:rsidR="00A9372E" w:rsidRPr="00B92378" w14:paraId="72A7E99F" w14:textId="77777777" w:rsidTr="00CA7B87">
        <w:trPr>
          <w:trHeight w:val="979"/>
          <w:jc w:val="center"/>
        </w:trPr>
        <w:tc>
          <w:tcPr>
            <w:tcW w:w="5240" w:type="dxa"/>
          </w:tcPr>
          <w:p w14:paraId="670EDB8B" w14:textId="77777777" w:rsidR="00A9372E" w:rsidRPr="008B0EC5" w:rsidRDefault="009526A2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P</w:t>
            </w:r>
            <w:r w:rsidR="00A9372E" w:rsidRPr="008B0EC5">
              <w:rPr>
                <w:rFonts w:eastAsiaTheme="minorHAnsi"/>
                <w:bCs/>
                <w:sz w:val="18"/>
                <w:szCs w:val="18"/>
                <w:lang w:eastAsia="en-US"/>
              </w:rPr>
              <w:t>owietrze</w:t>
            </w:r>
          </w:p>
          <w:p w14:paraId="40094042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Stężenie/zawartość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substancji </w:t>
            </w:r>
            <w:r w:rsidRPr="008B0EC5">
              <w:rPr>
                <w:rFonts w:eastAsia="ArialMT"/>
                <w:sz w:val="18"/>
                <w:szCs w:val="18"/>
                <w:lang w:eastAsia="en-US"/>
              </w:rPr>
              <w:t>organicznych:</w:t>
            </w:r>
          </w:p>
          <w:p w14:paraId="3DF2F8DF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- acetonu, </w:t>
            </w:r>
            <w:r w:rsidRPr="008B0EC5">
              <w:rPr>
                <w:rFonts w:eastAsia="ArialMT"/>
                <w:sz w:val="18"/>
                <w:szCs w:val="18"/>
                <w:lang w:eastAsia="en-US"/>
              </w:rPr>
              <w:t xml:space="preserve">toluenu, 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etylobenzenu, ksylenu-mieszaniny </w:t>
            </w:r>
            <w:r w:rsidR="009526A2">
              <w:rPr>
                <w:rFonts w:eastAsia="ArialMT"/>
                <w:sz w:val="18"/>
                <w:szCs w:val="18"/>
                <w:lang w:eastAsia="en-US"/>
              </w:rPr>
              <w:t>izomerów: 1,2-; 1,3-; 1,4, benzenu, butanu-2-on, cykloheksanu, octanu n-butylu, octanu etylu</w:t>
            </w:r>
          </w:p>
          <w:p w14:paraId="2D425522" w14:textId="77777777" w:rsidR="00A9372E" w:rsidRDefault="00A9372E" w:rsidP="008B0EC5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Metoda chromatografii gazowej z </w:t>
            </w:r>
            <w:r w:rsidRPr="008B0EC5">
              <w:rPr>
                <w:rFonts w:eastAsia="ArialMT"/>
                <w:sz w:val="18"/>
                <w:szCs w:val="18"/>
                <w:lang w:eastAsia="en-US"/>
              </w:rPr>
              <w:t>detekcją płomieniowo-jonizacyjną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Pr="008B0EC5">
              <w:rPr>
                <w:rFonts w:eastAsia="ArialMT"/>
                <w:sz w:val="18"/>
                <w:szCs w:val="18"/>
                <w:lang w:eastAsia="en-US"/>
              </w:rPr>
              <w:t>(GC-FID)</w:t>
            </w:r>
          </w:p>
          <w:p w14:paraId="64C8D630" w14:textId="77777777" w:rsidR="00A02EA9" w:rsidRPr="008B0EC5" w:rsidRDefault="00A02EA9" w:rsidP="008B0EC5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07CDCB4E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PB-OAI-05</w:t>
            </w:r>
          </w:p>
          <w:p w14:paraId="7CFD16F8" w14:textId="4D6DD158" w:rsidR="00A9372E" w:rsidRPr="008B0EC5" w:rsidRDefault="009526A2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wydanie 5 z dnia  13.06.2019</w:t>
            </w:r>
            <w:r w:rsidR="00AF42F6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="00A9372E" w:rsidRPr="008B0EC5">
              <w:rPr>
                <w:rFonts w:eastAsia="ArialMT"/>
                <w:sz w:val="18"/>
                <w:szCs w:val="18"/>
                <w:lang w:eastAsia="en-US"/>
              </w:rPr>
              <w:t>r.</w:t>
            </w:r>
            <w:r w:rsidR="003E4A40">
              <w:t xml:space="preserve"> </w:t>
            </w:r>
            <w:r w:rsidR="003E4A40" w:rsidRPr="003E4A40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(2)</w:t>
            </w:r>
          </w:p>
        </w:tc>
        <w:tc>
          <w:tcPr>
            <w:tcW w:w="856" w:type="dxa"/>
          </w:tcPr>
          <w:p w14:paraId="14672BAC" w14:textId="77777777" w:rsidR="00A9372E" w:rsidRPr="009526A2" w:rsidRDefault="009526A2">
            <w:pPr>
              <w:spacing w:after="200" w:line="276" w:lineRule="auto"/>
              <w:rPr>
                <w:rFonts w:eastAsia="ArialMT"/>
                <w:b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 </w:t>
            </w:r>
            <w:r w:rsidRPr="009526A2">
              <w:rPr>
                <w:rFonts w:eastAsia="ArialMT"/>
                <w:b/>
                <w:sz w:val="18"/>
                <w:szCs w:val="18"/>
                <w:lang w:eastAsia="en-US"/>
              </w:rPr>
              <w:t xml:space="preserve"> A</w:t>
            </w:r>
          </w:p>
          <w:p w14:paraId="55031776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</w:tc>
      </w:tr>
      <w:tr w:rsidR="003E4A40" w:rsidRPr="003E4A40" w14:paraId="195799E8" w14:textId="77777777" w:rsidTr="00CA7B87">
        <w:trPr>
          <w:trHeight w:val="860"/>
          <w:jc w:val="center"/>
        </w:trPr>
        <w:tc>
          <w:tcPr>
            <w:tcW w:w="5240" w:type="dxa"/>
          </w:tcPr>
          <w:p w14:paraId="2EBA7E36" w14:textId="77777777" w:rsidR="00A9372E" w:rsidRPr="003E4A40" w:rsidRDefault="009526A2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3E4A40">
              <w:rPr>
                <w:rFonts w:eastAsiaTheme="minorHAnsi"/>
                <w:bCs/>
                <w:sz w:val="18"/>
                <w:szCs w:val="18"/>
                <w:lang w:eastAsia="en-US"/>
              </w:rPr>
              <w:t>P</w:t>
            </w:r>
            <w:r w:rsidR="00A9372E" w:rsidRPr="003E4A40">
              <w:rPr>
                <w:rFonts w:eastAsiaTheme="minorHAnsi"/>
                <w:bCs/>
                <w:sz w:val="18"/>
                <w:szCs w:val="18"/>
                <w:lang w:eastAsia="en-US"/>
              </w:rPr>
              <w:t>owietrze</w:t>
            </w:r>
          </w:p>
          <w:p w14:paraId="4388A46D" w14:textId="77777777" w:rsidR="00A9372E" w:rsidRPr="003E4A40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3E4A40">
              <w:rPr>
                <w:rFonts w:eastAsia="ArialMT"/>
                <w:sz w:val="18"/>
                <w:szCs w:val="18"/>
                <w:lang w:eastAsia="en-US"/>
              </w:rPr>
              <w:t>Stężenie/zawartość formaldehydu</w:t>
            </w:r>
          </w:p>
          <w:p w14:paraId="6C18B606" w14:textId="77777777" w:rsidR="00A9372E" w:rsidRPr="003E4A40" w:rsidRDefault="00C82377" w:rsidP="007E3C45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3E4A40">
              <w:rPr>
                <w:rFonts w:eastAsia="ArialMT"/>
                <w:sz w:val="18"/>
                <w:szCs w:val="18"/>
                <w:lang w:eastAsia="en-US"/>
              </w:rPr>
              <w:t>Metoda chromatografii cieczowej z detekcją matrycą diodową</w:t>
            </w:r>
          </w:p>
          <w:p w14:paraId="0B0BE883" w14:textId="77777777" w:rsidR="00A02EA9" w:rsidRPr="003E4A40" w:rsidRDefault="00C82377" w:rsidP="007E3C45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3E4A40">
              <w:rPr>
                <w:rFonts w:eastAsia="ArialMT"/>
                <w:sz w:val="18"/>
                <w:szCs w:val="18"/>
                <w:lang w:eastAsia="en-US"/>
              </w:rPr>
              <w:t>(HPLC-DAD)</w:t>
            </w:r>
          </w:p>
        </w:tc>
        <w:tc>
          <w:tcPr>
            <w:tcW w:w="3260" w:type="dxa"/>
          </w:tcPr>
          <w:p w14:paraId="62E3A575" w14:textId="77777777" w:rsidR="00A9372E" w:rsidRPr="003E4A40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3E4A40">
              <w:rPr>
                <w:rFonts w:eastAsia="ArialMT"/>
                <w:sz w:val="18"/>
                <w:szCs w:val="18"/>
                <w:lang w:eastAsia="en-US"/>
              </w:rPr>
              <w:t>PB-OAI-17</w:t>
            </w:r>
          </w:p>
          <w:p w14:paraId="524F585D" w14:textId="2748C98C" w:rsidR="00A9372E" w:rsidRPr="003E4A40" w:rsidRDefault="00E0327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3E4A40">
              <w:rPr>
                <w:rFonts w:eastAsia="ArialMT"/>
                <w:sz w:val="18"/>
                <w:szCs w:val="18"/>
                <w:lang w:eastAsia="en-US"/>
              </w:rPr>
              <w:t>wydanie 5 z dnia  20.10.2020</w:t>
            </w:r>
            <w:r w:rsidR="00AF42F6" w:rsidRPr="003E4A40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="00A9372E" w:rsidRPr="003E4A40">
              <w:rPr>
                <w:rFonts w:eastAsia="ArialMT"/>
                <w:sz w:val="18"/>
                <w:szCs w:val="18"/>
                <w:lang w:eastAsia="en-US"/>
              </w:rPr>
              <w:t>r.</w:t>
            </w:r>
            <w:r w:rsidR="003E4A40">
              <w:t xml:space="preserve"> </w:t>
            </w:r>
            <w:r w:rsidR="003E4A40" w:rsidRPr="003E4A40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(2)</w:t>
            </w:r>
          </w:p>
        </w:tc>
        <w:tc>
          <w:tcPr>
            <w:tcW w:w="856" w:type="dxa"/>
          </w:tcPr>
          <w:p w14:paraId="48FDBFFA" w14:textId="77777777" w:rsidR="00A9372E" w:rsidRPr="003E4A40" w:rsidRDefault="009526A2">
            <w:pPr>
              <w:spacing w:after="200" w:line="276" w:lineRule="auto"/>
              <w:rPr>
                <w:rFonts w:eastAsia="ArialMT"/>
                <w:b/>
                <w:sz w:val="18"/>
                <w:szCs w:val="18"/>
                <w:lang w:eastAsia="en-US"/>
              </w:rPr>
            </w:pPr>
            <w:r w:rsidRPr="003E4A40">
              <w:rPr>
                <w:rFonts w:eastAsia="ArialMT"/>
                <w:sz w:val="18"/>
                <w:szCs w:val="18"/>
                <w:lang w:eastAsia="en-US"/>
              </w:rPr>
              <w:t xml:space="preserve">   </w:t>
            </w:r>
            <w:r w:rsidRPr="003E4A40">
              <w:rPr>
                <w:rFonts w:eastAsia="ArialMT"/>
                <w:b/>
                <w:sz w:val="18"/>
                <w:szCs w:val="18"/>
                <w:lang w:eastAsia="en-US"/>
              </w:rPr>
              <w:t xml:space="preserve"> A</w:t>
            </w:r>
          </w:p>
          <w:p w14:paraId="49BAABA4" w14:textId="77777777" w:rsidR="00A9372E" w:rsidRPr="003E4A40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</w:tc>
      </w:tr>
      <w:tr w:rsidR="00A9372E" w:rsidRPr="00B92378" w14:paraId="00A5C31D" w14:textId="77777777" w:rsidTr="00CA7B87">
        <w:trPr>
          <w:trHeight w:val="787"/>
          <w:jc w:val="center"/>
        </w:trPr>
        <w:tc>
          <w:tcPr>
            <w:tcW w:w="5240" w:type="dxa"/>
          </w:tcPr>
          <w:p w14:paraId="50B81F43" w14:textId="77777777" w:rsidR="00A9372E" w:rsidRPr="008B0EC5" w:rsidRDefault="009526A2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P</w:t>
            </w:r>
            <w:r w:rsidR="00A9372E" w:rsidRPr="008B0EC5">
              <w:rPr>
                <w:rFonts w:eastAsiaTheme="minorHAnsi"/>
                <w:bCs/>
                <w:sz w:val="18"/>
                <w:szCs w:val="18"/>
                <w:lang w:eastAsia="en-US"/>
              </w:rPr>
              <w:t>owietrze</w:t>
            </w:r>
          </w:p>
          <w:p w14:paraId="42944035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 xml:space="preserve">Stężenie/zawartość </w:t>
            </w:r>
            <w:proofErr w:type="spellStart"/>
            <w:r w:rsidRPr="008B0EC5">
              <w:rPr>
                <w:rFonts w:eastAsia="ArialMT"/>
                <w:sz w:val="18"/>
                <w:szCs w:val="18"/>
                <w:lang w:eastAsia="en-US"/>
              </w:rPr>
              <w:t>tetrachloroetenu</w:t>
            </w:r>
            <w:proofErr w:type="spellEnd"/>
          </w:p>
          <w:p w14:paraId="4C6FF630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Metoda chromatografii gazowej z </w:t>
            </w:r>
            <w:r w:rsidRPr="008B0EC5">
              <w:rPr>
                <w:rFonts w:eastAsia="ArialMT"/>
                <w:sz w:val="18"/>
                <w:szCs w:val="18"/>
                <w:lang w:eastAsia="en-US"/>
              </w:rPr>
              <w:t>detekcją płomieniowo-jonizacyjną</w:t>
            </w:r>
          </w:p>
          <w:p w14:paraId="7E446D78" w14:textId="77777777" w:rsidR="00A9372E" w:rsidRDefault="00A9372E" w:rsidP="00FF36FB">
            <w:pPr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(GC-FID)</w:t>
            </w:r>
          </w:p>
          <w:p w14:paraId="2228933A" w14:textId="77777777" w:rsidR="00A02EA9" w:rsidRPr="008B0EC5" w:rsidRDefault="00A02EA9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09A4CAA7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PN-78/Z-04118</w:t>
            </w:r>
            <w:r w:rsidR="00271FDE"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="00271FDE" w:rsidRPr="00332992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(1)</w:t>
            </w:r>
          </w:p>
        </w:tc>
        <w:tc>
          <w:tcPr>
            <w:tcW w:w="856" w:type="dxa"/>
          </w:tcPr>
          <w:p w14:paraId="11FF0D16" w14:textId="77777777" w:rsidR="00A9372E" w:rsidRPr="009526A2" w:rsidRDefault="009526A2" w:rsidP="00A9372E">
            <w:pPr>
              <w:autoSpaceDE w:val="0"/>
              <w:autoSpaceDN w:val="0"/>
              <w:adjustRightInd w:val="0"/>
              <w:rPr>
                <w:rFonts w:eastAsia="ArialMT"/>
                <w:b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 </w:t>
            </w:r>
            <w:r w:rsidRPr="009526A2">
              <w:rPr>
                <w:rFonts w:eastAsia="ArialMT"/>
                <w:b/>
                <w:sz w:val="18"/>
                <w:szCs w:val="18"/>
                <w:lang w:eastAsia="en-US"/>
              </w:rPr>
              <w:t>A</w:t>
            </w:r>
          </w:p>
        </w:tc>
      </w:tr>
      <w:tr w:rsidR="00A9372E" w:rsidRPr="00B92378" w14:paraId="6C6F5125" w14:textId="77777777" w:rsidTr="00CA7B87">
        <w:trPr>
          <w:trHeight w:val="979"/>
          <w:jc w:val="center"/>
        </w:trPr>
        <w:tc>
          <w:tcPr>
            <w:tcW w:w="5240" w:type="dxa"/>
          </w:tcPr>
          <w:p w14:paraId="723AD2E6" w14:textId="77777777" w:rsidR="00A9372E" w:rsidRPr="008B0EC5" w:rsidRDefault="009526A2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P</w:t>
            </w:r>
            <w:r w:rsidR="00A9372E" w:rsidRPr="008B0EC5">
              <w:rPr>
                <w:rFonts w:eastAsiaTheme="minorHAnsi"/>
                <w:bCs/>
                <w:sz w:val="18"/>
                <w:szCs w:val="18"/>
                <w:lang w:eastAsia="en-US"/>
              </w:rPr>
              <w:t>owietrze</w:t>
            </w:r>
          </w:p>
          <w:p w14:paraId="55B9B791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Stężenie/zawartość węglowodoró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w </w:t>
            </w:r>
            <w:r w:rsidRPr="008B0EC5">
              <w:rPr>
                <w:rFonts w:eastAsia="ArialMT"/>
                <w:sz w:val="18"/>
                <w:szCs w:val="18"/>
                <w:lang w:eastAsia="en-US"/>
              </w:rPr>
              <w:t>alifatycznych C5 –C8 i ich izomerów</w:t>
            </w:r>
          </w:p>
          <w:p w14:paraId="50C41E5A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 xml:space="preserve">n-pentan, n-heksan, n-heptan, n-oktan, 2-metylopentan, </w:t>
            </w:r>
            <w:r w:rsidR="009526A2">
              <w:rPr>
                <w:rFonts w:eastAsia="ArialMT"/>
                <w:sz w:val="18"/>
                <w:szCs w:val="18"/>
                <w:lang w:eastAsia="en-US"/>
              </w:rPr>
              <w:t xml:space="preserve">                                </w:t>
            </w:r>
            <w:r w:rsidRPr="008B0EC5">
              <w:rPr>
                <w:rFonts w:eastAsia="ArialMT"/>
                <w:sz w:val="18"/>
                <w:szCs w:val="18"/>
                <w:lang w:eastAsia="en-US"/>
              </w:rPr>
              <w:t>3-metylopentan, 2-metyloheksan, 3-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metyloheksan, </w:t>
            </w:r>
            <w:proofErr w:type="spellStart"/>
            <w:r>
              <w:rPr>
                <w:rFonts w:eastAsia="ArialMT"/>
                <w:sz w:val="18"/>
                <w:szCs w:val="18"/>
                <w:lang w:eastAsia="en-US"/>
              </w:rPr>
              <w:t>metylocykloheksan</w:t>
            </w:r>
            <w:proofErr w:type="spellEnd"/>
          </w:p>
          <w:p w14:paraId="0ECD3306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Metoda chromatografi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i gazowej z </w:t>
            </w:r>
            <w:r w:rsidRPr="008B0EC5">
              <w:rPr>
                <w:rFonts w:eastAsia="ArialMT"/>
                <w:sz w:val="18"/>
                <w:szCs w:val="18"/>
                <w:lang w:eastAsia="en-US"/>
              </w:rPr>
              <w:t>detekcją płomieniowo-jonizacyjną</w:t>
            </w:r>
          </w:p>
          <w:p w14:paraId="712B15DD" w14:textId="77777777" w:rsidR="00A9372E" w:rsidRDefault="00A9372E" w:rsidP="00FF36FB">
            <w:pPr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(GC-FID)</w:t>
            </w:r>
          </w:p>
          <w:p w14:paraId="1CF2B154" w14:textId="77777777" w:rsidR="00A02EA9" w:rsidRPr="008B0EC5" w:rsidRDefault="00A02EA9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2589A8AD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PB-OAI-23</w:t>
            </w:r>
          </w:p>
          <w:p w14:paraId="2D18C16D" w14:textId="5F95AF43" w:rsidR="00A9372E" w:rsidRPr="008B0EC5" w:rsidRDefault="009526A2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wydanie 3 z dnia 13.06.2019</w:t>
            </w:r>
            <w:r w:rsidR="00A9372E" w:rsidRPr="008B0EC5">
              <w:rPr>
                <w:rFonts w:eastAsia="ArialMT"/>
                <w:sz w:val="18"/>
                <w:szCs w:val="18"/>
                <w:lang w:eastAsia="en-US"/>
              </w:rPr>
              <w:t xml:space="preserve"> r.</w:t>
            </w:r>
            <w:r w:rsidR="003E4A40">
              <w:t xml:space="preserve"> </w:t>
            </w:r>
            <w:r w:rsidR="003E4A40" w:rsidRPr="003E4A40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(2)</w:t>
            </w:r>
          </w:p>
        </w:tc>
        <w:tc>
          <w:tcPr>
            <w:tcW w:w="856" w:type="dxa"/>
          </w:tcPr>
          <w:p w14:paraId="29C13E80" w14:textId="77777777" w:rsidR="00A9372E" w:rsidRPr="009526A2" w:rsidRDefault="009526A2">
            <w:pPr>
              <w:spacing w:after="200" w:line="276" w:lineRule="auto"/>
              <w:rPr>
                <w:rFonts w:eastAsia="ArialMT"/>
                <w:b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   </w:t>
            </w:r>
            <w:r w:rsidRPr="009526A2">
              <w:rPr>
                <w:rFonts w:eastAsia="ArialMT"/>
                <w:b/>
                <w:sz w:val="18"/>
                <w:szCs w:val="18"/>
                <w:lang w:eastAsia="en-US"/>
              </w:rPr>
              <w:t>A</w:t>
            </w:r>
          </w:p>
          <w:p w14:paraId="75878E69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</w:tc>
      </w:tr>
      <w:tr w:rsidR="00A9372E" w:rsidRPr="00B92378" w14:paraId="39B91F13" w14:textId="77777777" w:rsidTr="00A02EA9">
        <w:trPr>
          <w:trHeight w:val="405"/>
          <w:jc w:val="center"/>
        </w:trPr>
        <w:tc>
          <w:tcPr>
            <w:tcW w:w="5240" w:type="dxa"/>
          </w:tcPr>
          <w:p w14:paraId="0588F427" w14:textId="77777777" w:rsidR="00A9372E" w:rsidRPr="008B0EC5" w:rsidRDefault="009526A2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P</w:t>
            </w:r>
            <w:r w:rsidR="00A9372E" w:rsidRPr="008B0EC5">
              <w:rPr>
                <w:rFonts w:eastAsiaTheme="minorHAnsi"/>
                <w:bCs/>
                <w:sz w:val="18"/>
                <w:szCs w:val="18"/>
                <w:lang w:eastAsia="en-US"/>
              </w:rPr>
              <w:t>owietrze</w:t>
            </w:r>
          </w:p>
          <w:p w14:paraId="720B2B72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 xml:space="preserve">Stężenie/zawartość </w:t>
            </w:r>
            <w:proofErr w:type="spellStart"/>
            <w:r w:rsidRPr="008B0EC5">
              <w:rPr>
                <w:rFonts w:eastAsia="ArialMT"/>
                <w:sz w:val="18"/>
                <w:szCs w:val="18"/>
                <w:lang w:eastAsia="en-US"/>
              </w:rPr>
              <w:t>epoksyetanu</w:t>
            </w:r>
            <w:proofErr w:type="spellEnd"/>
          </w:p>
          <w:p w14:paraId="318EA5DB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 xml:space="preserve">Metoda chromatografii gazowej z </w:t>
            </w:r>
            <w:r w:rsidRPr="008B0EC5">
              <w:rPr>
                <w:rFonts w:eastAsia="ArialMT"/>
                <w:sz w:val="18"/>
                <w:szCs w:val="18"/>
                <w:lang w:eastAsia="en-US"/>
              </w:rPr>
              <w:t>detekcją płomieniowo-jonizacyjną</w:t>
            </w:r>
          </w:p>
          <w:p w14:paraId="487D9CB2" w14:textId="77777777" w:rsidR="009526A2" w:rsidRDefault="00A9372E" w:rsidP="00FF36FB">
            <w:pPr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t>(GC-FID)</w:t>
            </w:r>
          </w:p>
          <w:p w14:paraId="15F14636" w14:textId="77777777" w:rsidR="001A11C4" w:rsidRDefault="001A11C4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641F4E85" w14:textId="77777777" w:rsidR="00DF5250" w:rsidRDefault="00DF5250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20143A68" w14:textId="77777777" w:rsidR="00DF5250" w:rsidRDefault="00DF5250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43116573" w14:textId="77777777" w:rsidR="009526A2" w:rsidRDefault="00A02EA9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Mikroklimat umiarkowany  *</w:t>
            </w:r>
          </w:p>
          <w:p w14:paraId="0D6DB310" w14:textId="77777777" w:rsidR="001A11C4" w:rsidRPr="008B0EC5" w:rsidRDefault="001A11C4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447B2ED3" w14:textId="77777777" w:rsidR="00A9372E" w:rsidRPr="008B0EC5" w:rsidRDefault="00A9372E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8B0EC5">
              <w:rPr>
                <w:rFonts w:eastAsia="ArialMT"/>
                <w:sz w:val="18"/>
                <w:szCs w:val="18"/>
                <w:lang w:eastAsia="en-US"/>
              </w:rPr>
              <w:lastRenderedPageBreak/>
              <w:t>PB-OAI-26</w:t>
            </w:r>
          </w:p>
          <w:p w14:paraId="44C02F77" w14:textId="0E78A250" w:rsidR="00A9372E" w:rsidRPr="003E4A40" w:rsidRDefault="009526A2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wydanie 3 z dnia 15.02.2019</w:t>
            </w:r>
            <w:r w:rsidR="00A9372E" w:rsidRPr="008B0EC5">
              <w:rPr>
                <w:rFonts w:eastAsia="ArialMT"/>
                <w:sz w:val="18"/>
                <w:szCs w:val="18"/>
                <w:lang w:eastAsia="en-US"/>
              </w:rPr>
              <w:t xml:space="preserve"> r.</w:t>
            </w:r>
            <w:r w:rsidR="003E4A40">
              <w:t xml:space="preserve"> </w:t>
            </w:r>
            <w:r w:rsidR="003E4A40" w:rsidRPr="003E4A40">
              <w:rPr>
                <w:rFonts w:eastAsia="ArialMT"/>
                <w:sz w:val="18"/>
                <w:szCs w:val="18"/>
                <w:vertAlign w:val="superscript"/>
                <w:lang w:eastAsia="en-US"/>
              </w:rPr>
              <w:t>(2)</w:t>
            </w:r>
          </w:p>
          <w:p w14:paraId="1BE9C7C4" w14:textId="77777777" w:rsidR="00A02EA9" w:rsidRDefault="00A02EA9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72A17461" w14:textId="77777777" w:rsidR="00A02EA9" w:rsidRDefault="00A02EA9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36FAA6B3" w14:textId="77777777" w:rsidR="00DF5250" w:rsidRDefault="00DF5250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48D9E570" w14:textId="77777777" w:rsidR="001A11C4" w:rsidRDefault="001A11C4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6A43CD4E" w14:textId="77777777" w:rsidR="00DF5250" w:rsidRDefault="00DF5250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46281E73" w14:textId="77777777" w:rsidR="00A02EA9" w:rsidRPr="008B0EC5" w:rsidRDefault="00A02EA9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PN-EN ISO 7730:2006</w:t>
            </w:r>
          </w:p>
        </w:tc>
        <w:tc>
          <w:tcPr>
            <w:tcW w:w="856" w:type="dxa"/>
          </w:tcPr>
          <w:p w14:paraId="0C24F7F3" w14:textId="77777777" w:rsidR="00A9372E" w:rsidRDefault="009526A2">
            <w:pPr>
              <w:spacing w:after="200" w:line="276" w:lineRule="auto"/>
              <w:rPr>
                <w:rFonts w:eastAsia="ArialMT"/>
                <w:b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lastRenderedPageBreak/>
              <w:t xml:space="preserve">   </w:t>
            </w:r>
            <w:r w:rsidRPr="00A02EA9">
              <w:rPr>
                <w:rFonts w:eastAsia="ArialMT"/>
                <w:b/>
                <w:sz w:val="18"/>
                <w:szCs w:val="18"/>
                <w:lang w:eastAsia="en-US"/>
              </w:rPr>
              <w:t>A</w:t>
            </w:r>
          </w:p>
          <w:p w14:paraId="0148D469" w14:textId="77777777" w:rsidR="00034937" w:rsidRDefault="00034937" w:rsidP="00A02EA9">
            <w:pPr>
              <w:spacing w:after="200" w:line="276" w:lineRule="auto"/>
              <w:rPr>
                <w:rFonts w:eastAsia="ArialMT"/>
                <w:b/>
                <w:sz w:val="18"/>
                <w:szCs w:val="18"/>
                <w:lang w:eastAsia="en-US"/>
              </w:rPr>
            </w:pPr>
          </w:p>
          <w:p w14:paraId="62097D49" w14:textId="77777777" w:rsidR="00DF5250" w:rsidRDefault="00DF5250" w:rsidP="00A02EA9">
            <w:pPr>
              <w:spacing w:after="200" w:line="276" w:lineRule="auto"/>
              <w:rPr>
                <w:rFonts w:eastAsia="ArialMT"/>
                <w:b/>
                <w:sz w:val="18"/>
                <w:szCs w:val="18"/>
                <w:lang w:eastAsia="en-US"/>
              </w:rPr>
            </w:pPr>
          </w:p>
          <w:p w14:paraId="21183BC1" w14:textId="77777777" w:rsidR="00A9372E" w:rsidRPr="008B0EC5" w:rsidRDefault="00A02EA9" w:rsidP="00A02EA9">
            <w:pPr>
              <w:spacing w:after="200" w:line="276" w:lineRule="auto"/>
              <w:rPr>
                <w:rFonts w:eastAsia="ArialM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eastAsia="ArialMT"/>
                <w:b/>
                <w:sz w:val="18"/>
                <w:szCs w:val="18"/>
                <w:lang w:eastAsia="en-US"/>
              </w:rPr>
              <w:lastRenderedPageBreak/>
              <w:t>Nsz</w:t>
            </w:r>
            <w:proofErr w:type="spellEnd"/>
          </w:p>
        </w:tc>
      </w:tr>
      <w:tr w:rsidR="00A02EA9" w:rsidRPr="00B92378" w14:paraId="45925C07" w14:textId="77777777" w:rsidTr="009526A2">
        <w:trPr>
          <w:trHeight w:val="615"/>
          <w:jc w:val="center"/>
        </w:trPr>
        <w:tc>
          <w:tcPr>
            <w:tcW w:w="5240" w:type="dxa"/>
          </w:tcPr>
          <w:p w14:paraId="0DE9EC14" w14:textId="77777777" w:rsidR="001A11C4" w:rsidRDefault="001A11C4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62127C60" w14:textId="77777777" w:rsidR="00A02EA9" w:rsidRDefault="00A02EA9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Hałas  w pomieszczeniach *</w:t>
            </w:r>
          </w:p>
        </w:tc>
        <w:tc>
          <w:tcPr>
            <w:tcW w:w="3260" w:type="dxa"/>
          </w:tcPr>
          <w:p w14:paraId="7A3A6928" w14:textId="77777777" w:rsidR="001A11C4" w:rsidRDefault="001A11C4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val="en-US" w:eastAsia="en-US"/>
              </w:rPr>
            </w:pPr>
          </w:p>
          <w:p w14:paraId="2DE10E28" w14:textId="77777777" w:rsidR="00A02EA9" w:rsidRPr="00332992" w:rsidRDefault="00332992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val="en-US" w:eastAsia="en-US"/>
              </w:rPr>
            </w:pPr>
            <w:r w:rsidRPr="00332992">
              <w:rPr>
                <w:rFonts w:eastAsia="ArialMT"/>
                <w:sz w:val="18"/>
                <w:szCs w:val="18"/>
                <w:lang w:val="en-US" w:eastAsia="en-US"/>
              </w:rPr>
              <w:t>PN-B-02151-2:2018-01</w:t>
            </w:r>
          </w:p>
          <w:p w14:paraId="2DE8DA4A" w14:textId="77777777" w:rsidR="00332992" w:rsidRPr="00332992" w:rsidRDefault="00332992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val="en-US" w:eastAsia="en-US"/>
              </w:rPr>
            </w:pPr>
            <w:r w:rsidRPr="00332992">
              <w:rPr>
                <w:rFonts w:eastAsia="ArialMT"/>
                <w:sz w:val="18"/>
                <w:szCs w:val="18"/>
                <w:lang w:val="en-US" w:eastAsia="en-US"/>
              </w:rPr>
              <w:t>PN-EN ISO 10052:2007</w:t>
            </w:r>
          </w:p>
          <w:p w14:paraId="590B26D7" w14:textId="77777777" w:rsidR="00332992" w:rsidRDefault="00332992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val="en-US" w:eastAsia="en-US"/>
              </w:rPr>
            </w:pPr>
            <w:r>
              <w:rPr>
                <w:rFonts w:eastAsia="ArialMT"/>
                <w:sz w:val="18"/>
                <w:szCs w:val="18"/>
                <w:lang w:val="en-US" w:eastAsia="en-US"/>
              </w:rPr>
              <w:t>PN-EN ISO 10052:2007/A1:2010</w:t>
            </w:r>
          </w:p>
          <w:p w14:paraId="1BDDFDC5" w14:textId="77777777" w:rsidR="001A11C4" w:rsidRPr="00332992" w:rsidRDefault="001A11C4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val="en-US" w:eastAsia="en-US"/>
              </w:rPr>
            </w:pPr>
          </w:p>
        </w:tc>
        <w:tc>
          <w:tcPr>
            <w:tcW w:w="856" w:type="dxa"/>
          </w:tcPr>
          <w:p w14:paraId="2E5D251E" w14:textId="77777777" w:rsidR="001A11C4" w:rsidRDefault="001A11C4" w:rsidP="00A02EA9">
            <w:pPr>
              <w:spacing w:after="200" w:line="276" w:lineRule="auto"/>
              <w:rPr>
                <w:rFonts w:eastAsia="ArialMT"/>
                <w:b/>
                <w:sz w:val="18"/>
                <w:szCs w:val="18"/>
                <w:lang w:eastAsia="en-US"/>
              </w:rPr>
            </w:pPr>
          </w:p>
          <w:p w14:paraId="4665AC5E" w14:textId="77777777" w:rsidR="00A02EA9" w:rsidRPr="00A02EA9" w:rsidRDefault="00A02EA9" w:rsidP="00A02EA9">
            <w:pPr>
              <w:spacing w:after="200" w:line="276" w:lineRule="auto"/>
              <w:rPr>
                <w:rFonts w:eastAsia="ArialMT"/>
                <w:b/>
                <w:sz w:val="18"/>
                <w:szCs w:val="18"/>
                <w:lang w:eastAsia="en-US"/>
              </w:rPr>
            </w:pPr>
            <w:proofErr w:type="spellStart"/>
            <w:r w:rsidRPr="00A02EA9">
              <w:rPr>
                <w:rFonts w:eastAsia="ArialMT"/>
                <w:b/>
                <w:sz w:val="18"/>
                <w:szCs w:val="18"/>
                <w:lang w:eastAsia="en-US"/>
              </w:rPr>
              <w:t>Nsz</w:t>
            </w:r>
            <w:proofErr w:type="spellEnd"/>
          </w:p>
        </w:tc>
      </w:tr>
      <w:tr w:rsidR="009526A2" w:rsidRPr="00B92378" w14:paraId="3DB1AE4C" w14:textId="77777777" w:rsidTr="009526A2">
        <w:trPr>
          <w:trHeight w:val="75"/>
          <w:jc w:val="center"/>
        </w:trPr>
        <w:tc>
          <w:tcPr>
            <w:tcW w:w="5240" w:type="dxa"/>
          </w:tcPr>
          <w:p w14:paraId="1AE15622" w14:textId="77777777" w:rsidR="001A11C4" w:rsidRDefault="001A11C4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51B204CE" w14:textId="77777777" w:rsidR="001A11C4" w:rsidRDefault="001A11C4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Pomieszczenia -  warunki środowiskowe</w:t>
            </w:r>
          </w:p>
          <w:p w14:paraId="356F445A" w14:textId="77777777" w:rsidR="009526A2" w:rsidRDefault="001A11C4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bCs/>
                <w:sz w:val="18"/>
                <w:szCs w:val="18"/>
                <w:lang w:eastAsia="en-US"/>
              </w:rPr>
              <w:t>- p</w:t>
            </w:r>
            <w:r w:rsidR="00A02EA9">
              <w:rPr>
                <w:rFonts w:eastAsiaTheme="minorHAnsi"/>
                <w:bCs/>
                <w:sz w:val="18"/>
                <w:szCs w:val="18"/>
                <w:lang w:eastAsia="en-US"/>
              </w:rPr>
              <w:t>rędkość i wydajność powietrza *</w:t>
            </w:r>
          </w:p>
          <w:p w14:paraId="089E11A8" w14:textId="77777777" w:rsidR="00A02EA9" w:rsidRDefault="00A02EA9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  <w:p w14:paraId="33180F28" w14:textId="77777777" w:rsidR="009526A2" w:rsidRDefault="009526A2" w:rsidP="00FF36FB">
            <w:pPr>
              <w:rPr>
                <w:rFonts w:eastAsiaTheme="minorHAnsi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3D0A430E" w14:textId="77777777" w:rsidR="001A11C4" w:rsidRDefault="001A11C4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4DBB3B8A" w14:textId="77777777" w:rsidR="009526A2" w:rsidRPr="008B0EC5" w:rsidRDefault="00C653CF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C653CF">
              <w:rPr>
                <w:rFonts w:eastAsia="ArialMT"/>
                <w:sz w:val="18"/>
                <w:szCs w:val="18"/>
                <w:lang w:eastAsia="en-US"/>
              </w:rPr>
              <w:t>PN-EN ISO 14644-3:2020-03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="00332992">
              <w:rPr>
                <w:rFonts w:eastAsia="ArialMT"/>
                <w:sz w:val="18"/>
                <w:szCs w:val="18"/>
                <w:lang w:eastAsia="en-US"/>
              </w:rPr>
              <w:t>pkt 4.</w:t>
            </w:r>
            <w:r w:rsidR="00951946">
              <w:rPr>
                <w:rFonts w:eastAsia="ArialMT"/>
                <w:sz w:val="18"/>
                <w:szCs w:val="18"/>
                <w:lang w:eastAsia="en-US"/>
              </w:rPr>
              <w:t>2.2                     i zał.B2</w:t>
            </w:r>
          </w:p>
        </w:tc>
        <w:tc>
          <w:tcPr>
            <w:tcW w:w="856" w:type="dxa"/>
          </w:tcPr>
          <w:p w14:paraId="22E7F39A" w14:textId="77777777" w:rsidR="001A11C4" w:rsidRDefault="001A11C4" w:rsidP="00FF36FB">
            <w:pPr>
              <w:autoSpaceDE w:val="0"/>
              <w:autoSpaceDN w:val="0"/>
              <w:adjustRightInd w:val="0"/>
              <w:rPr>
                <w:rFonts w:eastAsia="ArialMT"/>
                <w:b/>
                <w:sz w:val="18"/>
                <w:szCs w:val="18"/>
                <w:lang w:eastAsia="en-US"/>
              </w:rPr>
            </w:pPr>
          </w:p>
          <w:p w14:paraId="377925F3" w14:textId="77777777" w:rsidR="009526A2" w:rsidRPr="00A02EA9" w:rsidRDefault="00A02EA9" w:rsidP="00FF36FB">
            <w:pPr>
              <w:autoSpaceDE w:val="0"/>
              <w:autoSpaceDN w:val="0"/>
              <w:adjustRightInd w:val="0"/>
              <w:rPr>
                <w:rFonts w:eastAsia="ArialMT"/>
                <w:b/>
                <w:sz w:val="18"/>
                <w:szCs w:val="18"/>
                <w:lang w:eastAsia="en-US"/>
              </w:rPr>
            </w:pPr>
            <w:proofErr w:type="spellStart"/>
            <w:r w:rsidRPr="00A02EA9">
              <w:rPr>
                <w:rFonts w:eastAsia="ArialMT"/>
                <w:b/>
                <w:sz w:val="18"/>
                <w:szCs w:val="18"/>
                <w:lang w:eastAsia="en-US"/>
              </w:rPr>
              <w:t>Nsz</w:t>
            </w:r>
            <w:proofErr w:type="spellEnd"/>
          </w:p>
        </w:tc>
      </w:tr>
      <w:tr w:rsidR="009526A2" w:rsidRPr="00B92378" w14:paraId="0DA00AE4" w14:textId="77777777" w:rsidTr="00DF5250">
        <w:trPr>
          <w:trHeight w:val="264"/>
          <w:jc w:val="center"/>
        </w:trPr>
        <w:tc>
          <w:tcPr>
            <w:tcW w:w="5240" w:type="dxa"/>
          </w:tcPr>
          <w:p w14:paraId="64787D56" w14:textId="77777777" w:rsidR="001A11C4" w:rsidRDefault="001A11C4" w:rsidP="00FF36FB">
            <w:pPr>
              <w:rPr>
                <w:rFonts w:eastAsia="ArialMT"/>
                <w:sz w:val="18"/>
                <w:szCs w:val="18"/>
                <w:lang w:eastAsia="en-US"/>
              </w:rPr>
            </w:pPr>
          </w:p>
          <w:p w14:paraId="7D6D4360" w14:textId="77777777" w:rsidR="001A11C4" w:rsidRDefault="001A11C4" w:rsidP="00FF36FB">
            <w:pPr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Pomieszczenia - warunki środowiskowe</w:t>
            </w:r>
          </w:p>
          <w:p w14:paraId="63BEB2BC" w14:textId="77777777" w:rsidR="009526A2" w:rsidRDefault="001A11C4" w:rsidP="00FF36FB">
            <w:pPr>
              <w:rPr>
                <w:rFonts w:eastAsia="ArialMT"/>
                <w:sz w:val="18"/>
                <w:szCs w:val="18"/>
                <w:lang w:eastAsia="en-US"/>
              </w:rPr>
            </w:pPr>
            <w:r>
              <w:rPr>
                <w:rFonts w:eastAsia="ArialMT"/>
                <w:sz w:val="18"/>
                <w:szCs w:val="18"/>
                <w:lang w:eastAsia="en-US"/>
              </w:rPr>
              <w:t>- r</w:t>
            </w:r>
            <w:r w:rsidR="00A02EA9">
              <w:rPr>
                <w:rFonts w:eastAsia="ArialMT"/>
                <w:sz w:val="18"/>
                <w:szCs w:val="18"/>
                <w:lang w:eastAsia="en-US"/>
              </w:rPr>
              <w:t>óżnica ciśnień *</w:t>
            </w:r>
          </w:p>
          <w:p w14:paraId="25DBAFB0" w14:textId="77777777" w:rsidR="00A02EA9" w:rsidRDefault="00A02EA9" w:rsidP="00FF36FB">
            <w:pPr>
              <w:rPr>
                <w:rFonts w:eastAsia="ArialMT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</w:tcPr>
          <w:p w14:paraId="77EFC129" w14:textId="77777777" w:rsidR="001A11C4" w:rsidRDefault="001A11C4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  <w:p w14:paraId="43D23403" w14:textId="77777777" w:rsidR="009526A2" w:rsidRDefault="00C653CF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C653CF">
              <w:rPr>
                <w:rFonts w:eastAsia="ArialMT"/>
                <w:sz w:val="18"/>
                <w:szCs w:val="18"/>
                <w:lang w:eastAsia="en-US"/>
              </w:rPr>
              <w:t>PN-EN ISO 14644-3:2020-03</w:t>
            </w:r>
            <w:r>
              <w:rPr>
                <w:rFonts w:eastAsia="ArialMT"/>
                <w:sz w:val="18"/>
                <w:szCs w:val="18"/>
                <w:lang w:eastAsia="en-US"/>
              </w:rPr>
              <w:t xml:space="preserve"> </w:t>
            </w:r>
            <w:r w:rsidR="00951946">
              <w:rPr>
                <w:rFonts w:eastAsia="ArialMT"/>
                <w:sz w:val="18"/>
                <w:szCs w:val="18"/>
                <w:lang w:eastAsia="en-US"/>
              </w:rPr>
              <w:t>pkt 4.2.1                     i zał.B1</w:t>
            </w:r>
          </w:p>
          <w:p w14:paraId="72222324" w14:textId="77777777" w:rsidR="00332992" w:rsidRPr="008B0EC5" w:rsidRDefault="00332992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</w:tc>
        <w:tc>
          <w:tcPr>
            <w:tcW w:w="856" w:type="dxa"/>
          </w:tcPr>
          <w:p w14:paraId="22AB03EE" w14:textId="77777777" w:rsidR="001A11C4" w:rsidRDefault="001A11C4" w:rsidP="00FF36FB">
            <w:pPr>
              <w:autoSpaceDE w:val="0"/>
              <w:autoSpaceDN w:val="0"/>
              <w:adjustRightInd w:val="0"/>
              <w:rPr>
                <w:rFonts w:eastAsia="ArialMT"/>
                <w:b/>
                <w:sz w:val="18"/>
                <w:szCs w:val="18"/>
                <w:lang w:eastAsia="en-US"/>
              </w:rPr>
            </w:pPr>
          </w:p>
          <w:p w14:paraId="15C29203" w14:textId="77777777" w:rsidR="009526A2" w:rsidRPr="00332992" w:rsidRDefault="00A02EA9" w:rsidP="00FF36FB">
            <w:pPr>
              <w:autoSpaceDE w:val="0"/>
              <w:autoSpaceDN w:val="0"/>
              <w:adjustRightInd w:val="0"/>
              <w:rPr>
                <w:rFonts w:eastAsia="ArialMT"/>
                <w:b/>
                <w:sz w:val="18"/>
                <w:szCs w:val="18"/>
                <w:lang w:eastAsia="en-US"/>
              </w:rPr>
            </w:pPr>
            <w:r w:rsidRPr="00332992">
              <w:rPr>
                <w:rFonts w:eastAsia="ArialMT"/>
                <w:b/>
                <w:sz w:val="18"/>
                <w:szCs w:val="18"/>
                <w:lang w:eastAsia="en-US"/>
              </w:rPr>
              <w:t>N</w:t>
            </w:r>
          </w:p>
          <w:p w14:paraId="64683AAE" w14:textId="77777777" w:rsidR="00A02EA9" w:rsidRDefault="00A02EA9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</w:p>
        </w:tc>
      </w:tr>
      <w:tr w:rsidR="00DF5250" w:rsidRPr="00B92378" w14:paraId="50BBEB55" w14:textId="77777777" w:rsidTr="00CA7B87">
        <w:trPr>
          <w:trHeight w:val="264"/>
          <w:jc w:val="center"/>
        </w:trPr>
        <w:tc>
          <w:tcPr>
            <w:tcW w:w="5240" w:type="dxa"/>
            <w:tcBorders>
              <w:bottom w:val="single" w:sz="6" w:space="0" w:color="auto"/>
            </w:tcBorders>
          </w:tcPr>
          <w:p w14:paraId="4FCE92F6" w14:textId="77777777" w:rsidR="00DF5250" w:rsidRPr="00D270B3" w:rsidRDefault="00DF5250" w:rsidP="00FF36FB">
            <w:pPr>
              <w:rPr>
                <w:rFonts w:eastAsia="ArialMT"/>
                <w:sz w:val="18"/>
                <w:szCs w:val="18"/>
                <w:lang w:eastAsia="en-US"/>
              </w:rPr>
            </w:pPr>
            <w:r w:rsidRPr="00D270B3">
              <w:rPr>
                <w:rFonts w:eastAsia="ArialMT"/>
                <w:sz w:val="18"/>
                <w:szCs w:val="18"/>
                <w:lang w:eastAsia="en-US"/>
              </w:rPr>
              <w:t>Oświetlenie awaryjne*</w:t>
            </w:r>
          </w:p>
          <w:p w14:paraId="42E8C1CE" w14:textId="77777777" w:rsidR="00DF5250" w:rsidRPr="00D270B3" w:rsidRDefault="00DF5250" w:rsidP="00FF36FB">
            <w:pPr>
              <w:rPr>
                <w:rFonts w:eastAsia="ArialMT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bottom w:val="single" w:sz="6" w:space="0" w:color="auto"/>
            </w:tcBorders>
          </w:tcPr>
          <w:p w14:paraId="765FDEE3" w14:textId="77777777" w:rsidR="00DF5250" w:rsidRPr="00D270B3" w:rsidRDefault="00DF5250" w:rsidP="00FF36FB">
            <w:pPr>
              <w:autoSpaceDE w:val="0"/>
              <w:autoSpaceDN w:val="0"/>
              <w:adjustRightInd w:val="0"/>
              <w:rPr>
                <w:rFonts w:eastAsia="ArialMT"/>
                <w:sz w:val="18"/>
                <w:szCs w:val="18"/>
                <w:lang w:eastAsia="en-US"/>
              </w:rPr>
            </w:pPr>
            <w:r w:rsidRPr="00D270B3">
              <w:rPr>
                <w:rFonts w:eastAsia="ArialMT"/>
                <w:sz w:val="18"/>
                <w:szCs w:val="18"/>
                <w:lang w:eastAsia="en-US"/>
              </w:rPr>
              <w:t>PN-EN ISO 1838:2013-11</w:t>
            </w:r>
          </w:p>
        </w:tc>
        <w:tc>
          <w:tcPr>
            <w:tcW w:w="856" w:type="dxa"/>
            <w:tcBorders>
              <w:bottom w:val="single" w:sz="6" w:space="0" w:color="auto"/>
            </w:tcBorders>
          </w:tcPr>
          <w:p w14:paraId="56F6AF9D" w14:textId="77777777" w:rsidR="00DF5250" w:rsidRPr="00D270B3" w:rsidRDefault="00DF5250" w:rsidP="00FF36FB">
            <w:pPr>
              <w:autoSpaceDE w:val="0"/>
              <w:autoSpaceDN w:val="0"/>
              <w:adjustRightInd w:val="0"/>
              <w:rPr>
                <w:rFonts w:eastAsia="ArialMT"/>
                <w:b/>
                <w:sz w:val="18"/>
                <w:szCs w:val="18"/>
                <w:lang w:eastAsia="en-US"/>
              </w:rPr>
            </w:pPr>
            <w:r w:rsidRPr="00D270B3">
              <w:rPr>
                <w:rFonts w:eastAsia="ArialMT"/>
                <w:b/>
                <w:sz w:val="18"/>
                <w:szCs w:val="18"/>
                <w:lang w:eastAsia="en-US"/>
              </w:rPr>
              <w:t>N</w:t>
            </w:r>
          </w:p>
        </w:tc>
      </w:tr>
    </w:tbl>
    <w:p w14:paraId="543FF8CA" w14:textId="77777777" w:rsidR="001A11C4" w:rsidRDefault="00271FDE" w:rsidP="00271FDE">
      <w:pPr>
        <w:tabs>
          <w:tab w:val="left" w:pos="0"/>
        </w:tabs>
        <w:spacing w:line="276" w:lineRule="auto"/>
        <w:rPr>
          <w:rFonts w:eastAsia="ArialMT"/>
          <w:sz w:val="18"/>
          <w:szCs w:val="18"/>
          <w:lang w:eastAsia="en-US"/>
        </w:rPr>
      </w:pPr>
      <w:r>
        <w:rPr>
          <w:rFonts w:eastAsia="ArialMT"/>
          <w:sz w:val="18"/>
          <w:szCs w:val="18"/>
          <w:lang w:eastAsia="en-US"/>
        </w:rPr>
        <w:t xml:space="preserve">    </w:t>
      </w:r>
    </w:p>
    <w:p w14:paraId="35384037" w14:textId="77777777" w:rsidR="00EE6C8E" w:rsidRDefault="001A11C4" w:rsidP="001E653A">
      <w:pPr>
        <w:tabs>
          <w:tab w:val="left" w:pos="0"/>
        </w:tabs>
        <w:spacing w:line="276" w:lineRule="auto"/>
        <w:rPr>
          <w:rFonts w:eastAsia="ArialMT"/>
          <w:sz w:val="18"/>
          <w:szCs w:val="18"/>
          <w:lang w:eastAsia="en-US"/>
        </w:rPr>
      </w:pPr>
      <w:r>
        <w:rPr>
          <w:rFonts w:eastAsia="ArialMT"/>
          <w:sz w:val="18"/>
          <w:szCs w:val="18"/>
          <w:lang w:eastAsia="en-US"/>
        </w:rPr>
        <w:t xml:space="preserve">    </w:t>
      </w:r>
      <w:r w:rsidR="00271FDE">
        <w:rPr>
          <w:rFonts w:eastAsia="ArialMT"/>
          <w:sz w:val="18"/>
          <w:szCs w:val="18"/>
          <w:lang w:eastAsia="en-US"/>
        </w:rPr>
        <w:t xml:space="preserve">    (</w:t>
      </w:r>
      <w:r w:rsidR="00271FDE" w:rsidRPr="00271FDE">
        <w:rPr>
          <w:rFonts w:eastAsia="ArialMT"/>
          <w:sz w:val="18"/>
          <w:szCs w:val="18"/>
          <w:vertAlign w:val="superscript"/>
          <w:lang w:eastAsia="en-US"/>
        </w:rPr>
        <w:t>1</w:t>
      </w:r>
      <w:r w:rsidR="00271FDE">
        <w:rPr>
          <w:rFonts w:eastAsia="ArialMT"/>
          <w:sz w:val="18"/>
          <w:szCs w:val="18"/>
          <w:lang w:eastAsia="en-US"/>
        </w:rPr>
        <w:t xml:space="preserve">) - </w:t>
      </w:r>
      <w:r w:rsidR="00EE6C8E" w:rsidRPr="00EE6C8E">
        <w:rPr>
          <w:rFonts w:eastAsia="ArialMT"/>
          <w:sz w:val="18"/>
          <w:szCs w:val="18"/>
          <w:lang w:eastAsia="en-US"/>
        </w:rPr>
        <w:t>norma wycofana z katalogu Polskich Norm bez zastąpienia. Laboratorium posiad</w:t>
      </w:r>
      <w:r w:rsidR="00EE6C8E">
        <w:rPr>
          <w:rFonts w:eastAsia="ArialMT"/>
          <w:sz w:val="18"/>
          <w:szCs w:val="18"/>
          <w:lang w:eastAsia="en-US"/>
        </w:rPr>
        <w:t xml:space="preserve">a argumenty techniczne </w:t>
      </w:r>
      <w:r w:rsidR="00EE6C8E" w:rsidRPr="00EE6C8E">
        <w:rPr>
          <w:rFonts w:eastAsia="ArialMT"/>
          <w:sz w:val="18"/>
          <w:szCs w:val="18"/>
          <w:lang w:eastAsia="en-US"/>
        </w:rPr>
        <w:t xml:space="preserve">i merytoryczne </w:t>
      </w:r>
      <w:r w:rsidR="00EE6C8E">
        <w:rPr>
          <w:rFonts w:eastAsia="ArialMT"/>
          <w:sz w:val="18"/>
          <w:szCs w:val="18"/>
          <w:lang w:eastAsia="en-US"/>
        </w:rPr>
        <w:t xml:space="preserve"> </w:t>
      </w:r>
    </w:p>
    <w:p w14:paraId="4A0447DC" w14:textId="77777777" w:rsidR="00271FDE" w:rsidRPr="00271FDE" w:rsidRDefault="00EE6C8E" w:rsidP="001E653A">
      <w:pPr>
        <w:tabs>
          <w:tab w:val="left" w:pos="0"/>
        </w:tabs>
        <w:spacing w:line="276" w:lineRule="auto"/>
        <w:rPr>
          <w:rFonts w:eastAsia="ArialMT"/>
          <w:sz w:val="18"/>
          <w:szCs w:val="18"/>
          <w:lang w:eastAsia="en-US"/>
        </w:rPr>
      </w:pPr>
      <w:r>
        <w:rPr>
          <w:rFonts w:eastAsia="ArialMT"/>
          <w:sz w:val="18"/>
          <w:szCs w:val="18"/>
          <w:lang w:eastAsia="en-US"/>
        </w:rPr>
        <w:t xml:space="preserve">               </w:t>
      </w:r>
      <w:r w:rsidRPr="00EE6C8E">
        <w:rPr>
          <w:rFonts w:eastAsia="ArialMT"/>
          <w:sz w:val="18"/>
          <w:szCs w:val="18"/>
          <w:lang w:eastAsia="en-US"/>
        </w:rPr>
        <w:t>uzasadniające stosowanie norm wycofanych.</w:t>
      </w:r>
    </w:p>
    <w:p w14:paraId="2145A082" w14:textId="77777777" w:rsidR="003B0115" w:rsidRDefault="00A02EA9" w:rsidP="001E653A">
      <w:pPr>
        <w:tabs>
          <w:tab w:val="left" w:pos="0"/>
        </w:tabs>
        <w:spacing w:line="276" w:lineRule="auto"/>
        <w:rPr>
          <w:rFonts w:eastAsia="ArialMT"/>
          <w:sz w:val="18"/>
          <w:szCs w:val="18"/>
          <w:lang w:eastAsia="en-US"/>
        </w:rPr>
      </w:pPr>
      <w:r>
        <w:rPr>
          <w:rFonts w:eastAsia="ArialMT"/>
          <w:sz w:val="18"/>
          <w:szCs w:val="18"/>
          <w:lang w:eastAsia="en-US"/>
        </w:rPr>
        <w:t xml:space="preserve">        (</w:t>
      </w:r>
      <w:r w:rsidR="00271FDE">
        <w:rPr>
          <w:rFonts w:eastAsia="ArialMT"/>
          <w:sz w:val="18"/>
          <w:szCs w:val="18"/>
          <w:vertAlign w:val="superscript"/>
          <w:lang w:eastAsia="en-US"/>
        </w:rPr>
        <w:t>2</w:t>
      </w:r>
      <w:r w:rsidR="001E1531">
        <w:rPr>
          <w:rFonts w:eastAsia="ArialMT"/>
          <w:sz w:val="18"/>
          <w:szCs w:val="18"/>
          <w:lang w:eastAsia="en-US"/>
        </w:rPr>
        <w:t>)</w:t>
      </w:r>
      <w:r w:rsidR="00271FDE">
        <w:rPr>
          <w:rFonts w:eastAsia="ArialMT"/>
          <w:sz w:val="18"/>
          <w:szCs w:val="18"/>
          <w:lang w:eastAsia="en-US"/>
        </w:rPr>
        <w:t xml:space="preserve">  - m</w:t>
      </w:r>
      <w:r w:rsidR="001E1531">
        <w:rPr>
          <w:rFonts w:eastAsia="ArialMT"/>
          <w:sz w:val="18"/>
          <w:szCs w:val="18"/>
          <w:lang w:eastAsia="en-US"/>
        </w:rPr>
        <w:t xml:space="preserve">etoda nie spełnia wymagań Rozporządzenia </w:t>
      </w:r>
      <w:r w:rsidR="003B0115">
        <w:rPr>
          <w:rFonts w:eastAsia="ArialMT"/>
          <w:sz w:val="18"/>
          <w:szCs w:val="18"/>
          <w:lang w:eastAsia="en-US"/>
        </w:rPr>
        <w:t xml:space="preserve"> Ministra Zdrowia z dnia 2 lutego 2011r. w sprawie badan i pomiarów czynników</w:t>
      </w:r>
    </w:p>
    <w:p w14:paraId="072B700D" w14:textId="77777777" w:rsidR="00CF305F" w:rsidRDefault="00271FDE" w:rsidP="001E653A">
      <w:pPr>
        <w:tabs>
          <w:tab w:val="left" w:pos="0"/>
        </w:tabs>
        <w:spacing w:line="276" w:lineRule="auto"/>
        <w:rPr>
          <w:rFonts w:eastAsia="ArialMT"/>
          <w:sz w:val="18"/>
          <w:szCs w:val="18"/>
          <w:lang w:eastAsia="en-US"/>
        </w:rPr>
      </w:pPr>
      <w:r>
        <w:rPr>
          <w:rFonts w:eastAsia="ArialMT"/>
          <w:sz w:val="18"/>
          <w:szCs w:val="18"/>
          <w:lang w:eastAsia="en-US"/>
        </w:rPr>
        <w:t xml:space="preserve">        </w:t>
      </w:r>
      <w:r w:rsidR="003B0115">
        <w:rPr>
          <w:rFonts w:eastAsia="ArialMT"/>
          <w:sz w:val="18"/>
          <w:szCs w:val="18"/>
          <w:lang w:eastAsia="en-US"/>
        </w:rPr>
        <w:t xml:space="preserve"> szkodliwych w środowisku pracy (Dz. U.33.166) w zakresie określenia 0,1 NDS</w:t>
      </w:r>
    </w:p>
    <w:p w14:paraId="28764784" w14:textId="79D9B157" w:rsidR="00271FDE" w:rsidRPr="00271FDE" w:rsidRDefault="00271FDE" w:rsidP="001E653A">
      <w:pPr>
        <w:tabs>
          <w:tab w:val="left" w:pos="0"/>
        </w:tabs>
        <w:spacing w:line="276" w:lineRule="auto"/>
        <w:ind w:left="374"/>
        <w:rPr>
          <w:rFonts w:eastAsia="ArialMT"/>
          <w:sz w:val="18"/>
          <w:szCs w:val="18"/>
          <w:lang w:eastAsia="en-US"/>
        </w:rPr>
      </w:pPr>
      <w:r>
        <w:rPr>
          <w:rFonts w:eastAsia="ArialMT"/>
          <w:sz w:val="18"/>
          <w:szCs w:val="18"/>
          <w:lang w:eastAsia="en-US"/>
        </w:rPr>
        <w:t>(</w:t>
      </w:r>
      <w:r>
        <w:rPr>
          <w:rFonts w:eastAsia="ArialMT"/>
          <w:sz w:val="18"/>
          <w:szCs w:val="18"/>
          <w:vertAlign w:val="superscript"/>
          <w:lang w:eastAsia="en-US"/>
        </w:rPr>
        <w:t>3</w:t>
      </w:r>
      <w:r w:rsidRPr="00271FDE">
        <w:rPr>
          <w:rFonts w:eastAsia="ArialMT"/>
          <w:sz w:val="18"/>
          <w:szCs w:val="18"/>
          <w:lang w:eastAsia="en-US"/>
        </w:rPr>
        <w:t>)</w:t>
      </w:r>
      <w:r>
        <w:rPr>
          <w:rFonts w:eastAsia="ArialMT"/>
          <w:sz w:val="18"/>
          <w:szCs w:val="18"/>
          <w:vertAlign w:val="superscript"/>
          <w:lang w:eastAsia="en-US"/>
        </w:rPr>
        <w:t xml:space="preserve"> </w:t>
      </w:r>
      <w:r w:rsidR="00B6644F">
        <w:rPr>
          <w:rFonts w:eastAsia="ArialMT"/>
          <w:sz w:val="18"/>
          <w:szCs w:val="18"/>
          <w:vertAlign w:val="superscript"/>
          <w:lang w:eastAsia="en-US"/>
        </w:rPr>
        <w:t xml:space="preserve"> </w:t>
      </w:r>
      <w:r w:rsidR="00B6644F" w:rsidRPr="00B6644F">
        <w:rPr>
          <w:rFonts w:eastAsia="ArialMT"/>
          <w:sz w:val="18"/>
          <w:szCs w:val="18"/>
          <w:lang w:eastAsia="en-US"/>
        </w:rPr>
        <w:t xml:space="preserve">- </w:t>
      </w:r>
      <w:r w:rsidRPr="00271FDE">
        <w:rPr>
          <w:rFonts w:eastAsia="ArialMT"/>
          <w:sz w:val="18"/>
          <w:szCs w:val="18"/>
          <w:lang w:eastAsia="en-US"/>
        </w:rPr>
        <w:t>metoda inna niż wymaga rozporządzenie Ministra Zdrowia w sprawie badań i pomiarów czynników szkodliwych dla zdrowia</w:t>
      </w:r>
      <w:r>
        <w:rPr>
          <w:rFonts w:eastAsia="ArialMT"/>
          <w:sz w:val="18"/>
          <w:szCs w:val="18"/>
          <w:lang w:eastAsia="en-US"/>
        </w:rPr>
        <w:t xml:space="preserve">                </w:t>
      </w:r>
      <w:r w:rsidRPr="00271FDE">
        <w:rPr>
          <w:rFonts w:eastAsia="ArialMT"/>
          <w:sz w:val="18"/>
          <w:szCs w:val="18"/>
          <w:lang w:eastAsia="en-US"/>
        </w:rPr>
        <w:t xml:space="preserve"> w środowisku pracy z dnia 02.02.2011r. (Dz</w:t>
      </w:r>
      <w:r w:rsidR="003E4A40">
        <w:rPr>
          <w:rFonts w:eastAsia="ArialMT"/>
          <w:sz w:val="18"/>
          <w:szCs w:val="18"/>
          <w:lang w:eastAsia="en-US"/>
        </w:rPr>
        <w:t>.</w:t>
      </w:r>
      <w:r w:rsidRPr="00271FDE">
        <w:rPr>
          <w:rFonts w:eastAsia="ArialMT"/>
          <w:sz w:val="18"/>
          <w:szCs w:val="18"/>
          <w:lang w:eastAsia="en-US"/>
        </w:rPr>
        <w:t>U.11.33.166), metoda spełnia kryterium określone w w/w rozporządzeniu dotyczące dopuszczenia stosowania innych metod</w:t>
      </w:r>
    </w:p>
    <w:p w14:paraId="5CA24D8C" w14:textId="77777777" w:rsidR="00A02EA9" w:rsidRDefault="00A02EA9" w:rsidP="001E653A">
      <w:pPr>
        <w:tabs>
          <w:tab w:val="left" w:pos="0"/>
        </w:tabs>
        <w:spacing w:line="276" w:lineRule="auto"/>
        <w:rPr>
          <w:rFonts w:eastAsia="ArialMT"/>
          <w:sz w:val="18"/>
          <w:szCs w:val="18"/>
          <w:lang w:eastAsia="en-US"/>
        </w:rPr>
      </w:pPr>
      <w:r>
        <w:rPr>
          <w:rFonts w:eastAsia="ArialMT"/>
          <w:sz w:val="18"/>
          <w:szCs w:val="18"/>
          <w:lang w:eastAsia="en-US"/>
        </w:rPr>
        <w:t xml:space="preserve">       </w:t>
      </w:r>
      <w:r w:rsidR="00271FDE">
        <w:rPr>
          <w:rFonts w:eastAsia="ArialMT"/>
          <w:sz w:val="18"/>
          <w:szCs w:val="18"/>
          <w:lang w:eastAsia="en-US"/>
        </w:rPr>
        <w:t>(*) - p</w:t>
      </w:r>
      <w:r>
        <w:rPr>
          <w:rFonts w:eastAsia="ArialMT"/>
          <w:sz w:val="18"/>
          <w:szCs w:val="18"/>
          <w:lang w:eastAsia="en-US"/>
        </w:rPr>
        <w:t xml:space="preserve">arametry </w:t>
      </w:r>
      <w:r w:rsidR="00332992">
        <w:rPr>
          <w:rFonts w:eastAsia="ArialMT"/>
          <w:sz w:val="18"/>
          <w:szCs w:val="18"/>
          <w:lang w:eastAsia="en-US"/>
        </w:rPr>
        <w:t xml:space="preserve">oznakowane gwiazdką </w:t>
      </w:r>
      <w:r>
        <w:rPr>
          <w:rFonts w:eastAsia="ArialMT"/>
          <w:sz w:val="18"/>
          <w:szCs w:val="18"/>
          <w:lang w:eastAsia="en-US"/>
        </w:rPr>
        <w:t>nie są objęte akredytacją PCA</w:t>
      </w:r>
    </w:p>
    <w:p w14:paraId="5985CF58" w14:textId="3EBC719A" w:rsidR="008669E3" w:rsidRDefault="008669E3" w:rsidP="001E653A">
      <w:pPr>
        <w:tabs>
          <w:tab w:val="left" w:pos="0"/>
        </w:tabs>
        <w:spacing w:line="276" w:lineRule="auto"/>
        <w:rPr>
          <w:rFonts w:eastAsia="ArialMT"/>
          <w:sz w:val="18"/>
          <w:szCs w:val="18"/>
          <w:lang w:eastAsia="en-US"/>
        </w:rPr>
      </w:pPr>
      <w:r>
        <w:rPr>
          <w:rFonts w:eastAsia="ArialMT"/>
          <w:sz w:val="18"/>
          <w:szCs w:val="18"/>
          <w:lang w:eastAsia="en-US"/>
        </w:rPr>
        <w:t xml:space="preserve">     </w:t>
      </w:r>
      <w:r w:rsidR="00BA6185">
        <w:rPr>
          <w:rFonts w:eastAsia="ArialMT"/>
          <w:sz w:val="18"/>
          <w:szCs w:val="18"/>
          <w:lang w:eastAsia="en-US"/>
        </w:rPr>
        <w:t xml:space="preserve"> </w:t>
      </w:r>
      <w:r>
        <w:rPr>
          <w:rFonts w:eastAsia="ArialMT"/>
          <w:sz w:val="18"/>
          <w:szCs w:val="18"/>
          <w:lang w:eastAsia="en-US"/>
        </w:rPr>
        <w:t xml:space="preserve"> </w:t>
      </w:r>
      <w:r w:rsidR="00D03E9E">
        <w:rPr>
          <w:rFonts w:eastAsia="ArialMT"/>
          <w:sz w:val="18"/>
          <w:szCs w:val="18"/>
          <w:lang w:eastAsia="en-US"/>
        </w:rPr>
        <w:t>A – badanie  objęte akredytacją</w:t>
      </w:r>
      <w:r>
        <w:rPr>
          <w:rFonts w:eastAsia="ArialMT"/>
          <w:sz w:val="18"/>
          <w:szCs w:val="18"/>
          <w:lang w:eastAsia="en-US"/>
        </w:rPr>
        <w:t xml:space="preserve"> Polskiego Centrum Akredytacji</w:t>
      </w:r>
    </w:p>
    <w:p w14:paraId="7D705ADA" w14:textId="4AAD74EF" w:rsidR="00A02EA9" w:rsidRDefault="00A02EA9" w:rsidP="001E653A">
      <w:pPr>
        <w:tabs>
          <w:tab w:val="left" w:pos="0"/>
        </w:tabs>
        <w:spacing w:line="276" w:lineRule="auto"/>
        <w:rPr>
          <w:rFonts w:ascii="Calibri" w:hAnsi="Calibri"/>
          <w:b/>
          <w:color w:val="000000"/>
          <w:sz w:val="22"/>
          <w:szCs w:val="22"/>
        </w:rPr>
      </w:pPr>
      <w:r>
        <w:rPr>
          <w:rFonts w:eastAsia="ArialMT"/>
          <w:sz w:val="18"/>
          <w:szCs w:val="18"/>
          <w:lang w:eastAsia="en-US"/>
        </w:rPr>
        <w:t xml:space="preserve">      </w:t>
      </w:r>
      <w:r w:rsidR="003E4A40">
        <w:rPr>
          <w:rFonts w:eastAsia="ArialMT"/>
          <w:sz w:val="18"/>
          <w:szCs w:val="18"/>
          <w:lang w:eastAsia="en-US"/>
        </w:rPr>
        <w:t xml:space="preserve"> </w:t>
      </w:r>
      <w:proofErr w:type="spellStart"/>
      <w:r>
        <w:rPr>
          <w:rFonts w:eastAsia="ArialMT"/>
          <w:sz w:val="18"/>
          <w:szCs w:val="18"/>
          <w:lang w:eastAsia="en-US"/>
        </w:rPr>
        <w:t>Nsz</w:t>
      </w:r>
      <w:proofErr w:type="spellEnd"/>
      <w:r w:rsidR="00332992">
        <w:rPr>
          <w:rFonts w:eastAsia="ArialMT"/>
          <w:sz w:val="18"/>
          <w:szCs w:val="18"/>
          <w:lang w:eastAsia="en-US"/>
        </w:rPr>
        <w:t xml:space="preserve">  - metoda</w:t>
      </w:r>
      <w:r>
        <w:rPr>
          <w:rFonts w:eastAsia="ArialMT"/>
          <w:sz w:val="18"/>
          <w:szCs w:val="18"/>
          <w:lang w:eastAsia="en-US"/>
        </w:rPr>
        <w:t xml:space="preserve"> objęta systemem zarządzania zgodnym z wymaganiami normy PN-EN ISO/IEC 17025:2018-02</w:t>
      </w:r>
    </w:p>
    <w:p w14:paraId="5A5A4F03" w14:textId="7C77464F" w:rsidR="00CF305F" w:rsidRPr="00271FDE" w:rsidRDefault="00332992" w:rsidP="001E653A">
      <w:pPr>
        <w:tabs>
          <w:tab w:val="left" w:pos="0"/>
        </w:tabs>
        <w:spacing w:line="276" w:lineRule="auto"/>
        <w:rPr>
          <w:color w:val="000000"/>
          <w:sz w:val="18"/>
          <w:szCs w:val="18"/>
        </w:rPr>
      </w:pPr>
      <w:r>
        <w:rPr>
          <w:rFonts w:ascii="Calibri" w:hAnsi="Calibri"/>
          <w:b/>
          <w:color w:val="000000"/>
          <w:sz w:val="22"/>
          <w:szCs w:val="22"/>
        </w:rPr>
        <w:t xml:space="preserve">    </w:t>
      </w:r>
      <w:r w:rsidR="008669E3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B77EE9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="00804F51">
        <w:rPr>
          <w:rFonts w:ascii="Calibri" w:hAnsi="Calibri"/>
          <w:b/>
          <w:color w:val="000000"/>
          <w:sz w:val="22"/>
          <w:szCs w:val="22"/>
        </w:rPr>
        <w:t xml:space="preserve"> </w:t>
      </w:r>
      <w:r w:rsidRPr="00271FDE">
        <w:rPr>
          <w:color w:val="000000"/>
          <w:sz w:val="18"/>
          <w:szCs w:val="18"/>
        </w:rPr>
        <w:t xml:space="preserve">N </w:t>
      </w:r>
      <w:r w:rsidR="008669E3">
        <w:rPr>
          <w:color w:val="000000"/>
          <w:sz w:val="18"/>
          <w:szCs w:val="18"/>
        </w:rPr>
        <w:t xml:space="preserve"> </w:t>
      </w:r>
      <w:r w:rsidRPr="00271FDE">
        <w:rPr>
          <w:color w:val="000000"/>
          <w:sz w:val="18"/>
          <w:szCs w:val="18"/>
        </w:rPr>
        <w:t xml:space="preserve"> -</w:t>
      </w:r>
      <w:r w:rsidR="008669E3">
        <w:rPr>
          <w:color w:val="000000"/>
          <w:sz w:val="18"/>
          <w:szCs w:val="18"/>
        </w:rPr>
        <w:t xml:space="preserve">  metoda nie objęta systemem zarządzania wg normy PN-EN ISO/IEC 17025:2018-02</w:t>
      </w:r>
    </w:p>
    <w:p w14:paraId="5595FCA2" w14:textId="77777777" w:rsidR="00CF305F" w:rsidRDefault="00CF305F" w:rsidP="001E653A">
      <w:pPr>
        <w:tabs>
          <w:tab w:val="left" w:pos="0"/>
        </w:tabs>
        <w:spacing w:line="276" w:lineRule="auto"/>
        <w:rPr>
          <w:rFonts w:ascii="Calibri" w:hAnsi="Calibri"/>
          <w:b/>
          <w:color w:val="000000"/>
          <w:sz w:val="22"/>
          <w:szCs w:val="22"/>
        </w:rPr>
      </w:pPr>
    </w:p>
    <w:p w14:paraId="7609A4D2" w14:textId="77777777" w:rsidR="00CF305F" w:rsidRDefault="00271FDE" w:rsidP="00271FDE">
      <w:pPr>
        <w:tabs>
          <w:tab w:val="left" w:pos="0"/>
          <w:tab w:val="left" w:pos="1200"/>
        </w:tabs>
        <w:spacing w:line="276" w:lineRule="auto"/>
        <w:rPr>
          <w:rFonts w:ascii="Calibri" w:hAnsi="Calibri"/>
          <w:b/>
          <w:color w:val="000000"/>
          <w:sz w:val="22"/>
          <w:szCs w:val="22"/>
        </w:rPr>
      </w:pPr>
      <w:r>
        <w:rPr>
          <w:rFonts w:ascii="Calibri" w:hAnsi="Calibri"/>
          <w:b/>
          <w:color w:val="000000"/>
          <w:sz w:val="22"/>
          <w:szCs w:val="22"/>
        </w:rPr>
        <w:tab/>
      </w:r>
    </w:p>
    <w:p w14:paraId="6B05018D" w14:textId="77777777" w:rsidR="00CF305F" w:rsidRDefault="00CF305F" w:rsidP="00E84FBE">
      <w:pPr>
        <w:tabs>
          <w:tab w:val="left" w:pos="0"/>
        </w:tabs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3A196267" w14:textId="77777777" w:rsidR="00CF305F" w:rsidRDefault="00CF305F" w:rsidP="00E84FBE">
      <w:pPr>
        <w:tabs>
          <w:tab w:val="left" w:pos="0"/>
        </w:tabs>
        <w:spacing w:line="276" w:lineRule="auto"/>
        <w:jc w:val="center"/>
        <w:rPr>
          <w:rFonts w:ascii="Calibri" w:hAnsi="Calibri"/>
          <w:b/>
          <w:color w:val="000000"/>
          <w:sz w:val="22"/>
          <w:szCs w:val="22"/>
        </w:rPr>
      </w:pPr>
    </w:p>
    <w:p w14:paraId="7AE0DDB6" w14:textId="77777777" w:rsidR="00CF305F" w:rsidRPr="00F80662" w:rsidRDefault="00CF305F" w:rsidP="00E84FBE">
      <w:pPr>
        <w:tabs>
          <w:tab w:val="left" w:pos="0"/>
        </w:tabs>
        <w:spacing w:line="276" w:lineRule="auto"/>
        <w:jc w:val="center"/>
        <w:rPr>
          <w:rFonts w:ascii="Calibri" w:hAnsi="Calibri"/>
          <w:color w:val="FF0000"/>
          <w:sz w:val="22"/>
          <w:szCs w:val="22"/>
        </w:rPr>
      </w:pPr>
    </w:p>
    <w:p w14:paraId="1FA67639" w14:textId="77777777" w:rsidR="00E84FBE" w:rsidRPr="0008668A" w:rsidRDefault="00E84FBE" w:rsidP="00E84FBE">
      <w:pPr>
        <w:jc w:val="both"/>
        <w:rPr>
          <w:rFonts w:ascii="Calibri" w:hAnsi="Calibri"/>
        </w:rPr>
      </w:pPr>
    </w:p>
    <w:p w14:paraId="501219C9" w14:textId="77777777" w:rsidR="00E84FBE" w:rsidRDefault="00E84FBE" w:rsidP="00E84FBE">
      <w:pPr>
        <w:jc w:val="center"/>
        <w:rPr>
          <w:rFonts w:ascii="Calibri" w:hAnsi="Calibri"/>
          <w:b/>
          <w:sz w:val="22"/>
          <w:szCs w:val="22"/>
        </w:rPr>
      </w:pPr>
    </w:p>
    <w:p w14:paraId="61740CE2" w14:textId="77777777" w:rsidR="00E84FBE" w:rsidRDefault="00E84FBE" w:rsidP="00E84FBE">
      <w:pPr>
        <w:jc w:val="center"/>
        <w:rPr>
          <w:rFonts w:ascii="Calibri" w:hAnsi="Calibri"/>
          <w:b/>
          <w:sz w:val="22"/>
          <w:szCs w:val="22"/>
        </w:rPr>
      </w:pPr>
    </w:p>
    <w:sectPr w:rsidR="00E84FBE" w:rsidSect="00830517">
      <w:headerReference w:type="default" r:id="rId8"/>
      <w:pgSz w:w="12240" w:h="15840"/>
      <w:pgMar w:top="1247" w:right="1077" w:bottom="1440" w:left="1077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6858" w14:textId="77777777" w:rsidR="006B0B85" w:rsidRDefault="006B0B85" w:rsidP="003C5870">
      <w:r>
        <w:separator/>
      </w:r>
    </w:p>
  </w:endnote>
  <w:endnote w:type="continuationSeparator" w:id="0">
    <w:p w14:paraId="6A984869" w14:textId="77777777" w:rsidR="006B0B85" w:rsidRDefault="006B0B85" w:rsidP="003C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16160" w14:textId="77777777" w:rsidR="006B0B85" w:rsidRDefault="006B0B85" w:rsidP="003C5870">
      <w:r>
        <w:separator/>
      </w:r>
    </w:p>
  </w:footnote>
  <w:footnote w:type="continuationSeparator" w:id="0">
    <w:p w14:paraId="51F42385" w14:textId="77777777" w:rsidR="006B0B85" w:rsidRDefault="006B0B85" w:rsidP="003C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005A7" w14:textId="77777777" w:rsidR="003C5870" w:rsidRDefault="003C5870">
    <w:pPr>
      <w:pStyle w:val="Nagwek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9301B"/>
    <w:multiLevelType w:val="hybridMultilevel"/>
    <w:tmpl w:val="AC9088CE"/>
    <w:lvl w:ilvl="0" w:tplc="DD3621D0">
      <w:start w:val="3"/>
      <w:numFmt w:val="decimal"/>
      <w:lvlText w:val="(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" w15:restartNumberingAfterBreak="0">
    <w:nsid w:val="4D68502C"/>
    <w:multiLevelType w:val="hybridMultilevel"/>
    <w:tmpl w:val="FB188332"/>
    <w:lvl w:ilvl="0" w:tplc="8C1A5490">
      <w:start w:val="1"/>
      <w:numFmt w:val="decimal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08872292">
    <w:abstractNumId w:val="1"/>
  </w:num>
  <w:num w:numId="2" w16cid:durableId="79221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BE"/>
    <w:rsid w:val="00034937"/>
    <w:rsid w:val="000D32FE"/>
    <w:rsid w:val="00123831"/>
    <w:rsid w:val="001A11C4"/>
    <w:rsid w:val="001A278A"/>
    <w:rsid w:val="001B21CD"/>
    <w:rsid w:val="001E1531"/>
    <w:rsid w:val="001E653A"/>
    <w:rsid w:val="00271FDE"/>
    <w:rsid w:val="002C2069"/>
    <w:rsid w:val="00332992"/>
    <w:rsid w:val="00373934"/>
    <w:rsid w:val="003B0115"/>
    <w:rsid w:val="003C5870"/>
    <w:rsid w:val="003E4A40"/>
    <w:rsid w:val="004C513C"/>
    <w:rsid w:val="004D694B"/>
    <w:rsid w:val="006B0B85"/>
    <w:rsid w:val="006C796E"/>
    <w:rsid w:val="007679ED"/>
    <w:rsid w:val="007B6794"/>
    <w:rsid w:val="007E3C45"/>
    <w:rsid w:val="007F391F"/>
    <w:rsid w:val="00804F51"/>
    <w:rsid w:val="0080648D"/>
    <w:rsid w:val="00830517"/>
    <w:rsid w:val="008669E3"/>
    <w:rsid w:val="008B0EC5"/>
    <w:rsid w:val="00951946"/>
    <w:rsid w:val="009526A2"/>
    <w:rsid w:val="0098257B"/>
    <w:rsid w:val="00992EF5"/>
    <w:rsid w:val="00A02EA9"/>
    <w:rsid w:val="00A9372E"/>
    <w:rsid w:val="00AB1B99"/>
    <w:rsid w:val="00AC6E37"/>
    <w:rsid w:val="00AE4861"/>
    <w:rsid w:val="00AF42F6"/>
    <w:rsid w:val="00AF447E"/>
    <w:rsid w:val="00B063B8"/>
    <w:rsid w:val="00B327B9"/>
    <w:rsid w:val="00B420FF"/>
    <w:rsid w:val="00B6644F"/>
    <w:rsid w:val="00B7371B"/>
    <w:rsid w:val="00B77EE9"/>
    <w:rsid w:val="00BA6185"/>
    <w:rsid w:val="00BF3148"/>
    <w:rsid w:val="00C17BD6"/>
    <w:rsid w:val="00C23DC4"/>
    <w:rsid w:val="00C414D7"/>
    <w:rsid w:val="00C653CF"/>
    <w:rsid w:val="00C82377"/>
    <w:rsid w:val="00C875ED"/>
    <w:rsid w:val="00CA7B87"/>
    <w:rsid w:val="00CB1EA1"/>
    <w:rsid w:val="00CD40F0"/>
    <w:rsid w:val="00CF305F"/>
    <w:rsid w:val="00D03E9E"/>
    <w:rsid w:val="00D270B3"/>
    <w:rsid w:val="00DF5250"/>
    <w:rsid w:val="00E0327E"/>
    <w:rsid w:val="00E33C3B"/>
    <w:rsid w:val="00E37B6E"/>
    <w:rsid w:val="00E82ABD"/>
    <w:rsid w:val="00E84FBE"/>
    <w:rsid w:val="00EE6C8E"/>
    <w:rsid w:val="00FF36FB"/>
    <w:rsid w:val="00FF49A1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BC26D"/>
  <w15:docId w15:val="{46A49CEE-F06F-4C96-A541-979C8289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B0E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EC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71FD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58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58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58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587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9AD5-8FB5-4FF6-BCCF-9CB9F4000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Krzyżanowska</dc:creator>
  <cp:lastModifiedBy>WSSE Gorzów Wlkp. - Luiza Wojtowicz</cp:lastModifiedBy>
  <cp:revision>4</cp:revision>
  <cp:lastPrinted>2022-01-14T09:17:00Z</cp:lastPrinted>
  <dcterms:created xsi:type="dcterms:W3CDTF">2022-07-20T07:22:00Z</dcterms:created>
  <dcterms:modified xsi:type="dcterms:W3CDTF">2022-07-20T09:32:00Z</dcterms:modified>
</cp:coreProperties>
</file>