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953219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953219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953219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5 marca 2025</w:t>
      </w:r>
      <w:bookmarkEnd w:id="0"/>
      <w:r w:rsidRPr="002740C0">
        <w:rPr>
          <w:rFonts w:cs="Arial"/>
          <w:szCs w:val="24"/>
        </w:rPr>
        <w:t xml:space="preserve"> r.</w:t>
      </w:r>
    </w:p>
    <w:p w:rsidR="005336CB" w:rsidRPr="002E6FA4" w:rsidRDefault="00953219" w:rsidP="005336CB">
      <w:pPr>
        <w:pStyle w:val="Nagwek2"/>
      </w:pPr>
      <w:r w:rsidRPr="002E6FA4">
        <w:t>zmieniające zarządzenie w sprawie</w:t>
      </w:r>
      <w:r>
        <w:t xml:space="preserve"> </w:t>
      </w:r>
      <w:r>
        <w:rPr>
          <w:rStyle w:val="Nagwek2Znak"/>
          <w:b/>
        </w:rPr>
        <w:t>określenia zadań i kompetencji Wojewody Pomorskiego oraz I i II Wicewojewody Pomorskiego</w:t>
      </w:r>
    </w:p>
    <w:p w:rsidR="005336CB" w:rsidRDefault="00953219" w:rsidP="005336CB">
      <w:pPr>
        <w:spacing w:after="360"/>
      </w:pPr>
      <w:r>
        <w:t>Na podstawie art. 7 ust. 3 ustawy z dnia 23 stycznia 2009 r. o wojewodzie i administracji rządowej w województwie (Dz. U. z 2023 r. poz. 190 oraz z 2024 r. poz. 1907)  zarządza się, co następuje:</w:t>
      </w:r>
    </w:p>
    <w:p w:rsidR="005336CB" w:rsidRDefault="00953219" w:rsidP="005336CB">
      <w:pPr>
        <w:spacing w:before="120"/>
        <w:rPr>
          <w:rStyle w:val="Nagwek2Znak"/>
          <w:rFonts w:cs="Arial"/>
          <w:b w:val="0"/>
          <w:bCs/>
          <w:sz w:val="24"/>
          <w:szCs w:val="24"/>
        </w:rPr>
      </w:pPr>
      <w:r w:rsidRPr="00AB7C64">
        <w:rPr>
          <w:rFonts w:cs="Arial"/>
          <w:b/>
          <w:bCs/>
        </w:rPr>
        <w:t>§ 1.</w:t>
      </w:r>
      <w:r w:rsidRPr="00AB7C64">
        <w:rPr>
          <w:rFonts w:cs="Arial"/>
        </w:rPr>
        <w:t xml:space="preserve"> W zarządzeniu Wojewody Pomorskiego </w:t>
      </w:r>
      <w:r w:rsidRPr="00AB7C64">
        <w:rPr>
          <w:rFonts w:cs="Arial"/>
          <w:szCs w:val="24"/>
        </w:rPr>
        <w:t>z dnia 26 marca 2024 r</w:t>
      </w:r>
      <w:r w:rsidRPr="00AB7C64">
        <w:rPr>
          <w:rFonts w:cs="Arial"/>
          <w:b/>
          <w:bCs/>
          <w:szCs w:val="24"/>
        </w:rPr>
        <w:t xml:space="preserve">. </w:t>
      </w:r>
      <w:r w:rsidRPr="00AB7C64">
        <w:rPr>
          <w:rStyle w:val="Nagwek2Znak"/>
          <w:rFonts w:cs="Arial"/>
          <w:b w:val="0"/>
          <w:bCs/>
          <w:sz w:val="24"/>
          <w:szCs w:val="24"/>
        </w:rPr>
        <w:t xml:space="preserve">w sprawie określenia zadań i kompetencji Wojewody Pomorskiego oraz I i II Wicewojewody </w:t>
      </w:r>
      <w:r w:rsidRPr="00AB7C64">
        <w:rPr>
          <w:rStyle w:val="Nagwek2Znak"/>
          <w:rFonts w:cs="Arial"/>
          <w:b w:val="0"/>
          <w:bCs/>
          <w:sz w:val="24"/>
          <w:szCs w:val="24"/>
        </w:rPr>
        <w:br/>
      </w:r>
      <w:r>
        <w:rPr>
          <w:rFonts w:cs="Arial"/>
          <w:szCs w:val="24"/>
        </w:rPr>
        <w:t xml:space="preserve">Pomorskiego </w:t>
      </w:r>
      <w:r w:rsidRPr="00AB7C64">
        <w:rPr>
          <w:rFonts w:cs="Arial"/>
          <w:szCs w:val="24"/>
        </w:rPr>
        <w:t>zmienion</w:t>
      </w:r>
      <w:r>
        <w:rPr>
          <w:rFonts w:cs="Arial"/>
          <w:szCs w:val="24"/>
        </w:rPr>
        <w:t>ym</w:t>
      </w:r>
      <w:r w:rsidRPr="00AB7C64">
        <w:rPr>
          <w:rFonts w:cs="Arial"/>
          <w:szCs w:val="24"/>
        </w:rPr>
        <w:t xml:space="preserve"> zarządzeniem Wojewody Pomorskiego z dnia 5 lutego </w:t>
      </w:r>
      <w:r>
        <w:rPr>
          <w:rFonts w:cs="Arial"/>
          <w:szCs w:val="24"/>
        </w:rPr>
        <w:br/>
      </w:r>
      <w:r w:rsidRPr="00AB7C64">
        <w:rPr>
          <w:rFonts w:cs="Arial"/>
          <w:szCs w:val="24"/>
        </w:rPr>
        <w:t xml:space="preserve">2025 r. </w:t>
      </w:r>
      <w:r w:rsidRPr="00AB7C64">
        <w:rPr>
          <w:rStyle w:val="Nagwek2Znak"/>
          <w:rFonts w:cs="Arial"/>
          <w:b w:val="0"/>
          <w:bCs/>
          <w:sz w:val="24"/>
          <w:szCs w:val="24"/>
        </w:rPr>
        <w:t>wprowadza się następujące zmiany:</w:t>
      </w:r>
    </w:p>
    <w:p w:rsidR="005336CB" w:rsidRDefault="00953219" w:rsidP="005336CB">
      <w:pPr>
        <w:pStyle w:val="Akapitzlist"/>
        <w:numPr>
          <w:ilvl w:val="0"/>
          <w:numId w:val="1"/>
        </w:numPr>
        <w:spacing w:before="120"/>
        <w:ind w:left="567" w:hanging="425"/>
        <w:rPr>
          <w:rStyle w:val="Nagwek2Znak"/>
          <w:rFonts w:cs="Arial"/>
          <w:b w:val="0"/>
          <w:bCs/>
          <w:sz w:val="24"/>
          <w:szCs w:val="24"/>
        </w:rPr>
      </w:pPr>
      <w:r>
        <w:rPr>
          <w:rStyle w:val="Nagwek2Znak"/>
          <w:rFonts w:cs="Arial"/>
          <w:b w:val="0"/>
          <w:bCs/>
          <w:sz w:val="24"/>
          <w:szCs w:val="24"/>
        </w:rPr>
        <w:t>w § 3 w ust. 1 pkt 6 otrzymuje brzmienie:</w:t>
      </w:r>
    </w:p>
    <w:p w:rsidR="005336CB" w:rsidRDefault="00953219" w:rsidP="005336CB">
      <w:pPr>
        <w:pStyle w:val="Akapitzlist"/>
        <w:spacing w:before="120"/>
        <w:ind w:left="567" w:firstLine="0"/>
        <w:contextualSpacing w:val="0"/>
        <w:rPr>
          <w:rStyle w:val="Nagwek2Znak"/>
          <w:rFonts w:cs="Arial"/>
          <w:b w:val="0"/>
          <w:bCs/>
          <w:sz w:val="24"/>
          <w:szCs w:val="24"/>
        </w:rPr>
      </w:pPr>
      <w:r>
        <w:rPr>
          <w:rStyle w:val="Nagwek2Znak"/>
          <w:rFonts w:cs="Arial"/>
          <w:b w:val="0"/>
          <w:bCs/>
          <w:sz w:val="24"/>
          <w:szCs w:val="24"/>
        </w:rPr>
        <w:t>„6) Wydział Infrastruktury;”;</w:t>
      </w:r>
    </w:p>
    <w:p w:rsidR="005336CB" w:rsidRDefault="00953219" w:rsidP="005336CB">
      <w:pPr>
        <w:pStyle w:val="Akapitzlist"/>
        <w:numPr>
          <w:ilvl w:val="0"/>
          <w:numId w:val="1"/>
        </w:numPr>
        <w:spacing w:before="120"/>
        <w:ind w:left="567"/>
        <w:rPr>
          <w:rStyle w:val="Nagwek2Znak"/>
          <w:rFonts w:cs="Arial"/>
          <w:b w:val="0"/>
          <w:bCs/>
          <w:sz w:val="24"/>
          <w:szCs w:val="24"/>
        </w:rPr>
      </w:pPr>
      <w:r>
        <w:rPr>
          <w:rStyle w:val="Nagwek2Znak"/>
          <w:rFonts w:cs="Arial"/>
          <w:b w:val="0"/>
          <w:bCs/>
          <w:sz w:val="24"/>
          <w:szCs w:val="24"/>
        </w:rPr>
        <w:t>w § 4 w ust.1 pkt 1 otrzymuje brzmienie:</w:t>
      </w:r>
    </w:p>
    <w:p w:rsidR="005336CB" w:rsidRPr="005336CB" w:rsidRDefault="00953219" w:rsidP="005336CB">
      <w:pPr>
        <w:pStyle w:val="Akapitzlist"/>
        <w:spacing w:before="120"/>
        <w:ind w:left="567" w:firstLine="0"/>
        <w:rPr>
          <w:rStyle w:val="Nagwek2Znak"/>
          <w:rFonts w:cs="Arial"/>
          <w:b w:val="0"/>
          <w:bCs/>
          <w:sz w:val="24"/>
          <w:szCs w:val="24"/>
        </w:rPr>
      </w:pPr>
      <w:r>
        <w:rPr>
          <w:rStyle w:val="Nagwek2Znak"/>
          <w:rFonts w:cs="Arial"/>
          <w:b w:val="0"/>
          <w:bCs/>
          <w:sz w:val="24"/>
          <w:szCs w:val="24"/>
        </w:rPr>
        <w:t>„1) Wydział Nieruchomości i Skarbu Państwa;”.</w:t>
      </w:r>
      <w:bookmarkStart w:id="1" w:name="_GoBack"/>
      <w:bookmarkEnd w:id="1"/>
    </w:p>
    <w:p w:rsidR="008644C3" w:rsidRDefault="00953219" w:rsidP="008644C3">
      <w:pPr>
        <w:spacing w:after="720"/>
      </w:pPr>
      <w:r w:rsidRPr="005336CB">
        <w:rPr>
          <w:b/>
          <w:bCs/>
        </w:rPr>
        <w:t>§ 2.</w:t>
      </w:r>
      <w:r>
        <w:t xml:space="preserve"> Zarządzenie wchodzi w życie z dniem podpisania.</w:t>
      </w:r>
    </w:p>
    <w:p w:rsidR="00953219" w:rsidRDefault="00953219" w:rsidP="00CB3CF1">
      <w:pPr>
        <w:tabs>
          <w:tab w:val="left" w:pos="567"/>
          <w:tab w:val="left" w:pos="851"/>
        </w:tabs>
        <w:ind w:firstLine="3686"/>
        <w:jc w:val="center"/>
        <w:rPr>
          <w:rFonts w:cs="Arial"/>
        </w:rPr>
      </w:pPr>
      <w:r>
        <w:rPr>
          <w:rFonts w:cs="Arial"/>
        </w:rPr>
        <w:t>Wojewoda Pomorski</w:t>
      </w:r>
    </w:p>
    <w:p w:rsidR="00953219" w:rsidRDefault="00953219" w:rsidP="00CB3CF1">
      <w:pPr>
        <w:tabs>
          <w:tab w:val="left" w:pos="567"/>
          <w:tab w:val="left" w:pos="851"/>
        </w:tabs>
        <w:ind w:left="1843" w:firstLine="1843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95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A55AF"/>
    <w:multiLevelType w:val="hybridMultilevel"/>
    <w:tmpl w:val="B26A222A"/>
    <w:lvl w:ilvl="0" w:tplc="B2A8576A">
      <w:start w:val="1"/>
      <w:numFmt w:val="decimal"/>
      <w:lvlText w:val="%1)"/>
      <w:lvlJc w:val="left"/>
      <w:pPr>
        <w:ind w:left="1789" w:hanging="360"/>
      </w:pPr>
    </w:lvl>
    <w:lvl w:ilvl="1" w:tplc="E0083094" w:tentative="1">
      <w:start w:val="1"/>
      <w:numFmt w:val="lowerLetter"/>
      <w:lvlText w:val="%2."/>
      <w:lvlJc w:val="left"/>
      <w:pPr>
        <w:ind w:left="2509" w:hanging="360"/>
      </w:pPr>
    </w:lvl>
    <w:lvl w:ilvl="2" w:tplc="F27067CA" w:tentative="1">
      <w:start w:val="1"/>
      <w:numFmt w:val="lowerRoman"/>
      <w:lvlText w:val="%3."/>
      <w:lvlJc w:val="right"/>
      <w:pPr>
        <w:ind w:left="3229" w:hanging="180"/>
      </w:pPr>
    </w:lvl>
    <w:lvl w:ilvl="3" w:tplc="1B201F44" w:tentative="1">
      <w:start w:val="1"/>
      <w:numFmt w:val="decimal"/>
      <w:lvlText w:val="%4."/>
      <w:lvlJc w:val="left"/>
      <w:pPr>
        <w:ind w:left="3949" w:hanging="360"/>
      </w:pPr>
    </w:lvl>
    <w:lvl w:ilvl="4" w:tplc="D708E6EC" w:tentative="1">
      <w:start w:val="1"/>
      <w:numFmt w:val="lowerLetter"/>
      <w:lvlText w:val="%5."/>
      <w:lvlJc w:val="left"/>
      <w:pPr>
        <w:ind w:left="4669" w:hanging="360"/>
      </w:pPr>
    </w:lvl>
    <w:lvl w:ilvl="5" w:tplc="AFD0653A" w:tentative="1">
      <w:start w:val="1"/>
      <w:numFmt w:val="lowerRoman"/>
      <w:lvlText w:val="%6."/>
      <w:lvlJc w:val="right"/>
      <w:pPr>
        <w:ind w:left="5389" w:hanging="180"/>
      </w:pPr>
    </w:lvl>
    <w:lvl w:ilvl="6" w:tplc="C3C01EF4" w:tentative="1">
      <w:start w:val="1"/>
      <w:numFmt w:val="decimal"/>
      <w:lvlText w:val="%7."/>
      <w:lvlJc w:val="left"/>
      <w:pPr>
        <w:ind w:left="6109" w:hanging="360"/>
      </w:pPr>
    </w:lvl>
    <w:lvl w:ilvl="7" w:tplc="CD443CB0" w:tentative="1">
      <w:start w:val="1"/>
      <w:numFmt w:val="lowerLetter"/>
      <w:lvlText w:val="%8."/>
      <w:lvlJc w:val="left"/>
      <w:pPr>
        <w:ind w:left="6829" w:hanging="360"/>
      </w:pPr>
    </w:lvl>
    <w:lvl w:ilvl="8" w:tplc="B4E09630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187248E"/>
    <w:multiLevelType w:val="hybridMultilevel"/>
    <w:tmpl w:val="204C6E50"/>
    <w:lvl w:ilvl="0" w:tplc="E730AA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09261C0" w:tentative="1">
      <w:start w:val="1"/>
      <w:numFmt w:val="lowerLetter"/>
      <w:lvlText w:val="%2."/>
      <w:lvlJc w:val="left"/>
      <w:pPr>
        <w:ind w:left="1789" w:hanging="360"/>
      </w:pPr>
    </w:lvl>
    <w:lvl w:ilvl="2" w:tplc="5A6A0ED2" w:tentative="1">
      <w:start w:val="1"/>
      <w:numFmt w:val="lowerRoman"/>
      <w:lvlText w:val="%3."/>
      <w:lvlJc w:val="right"/>
      <w:pPr>
        <w:ind w:left="2509" w:hanging="180"/>
      </w:pPr>
    </w:lvl>
    <w:lvl w:ilvl="3" w:tplc="E71A5678" w:tentative="1">
      <w:start w:val="1"/>
      <w:numFmt w:val="decimal"/>
      <w:lvlText w:val="%4."/>
      <w:lvlJc w:val="left"/>
      <w:pPr>
        <w:ind w:left="3229" w:hanging="360"/>
      </w:pPr>
    </w:lvl>
    <w:lvl w:ilvl="4" w:tplc="CD1C3DB6" w:tentative="1">
      <w:start w:val="1"/>
      <w:numFmt w:val="lowerLetter"/>
      <w:lvlText w:val="%5."/>
      <w:lvlJc w:val="left"/>
      <w:pPr>
        <w:ind w:left="3949" w:hanging="360"/>
      </w:pPr>
    </w:lvl>
    <w:lvl w:ilvl="5" w:tplc="BCCC72A2" w:tentative="1">
      <w:start w:val="1"/>
      <w:numFmt w:val="lowerRoman"/>
      <w:lvlText w:val="%6."/>
      <w:lvlJc w:val="right"/>
      <w:pPr>
        <w:ind w:left="4669" w:hanging="180"/>
      </w:pPr>
    </w:lvl>
    <w:lvl w:ilvl="6" w:tplc="1B7E2DF4" w:tentative="1">
      <w:start w:val="1"/>
      <w:numFmt w:val="decimal"/>
      <w:lvlText w:val="%7."/>
      <w:lvlJc w:val="left"/>
      <w:pPr>
        <w:ind w:left="5389" w:hanging="360"/>
      </w:pPr>
    </w:lvl>
    <w:lvl w:ilvl="7" w:tplc="5516AA9E" w:tentative="1">
      <w:start w:val="1"/>
      <w:numFmt w:val="lowerLetter"/>
      <w:lvlText w:val="%8."/>
      <w:lvlJc w:val="left"/>
      <w:pPr>
        <w:ind w:left="6109" w:hanging="360"/>
      </w:pPr>
    </w:lvl>
    <w:lvl w:ilvl="8" w:tplc="24AE8E62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19"/>
    <w:rsid w:val="00953219"/>
    <w:rsid w:val="00CB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87EC"/>
  <w15:docId w15:val="{23BD530A-75C8-4F1F-BCCD-7D2E630A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33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5 marca 2025r zmieniające zarządzenie w sprawie określenia zadań i kompetencji Wojewody Pomorskiego oraz I i II Wicewojewody Pomorskiego</dc:title>
  <dc:creator>Maria Leszczyńska</dc:creator>
  <cp:lastModifiedBy>Monika Giedrojć</cp:lastModifiedBy>
  <cp:revision>13</cp:revision>
  <cp:lastPrinted>2017-01-05T08:10:00Z</cp:lastPrinted>
  <dcterms:created xsi:type="dcterms:W3CDTF">2021-05-10T11:38:00Z</dcterms:created>
  <dcterms:modified xsi:type="dcterms:W3CDTF">2025-03-06T10:31:00Z</dcterms:modified>
</cp:coreProperties>
</file>