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397E" w14:textId="01DED6A1" w:rsidR="00083C5F" w:rsidRDefault="00083C5F" w:rsidP="00083C5F">
      <w:pPr>
        <w:spacing w:line="360" w:lineRule="auto"/>
        <w:rPr>
          <w:rStyle w:val="Ppogrubienie"/>
          <w:szCs w:val="24"/>
        </w:rPr>
      </w:pPr>
      <w:bookmarkStart w:id="0" w:name="_Hlk175126053"/>
      <w:r>
        <w:rPr>
          <w:rStyle w:val="Ppogrubienie"/>
          <w:szCs w:val="24"/>
        </w:rPr>
        <w:t xml:space="preserve">Komisja Kodyfikacyjna Prawa Karnego </w:t>
      </w:r>
    </w:p>
    <w:p w14:paraId="1090E397" w14:textId="77777777" w:rsidR="00083C5F" w:rsidRDefault="00083C5F" w:rsidP="00083C5F">
      <w:pPr>
        <w:spacing w:line="360" w:lineRule="auto"/>
        <w:rPr>
          <w:rStyle w:val="Ppogrubienie"/>
          <w:szCs w:val="24"/>
        </w:rPr>
      </w:pPr>
    </w:p>
    <w:p w14:paraId="5892328C" w14:textId="440B7A9A" w:rsidR="008B1AAF" w:rsidRDefault="006E3AA4" w:rsidP="00083C5F">
      <w:pPr>
        <w:spacing w:line="360" w:lineRule="auto"/>
        <w:jc w:val="center"/>
        <w:rPr>
          <w:rStyle w:val="Ppogrubienie"/>
          <w:szCs w:val="24"/>
        </w:rPr>
      </w:pPr>
      <w:r>
        <w:rPr>
          <w:rStyle w:val="Ppogrubienie"/>
          <w:szCs w:val="24"/>
        </w:rPr>
        <w:t>Zespół z</w:t>
      </w:r>
      <w:r w:rsidR="008B1AAF">
        <w:rPr>
          <w:rStyle w:val="Ppogrubienie"/>
          <w:szCs w:val="24"/>
        </w:rPr>
        <w:t>mian w zakresie postępowania konsensualnego</w:t>
      </w:r>
    </w:p>
    <w:p w14:paraId="2266DED4" w14:textId="77777777" w:rsidR="008B1AAF" w:rsidRDefault="008B1AAF" w:rsidP="008B1AAF">
      <w:pPr>
        <w:rPr>
          <w:rStyle w:val="Ppogrubienie"/>
          <w:szCs w:val="24"/>
        </w:rPr>
      </w:pPr>
    </w:p>
    <w:p w14:paraId="153C6633" w14:textId="13E304D2" w:rsidR="006C71F9" w:rsidRPr="008B1AAF" w:rsidRDefault="006C71F9" w:rsidP="008B1AAF">
      <w:pPr>
        <w:pStyle w:val="ARTartustawynprozporzdzenia"/>
        <w:keepNext/>
        <w:spacing w:before="0"/>
        <w:ind w:firstLine="0"/>
        <w:rPr>
          <w:rFonts w:ascii="Times New Roman" w:hAnsi="Times New Roman" w:cs="Times New Roman"/>
          <w:szCs w:val="24"/>
        </w:rPr>
      </w:pPr>
      <w:r w:rsidRPr="008B1AAF">
        <w:rPr>
          <w:rStyle w:val="Ppogrubienie"/>
          <w:rFonts w:ascii="Times New Roman" w:hAnsi="Times New Roman" w:cs="Times New Roman"/>
          <w:szCs w:val="24"/>
        </w:rPr>
        <w:t>Art. 1.</w:t>
      </w:r>
      <w:r w:rsidRPr="008B1AAF">
        <w:rPr>
          <w:rFonts w:ascii="Times New Roman" w:hAnsi="Times New Roman" w:cs="Times New Roman"/>
          <w:szCs w:val="24"/>
        </w:rPr>
        <w:t xml:space="preserve"> W ustawie z dnia 6 czerwca 1997 r. – Kodeks postępowania karnego (Dz. U. z 2025 r. poz. 46 i 304) wprowadza się następujące zmiany:</w:t>
      </w:r>
    </w:p>
    <w:bookmarkEnd w:id="0"/>
    <w:p w14:paraId="3CE40171" w14:textId="77777777" w:rsidR="00204C59" w:rsidRPr="008B1AAF" w:rsidRDefault="00204C59" w:rsidP="008B1AAF">
      <w:pPr>
        <w:spacing w:line="360" w:lineRule="auto"/>
        <w:rPr>
          <w:szCs w:val="24"/>
        </w:rPr>
      </w:pPr>
    </w:p>
    <w:p w14:paraId="2E4FA752" w14:textId="77777777" w:rsidR="006C71F9" w:rsidRPr="008B1AAF" w:rsidRDefault="006C71F9" w:rsidP="008B1AAF">
      <w:pPr>
        <w:pStyle w:val="Akapitzlist"/>
        <w:numPr>
          <w:ilvl w:val="0"/>
          <w:numId w:val="1"/>
        </w:numPr>
        <w:spacing w:line="360" w:lineRule="auto"/>
        <w:rPr>
          <w:b/>
          <w:bCs/>
          <w:color w:val="000000" w:themeColor="text1"/>
          <w:szCs w:val="24"/>
        </w:rPr>
      </w:pPr>
      <w:r w:rsidRPr="008B1AAF">
        <w:rPr>
          <w:b/>
          <w:bCs/>
          <w:color w:val="000000" w:themeColor="text1"/>
          <w:szCs w:val="24"/>
        </w:rPr>
        <w:t>dodaje się art. 11a w brzmieniu:</w:t>
      </w:r>
    </w:p>
    <w:p w14:paraId="40D2AFFC" w14:textId="77777777" w:rsidR="006C71F9" w:rsidRPr="008B1AAF" w:rsidRDefault="006C71F9" w:rsidP="008B1AAF">
      <w:pPr>
        <w:spacing w:line="360" w:lineRule="auto"/>
        <w:ind w:left="360"/>
        <w:jc w:val="both"/>
        <w:rPr>
          <w:color w:val="000000" w:themeColor="text1"/>
          <w:szCs w:val="24"/>
        </w:rPr>
      </w:pPr>
      <w:r w:rsidRPr="008B1AAF">
        <w:rPr>
          <w:color w:val="000000" w:themeColor="text1"/>
          <w:szCs w:val="24"/>
        </w:rPr>
        <w:t>§ 1. Na wspólny wniosek podejrzanego, uprzednio niekaranego za przestępstwo umyślne i pokrzywdzonego w sprawie o występek przeciwko mieniu bez użycia przemocy lub groźby bezprawnej, którego wartość nie przekracza 20.000 zł, z wyłączeniem art. 280-283 k.k., oraz o występek z art. 157 § 3, art. 160 § 3, art. 177 § 1 k.k. z wyłączeniem art. 178 § 1 k.k., organ prowadzący postępowanie może skierować sprawę do postępowania mediacyjnego. Postanowienie o skierowaniu do mediacji nie wymaga uzasadnienia.</w:t>
      </w:r>
    </w:p>
    <w:p w14:paraId="6DB61D0D" w14:textId="77777777" w:rsidR="006C71F9" w:rsidRPr="008B1AAF" w:rsidRDefault="006C71F9" w:rsidP="008B1AAF">
      <w:pPr>
        <w:spacing w:line="360" w:lineRule="auto"/>
        <w:ind w:left="360"/>
        <w:jc w:val="both"/>
        <w:rPr>
          <w:color w:val="000000" w:themeColor="text1"/>
          <w:szCs w:val="24"/>
        </w:rPr>
      </w:pPr>
      <w:r w:rsidRPr="008B1AAF">
        <w:rPr>
          <w:color w:val="000000" w:themeColor="text1"/>
          <w:szCs w:val="24"/>
        </w:rPr>
        <w:t>§ 2. Prokurator może uzależnić umorzenie postępowania od uiszczenia przez podejrzanego świadczenia w wysokości do 20 000 złotych na rzecz Funduszu Pomocy Pokrzywdzonym oraz Pomocy Penitencjarnej, a także dokonania określonych zmian w treści ugody.</w:t>
      </w:r>
    </w:p>
    <w:p w14:paraId="7E857900" w14:textId="77777777" w:rsidR="006C71F9" w:rsidRPr="008B1AAF" w:rsidRDefault="006C71F9" w:rsidP="008B1AAF">
      <w:pPr>
        <w:spacing w:line="360" w:lineRule="auto"/>
        <w:ind w:left="360"/>
        <w:jc w:val="both"/>
        <w:rPr>
          <w:color w:val="000000" w:themeColor="text1"/>
          <w:szCs w:val="24"/>
        </w:rPr>
      </w:pPr>
      <w:r w:rsidRPr="008B1AAF">
        <w:rPr>
          <w:color w:val="000000" w:themeColor="text1"/>
          <w:szCs w:val="24"/>
        </w:rPr>
        <w:t xml:space="preserve">§ 3. Prokurator umarza postępowanie, jeżeli okoliczności popełnienia czynu nie budzą wątpliwości, ugoda zawarta w toku postępowania mediacyjnego między podejrzanym i pokrzywdzonym została wykonana, zaś świadczenie, o którym mowa w § 2, zostało uiszczone, chyba że umorzenie sprzeciwiałoby się potrzebie realizacji celów kary.  </w:t>
      </w:r>
    </w:p>
    <w:p w14:paraId="617FE9D0" w14:textId="77777777" w:rsidR="006C71F9" w:rsidRPr="008B1AAF" w:rsidRDefault="006C71F9" w:rsidP="008B1AAF">
      <w:pPr>
        <w:spacing w:line="360" w:lineRule="auto"/>
        <w:ind w:left="360"/>
        <w:jc w:val="both"/>
        <w:rPr>
          <w:color w:val="000000" w:themeColor="text1"/>
          <w:szCs w:val="24"/>
        </w:rPr>
      </w:pPr>
      <w:r w:rsidRPr="008B1AAF">
        <w:rPr>
          <w:color w:val="000000" w:themeColor="text1"/>
          <w:szCs w:val="24"/>
        </w:rPr>
        <w:t>§ 4. Jeżeli pomimo osiągniętej w drodze mediacji ugody nie ma w ocenie prokuratora podstaw do umorzenia postępowania zastosowanie znajduje art. 335 § 1 i 2 albo art. 336, chyba że sprzeciwiają się temu okoliczności sprawy.</w:t>
      </w:r>
    </w:p>
    <w:p w14:paraId="0198A791" w14:textId="77777777" w:rsidR="006C71F9" w:rsidRPr="008B1AAF" w:rsidRDefault="006C71F9" w:rsidP="008B1AAF">
      <w:pPr>
        <w:spacing w:line="360" w:lineRule="auto"/>
        <w:rPr>
          <w:color w:val="000000" w:themeColor="text1"/>
          <w:szCs w:val="24"/>
        </w:rPr>
      </w:pPr>
    </w:p>
    <w:p w14:paraId="3ACD8398" w14:textId="647F660F" w:rsidR="006C71F9" w:rsidRPr="008B1AAF" w:rsidRDefault="006C71F9" w:rsidP="008B1AAF">
      <w:pPr>
        <w:pStyle w:val="Akapitzlist"/>
        <w:numPr>
          <w:ilvl w:val="0"/>
          <w:numId w:val="1"/>
        </w:numPr>
        <w:spacing w:line="360" w:lineRule="auto"/>
        <w:rPr>
          <w:b/>
          <w:bCs/>
          <w:color w:val="000000" w:themeColor="text1"/>
          <w:szCs w:val="24"/>
        </w:rPr>
      </w:pPr>
      <w:r w:rsidRPr="008B1AAF">
        <w:rPr>
          <w:b/>
          <w:bCs/>
          <w:color w:val="000000" w:themeColor="text1"/>
          <w:szCs w:val="24"/>
        </w:rPr>
        <w:t xml:space="preserve">dodaje się art. 11b w brzmieniu </w:t>
      </w:r>
    </w:p>
    <w:p w14:paraId="4B7C2C75" w14:textId="77777777" w:rsidR="006C71F9" w:rsidRPr="008B1AAF" w:rsidRDefault="006C71F9" w:rsidP="008B1AAF">
      <w:pPr>
        <w:spacing w:line="360" w:lineRule="auto"/>
        <w:ind w:left="426"/>
        <w:jc w:val="both"/>
        <w:rPr>
          <w:color w:val="000000" w:themeColor="text1"/>
          <w:szCs w:val="24"/>
        </w:rPr>
      </w:pPr>
      <w:r w:rsidRPr="008B1AAF">
        <w:rPr>
          <w:color w:val="000000" w:themeColor="text1"/>
          <w:szCs w:val="24"/>
        </w:rPr>
        <w:t>§ 1. Prokurator może umorzyć postępowanie karne w sprawie o występek z art. 270 § 2a i 3, art. 270a § 3, art. 271 § 2, art. 271a § 3, art. 273 wobec sprawcy niekaranego za przestępstwo umyślne, jeżeli okoliczności sprawy nie budzą wątpliwości, zaś świadczenie, o którym mowa w § 2, zostało uiszczone, chyba że umorzenie sprzeciwiałoby się potrzebie realizacji celów kary.</w:t>
      </w:r>
    </w:p>
    <w:p w14:paraId="75C2703F" w14:textId="77777777" w:rsidR="006C71F9" w:rsidRPr="008B1AAF" w:rsidRDefault="006C71F9" w:rsidP="008B1AAF">
      <w:pPr>
        <w:spacing w:line="360" w:lineRule="auto"/>
        <w:ind w:left="426"/>
        <w:jc w:val="both"/>
        <w:rPr>
          <w:color w:val="000000" w:themeColor="text1"/>
          <w:szCs w:val="24"/>
        </w:rPr>
      </w:pPr>
      <w:r w:rsidRPr="008B1AAF">
        <w:rPr>
          <w:color w:val="000000" w:themeColor="text1"/>
          <w:szCs w:val="24"/>
        </w:rPr>
        <w:t>§ 2. Prokurator uzależnia umorzenie postępowania od uiszczenia przez podejrzanego świadczenia w wysokości do 20 000 złotych na rzecz Funduszu Pomocy Pokrzywdzonym oraz Pomocy Penitencjarnej.</w:t>
      </w:r>
    </w:p>
    <w:p w14:paraId="6297AD84" w14:textId="77777777" w:rsidR="006C71F9" w:rsidRPr="008B1AAF" w:rsidRDefault="006C71F9" w:rsidP="008B1AAF">
      <w:pPr>
        <w:pStyle w:val="Akapitzlist"/>
        <w:spacing w:line="360" w:lineRule="auto"/>
        <w:rPr>
          <w:color w:val="000000" w:themeColor="text1"/>
          <w:szCs w:val="24"/>
        </w:rPr>
      </w:pPr>
    </w:p>
    <w:p w14:paraId="486A6500" w14:textId="77777777" w:rsidR="006C71F9" w:rsidRPr="008B1AAF" w:rsidRDefault="006C71F9" w:rsidP="008B1AAF">
      <w:pPr>
        <w:pStyle w:val="Akapitzlist"/>
        <w:spacing w:line="360" w:lineRule="auto"/>
        <w:rPr>
          <w:color w:val="000000" w:themeColor="text1"/>
          <w:szCs w:val="24"/>
        </w:rPr>
      </w:pPr>
    </w:p>
    <w:p w14:paraId="473DB9FB" w14:textId="55A4DF64" w:rsidR="00964816" w:rsidRPr="00964816" w:rsidRDefault="00964816" w:rsidP="00964816">
      <w:pPr>
        <w:pStyle w:val="Akapitzlist"/>
        <w:numPr>
          <w:ilvl w:val="0"/>
          <w:numId w:val="1"/>
        </w:numPr>
        <w:spacing w:line="360" w:lineRule="auto"/>
        <w:rPr>
          <w:b/>
          <w:bCs/>
          <w:szCs w:val="24"/>
        </w:rPr>
      </w:pPr>
      <w:r w:rsidRPr="00964816">
        <w:rPr>
          <w:b/>
          <w:bCs/>
          <w:color w:val="000000"/>
          <w:sz w:val="22"/>
          <w:szCs w:val="22"/>
        </w:rPr>
        <w:t>art. 300 § 1 otrzymuje brzmienie</w:t>
      </w:r>
      <w:r w:rsidRPr="00964816">
        <w:rPr>
          <w:rStyle w:val="apple-converted-space"/>
          <w:rFonts w:eastAsiaTheme="majorEastAsia"/>
          <w:b/>
          <w:bCs/>
          <w:color w:val="000000"/>
          <w:sz w:val="22"/>
          <w:szCs w:val="22"/>
        </w:rPr>
        <w:t> </w:t>
      </w:r>
    </w:p>
    <w:p w14:paraId="2614ACEC" w14:textId="77777777" w:rsidR="00964816" w:rsidRPr="00DA5A3D" w:rsidRDefault="00964816" w:rsidP="00964816">
      <w:pPr>
        <w:pStyle w:val="NormalnyWeb"/>
        <w:spacing w:before="0" w:beforeAutospacing="0" w:after="0" w:afterAutospacing="0" w:line="360" w:lineRule="auto"/>
        <w:ind w:left="426"/>
        <w:jc w:val="both"/>
        <w:rPr>
          <w:color w:val="000000"/>
          <w:sz w:val="22"/>
          <w:szCs w:val="22"/>
        </w:rPr>
      </w:pPr>
      <w:r w:rsidRPr="00DA5A3D">
        <w:rPr>
          <w:color w:val="000000"/>
          <w:sz w:val="22"/>
          <w:szCs w:val="22"/>
        </w:rPr>
        <w:t xml:space="preserve">Przed pierwszym przesłuchaniem poucza się podejrzanego o jego uprawnieniach: do składania wyjaśnień, do odmowy składania wyjaśnień lub odmowy odpowiedzi na pytania, do informacji o treści zarzutów i ich zmianach, do składania wniosków o dokonanie czynności śledztwa lub dochodzenia, do korzystania z pomocy obrońcy, w tym do wystąpienia o obrońcę z urzędu w wypadku określonym w art. 78 i art. 78a, oraz o treści art. 202, art. 214, art. 215, art. 257 § 1 i 2, art. 259, art. 316, art. 338b, art. 360, art. 361 i art. 374 § 1, o treści przepisów dotyczących środków zapobiegawczych, o których mowa w rozdziale 28, innych niż tymczasowe aresztowanie, o uprawnieniu do końcowego zaznajomienia z materiałami postępowania przygotowawczego, jak również o uprawnieniach określonych w art. 23a § 1, art. 72 § 1, art. 156 § 5 i 5a, art. 301, art. 335, </w:t>
      </w:r>
      <w:r w:rsidRPr="00D063D9">
        <w:rPr>
          <w:color w:val="000000"/>
          <w:sz w:val="22"/>
          <w:szCs w:val="22"/>
        </w:rPr>
        <w:t>art. 338a, art. 387 i art. 387a</w:t>
      </w:r>
      <w:r w:rsidRPr="00DA5A3D">
        <w:rPr>
          <w:color w:val="000000"/>
          <w:sz w:val="22"/>
          <w:szCs w:val="22"/>
        </w:rPr>
        <w:t xml:space="preserve"> oraz o obowiązkach i konsekwencjach wskazanych w art. 74, art. 75, art. 133 § 2, art. 138 i art. 139. Ponadto podejrzanego, który nie ukończył 18 lat, poucza się o treści art. 76, art. 76a i art. 299b oraz o treści art. 212 Kodeksu karnego wykonawczego, a także o roli organów uczestniczących w postępowaniu karnym. Pouczenie należy wręczyć podejrzanemu na piśmie; podejrzany otrzymanie pouczenia potwierdza podpisem. Jeżeli podejrzany nie ukończył 18 lat to pouczenie wręcza się również przedstawicielowi ustawowemu lub osobie, pod której pieczą podejrzany pozostaje, albo innej osobie wskazanej albo wyznaczonej, o której mowa w art. 76a, która otrzymanie pouczenia potwierdza podpisem.</w:t>
      </w:r>
    </w:p>
    <w:p w14:paraId="46BC7768" w14:textId="77777777" w:rsidR="00964816" w:rsidRDefault="00964816" w:rsidP="00964816">
      <w:pPr>
        <w:pStyle w:val="Akapitzlist"/>
        <w:spacing w:line="360" w:lineRule="auto"/>
        <w:rPr>
          <w:b/>
          <w:bCs/>
          <w:szCs w:val="24"/>
        </w:rPr>
      </w:pPr>
    </w:p>
    <w:p w14:paraId="09504CA2" w14:textId="0AFA7DE5" w:rsidR="006C71F9" w:rsidRPr="008B1AAF" w:rsidRDefault="008B1AAF" w:rsidP="008B1AAF">
      <w:pPr>
        <w:pStyle w:val="Akapitzlist"/>
        <w:numPr>
          <w:ilvl w:val="0"/>
          <w:numId w:val="1"/>
        </w:numPr>
        <w:spacing w:line="360" w:lineRule="auto"/>
        <w:rPr>
          <w:b/>
          <w:bCs/>
          <w:szCs w:val="24"/>
        </w:rPr>
      </w:pPr>
      <w:r w:rsidRPr="008B1AAF">
        <w:rPr>
          <w:b/>
          <w:bCs/>
          <w:szCs w:val="24"/>
        </w:rPr>
        <w:t xml:space="preserve">w </w:t>
      </w:r>
      <w:r w:rsidR="006C71F9" w:rsidRPr="008B1AAF">
        <w:rPr>
          <w:b/>
          <w:bCs/>
          <w:szCs w:val="24"/>
        </w:rPr>
        <w:t>art. 332 dodaje się § 2a w brzmieniu</w:t>
      </w:r>
    </w:p>
    <w:p w14:paraId="31F45DA5" w14:textId="5CA34717" w:rsidR="006C71F9" w:rsidRPr="008B1AAF" w:rsidRDefault="008B1AAF" w:rsidP="008B1AAF">
      <w:pPr>
        <w:spacing w:line="360" w:lineRule="auto"/>
        <w:ind w:left="360"/>
        <w:jc w:val="both"/>
        <w:rPr>
          <w:color w:val="000000" w:themeColor="text1"/>
          <w:szCs w:val="24"/>
        </w:rPr>
      </w:pPr>
      <w:r w:rsidRPr="008B1AAF">
        <w:rPr>
          <w:color w:val="000000" w:themeColor="text1"/>
          <w:szCs w:val="24"/>
        </w:rPr>
        <w:t xml:space="preserve">§ 2a. </w:t>
      </w:r>
      <w:r w:rsidR="006C71F9" w:rsidRPr="008B1AAF">
        <w:rPr>
          <w:color w:val="000000" w:themeColor="text1"/>
          <w:szCs w:val="24"/>
        </w:rPr>
        <w:t xml:space="preserve">Na wniosek oskarżonego, do aktu oskarżenia, do którego nie załączono </w:t>
      </w:r>
      <w:r w:rsidR="006E3AA4" w:rsidRPr="008B1AAF">
        <w:rPr>
          <w:color w:val="000000" w:themeColor="text1"/>
          <w:szCs w:val="24"/>
        </w:rPr>
        <w:t>wniosku,</w:t>
      </w:r>
      <w:r w:rsidR="006C71F9" w:rsidRPr="008B1AAF">
        <w:rPr>
          <w:color w:val="000000" w:themeColor="text1"/>
          <w:szCs w:val="24"/>
        </w:rPr>
        <w:t xml:space="preserve"> o którym mowa w art. 335 § 2, prokurator dołącza oświadczenie zawierające wskazanie warunków akceptacji wniosku z art. 338a lub art. 387 w zakresie kar lub innych środków przewidzianych za zarzucane przestępstwo.</w:t>
      </w:r>
    </w:p>
    <w:p w14:paraId="09F3C531" w14:textId="77777777" w:rsidR="006C71F9" w:rsidRPr="008B1AAF" w:rsidRDefault="006C71F9" w:rsidP="008B1AAF">
      <w:pPr>
        <w:spacing w:line="360" w:lineRule="auto"/>
        <w:rPr>
          <w:szCs w:val="24"/>
        </w:rPr>
      </w:pPr>
    </w:p>
    <w:p w14:paraId="48768F86" w14:textId="436F2C93" w:rsidR="006C71F9" w:rsidRPr="008B1AAF" w:rsidRDefault="008B1AAF" w:rsidP="008B1AAF">
      <w:pPr>
        <w:pStyle w:val="Akapitzlist"/>
        <w:numPr>
          <w:ilvl w:val="0"/>
          <w:numId w:val="1"/>
        </w:numPr>
        <w:spacing w:line="360" w:lineRule="auto"/>
        <w:rPr>
          <w:b/>
          <w:bCs/>
          <w:szCs w:val="24"/>
        </w:rPr>
      </w:pPr>
      <w:r w:rsidRPr="008B1AAF">
        <w:rPr>
          <w:b/>
          <w:bCs/>
          <w:szCs w:val="24"/>
        </w:rPr>
        <w:t xml:space="preserve">w </w:t>
      </w:r>
      <w:r w:rsidR="006C71F9" w:rsidRPr="008B1AAF">
        <w:rPr>
          <w:b/>
          <w:bCs/>
          <w:szCs w:val="24"/>
        </w:rPr>
        <w:t>art. 335 § 2, 2</w:t>
      </w:r>
      <w:r w:rsidR="00305A24">
        <w:rPr>
          <w:b/>
          <w:bCs/>
          <w:szCs w:val="24"/>
        </w:rPr>
        <w:t>b</w:t>
      </w:r>
      <w:r w:rsidR="006C71F9" w:rsidRPr="008B1AAF">
        <w:rPr>
          <w:b/>
          <w:bCs/>
          <w:szCs w:val="24"/>
        </w:rPr>
        <w:t xml:space="preserve"> i 5 otrzymują brzmienie</w:t>
      </w:r>
    </w:p>
    <w:p w14:paraId="2D2450AB" w14:textId="77777777" w:rsidR="006C71F9" w:rsidRPr="008B1AAF" w:rsidRDefault="006C71F9" w:rsidP="008B1AAF">
      <w:pPr>
        <w:spacing w:line="360" w:lineRule="auto"/>
        <w:ind w:left="360"/>
        <w:jc w:val="both"/>
        <w:rPr>
          <w:color w:val="000000" w:themeColor="text1"/>
          <w:szCs w:val="24"/>
        </w:rPr>
      </w:pPr>
      <w:r w:rsidRPr="008B1AAF">
        <w:rPr>
          <w:color w:val="000000" w:themeColor="text1"/>
          <w:szCs w:val="24"/>
        </w:rPr>
        <w:t xml:space="preserve">§ 2. Prokurator może dołączyć do aktu oskarżenia wniosek o wydanie na posiedzeniu wyroku skazującego i orzeczenie uzgodnionych z oskarżonym kar lub innych środków przewidzianych za zarzucane mu przestępstwo, uwzględniających też prawnie chronione interesy pokrzywdzonego, jeżeli okoliczności popełnienia czynu i wina oskarżonego nie budzą wątpliwości, wyjaśnienia złożone przez oskarżonego nie są sprzeczne z dokonanymi ustaleniami, a postawa oskarżonego wskazuje, że cele postępowania zostaną osiągnięte. Do </w:t>
      </w:r>
      <w:r w:rsidRPr="008B1AAF">
        <w:rPr>
          <w:color w:val="000000" w:themeColor="text1"/>
          <w:szCs w:val="24"/>
        </w:rPr>
        <w:lastRenderedPageBreak/>
        <w:t>wniosku stosuje się odpowiednio przepisy § 1 zdanie piąte i § 3 zdanie drugie. Do aktu oskarżenia nie stosuje się przepisów art. 333 § 1 i 2.</w:t>
      </w:r>
    </w:p>
    <w:p w14:paraId="65378743" w14:textId="0EE514E9" w:rsidR="006C71F9" w:rsidRPr="008B1AAF" w:rsidRDefault="006C71F9" w:rsidP="008B1AAF">
      <w:pPr>
        <w:spacing w:line="360" w:lineRule="auto"/>
        <w:ind w:left="360"/>
        <w:jc w:val="both"/>
        <w:rPr>
          <w:color w:val="000000" w:themeColor="text1"/>
          <w:szCs w:val="24"/>
        </w:rPr>
      </w:pPr>
      <w:r w:rsidRPr="008B1AAF">
        <w:rPr>
          <w:color w:val="000000" w:themeColor="text1"/>
          <w:szCs w:val="24"/>
        </w:rPr>
        <w:t>§ 2</w:t>
      </w:r>
      <w:r w:rsidR="001E690F">
        <w:rPr>
          <w:color w:val="000000" w:themeColor="text1"/>
          <w:szCs w:val="24"/>
        </w:rPr>
        <w:t>b</w:t>
      </w:r>
      <w:r w:rsidRPr="008B1AAF">
        <w:rPr>
          <w:color w:val="000000" w:themeColor="text1"/>
          <w:szCs w:val="24"/>
        </w:rPr>
        <w:t>. Przepisu § 1 nie stosuje się do przestępstw zagrożonych karą dożywotniego pozbawienia wolności.</w:t>
      </w:r>
    </w:p>
    <w:p w14:paraId="1E4CF8B2" w14:textId="02B0FEB0" w:rsidR="006C71F9" w:rsidRPr="008B1AAF" w:rsidRDefault="006C71F9" w:rsidP="008B1AAF">
      <w:pPr>
        <w:spacing w:line="360" w:lineRule="auto"/>
        <w:ind w:left="360"/>
        <w:jc w:val="both"/>
        <w:rPr>
          <w:color w:val="000000" w:themeColor="text1"/>
          <w:szCs w:val="24"/>
        </w:rPr>
      </w:pPr>
      <w:r w:rsidRPr="008B1AAF">
        <w:rPr>
          <w:color w:val="000000" w:themeColor="text1"/>
          <w:szCs w:val="24"/>
        </w:rPr>
        <w:t>§ 5 Jeżeli nie doszło do złożenia wniosku, o którym mowa w art. 335 § 1 i 2</w:t>
      </w:r>
      <w:r w:rsidR="00305A24">
        <w:rPr>
          <w:color w:val="000000" w:themeColor="text1"/>
          <w:szCs w:val="24"/>
        </w:rPr>
        <w:t>,</w:t>
      </w:r>
      <w:r w:rsidRPr="008B1AAF">
        <w:rPr>
          <w:color w:val="000000" w:themeColor="text1"/>
          <w:szCs w:val="24"/>
        </w:rPr>
        <w:t xml:space="preserve"> nastąpiło jego cofnięcie </w:t>
      </w:r>
      <w:r w:rsidR="00305A24">
        <w:rPr>
          <w:color w:val="000000" w:themeColor="text1"/>
          <w:szCs w:val="24"/>
        </w:rPr>
        <w:t xml:space="preserve">albo pokrzywdzony sprzeciwił się uwzględnieniu wniosku, </w:t>
      </w:r>
      <w:r w:rsidRPr="008B1AAF">
        <w:rPr>
          <w:color w:val="000000" w:themeColor="text1"/>
          <w:szCs w:val="24"/>
        </w:rPr>
        <w:t xml:space="preserve">oświadczenia procesowe oskarżonego złożone w związku z uzgadnianiem warunków skazania mogą być wykorzystane w prowadzonym przeciwko niemu postępowaniu, </w:t>
      </w:r>
      <w:r w:rsidR="00305A24">
        <w:rPr>
          <w:color w:val="000000" w:themeColor="text1"/>
          <w:szCs w:val="24"/>
        </w:rPr>
        <w:t xml:space="preserve">chyba że się </w:t>
      </w:r>
      <w:r w:rsidRPr="008B1AAF">
        <w:rPr>
          <w:color w:val="000000" w:themeColor="text1"/>
          <w:szCs w:val="24"/>
        </w:rPr>
        <w:t>temu sprzeciwi</w:t>
      </w:r>
      <w:r w:rsidR="00305A24">
        <w:rPr>
          <w:color w:val="000000" w:themeColor="text1"/>
          <w:szCs w:val="24"/>
        </w:rPr>
        <w:t xml:space="preserve"> najpóźniej do chwili ich ujawnienia na pierwszej rozprawie głównej</w:t>
      </w:r>
      <w:r w:rsidRPr="008B1AAF">
        <w:rPr>
          <w:color w:val="000000" w:themeColor="text1"/>
          <w:szCs w:val="24"/>
        </w:rPr>
        <w:t>.</w:t>
      </w:r>
    </w:p>
    <w:p w14:paraId="218B6514" w14:textId="77777777" w:rsidR="006C71F9" w:rsidRPr="008B1AAF" w:rsidRDefault="006C71F9" w:rsidP="008B1AAF">
      <w:pPr>
        <w:spacing w:line="360" w:lineRule="auto"/>
        <w:ind w:left="360"/>
        <w:rPr>
          <w:szCs w:val="24"/>
        </w:rPr>
      </w:pPr>
    </w:p>
    <w:p w14:paraId="63A8C1B6" w14:textId="39B2F209" w:rsidR="006C71F9" w:rsidRPr="008B1AAF" w:rsidRDefault="008B1AAF" w:rsidP="008B1AAF">
      <w:pPr>
        <w:pStyle w:val="Akapitzlist"/>
        <w:numPr>
          <w:ilvl w:val="0"/>
          <w:numId w:val="1"/>
        </w:numPr>
        <w:spacing w:line="360" w:lineRule="auto"/>
        <w:rPr>
          <w:b/>
          <w:bCs/>
          <w:szCs w:val="24"/>
        </w:rPr>
      </w:pPr>
      <w:r w:rsidRPr="008B1AAF">
        <w:rPr>
          <w:b/>
          <w:bCs/>
          <w:szCs w:val="24"/>
        </w:rPr>
        <w:t>a</w:t>
      </w:r>
      <w:r w:rsidR="006C71F9" w:rsidRPr="008B1AAF">
        <w:rPr>
          <w:b/>
          <w:bCs/>
          <w:szCs w:val="24"/>
        </w:rPr>
        <w:t>rt. 338a § 1 i 2 otrzymują brzmienie</w:t>
      </w:r>
    </w:p>
    <w:p w14:paraId="16461F6B" w14:textId="77777777" w:rsidR="006C71F9" w:rsidRPr="008B1AAF" w:rsidRDefault="006C71F9" w:rsidP="008B1AAF">
      <w:pPr>
        <w:spacing w:line="360" w:lineRule="auto"/>
        <w:ind w:left="426"/>
        <w:jc w:val="both"/>
        <w:rPr>
          <w:color w:val="000000" w:themeColor="text1"/>
          <w:szCs w:val="24"/>
        </w:rPr>
      </w:pPr>
      <w:r w:rsidRPr="008B1AAF">
        <w:rPr>
          <w:color w:val="000000" w:themeColor="text1"/>
          <w:szCs w:val="24"/>
        </w:rPr>
        <w:t xml:space="preserve">§ 1 Oskarżony może przed doręczeniem mu zawiadomienia o terminie rozprawy złożyć wniosek o wydanie wyroku skazującego i wymierzenie mu określonej kary lub innych środków przewidzianych za zarzucane mu przestępstwo bez przeprowadzenia postępowania dowodowego. Wniosek może również dotyczyć wydania określonego rozstrzygnięcia w przedmiocie poniesienia kosztów procesu. </w:t>
      </w:r>
    </w:p>
    <w:p w14:paraId="1B301561" w14:textId="77777777" w:rsidR="006C71F9" w:rsidRPr="008B1AAF" w:rsidRDefault="006C71F9" w:rsidP="008B1AAF">
      <w:pPr>
        <w:spacing w:line="360" w:lineRule="auto"/>
        <w:ind w:left="426"/>
        <w:jc w:val="both"/>
        <w:rPr>
          <w:color w:val="000000" w:themeColor="text1"/>
          <w:szCs w:val="24"/>
        </w:rPr>
      </w:pPr>
      <w:r w:rsidRPr="008B1AAF">
        <w:rPr>
          <w:color w:val="000000" w:themeColor="text1"/>
          <w:szCs w:val="24"/>
        </w:rPr>
        <w:t>§ 2. Przepisu § 1 nie stosuje się do przestępstw zagrożonych karą dożywotniego pozbawienia wolności.</w:t>
      </w:r>
    </w:p>
    <w:p w14:paraId="0918C4E4" w14:textId="77777777" w:rsidR="006C71F9" w:rsidRPr="008B1AAF" w:rsidRDefault="006C71F9" w:rsidP="008B1AAF">
      <w:pPr>
        <w:spacing w:line="360" w:lineRule="auto"/>
        <w:rPr>
          <w:szCs w:val="24"/>
        </w:rPr>
      </w:pPr>
    </w:p>
    <w:p w14:paraId="5EAE1D72" w14:textId="7E503C1F" w:rsidR="006C71F9" w:rsidRPr="008B1AAF" w:rsidRDefault="008B1AAF" w:rsidP="008B1AAF">
      <w:pPr>
        <w:pStyle w:val="Akapitzlist"/>
        <w:numPr>
          <w:ilvl w:val="0"/>
          <w:numId w:val="1"/>
        </w:numPr>
        <w:spacing w:line="360" w:lineRule="auto"/>
        <w:rPr>
          <w:b/>
          <w:bCs/>
          <w:szCs w:val="24"/>
        </w:rPr>
      </w:pPr>
      <w:r w:rsidRPr="008B1AAF">
        <w:rPr>
          <w:b/>
          <w:bCs/>
          <w:szCs w:val="24"/>
        </w:rPr>
        <w:t>w</w:t>
      </w:r>
      <w:r w:rsidR="006C71F9" w:rsidRPr="008B1AAF">
        <w:rPr>
          <w:b/>
          <w:bCs/>
          <w:szCs w:val="24"/>
        </w:rPr>
        <w:t>prowadza się art. 343c w brzmieniu</w:t>
      </w:r>
    </w:p>
    <w:p w14:paraId="33E9710E" w14:textId="77777777" w:rsidR="006C71F9" w:rsidRPr="008B1AAF" w:rsidRDefault="006C71F9" w:rsidP="008B1AAF">
      <w:pPr>
        <w:spacing w:line="360" w:lineRule="auto"/>
        <w:ind w:left="426"/>
        <w:jc w:val="both"/>
        <w:rPr>
          <w:color w:val="000000" w:themeColor="text1"/>
          <w:szCs w:val="24"/>
        </w:rPr>
      </w:pPr>
      <w:r w:rsidRPr="008B1AAF">
        <w:rPr>
          <w:color w:val="000000" w:themeColor="text1"/>
          <w:szCs w:val="24"/>
        </w:rPr>
        <w:t>§ 1. W wypadku uwzględnienia wniosku, o którym mowa w art. 335, art. 338a, orzeczona kara pozbawienia wolności nie może przekroczyć dwóch trzecich, a w razie złożenia wniosku z art. 387 trzech czwartych górnej granicy ustawowego zagrożenia przewidzianego za przypisane sprawcy przestępstwo, które nie jest zagrożone karą dożywotniego pozbawienia wolności.</w:t>
      </w:r>
    </w:p>
    <w:p w14:paraId="0B3BE69B" w14:textId="762CE8BC" w:rsidR="006C71F9" w:rsidRPr="008B1AAF" w:rsidRDefault="006C71F9" w:rsidP="008B1AAF">
      <w:pPr>
        <w:spacing w:line="360" w:lineRule="auto"/>
        <w:ind w:left="426"/>
        <w:jc w:val="both"/>
        <w:rPr>
          <w:color w:val="000000" w:themeColor="text1"/>
          <w:szCs w:val="24"/>
        </w:rPr>
      </w:pPr>
      <w:r w:rsidRPr="008B1AAF">
        <w:rPr>
          <w:color w:val="000000" w:themeColor="text1"/>
          <w:szCs w:val="24"/>
        </w:rPr>
        <w:t>§ 2. W wypadku uwzględnienia wniosku, o którym mowa w art. 335, art. 338a, sąd może także:</w:t>
      </w:r>
    </w:p>
    <w:p w14:paraId="140A732C"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orzec karę na podstawie art. 37a § 1 Kodeksu karnego, wobec sprawcy, o którym mowa w art. 37a § 2 Kodeksu karnego,</w:t>
      </w:r>
    </w:p>
    <w:p w14:paraId="6FF10E90"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zastosować nadzwyczajne złagodzenie kary,</w:t>
      </w:r>
    </w:p>
    <w:p w14:paraId="0DC89144"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odstąpić od wymierzenia kary za przestępstwo zagrożone karą pozbawienia wolności nieprzekraczającą 5 lat,</w:t>
      </w:r>
    </w:p>
    <w:p w14:paraId="6279A735"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odstąpić od nadzwyczajnego obostrzenia kary o charakterze obligatoryjnym,</w:t>
      </w:r>
    </w:p>
    <w:p w14:paraId="70107D5C"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lastRenderedPageBreak/>
        <w:t>odstąpić od wymierzenia środka karnego, nawiązki na rzecz Skarbu Państwa oraz przepadku, chociażby ich orzeczenie było obowiązkowe,</w:t>
      </w:r>
    </w:p>
    <w:p w14:paraId="43A61BD9"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warunkowo zawiesić wykonanie orzeczonej kary pozbawienia wolności lub kary łącznej pozbawienia wolności do lat 5 na okres próby do lat 10,</w:t>
      </w:r>
    </w:p>
    <w:p w14:paraId="56871D30"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zarządzić zatarcie skazania już po upływie 3 lat – w razie skazania na karę pozbawienia wolności oraz już po upływie roku – w razie skazania na karę ograniczenia wolności,</w:t>
      </w:r>
    </w:p>
    <w:p w14:paraId="18778D9C" w14:textId="77777777" w:rsidR="006C71F9" w:rsidRPr="008B1AAF" w:rsidRDefault="006C71F9" w:rsidP="008B1AAF">
      <w:pPr>
        <w:pStyle w:val="Akapitzlist"/>
        <w:numPr>
          <w:ilvl w:val="0"/>
          <w:numId w:val="3"/>
        </w:numPr>
        <w:spacing w:line="360" w:lineRule="auto"/>
        <w:ind w:left="851"/>
        <w:jc w:val="both"/>
        <w:rPr>
          <w:color w:val="000000" w:themeColor="text1"/>
          <w:szCs w:val="24"/>
        </w:rPr>
      </w:pPr>
      <w:r w:rsidRPr="008B1AAF">
        <w:rPr>
          <w:color w:val="000000" w:themeColor="text1"/>
          <w:szCs w:val="24"/>
        </w:rPr>
        <w:t>umorzyć na podstawie art. 11 § 1 postępowanie za inne przestępstwo zagrożone karą pozbawienia wolności nieprzekraczającą 5 lat. Przepisów art. 11 § 2 i 3 nie stosuje się.</w:t>
      </w:r>
    </w:p>
    <w:p w14:paraId="3D8064FA" w14:textId="77777777" w:rsidR="006C71F9" w:rsidRPr="008B1AAF" w:rsidRDefault="006C71F9" w:rsidP="008B1AAF">
      <w:pPr>
        <w:spacing w:line="360" w:lineRule="auto"/>
        <w:ind w:left="426"/>
        <w:jc w:val="both"/>
        <w:rPr>
          <w:color w:val="000000" w:themeColor="text1"/>
          <w:szCs w:val="24"/>
        </w:rPr>
      </w:pPr>
      <w:r w:rsidRPr="008B1AAF">
        <w:rPr>
          <w:color w:val="000000" w:themeColor="text1"/>
          <w:szCs w:val="24"/>
        </w:rPr>
        <w:t>§ 3. W przypadku uwzględnienia wniosku, o którym mowa w art. 387 sąd może skorzystać z możliwości, o których mowa w § 2 pkt. 2 i 4.</w:t>
      </w:r>
    </w:p>
    <w:p w14:paraId="272C4348" w14:textId="77777777" w:rsidR="006C71F9" w:rsidRPr="008B1AAF" w:rsidRDefault="006C71F9" w:rsidP="008B1AAF">
      <w:pPr>
        <w:spacing w:line="360" w:lineRule="auto"/>
        <w:ind w:left="360"/>
        <w:rPr>
          <w:szCs w:val="24"/>
        </w:rPr>
      </w:pPr>
    </w:p>
    <w:p w14:paraId="19D1793D" w14:textId="68FAEEF7" w:rsidR="006C71F9" w:rsidRPr="008B1AAF" w:rsidRDefault="008B1AAF" w:rsidP="008B1AAF">
      <w:pPr>
        <w:pStyle w:val="Akapitzlist"/>
        <w:numPr>
          <w:ilvl w:val="0"/>
          <w:numId w:val="1"/>
        </w:numPr>
        <w:spacing w:line="360" w:lineRule="auto"/>
        <w:rPr>
          <w:b/>
          <w:bCs/>
          <w:szCs w:val="24"/>
        </w:rPr>
      </w:pPr>
      <w:r w:rsidRPr="008B1AAF">
        <w:rPr>
          <w:b/>
          <w:bCs/>
          <w:szCs w:val="24"/>
        </w:rPr>
        <w:t>w art. 387 § 1 otrzymuje brzmienie:</w:t>
      </w:r>
    </w:p>
    <w:p w14:paraId="0E993778" w14:textId="77777777" w:rsidR="008B1AAF" w:rsidRPr="008B1AAF" w:rsidRDefault="008B1AAF" w:rsidP="008B1AAF">
      <w:pPr>
        <w:spacing w:line="360" w:lineRule="auto"/>
        <w:ind w:left="360"/>
        <w:jc w:val="both"/>
        <w:rPr>
          <w:color w:val="000000" w:themeColor="text1"/>
          <w:szCs w:val="24"/>
        </w:rPr>
      </w:pPr>
      <w:r w:rsidRPr="008B1AAF">
        <w:rPr>
          <w:color w:val="000000" w:themeColor="text1"/>
          <w:szCs w:val="24"/>
        </w:rPr>
        <w:t>§ 1. Do chwili zakończenia pierwszego przesłuchania albo przeprowadzenia dowodu z protokołu wyjaśnień wszystkich oskarżonych na rozprawie głównej oskarżony, a także obrońca za zgodą oskarżonego może złożyć wniosek o wydanie wyroku skazującego i wymierzenie mu określonej kary lub innych środków przewidzianych za zarzucane mu przestępstwo bez przeprowadzenia dalszego postępowania dowodowego. Wniosek może również dotyczyć wydania określonego rozstrzygnięcia w przedmiocie poniesienia kosztów procesu.</w:t>
      </w:r>
    </w:p>
    <w:p w14:paraId="78E6373A" w14:textId="77777777" w:rsidR="008B1AAF" w:rsidRPr="008B1AAF" w:rsidRDefault="008B1AAF" w:rsidP="008B1AAF">
      <w:pPr>
        <w:spacing w:line="360" w:lineRule="auto"/>
        <w:ind w:left="360"/>
        <w:jc w:val="both"/>
        <w:rPr>
          <w:color w:val="000000" w:themeColor="text1"/>
          <w:szCs w:val="24"/>
        </w:rPr>
      </w:pPr>
    </w:p>
    <w:p w14:paraId="26F1B204" w14:textId="13D7AAFE" w:rsidR="008B1AAF" w:rsidRPr="008B1AAF" w:rsidRDefault="008B1AAF" w:rsidP="008B1AAF">
      <w:pPr>
        <w:pStyle w:val="Akapitzlist"/>
        <w:numPr>
          <w:ilvl w:val="0"/>
          <w:numId w:val="1"/>
        </w:numPr>
        <w:spacing w:line="360" w:lineRule="auto"/>
        <w:jc w:val="both"/>
        <w:rPr>
          <w:b/>
          <w:bCs/>
          <w:color w:val="000000" w:themeColor="text1"/>
          <w:szCs w:val="24"/>
        </w:rPr>
      </w:pPr>
      <w:r w:rsidRPr="008B1AAF">
        <w:rPr>
          <w:b/>
          <w:bCs/>
          <w:color w:val="000000" w:themeColor="text1"/>
          <w:szCs w:val="24"/>
        </w:rPr>
        <w:t>dodaje się art. 387a w brzmieniu:</w:t>
      </w:r>
    </w:p>
    <w:p w14:paraId="3AB8376B" w14:textId="77777777" w:rsidR="008B1AAF" w:rsidRPr="008B1AAF" w:rsidRDefault="008B1AAF" w:rsidP="008B1AAF">
      <w:pPr>
        <w:spacing w:line="360" w:lineRule="auto"/>
        <w:ind w:left="360"/>
        <w:jc w:val="both"/>
        <w:rPr>
          <w:color w:val="000000" w:themeColor="text1"/>
          <w:szCs w:val="24"/>
        </w:rPr>
      </w:pPr>
      <w:r w:rsidRPr="008B1AAF">
        <w:rPr>
          <w:color w:val="000000" w:themeColor="text1"/>
          <w:szCs w:val="24"/>
        </w:rPr>
        <w:t>Przepis art. 387 stosuje się odpowiednio w toku postępowania dowodowego na rozprawie głównej.</w:t>
      </w:r>
    </w:p>
    <w:p w14:paraId="4832D372" w14:textId="77777777" w:rsidR="008B1AAF" w:rsidRPr="008B1AAF" w:rsidRDefault="008B1AAF" w:rsidP="008B1AAF">
      <w:pPr>
        <w:spacing w:line="360" w:lineRule="auto"/>
        <w:jc w:val="both"/>
        <w:rPr>
          <w:color w:val="000000" w:themeColor="text1"/>
          <w:szCs w:val="24"/>
        </w:rPr>
      </w:pPr>
    </w:p>
    <w:p w14:paraId="58E9EA69" w14:textId="1CD4401B" w:rsidR="006C71F9" w:rsidRPr="008B1AAF" w:rsidRDefault="006C71F9" w:rsidP="008B1AAF">
      <w:pPr>
        <w:pStyle w:val="ARTartustawynprozporzdzenia"/>
        <w:spacing w:before="0"/>
        <w:rPr>
          <w:rFonts w:ascii="Times New Roman" w:hAnsi="Times New Roman" w:cs="Times New Roman"/>
          <w:bCs/>
          <w:szCs w:val="24"/>
        </w:rPr>
      </w:pPr>
      <w:r w:rsidRPr="008B1AAF">
        <w:rPr>
          <w:rStyle w:val="Ppogrubienie"/>
          <w:rFonts w:ascii="Times New Roman" w:hAnsi="Times New Roman" w:cs="Times New Roman"/>
          <w:szCs w:val="24"/>
        </w:rPr>
        <w:t>Art.</w:t>
      </w:r>
      <w:r w:rsidRPr="008B1AAF">
        <w:rPr>
          <w:rFonts w:ascii="Times New Roman" w:hAnsi="Times New Roman" w:cs="Times New Roman"/>
          <w:szCs w:val="24"/>
        </w:rPr>
        <w:t xml:space="preserve"> </w:t>
      </w:r>
      <w:r w:rsidRPr="008B1AAF">
        <w:rPr>
          <w:rStyle w:val="Ppogrubienie"/>
          <w:rFonts w:ascii="Times New Roman" w:hAnsi="Times New Roman" w:cs="Times New Roman"/>
          <w:szCs w:val="24"/>
        </w:rPr>
        <w:t>2.</w:t>
      </w:r>
      <w:r w:rsidRPr="008B1AAF">
        <w:rPr>
          <w:rFonts w:ascii="Times New Roman" w:hAnsi="Times New Roman" w:cs="Times New Roman"/>
          <w:bCs/>
          <w:szCs w:val="24"/>
        </w:rPr>
        <w:t xml:space="preserve"> </w:t>
      </w:r>
      <w:r w:rsidRPr="008B1AAF">
        <w:rPr>
          <w:rFonts w:ascii="Times New Roman" w:hAnsi="Times New Roman" w:cs="Times New Roman"/>
          <w:b/>
          <w:szCs w:val="24"/>
        </w:rPr>
        <w:t>W ustawie z dnia 6 czerwca 1997 r. – Kodeks karny</w:t>
      </w:r>
      <w:r w:rsidRPr="008B1AAF">
        <w:rPr>
          <w:rFonts w:ascii="Times New Roman" w:hAnsi="Times New Roman" w:cs="Times New Roman"/>
          <w:bCs/>
          <w:szCs w:val="24"/>
        </w:rPr>
        <w:t xml:space="preserve"> (Dz. </w:t>
      </w:r>
      <w:r w:rsidR="006E3AA4" w:rsidRPr="008B1AAF">
        <w:rPr>
          <w:rFonts w:ascii="Times New Roman" w:hAnsi="Times New Roman" w:cs="Times New Roman"/>
          <w:bCs/>
          <w:szCs w:val="24"/>
        </w:rPr>
        <w:t>U.)</w:t>
      </w:r>
      <w:r w:rsidRPr="008B1AAF">
        <w:rPr>
          <w:rFonts w:ascii="Times New Roman" w:hAnsi="Times New Roman" w:cs="Times New Roman"/>
          <w:bCs/>
          <w:szCs w:val="24"/>
        </w:rPr>
        <w:t xml:space="preserve"> wprowadza się </w:t>
      </w:r>
      <w:r w:rsidR="008B1AAF" w:rsidRPr="008B1AAF">
        <w:rPr>
          <w:rFonts w:ascii="Times New Roman" w:hAnsi="Times New Roman" w:cs="Times New Roman"/>
          <w:bCs/>
          <w:szCs w:val="24"/>
        </w:rPr>
        <w:t>art. 53a w brzmieniu:</w:t>
      </w:r>
    </w:p>
    <w:p w14:paraId="5D9EDC9C" w14:textId="66CB0E4A" w:rsidR="008B1AAF" w:rsidRPr="008B1AAF" w:rsidRDefault="008B1AAF" w:rsidP="008B1AAF">
      <w:pPr>
        <w:spacing w:line="360" w:lineRule="auto"/>
        <w:ind w:left="510"/>
        <w:jc w:val="both"/>
        <w:rPr>
          <w:b/>
          <w:bCs/>
          <w:color w:val="000000" w:themeColor="text1"/>
          <w:szCs w:val="24"/>
        </w:rPr>
      </w:pPr>
      <w:r w:rsidRPr="008B1AAF">
        <w:rPr>
          <w:color w:val="000000" w:themeColor="text1"/>
          <w:szCs w:val="24"/>
        </w:rPr>
        <w:t>Art. 53a Wymierzając karę sąd bierze także pod uwagę fakt złożenia oraz treść wniosku, o którym mowa w art. 335, art. 338a, art. 387 i art. 387a Kodeksu postępowania karnego.</w:t>
      </w:r>
    </w:p>
    <w:p w14:paraId="4DE90482" w14:textId="77777777" w:rsidR="006C71F9" w:rsidRPr="008B1AAF" w:rsidRDefault="006C71F9" w:rsidP="008B1AAF">
      <w:pPr>
        <w:pStyle w:val="ARTartustawynprozporzdzenia"/>
        <w:spacing w:before="0"/>
        <w:rPr>
          <w:rFonts w:ascii="Times New Roman" w:hAnsi="Times New Roman" w:cs="Times New Roman"/>
          <w:bCs/>
          <w:szCs w:val="24"/>
        </w:rPr>
      </w:pPr>
    </w:p>
    <w:p w14:paraId="03289F49" w14:textId="16F04D85" w:rsidR="008B1AAF" w:rsidRPr="008B1AAF" w:rsidRDefault="006C71F9" w:rsidP="008B1AAF">
      <w:pPr>
        <w:pStyle w:val="ARTartustawynprozporzdzenia"/>
        <w:spacing w:before="0"/>
        <w:rPr>
          <w:rFonts w:ascii="Times New Roman" w:hAnsi="Times New Roman" w:cs="Times New Roman"/>
          <w:color w:val="000000" w:themeColor="text1"/>
          <w:szCs w:val="24"/>
        </w:rPr>
      </w:pPr>
      <w:r w:rsidRPr="008B1AAF">
        <w:rPr>
          <w:rFonts w:ascii="Times New Roman" w:hAnsi="Times New Roman" w:cs="Times New Roman"/>
          <w:b/>
          <w:szCs w:val="24"/>
        </w:rPr>
        <w:t>Art. 3.</w:t>
      </w:r>
      <w:r w:rsidRPr="008B1AAF">
        <w:rPr>
          <w:rFonts w:ascii="Times New Roman" w:hAnsi="Times New Roman" w:cs="Times New Roman"/>
          <w:bCs/>
          <w:szCs w:val="24"/>
        </w:rPr>
        <w:t xml:space="preserve"> </w:t>
      </w:r>
      <w:r w:rsidRPr="008B1AAF">
        <w:rPr>
          <w:rFonts w:ascii="Times New Roman" w:hAnsi="Times New Roman" w:cs="Times New Roman"/>
          <w:szCs w:val="24"/>
        </w:rPr>
        <w:t>W</w:t>
      </w:r>
      <w:r w:rsidRPr="008B1AAF">
        <w:rPr>
          <w:rFonts w:ascii="Times New Roman" w:hAnsi="Times New Roman" w:cs="Times New Roman"/>
          <w:bCs/>
          <w:szCs w:val="24"/>
        </w:rPr>
        <w:t xml:space="preserve"> </w:t>
      </w:r>
      <w:r w:rsidRPr="008B1AAF">
        <w:rPr>
          <w:rFonts w:ascii="Times New Roman" w:hAnsi="Times New Roman" w:cs="Times New Roman"/>
          <w:szCs w:val="24"/>
        </w:rPr>
        <w:t>ustawie z</w:t>
      </w:r>
      <w:r w:rsidRPr="008B1AAF">
        <w:rPr>
          <w:rFonts w:ascii="Times New Roman" w:hAnsi="Times New Roman" w:cs="Times New Roman"/>
          <w:bCs/>
          <w:szCs w:val="24"/>
        </w:rPr>
        <w:t xml:space="preserve"> </w:t>
      </w:r>
      <w:r w:rsidRPr="008B1AAF">
        <w:rPr>
          <w:rFonts w:ascii="Times New Roman" w:hAnsi="Times New Roman" w:cs="Times New Roman"/>
          <w:szCs w:val="24"/>
        </w:rPr>
        <w:t>dnia 6</w:t>
      </w:r>
      <w:r w:rsidRPr="008B1AAF">
        <w:rPr>
          <w:rFonts w:ascii="Times New Roman" w:hAnsi="Times New Roman" w:cs="Times New Roman"/>
          <w:bCs/>
          <w:szCs w:val="24"/>
        </w:rPr>
        <w:t xml:space="preserve"> </w:t>
      </w:r>
      <w:r w:rsidRPr="008B1AAF">
        <w:rPr>
          <w:rFonts w:ascii="Times New Roman" w:hAnsi="Times New Roman" w:cs="Times New Roman"/>
          <w:szCs w:val="24"/>
        </w:rPr>
        <w:t>czerwca 1997</w:t>
      </w:r>
      <w:r w:rsidRPr="008B1AAF">
        <w:rPr>
          <w:rFonts w:ascii="Times New Roman" w:hAnsi="Times New Roman" w:cs="Times New Roman"/>
          <w:bCs/>
          <w:szCs w:val="24"/>
        </w:rPr>
        <w:t xml:space="preserve"> </w:t>
      </w:r>
      <w:r w:rsidRPr="008B1AAF">
        <w:rPr>
          <w:rFonts w:ascii="Times New Roman" w:hAnsi="Times New Roman" w:cs="Times New Roman"/>
          <w:szCs w:val="24"/>
        </w:rPr>
        <w:t>r. – Kodeks karny wykonawczy (Dz.</w:t>
      </w:r>
      <w:r w:rsidRPr="008B1AAF">
        <w:rPr>
          <w:rFonts w:ascii="Times New Roman" w:hAnsi="Times New Roman" w:cs="Times New Roman"/>
          <w:bCs/>
          <w:szCs w:val="24"/>
        </w:rPr>
        <w:t xml:space="preserve"> </w:t>
      </w:r>
      <w:r w:rsidRPr="008B1AAF">
        <w:rPr>
          <w:rFonts w:ascii="Times New Roman" w:hAnsi="Times New Roman" w:cs="Times New Roman"/>
          <w:szCs w:val="24"/>
        </w:rPr>
        <w:t>U. z</w:t>
      </w:r>
      <w:r w:rsidRPr="008B1AAF">
        <w:rPr>
          <w:rFonts w:ascii="Times New Roman" w:hAnsi="Times New Roman" w:cs="Times New Roman"/>
          <w:bCs/>
          <w:szCs w:val="24"/>
        </w:rPr>
        <w:t xml:space="preserve"> </w:t>
      </w:r>
      <w:r w:rsidRPr="008B1AAF">
        <w:rPr>
          <w:rFonts w:ascii="Times New Roman" w:hAnsi="Times New Roman" w:cs="Times New Roman"/>
          <w:szCs w:val="24"/>
        </w:rPr>
        <w:t>2024 r. poz.</w:t>
      </w:r>
      <w:r w:rsidRPr="008B1AAF">
        <w:rPr>
          <w:rFonts w:ascii="Times New Roman" w:hAnsi="Times New Roman" w:cs="Times New Roman"/>
          <w:bCs/>
          <w:szCs w:val="24"/>
        </w:rPr>
        <w:t xml:space="preserve"> </w:t>
      </w:r>
      <w:r w:rsidRPr="008B1AAF">
        <w:rPr>
          <w:rFonts w:ascii="Times New Roman" w:hAnsi="Times New Roman" w:cs="Times New Roman"/>
          <w:szCs w:val="24"/>
        </w:rPr>
        <w:t xml:space="preserve">706) </w:t>
      </w:r>
      <w:r w:rsidR="008B1AAF" w:rsidRPr="008B1AAF">
        <w:rPr>
          <w:rFonts w:ascii="Times New Roman" w:hAnsi="Times New Roman" w:cs="Times New Roman"/>
          <w:szCs w:val="24"/>
        </w:rPr>
        <w:t xml:space="preserve">w </w:t>
      </w:r>
      <w:r w:rsidR="008B1AAF" w:rsidRPr="008B1AAF">
        <w:rPr>
          <w:rFonts w:ascii="Times New Roman" w:hAnsi="Times New Roman" w:cs="Times New Roman"/>
          <w:color w:val="000000" w:themeColor="text1"/>
          <w:szCs w:val="24"/>
        </w:rPr>
        <w:t>art. 43 w § 7 po pkt. 1 dodaje się pkt 1a o treści:</w:t>
      </w:r>
    </w:p>
    <w:p w14:paraId="48736DD0" w14:textId="77777777" w:rsidR="008B1AAF" w:rsidRPr="008B1AAF" w:rsidRDefault="008B1AAF" w:rsidP="008B1AAF">
      <w:pPr>
        <w:spacing w:line="360" w:lineRule="auto"/>
        <w:ind w:firstLine="360"/>
        <w:jc w:val="both"/>
        <w:rPr>
          <w:color w:val="000000" w:themeColor="text1"/>
          <w:szCs w:val="24"/>
        </w:rPr>
      </w:pPr>
      <w:r w:rsidRPr="008B1AAF">
        <w:rPr>
          <w:color w:val="000000" w:themeColor="text1"/>
          <w:szCs w:val="24"/>
        </w:rPr>
        <w:t>„1a) świadczeń, o których mowa w art. 11a i 11b Kodeksu postępowania karnego”</w:t>
      </w:r>
    </w:p>
    <w:p w14:paraId="48AE1A91" w14:textId="77777777" w:rsidR="006C71F9" w:rsidRPr="008B1AAF" w:rsidRDefault="006C71F9" w:rsidP="008B1AAF">
      <w:pPr>
        <w:spacing w:line="360" w:lineRule="auto"/>
        <w:rPr>
          <w:szCs w:val="24"/>
        </w:rPr>
      </w:pPr>
    </w:p>
    <w:sectPr w:rsidR="006C71F9" w:rsidRPr="008B1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8026F"/>
    <w:multiLevelType w:val="hybridMultilevel"/>
    <w:tmpl w:val="6492A9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5851D5A"/>
    <w:multiLevelType w:val="hybridMultilevel"/>
    <w:tmpl w:val="5462947E"/>
    <w:lvl w:ilvl="0" w:tplc="234EEB3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 w15:restartNumberingAfterBreak="0">
    <w:nsid w:val="581F5383"/>
    <w:multiLevelType w:val="hybridMultilevel"/>
    <w:tmpl w:val="FFB42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816EC3"/>
    <w:multiLevelType w:val="hybridMultilevel"/>
    <w:tmpl w:val="2D9416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7443371">
    <w:abstractNumId w:val="3"/>
  </w:num>
  <w:num w:numId="2" w16cid:durableId="736366642">
    <w:abstractNumId w:val="2"/>
  </w:num>
  <w:num w:numId="3" w16cid:durableId="1692757263">
    <w:abstractNumId w:val="0"/>
  </w:num>
  <w:num w:numId="4" w16cid:durableId="1570992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F9"/>
    <w:rsid w:val="00021FB1"/>
    <w:rsid w:val="00083C5F"/>
    <w:rsid w:val="001E690F"/>
    <w:rsid w:val="00204C59"/>
    <w:rsid w:val="00305A24"/>
    <w:rsid w:val="0036339A"/>
    <w:rsid w:val="005B1E57"/>
    <w:rsid w:val="0065631F"/>
    <w:rsid w:val="006C71F9"/>
    <w:rsid w:val="006D3A35"/>
    <w:rsid w:val="006E3AA4"/>
    <w:rsid w:val="007971D8"/>
    <w:rsid w:val="008B1AAF"/>
    <w:rsid w:val="008D3363"/>
    <w:rsid w:val="00964816"/>
    <w:rsid w:val="00A77B42"/>
    <w:rsid w:val="00D063D9"/>
    <w:rsid w:val="00DA5BC2"/>
    <w:rsid w:val="00F67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8BFB"/>
  <w15:chartTrackingRefBased/>
  <w15:docId w15:val="{E72779EF-3619-6C49-9690-A77F958A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71F9"/>
    <w:pPr>
      <w:spacing w:after="0" w:line="240" w:lineRule="auto"/>
    </w:pPr>
    <w:rPr>
      <w:rFonts w:ascii="Times New Roman" w:hAnsi="Times New Roman" w:cs="Times New Roman"/>
      <w:kern w:val="0"/>
      <w:szCs w:val="20"/>
      <w14:ligatures w14:val="none"/>
    </w:rPr>
  </w:style>
  <w:style w:type="paragraph" w:styleId="Nagwek1">
    <w:name w:val="heading 1"/>
    <w:basedOn w:val="Normalny"/>
    <w:next w:val="Normalny"/>
    <w:link w:val="Nagwek1Znak"/>
    <w:uiPriority w:val="9"/>
    <w:qFormat/>
    <w:rsid w:val="006C7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7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71F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71F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71F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71F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71F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71F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71F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71F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71F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71F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71F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71F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71F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71F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71F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71F9"/>
    <w:rPr>
      <w:rFonts w:eastAsiaTheme="majorEastAsia" w:cstheme="majorBidi"/>
      <w:color w:val="272727" w:themeColor="text1" w:themeTint="D8"/>
    </w:rPr>
  </w:style>
  <w:style w:type="paragraph" w:styleId="Tytu">
    <w:name w:val="Title"/>
    <w:basedOn w:val="Normalny"/>
    <w:next w:val="Normalny"/>
    <w:link w:val="TytuZnak"/>
    <w:uiPriority w:val="10"/>
    <w:qFormat/>
    <w:rsid w:val="006C71F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71F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71F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71F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71F9"/>
    <w:pPr>
      <w:spacing w:before="160"/>
      <w:jc w:val="center"/>
    </w:pPr>
    <w:rPr>
      <w:i/>
      <w:iCs/>
      <w:color w:val="404040" w:themeColor="text1" w:themeTint="BF"/>
    </w:rPr>
  </w:style>
  <w:style w:type="character" w:customStyle="1" w:styleId="CytatZnak">
    <w:name w:val="Cytat Znak"/>
    <w:basedOn w:val="Domylnaczcionkaakapitu"/>
    <w:link w:val="Cytat"/>
    <w:uiPriority w:val="29"/>
    <w:rsid w:val="006C71F9"/>
    <w:rPr>
      <w:i/>
      <w:iCs/>
      <w:color w:val="404040" w:themeColor="text1" w:themeTint="BF"/>
    </w:rPr>
  </w:style>
  <w:style w:type="paragraph" w:styleId="Akapitzlist">
    <w:name w:val="List Paragraph"/>
    <w:basedOn w:val="Normalny"/>
    <w:uiPriority w:val="34"/>
    <w:qFormat/>
    <w:rsid w:val="006C71F9"/>
    <w:pPr>
      <w:ind w:left="720"/>
      <w:contextualSpacing/>
    </w:pPr>
  </w:style>
  <w:style w:type="character" w:styleId="Wyrnienieintensywne">
    <w:name w:val="Intense Emphasis"/>
    <w:basedOn w:val="Domylnaczcionkaakapitu"/>
    <w:uiPriority w:val="21"/>
    <w:qFormat/>
    <w:rsid w:val="006C71F9"/>
    <w:rPr>
      <w:i/>
      <w:iCs/>
      <w:color w:val="0F4761" w:themeColor="accent1" w:themeShade="BF"/>
    </w:rPr>
  </w:style>
  <w:style w:type="paragraph" w:styleId="Cytatintensywny">
    <w:name w:val="Intense Quote"/>
    <w:basedOn w:val="Normalny"/>
    <w:next w:val="Normalny"/>
    <w:link w:val="CytatintensywnyZnak"/>
    <w:uiPriority w:val="30"/>
    <w:qFormat/>
    <w:rsid w:val="006C7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71F9"/>
    <w:rPr>
      <w:i/>
      <w:iCs/>
      <w:color w:val="0F4761" w:themeColor="accent1" w:themeShade="BF"/>
    </w:rPr>
  </w:style>
  <w:style w:type="character" w:styleId="Odwoanieintensywne">
    <w:name w:val="Intense Reference"/>
    <w:basedOn w:val="Domylnaczcionkaakapitu"/>
    <w:uiPriority w:val="32"/>
    <w:qFormat/>
    <w:rsid w:val="006C71F9"/>
    <w:rPr>
      <w:b/>
      <w:bCs/>
      <w:smallCaps/>
      <w:color w:val="0F4761" w:themeColor="accent1" w:themeShade="BF"/>
      <w:spacing w:val="5"/>
    </w:rPr>
  </w:style>
  <w:style w:type="paragraph" w:customStyle="1" w:styleId="ARTartustawynprozporzdzenia">
    <w:name w:val="ART(§) – art. ustawy (§ np. rozporządzenia)"/>
    <w:uiPriority w:val="11"/>
    <w:qFormat/>
    <w:rsid w:val="006C71F9"/>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character" w:customStyle="1" w:styleId="Ppogrubienie">
    <w:name w:val="_P_ – pogrubienie"/>
    <w:basedOn w:val="Domylnaczcionkaakapitu"/>
    <w:uiPriority w:val="1"/>
    <w:qFormat/>
    <w:rsid w:val="006C71F9"/>
    <w:rPr>
      <w:b/>
    </w:rPr>
  </w:style>
  <w:style w:type="character" w:customStyle="1" w:styleId="apple-converted-space">
    <w:name w:val="apple-converted-space"/>
    <w:basedOn w:val="Domylnaczcionkaakapitu"/>
    <w:rsid w:val="00964816"/>
  </w:style>
  <w:style w:type="paragraph" w:styleId="NormalnyWeb">
    <w:name w:val="Normal (Web)"/>
    <w:basedOn w:val="Normalny"/>
    <w:uiPriority w:val="99"/>
    <w:semiHidden/>
    <w:unhideWhenUsed/>
    <w:rsid w:val="00964816"/>
    <w:pPr>
      <w:spacing w:before="100" w:beforeAutospacing="1" w:after="100" w:afterAutospacing="1"/>
    </w:pPr>
    <w:rPr>
      <w:rFonts w:eastAsia="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7335</Characters>
  <Application>Microsoft Office Word</Application>
  <DocSecurity>0</DocSecurity>
  <Lines>61</Lines>
  <Paragraphs>17</Paragraphs>
  <ScaleCrop>false</ScaleCrop>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Berwid-Wilińska</dc:creator>
  <cp:keywords/>
  <dc:description/>
  <cp:lastModifiedBy>Wiraszka-Bereza Beata  (DPK)</cp:lastModifiedBy>
  <cp:revision>2</cp:revision>
  <dcterms:created xsi:type="dcterms:W3CDTF">2025-09-18T08:53:00Z</dcterms:created>
  <dcterms:modified xsi:type="dcterms:W3CDTF">2025-09-18T08:53:00Z</dcterms:modified>
</cp:coreProperties>
</file>