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B2" w:rsidRPr="00E60FD2" w:rsidRDefault="00293AB2" w:rsidP="00293AB2">
      <w:pPr>
        <w:jc w:val="right"/>
        <w:rPr>
          <w:bCs/>
          <w:i/>
          <w:iCs/>
          <w:u w:val="single"/>
          <w:lang w:val="pl-PL"/>
        </w:rPr>
      </w:pPr>
      <w:bookmarkStart w:id="0" w:name="_GoBack"/>
      <w:bookmarkEnd w:id="0"/>
      <w:r w:rsidRPr="00E60FD2">
        <w:rPr>
          <w:i/>
          <w:u w:val="single"/>
          <w:lang w:val="pl-PL"/>
        </w:rPr>
        <w:t>111</w:t>
      </w:r>
      <w:r w:rsidR="008236BB" w:rsidRPr="00E60FD2">
        <w:rPr>
          <w:i/>
          <w:u w:val="single"/>
          <w:lang w:val="pl-PL"/>
        </w:rPr>
        <w:t>0</w:t>
      </w:r>
      <w:r w:rsidRPr="00E60FD2">
        <w:rPr>
          <w:i/>
          <w:u w:val="single"/>
          <w:lang w:val="pl-PL"/>
        </w:rPr>
        <w:t xml:space="preserve">. posiedzenie </w:t>
      </w:r>
      <w:r w:rsidRPr="00E60FD2">
        <w:rPr>
          <w:bCs/>
          <w:i/>
          <w:iCs/>
          <w:u w:val="single"/>
          <w:lang w:val="pl-PL"/>
        </w:rPr>
        <w:t>– 30-31 marca 2011 r.</w:t>
      </w:r>
    </w:p>
    <w:p w:rsidR="00293AB2" w:rsidRPr="00E60FD2" w:rsidRDefault="00293AB2" w:rsidP="00293AB2">
      <w:pPr>
        <w:jc w:val="right"/>
        <w:rPr>
          <w:i/>
          <w:iCs/>
          <w:u w:val="single"/>
          <w:lang w:val="pl-PL"/>
        </w:rPr>
      </w:pPr>
    </w:p>
    <w:p w:rsidR="00293AB2" w:rsidRPr="00E60FD2" w:rsidRDefault="00293AB2" w:rsidP="00293AB2">
      <w:pPr>
        <w:rPr>
          <w:b/>
          <w:bCs/>
          <w:iCs/>
          <w:lang w:val="pl-PL"/>
        </w:rPr>
      </w:pPr>
      <w:r w:rsidRPr="00E60FD2">
        <w:rPr>
          <w:b/>
          <w:bCs/>
          <w:iCs/>
          <w:lang w:val="pl-PL"/>
        </w:rPr>
        <w:t>Załącznik 5</w:t>
      </w:r>
    </w:p>
    <w:p w:rsidR="00293AB2" w:rsidRPr="00E60FD2" w:rsidRDefault="00293AB2" w:rsidP="00293AB2">
      <w:pPr>
        <w:rPr>
          <w:bCs/>
          <w:iCs/>
          <w:lang w:val="pl-PL"/>
        </w:rPr>
      </w:pPr>
      <w:r w:rsidRPr="00E60FD2">
        <w:rPr>
          <w:bCs/>
          <w:iCs/>
          <w:lang w:val="pl-PL"/>
        </w:rPr>
        <w:t>(poz. 4.8)</w:t>
      </w:r>
    </w:p>
    <w:p w:rsidR="00293AB2" w:rsidRPr="00E60FD2" w:rsidRDefault="00293AB2" w:rsidP="00293AB2">
      <w:pPr>
        <w:rPr>
          <w:b/>
          <w:lang w:val="pl-PL"/>
        </w:rPr>
      </w:pPr>
    </w:p>
    <w:p w:rsidR="00293AB2" w:rsidRPr="00E60FD2" w:rsidRDefault="00293AB2" w:rsidP="00293AB2">
      <w:pPr>
        <w:rPr>
          <w:b/>
          <w:szCs w:val="20"/>
          <w:lang w:val="pl-PL"/>
        </w:rPr>
      </w:pPr>
      <w:r w:rsidRPr="00E60FD2">
        <w:rPr>
          <w:b/>
          <w:szCs w:val="20"/>
          <w:lang w:val="pl-PL"/>
        </w:rPr>
        <w:t>Zalecenia Komitetu Ministrów Rady Europy w sprawie wykorzenienia bezkarności sprawców poważnych naruszeń praw człowieka</w:t>
      </w:r>
    </w:p>
    <w:p w:rsidR="00293AB2" w:rsidRPr="00E60FD2" w:rsidRDefault="00293AB2" w:rsidP="00293AB2">
      <w:pPr>
        <w:rPr>
          <w:b/>
          <w:lang w:val="pl-PL"/>
        </w:rPr>
      </w:pPr>
    </w:p>
    <w:p w:rsidR="00293AB2" w:rsidRPr="00E60FD2" w:rsidRDefault="00293AB2" w:rsidP="00293AB2">
      <w:pPr>
        <w:rPr>
          <w:rFonts w:cs="Arial"/>
          <w:i/>
          <w:szCs w:val="20"/>
          <w:lang w:val="pl-PL"/>
        </w:rPr>
      </w:pPr>
      <w:r w:rsidRPr="00E60FD2">
        <w:rPr>
          <w:i/>
          <w:lang w:val="pl-PL"/>
        </w:rPr>
        <w:t>(przyjęte przez Komitet Minis</w:t>
      </w:r>
      <w:r w:rsidR="008236BB" w:rsidRPr="00E60FD2">
        <w:rPr>
          <w:i/>
          <w:lang w:val="pl-PL"/>
        </w:rPr>
        <w:t>trów dnia 30 marca 2011 r. na 11</w:t>
      </w:r>
      <w:r w:rsidRPr="00E60FD2">
        <w:rPr>
          <w:i/>
          <w:lang w:val="pl-PL"/>
        </w:rPr>
        <w:t>10. posiedzeniu zastępców ministrów</w:t>
      </w:r>
      <w:r w:rsidRPr="00E60FD2">
        <w:rPr>
          <w:rFonts w:cs="Arial"/>
          <w:i/>
          <w:szCs w:val="20"/>
          <w:lang w:val="pl-PL"/>
        </w:rPr>
        <w:t>)</w:t>
      </w:r>
    </w:p>
    <w:p w:rsidR="00293AB2" w:rsidRPr="00E60FD2" w:rsidRDefault="00293AB2" w:rsidP="00293AB2">
      <w:pPr>
        <w:rPr>
          <w:szCs w:val="20"/>
          <w:lang w:val="pl-PL"/>
        </w:rPr>
      </w:pPr>
    </w:p>
    <w:p w:rsidR="00293AB2" w:rsidRPr="00E60FD2" w:rsidRDefault="00293AB2" w:rsidP="00293AB2">
      <w:pPr>
        <w:rPr>
          <w:szCs w:val="20"/>
          <w:lang w:val="pl-PL"/>
        </w:rPr>
      </w:pPr>
    </w:p>
    <w:p w:rsidR="00293AB2" w:rsidRPr="00E60FD2" w:rsidRDefault="00293AB2" w:rsidP="00293AB2">
      <w:pPr>
        <w:rPr>
          <w:rFonts w:cs="Arial"/>
          <w:b/>
          <w:szCs w:val="20"/>
          <w:lang w:val="pl-PL"/>
        </w:rPr>
      </w:pPr>
      <w:r w:rsidRPr="00E60FD2">
        <w:rPr>
          <w:rFonts w:cs="Arial"/>
          <w:b/>
          <w:szCs w:val="20"/>
          <w:lang w:val="pl-PL"/>
        </w:rPr>
        <w:t>Preambuła</w:t>
      </w:r>
    </w:p>
    <w:p w:rsidR="00293AB2" w:rsidRPr="00E60FD2" w:rsidRDefault="00293AB2" w:rsidP="00293AB2">
      <w:pPr>
        <w:rPr>
          <w:rFonts w:cs="Arial"/>
          <w:szCs w:val="20"/>
          <w:lang w:val="pl-PL"/>
        </w:rPr>
      </w:pPr>
    </w:p>
    <w:p w:rsidR="00293AB2" w:rsidRPr="00E60FD2" w:rsidRDefault="00293AB2" w:rsidP="00293AB2">
      <w:pPr>
        <w:rPr>
          <w:rFonts w:cs="Arial"/>
          <w:szCs w:val="20"/>
          <w:lang w:val="pl-PL"/>
        </w:rPr>
      </w:pPr>
      <w:r w:rsidRPr="00E60FD2">
        <w:rPr>
          <w:rFonts w:cs="Arial"/>
          <w:szCs w:val="20"/>
          <w:lang w:val="pl-PL"/>
        </w:rPr>
        <w:t>Komitet Ministrów</w:t>
      </w:r>
    </w:p>
    <w:p w:rsidR="004A79BB" w:rsidRPr="00E60FD2" w:rsidRDefault="004A79BB">
      <w:pPr>
        <w:pStyle w:val="CMNormal"/>
        <w:rPr>
          <w:lang w:val="pl-PL"/>
        </w:rPr>
      </w:pPr>
    </w:p>
    <w:p w:rsidR="00293AB2" w:rsidRPr="00E60FD2" w:rsidRDefault="00293AB2">
      <w:pPr>
        <w:pStyle w:val="CMNormal"/>
        <w:rPr>
          <w:lang w:val="pl-PL"/>
        </w:rPr>
      </w:pPr>
      <w:r w:rsidRPr="00E60FD2">
        <w:rPr>
          <w:lang w:val="pl-PL"/>
        </w:rPr>
        <w:t>Przypominając, że osoby odpowiedzialne za czyny stanowiące poważne naruszenie praw człowieka muszą być pociągane do odpowiedzialności;</w:t>
      </w:r>
    </w:p>
    <w:p w:rsidR="004A79BB" w:rsidRPr="00E60FD2" w:rsidRDefault="004A79BB">
      <w:pPr>
        <w:pStyle w:val="CMNormal"/>
        <w:rPr>
          <w:lang w:val="pl-PL"/>
        </w:rPr>
      </w:pPr>
    </w:p>
    <w:p w:rsidR="00293AB2" w:rsidRPr="00E60FD2" w:rsidRDefault="00293AB2">
      <w:pPr>
        <w:pStyle w:val="CMNormal"/>
        <w:rPr>
          <w:lang w:val="pl-PL"/>
        </w:rPr>
      </w:pPr>
      <w:r w:rsidRPr="00E60FD2">
        <w:rPr>
          <w:lang w:val="pl-PL"/>
        </w:rPr>
        <w:t xml:space="preserve">Biorąc pod uwagę, że brak odpowiedzialności zachęca do </w:t>
      </w:r>
      <w:r w:rsidR="008236BB" w:rsidRPr="00E60FD2">
        <w:rPr>
          <w:lang w:val="pl-PL"/>
        </w:rPr>
        <w:t>ponownego popełniania</w:t>
      </w:r>
      <w:r w:rsidRPr="00E60FD2">
        <w:rPr>
          <w:lang w:val="pl-PL"/>
        </w:rPr>
        <w:t xml:space="preserve"> przestępstw, gdyż ich sprawcy i inne osoby</w:t>
      </w:r>
      <w:r w:rsidR="00946ECC" w:rsidRPr="00E60FD2">
        <w:rPr>
          <w:lang w:val="pl-PL"/>
        </w:rPr>
        <w:t>,</w:t>
      </w:r>
      <w:r w:rsidRPr="00E60FD2">
        <w:rPr>
          <w:lang w:val="pl-PL"/>
        </w:rPr>
        <w:t xml:space="preserve"> </w:t>
      </w:r>
      <w:r w:rsidR="00946ECC" w:rsidRPr="00E60FD2">
        <w:rPr>
          <w:lang w:val="pl-PL"/>
        </w:rPr>
        <w:t xml:space="preserve">nie czując obawy przed karą, </w:t>
      </w:r>
      <w:r w:rsidRPr="00E60FD2">
        <w:rPr>
          <w:lang w:val="pl-PL"/>
        </w:rPr>
        <w:t xml:space="preserve">nie </w:t>
      </w:r>
      <w:r w:rsidR="008236BB" w:rsidRPr="00E60FD2">
        <w:rPr>
          <w:lang w:val="pl-PL"/>
        </w:rPr>
        <w:t>mają</w:t>
      </w:r>
      <w:r w:rsidRPr="00E60FD2">
        <w:rPr>
          <w:lang w:val="pl-PL"/>
        </w:rPr>
        <w:t xml:space="preserve"> skrupułów przed popełnieniem dalszych </w:t>
      </w:r>
      <w:r w:rsidR="00E718D0" w:rsidRPr="00E60FD2">
        <w:rPr>
          <w:lang w:val="pl-PL"/>
        </w:rPr>
        <w:t>czynów karalnych</w:t>
      </w:r>
      <w:r w:rsidRPr="00E60FD2">
        <w:rPr>
          <w:lang w:val="pl-PL"/>
        </w:rPr>
        <w:t>;</w:t>
      </w:r>
    </w:p>
    <w:p w:rsidR="004A79BB" w:rsidRPr="00E60FD2" w:rsidRDefault="004A79BB">
      <w:pPr>
        <w:pStyle w:val="CMNormal"/>
        <w:rPr>
          <w:lang w:val="pl-PL"/>
        </w:rPr>
      </w:pPr>
    </w:p>
    <w:p w:rsidR="00293AB2" w:rsidRPr="00E60FD2" w:rsidRDefault="00293AB2">
      <w:pPr>
        <w:pStyle w:val="CMNormal"/>
        <w:rPr>
          <w:lang w:val="pl-PL"/>
        </w:rPr>
      </w:pPr>
      <w:r w:rsidRPr="00E60FD2">
        <w:rPr>
          <w:lang w:val="pl-PL"/>
        </w:rPr>
        <w:t>Przypominając, że bezkarność osób odpowiedzialnych za czy</w:t>
      </w:r>
      <w:r w:rsidR="00946ECC" w:rsidRPr="00E60FD2">
        <w:rPr>
          <w:lang w:val="pl-PL"/>
        </w:rPr>
        <w:t>ny stanowiące poważne naruszenie</w:t>
      </w:r>
      <w:r w:rsidRPr="00E60FD2">
        <w:rPr>
          <w:lang w:val="pl-PL"/>
        </w:rPr>
        <w:t xml:space="preserve"> praw człowie</w:t>
      </w:r>
      <w:r w:rsidR="00226015" w:rsidRPr="00E60FD2">
        <w:rPr>
          <w:lang w:val="pl-PL"/>
        </w:rPr>
        <w:t>ka powoduje dodatkowe cierpienia</w:t>
      </w:r>
      <w:r w:rsidRPr="00E60FD2">
        <w:rPr>
          <w:lang w:val="pl-PL"/>
        </w:rPr>
        <w:t xml:space="preserve"> ofiar;</w:t>
      </w:r>
    </w:p>
    <w:p w:rsidR="004A79BB" w:rsidRPr="00E60FD2" w:rsidRDefault="004A79BB">
      <w:pPr>
        <w:pStyle w:val="CMNormal"/>
        <w:rPr>
          <w:lang w:val="pl-PL"/>
        </w:rPr>
      </w:pPr>
    </w:p>
    <w:p w:rsidR="00293AB2" w:rsidRPr="00E60FD2" w:rsidRDefault="00293AB2">
      <w:pPr>
        <w:pStyle w:val="CMNormal"/>
        <w:rPr>
          <w:lang w:val="pl-PL"/>
        </w:rPr>
      </w:pPr>
      <w:r w:rsidRPr="00E60FD2">
        <w:rPr>
          <w:lang w:val="pl-PL"/>
        </w:rPr>
        <w:t>Biorąc pod uwagę fakt, że bezkarność musi być zwalczana, ab</w:t>
      </w:r>
      <w:r w:rsidR="008236BB" w:rsidRPr="00E60FD2">
        <w:rPr>
          <w:lang w:val="pl-PL"/>
        </w:rPr>
        <w:t>y zapewnić sprawiedliwość ofiarom</w:t>
      </w:r>
      <w:r w:rsidRPr="00E60FD2">
        <w:rPr>
          <w:lang w:val="pl-PL"/>
        </w:rPr>
        <w:t xml:space="preserve">, jako środek odstraszający przed popełnianiem kolejnych naruszeń </w:t>
      </w:r>
      <w:r w:rsidR="008236BB" w:rsidRPr="00E60FD2">
        <w:rPr>
          <w:lang w:val="pl-PL"/>
        </w:rPr>
        <w:t xml:space="preserve">praw człowieka </w:t>
      </w:r>
      <w:r w:rsidRPr="00E60FD2">
        <w:rPr>
          <w:lang w:val="pl-PL"/>
        </w:rPr>
        <w:t xml:space="preserve">i aby </w:t>
      </w:r>
      <w:r w:rsidR="00E718D0" w:rsidRPr="00E60FD2">
        <w:rPr>
          <w:lang w:val="pl-PL"/>
        </w:rPr>
        <w:t>zapewnić przestrzeganie</w:t>
      </w:r>
      <w:r w:rsidRPr="00E60FD2">
        <w:rPr>
          <w:lang w:val="pl-PL"/>
        </w:rPr>
        <w:t xml:space="preserve"> przepisów prawa i budować zaufanie społeczne do systemu sprawiedliwości, także w miejscach, w których </w:t>
      </w:r>
      <w:r w:rsidR="00946ECC" w:rsidRPr="00E60FD2">
        <w:rPr>
          <w:lang w:val="pl-PL"/>
        </w:rPr>
        <w:t>poważne naruszenia</w:t>
      </w:r>
      <w:r w:rsidRPr="00E60FD2">
        <w:rPr>
          <w:lang w:val="pl-PL"/>
        </w:rPr>
        <w:t xml:space="preserve"> praw człowieka</w:t>
      </w:r>
      <w:r w:rsidR="00946ECC" w:rsidRPr="00E60FD2">
        <w:rPr>
          <w:lang w:val="pl-PL"/>
        </w:rPr>
        <w:t xml:space="preserve"> występowały w przeszłości</w:t>
      </w:r>
      <w:r w:rsidRPr="00E60FD2">
        <w:rPr>
          <w:lang w:val="pl-PL"/>
        </w:rPr>
        <w:t>;</w:t>
      </w:r>
    </w:p>
    <w:p w:rsidR="004A79BB" w:rsidRPr="00E60FD2" w:rsidRDefault="004A79BB">
      <w:pPr>
        <w:pStyle w:val="CMNormal"/>
        <w:rPr>
          <w:lang w:val="pl-PL"/>
        </w:rPr>
      </w:pPr>
    </w:p>
    <w:p w:rsidR="00293AB2" w:rsidRPr="00E60FD2" w:rsidRDefault="00293AB2">
      <w:pPr>
        <w:pStyle w:val="CMNormal"/>
        <w:rPr>
          <w:lang w:val="pl-PL"/>
        </w:rPr>
      </w:pPr>
      <w:r w:rsidRPr="00E60FD2">
        <w:rPr>
          <w:lang w:val="pl-PL"/>
        </w:rPr>
        <w:t xml:space="preserve">Biorąc pod uwagę potrzebę współpracy państw na poziomie międzynarodowym w celu </w:t>
      </w:r>
      <w:r w:rsidR="008236BB" w:rsidRPr="00E60FD2">
        <w:rPr>
          <w:lang w:val="pl-PL"/>
        </w:rPr>
        <w:t>skończenia z</w:t>
      </w:r>
      <w:r w:rsidRPr="00E60FD2">
        <w:rPr>
          <w:lang w:val="pl-PL"/>
        </w:rPr>
        <w:t xml:space="preserve"> bezkarności</w:t>
      </w:r>
      <w:r w:rsidR="008236BB" w:rsidRPr="00E60FD2">
        <w:rPr>
          <w:lang w:val="pl-PL"/>
        </w:rPr>
        <w:t>ą</w:t>
      </w:r>
      <w:r w:rsidRPr="00E60FD2">
        <w:rPr>
          <w:lang w:val="pl-PL"/>
        </w:rPr>
        <w:t xml:space="preserve"> sprawców;</w:t>
      </w:r>
    </w:p>
    <w:p w:rsidR="004A79BB" w:rsidRPr="00E60FD2" w:rsidRDefault="004A79BB">
      <w:pPr>
        <w:pStyle w:val="CMNormal"/>
        <w:rPr>
          <w:lang w:val="pl-PL"/>
        </w:rPr>
      </w:pPr>
    </w:p>
    <w:p w:rsidR="00293AB2" w:rsidRPr="00E60FD2" w:rsidRDefault="00063179">
      <w:pPr>
        <w:pStyle w:val="CMNormal"/>
        <w:rPr>
          <w:lang w:val="pl-PL"/>
        </w:rPr>
      </w:pPr>
      <w:r w:rsidRPr="00E60FD2">
        <w:rPr>
          <w:lang w:val="pl-PL"/>
        </w:rPr>
        <w:t xml:space="preserve">Ponownie potwierdzając, że ważnym celem Rady Europy jest wykorzenienie bezkarności na całym kontynencie, co zostało przypomniane przez </w:t>
      </w:r>
      <w:r w:rsidR="00946ECC" w:rsidRPr="00E60FD2">
        <w:rPr>
          <w:lang w:val="pl-PL"/>
        </w:rPr>
        <w:t>Zgromadzenie Parlamentarne w Z</w:t>
      </w:r>
      <w:r w:rsidRPr="00E60FD2">
        <w:rPr>
          <w:lang w:val="pl-PL"/>
        </w:rPr>
        <w:t>aleceniu 1876 (2009) w sprawie „Stanu praw człowieka w E</w:t>
      </w:r>
      <w:r w:rsidR="008236BB" w:rsidRPr="00E60FD2">
        <w:rPr>
          <w:lang w:val="pl-PL"/>
        </w:rPr>
        <w:t>uropie – potrzebie wykorzenienia</w:t>
      </w:r>
      <w:r w:rsidRPr="00E60FD2">
        <w:rPr>
          <w:lang w:val="pl-PL"/>
        </w:rPr>
        <w:t xml:space="preserve"> bezkarności”, i że je</w:t>
      </w:r>
      <w:r w:rsidR="008236BB" w:rsidRPr="00E60FD2">
        <w:rPr>
          <w:lang w:val="pl-PL"/>
        </w:rPr>
        <w:t>j działania mogą</w:t>
      </w:r>
      <w:r w:rsidRPr="00E60FD2">
        <w:rPr>
          <w:lang w:val="pl-PL"/>
        </w:rPr>
        <w:t xml:space="preserve"> przyczyniać się do ogólnoświatowych wysiłków zmierzających do zwalczania bezkarności;</w:t>
      </w:r>
    </w:p>
    <w:p w:rsidR="004A79BB" w:rsidRPr="00E60FD2" w:rsidRDefault="004A79BB">
      <w:pPr>
        <w:pStyle w:val="CMNormal"/>
        <w:rPr>
          <w:lang w:val="pl-PL"/>
        </w:rPr>
      </w:pPr>
    </w:p>
    <w:p w:rsidR="00063179" w:rsidRPr="00E60FD2" w:rsidRDefault="00063179">
      <w:pPr>
        <w:pStyle w:val="CMNormal"/>
        <w:rPr>
          <w:szCs w:val="22"/>
          <w:lang w:val="pl-PL"/>
        </w:rPr>
      </w:pPr>
      <w:r w:rsidRPr="00E60FD2">
        <w:rPr>
          <w:lang w:val="pl-PL"/>
        </w:rPr>
        <w:t>Pamiętając o Europejskiej Konwencji Praw Człowieka (ETS nr 5, zwanej dalej „Konwencj</w:t>
      </w:r>
      <w:r w:rsidR="008236BB" w:rsidRPr="00E60FD2">
        <w:rPr>
          <w:lang w:val="pl-PL"/>
        </w:rPr>
        <w:t>ą”) oraz</w:t>
      </w:r>
      <w:r w:rsidRPr="00E60FD2">
        <w:rPr>
          <w:lang w:val="pl-PL"/>
        </w:rPr>
        <w:t xml:space="preserve"> w świetle właściwych wyroków precedensowych Europejskiego Trybunału Praw Człowieka („Trybunał”) </w:t>
      </w:r>
      <w:r w:rsidR="00E718D0" w:rsidRPr="00E60FD2">
        <w:rPr>
          <w:lang w:val="pl-PL"/>
        </w:rPr>
        <w:t>i</w:t>
      </w:r>
      <w:r w:rsidRPr="00E60FD2">
        <w:rPr>
          <w:lang w:val="pl-PL"/>
        </w:rPr>
        <w:t xml:space="preserve"> standardów </w:t>
      </w:r>
      <w:r w:rsidRPr="00E60FD2">
        <w:rPr>
          <w:szCs w:val="22"/>
          <w:lang w:val="pl-PL"/>
        </w:rPr>
        <w:t xml:space="preserve">Europejskiego Komitetu ds. Zapobiegania Torturom oraz Nieludzkiemu lub Poniżającemu Traktowaniu albo Karaniu i innych właściwych standardów </w:t>
      </w:r>
      <w:r w:rsidR="008236BB" w:rsidRPr="00E60FD2">
        <w:rPr>
          <w:szCs w:val="22"/>
          <w:lang w:val="pl-PL"/>
        </w:rPr>
        <w:t>w</w:t>
      </w:r>
      <w:r w:rsidRPr="00E60FD2">
        <w:rPr>
          <w:szCs w:val="22"/>
          <w:lang w:val="pl-PL"/>
        </w:rPr>
        <w:t>prowadzonych w ramach Rady Europy;</w:t>
      </w:r>
    </w:p>
    <w:p w:rsidR="004A79BB" w:rsidRPr="00E60FD2" w:rsidRDefault="004A79BB">
      <w:pPr>
        <w:pStyle w:val="CMNormal"/>
        <w:rPr>
          <w:lang w:val="pl-PL"/>
        </w:rPr>
      </w:pPr>
    </w:p>
    <w:p w:rsidR="00063179" w:rsidRPr="00E60FD2" w:rsidRDefault="00063179">
      <w:pPr>
        <w:pStyle w:val="CMNormal"/>
        <w:rPr>
          <w:lang w:val="pl-PL"/>
        </w:rPr>
      </w:pPr>
      <w:r w:rsidRPr="00E60FD2">
        <w:rPr>
          <w:lang w:val="pl-PL"/>
        </w:rPr>
        <w:t>Podkreślając, że pełne i bezzwłoczne egzekwowanie wyroków Trybunału stanowi kluczowy czynnik w zwalczaniu bezkarności sprawców;</w:t>
      </w:r>
    </w:p>
    <w:p w:rsidR="004A79BB" w:rsidRPr="00E60FD2" w:rsidRDefault="004A79BB">
      <w:pPr>
        <w:pStyle w:val="CMNormal"/>
        <w:rPr>
          <w:lang w:val="pl-PL"/>
        </w:rPr>
      </w:pPr>
    </w:p>
    <w:p w:rsidR="00063179" w:rsidRPr="00E60FD2" w:rsidRDefault="00226015">
      <w:pPr>
        <w:pStyle w:val="CMNormal"/>
        <w:rPr>
          <w:lang w:val="pl-PL"/>
        </w:rPr>
      </w:pPr>
      <w:r w:rsidRPr="00E60FD2">
        <w:rPr>
          <w:lang w:val="pl-PL"/>
        </w:rPr>
        <w:t>Pamiętając o Systemie z</w:t>
      </w:r>
      <w:r w:rsidR="00063179" w:rsidRPr="00E60FD2">
        <w:rPr>
          <w:lang w:val="pl-PL"/>
        </w:rPr>
        <w:t xml:space="preserve">asad </w:t>
      </w:r>
      <w:r w:rsidRPr="00E60FD2">
        <w:rPr>
          <w:lang w:val="pl-PL"/>
        </w:rPr>
        <w:t>o</w:t>
      </w:r>
      <w:r w:rsidR="00063179" w:rsidRPr="00E60FD2">
        <w:rPr>
          <w:lang w:val="pl-PL"/>
        </w:rPr>
        <w:t xml:space="preserve">chrony i </w:t>
      </w:r>
      <w:r w:rsidRPr="00E60FD2">
        <w:rPr>
          <w:lang w:val="pl-PL"/>
        </w:rPr>
        <w:t>p</w:t>
      </w:r>
      <w:r w:rsidR="00063179" w:rsidRPr="00E60FD2">
        <w:rPr>
          <w:lang w:val="pl-PL"/>
        </w:rPr>
        <w:t xml:space="preserve">romowania </w:t>
      </w:r>
      <w:r w:rsidRPr="00E60FD2">
        <w:rPr>
          <w:lang w:val="pl-PL"/>
        </w:rPr>
        <w:t>p</w:t>
      </w:r>
      <w:r w:rsidR="00063179" w:rsidRPr="00E60FD2">
        <w:rPr>
          <w:lang w:val="pl-PL"/>
        </w:rPr>
        <w:t xml:space="preserve">raw </w:t>
      </w:r>
      <w:r w:rsidRPr="00E60FD2">
        <w:rPr>
          <w:lang w:val="pl-PL"/>
        </w:rPr>
        <w:t>c</w:t>
      </w:r>
      <w:r w:rsidR="00063179" w:rsidRPr="00E60FD2">
        <w:rPr>
          <w:lang w:val="pl-PL"/>
        </w:rPr>
        <w:t xml:space="preserve">złowieka przez </w:t>
      </w:r>
      <w:r w:rsidRPr="00E60FD2">
        <w:rPr>
          <w:lang w:val="pl-PL"/>
        </w:rPr>
        <w:t>z</w:t>
      </w:r>
      <w:r w:rsidR="00063179" w:rsidRPr="00E60FD2">
        <w:rPr>
          <w:lang w:val="pl-PL"/>
        </w:rPr>
        <w:t xml:space="preserve">walczanie </w:t>
      </w:r>
      <w:r w:rsidRPr="00E60FD2">
        <w:rPr>
          <w:lang w:val="pl-PL"/>
        </w:rPr>
        <w:t>b</w:t>
      </w:r>
      <w:r w:rsidR="00063179" w:rsidRPr="00E60FD2">
        <w:rPr>
          <w:lang w:val="pl-PL"/>
        </w:rPr>
        <w:t>ezkarności</w:t>
      </w:r>
      <w:r w:rsidR="008236BB" w:rsidRPr="00E60FD2">
        <w:rPr>
          <w:lang w:val="pl-PL"/>
        </w:rPr>
        <w:t xml:space="preserve"> wprowadzonym przez Komisję</w:t>
      </w:r>
      <w:r w:rsidR="00063179" w:rsidRPr="00E60FD2">
        <w:rPr>
          <w:lang w:val="pl-PL"/>
        </w:rPr>
        <w:t xml:space="preserve"> Praw Człowieka Organizacji Narodów Zjednoczonych;</w:t>
      </w:r>
    </w:p>
    <w:p w:rsidR="004A79BB" w:rsidRPr="00E60FD2" w:rsidRDefault="004A79BB">
      <w:pPr>
        <w:pStyle w:val="CMNormal"/>
        <w:rPr>
          <w:lang w:val="pl-PL"/>
        </w:rPr>
      </w:pPr>
    </w:p>
    <w:p w:rsidR="00063179" w:rsidRPr="00E60FD2" w:rsidRDefault="00063179">
      <w:pPr>
        <w:pStyle w:val="CMNormal"/>
        <w:rPr>
          <w:lang w:val="pl-PL"/>
        </w:rPr>
      </w:pPr>
      <w:r w:rsidRPr="00E60FD2">
        <w:rPr>
          <w:lang w:val="pl-PL"/>
        </w:rPr>
        <w:t>Powołując się n</w:t>
      </w:r>
      <w:r w:rsidR="008236BB" w:rsidRPr="00E60FD2">
        <w:rPr>
          <w:lang w:val="pl-PL"/>
        </w:rPr>
        <w:t>a znaczenie prawa do skutecznych</w:t>
      </w:r>
      <w:r w:rsidRPr="00E60FD2">
        <w:rPr>
          <w:lang w:val="pl-PL"/>
        </w:rPr>
        <w:t xml:space="preserve"> sposobów zadośćuczynienia dla ofiar naruszeń praw człowieka wymienionych w licznych instrumentach międzynarodowych, w szczególności art. 13 Konwencji, art. 2 Międzynarodowej Konwencji </w:t>
      </w:r>
      <w:r w:rsidR="002210B0" w:rsidRPr="00E60FD2">
        <w:rPr>
          <w:lang w:val="pl-PL"/>
        </w:rPr>
        <w:t>Organizacji Narodów Zjednoczonych</w:t>
      </w:r>
      <w:r w:rsidR="00E718D0" w:rsidRPr="00E60FD2">
        <w:rPr>
          <w:lang w:val="pl-PL"/>
        </w:rPr>
        <w:t xml:space="preserve"> w sprawie</w:t>
      </w:r>
      <w:r w:rsidR="002210B0" w:rsidRPr="00E60FD2">
        <w:rPr>
          <w:lang w:val="pl-PL"/>
        </w:rPr>
        <w:t xml:space="preserve"> Praw Obywatelskich i Politycznych i art. 8 Uniwersalnej Deklaracji Praw Człowieka, które zostały </w:t>
      </w:r>
      <w:r w:rsidR="00946ECC" w:rsidRPr="00E60FD2">
        <w:rPr>
          <w:lang w:val="pl-PL"/>
        </w:rPr>
        <w:t>ujęte</w:t>
      </w:r>
      <w:r w:rsidR="002210B0" w:rsidRPr="00E60FD2">
        <w:rPr>
          <w:lang w:val="pl-PL"/>
        </w:rPr>
        <w:t xml:space="preserve"> w Zasadach i Zaleceniach Zgromadzenia </w:t>
      </w:r>
      <w:r w:rsidR="008236BB" w:rsidRPr="00E60FD2">
        <w:rPr>
          <w:lang w:val="pl-PL"/>
        </w:rPr>
        <w:t>Ogólnego</w:t>
      </w:r>
      <w:r w:rsidR="002210B0" w:rsidRPr="00E60FD2">
        <w:rPr>
          <w:lang w:val="pl-PL"/>
        </w:rPr>
        <w:t xml:space="preserve"> Organizacji Narodów Zjednoczonych w sprawie zadośćuczynienia i reparacji dla ofiar rażących naruszeń międzynarodowych przepisów dot. praw człowieka i poważnych naruszeń międzynarodowych przepisów humanitarnych;</w:t>
      </w:r>
    </w:p>
    <w:p w:rsidR="004A79BB" w:rsidRPr="00E60FD2" w:rsidRDefault="004A79BB">
      <w:pPr>
        <w:pStyle w:val="CMNormal"/>
        <w:rPr>
          <w:lang w:val="pl-PL"/>
        </w:rPr>
      </w:pPr>
    </w:p>
    <w:p w:rsidR="00D44373" w:rsidRPr="00E60FD2" w:rsidRDefault="00D44373">
      <w:pPr>
        <w:pStyle w:val="CMNormal"/>
        <w:rPr>
          <w:sz w:val="18"/>
          <w:lang w:val="pl-PL"/>
        </w:rPr>
      </w:pPr>
      <w:r w:rsidRPr="00E60FD2">
        <w:rPr>
          <w:lang w:val="pl-PL"/>
        </w:rPr>
        <w:t xml:space="preserve">Biorąc pod uwagę Zalecenie Komitetu Ministrów Rady Europy </w:t>
      </w:r>
      <w:r w:rsidR="00D357C2" w:rsidRPr="00E60FD2">
        <w:rPr>
          <w:lang w:val="pl-PL"/>
        </w:rPr>
        <w:t xml:space="preserve">Rec(2006)8 </w:t>
      </w:r>
      <w:r w:rsidRPr="00E60FD2">
        <w:rPr>
          <w:lang w:val="pl-PL"/>
        </w:rPr>
        <w:t>do państw członkowskich w sprawie pomocy ofiarom przestępstw z 14 czerwca 2006 r. oraz Deklarację Zgromadzenia Ogólnego Organizacji Narodów Zjedno</w:t>
      </w:r>
      <w:r w:rsidR="00226015" w:rsidRPr="00E60FD2">
        <w:rPr>
          <w:lang w:val="pl-PL"/>
        </w:rPr>
        <w:t>czonych w sprawie z</w:t>
      </w:r>
      <w:r w:rsidRPr="00E60FD2">
        <w:rPr>
          <w:lang w:val="pl-PL"/>
        </w:rPr>
        <w:t xml:space="preserve">asad </w:t>
      </w:r>
      <w:r w:rsidR="00226015" w:rsidRPr="00E60FD2">
        <w:rPr>
          <w:lang w:val="pl-PL"/>
        </w:rPr>
        <w:t>p</w:t>
      </w:r>
      <w:r w:rsidRPr="00E60FD2">
        <w:rPr>
          <w:lang w:val="pl-PL"/>
        </w:rPr>
        <w:t xml:space="preserve">odstawowych </w:t>
      </w:r>
      <w:r w:rsidR="00946ECC" w:rsidRPr="00E60FD2">
        <w:rPr>
          <w:lang w:val="pl-PL"/>
        </w:rPr>
        <w:t>dot.</w:t>
      </w:r>
      <w:r w:rsidRPr="00E60FD2">
        <w:rPr>
          <w:lang w:val="pl-PL"/>
        </w:rPr>
        <w:t xml:space="preserve"> </w:t>
      </w:r>
      <w:r w:rsidR="00226015" w:rsidRPr="00E60FD2">
        <w:rPr>
          <w:lang w:val="pl-PL"/>
        </w:rPr>
        <w:t>o</w:t>
      </w:r>
      <w:r w:rsidRPr="00E60FD2">
        <w:rPr>
          <w:lang w:val="pl-PL"/>
        </w:rPr>
        <w:t xml:space="preserve">fiar </w:t>
      </w:r>
      <w:r w:rsidR="00226015" w:rsidRPr="00E60FD2">
        <w:rPr>
          <w:lang w:val="pl-PL"/>
        </w:rPr>
        <w:t>p</w:t>
      </w:r>
      <w:r w:rsidRPr="00E60FD2">
        <w:rPr>
          <w:lang w:val="pl-PL"/>
        </w:rPr>
        <w:t xml:space="preserve">rzestępstw i </w:t>
      </w:r>
      <w:r w:rsidR="00226015" w:rsidRPr="00E60FD2">
        <w:rPr>
          <w:lang w:val="pl-PL"/>
        </w:rPr>
        <w:t>n</w:t>
      </w:r>
      <w:r w:rsidRPr="00E60FD2">
        <w:rPr>
          <w:lang w:val="pl-PL"/>
        </w:rPr>
        <w:t xml:space="preserve">adużyć </w:t>
      </w:r>
      <w:r w:rsidR="00226015" w:rsidRPr="00E60FD2">
        <w:rPr>
          <w:lang w:val="pl-PL"/>
        </w:rPr>
        <w:t>w</w:t>
      </w:r>
      <w:r w:rsidRPr="00E60FD2">
        <w:rPr>
          <w:lang w:val="pl-PL"/>
        </w:rPr>
        <w:t>ładzy;</w:t>
      </w:r>
    </w:p>
    <w:p w:rsidR="004A79BB" w:rsidRPr="00E60FD2" w:rsidRDefault="004A79BB">
      <w:pPr>
        <w:pStyle w:val="CMNormal"/>
        <w:rPr>
          <w:lang w:val="pl-PL"/>
        </w:rPr>
      </w:pPr>
    </w:p>
    <w:p w:rsidR="00D44373" w:rsidRPr="00E60FD2" w:rsidRDefault="00D44373">
      <w:pPr>
        <w:pStyle w:val="CMNormal"/>
        <w:rPr>
          <w:lang w:val="pl-PL"/>
        </w:rPr>
      </w:pPr>
      <w:r w:rsidRPr="00E60FD2">
        <w:rPr>
          <w:lang w:val="pl-PL"/>
        </w:rPr>
        <w:lastRenderedPageBreak/>
        <w:t>Pamiętając o potrzebie zapewnienia, że podczas walki z bezkarnością sprawców należy szanować fundamentalne prawa osób oskarżonych o poważne naruszenia praw człowieka oraz zasady prawa;</w:t>
      </w:r>
    </w:p>
    <w:p w:rsidR="004A79BB" w:rsidRPr="00E60FD2" w:rsidRDefault="004A79BB">
      <w:pPr>
        <w:pStyle w:val="CMNormal"/>
        <w:rPr>
          <w:lang w:val="pl-PL"/>
        </w:rPr>
      </w:pPr>
    </w:p>
    <w:p w:rsidR="00D44373" w:rsidRPr="00E60FD2" w:rsidRDefault="00D44373">
      <w:pPr>
        <w:pStyle w:val="CMNormal"/>
        <w:rPr>
          <w:lang w:val="pl-PL"/>
        </w:rPr>
      </w:pPr>
      <w:r w:rsidRPr="00E60FD2">
        <w:rPr>
          <w:lang w:val="pl-PL"/>
        </w:rPr>
        <w:t>Przyjmuje następujące zalecenia i zachęca państwa członkowskie do ich skutecznego wdrażania o</w:t>
      </w:r>
      <w:r w:rsidR="008236BB" w:rsidRPr="00E60FD2">
        <w:rPr>
          <w:lang w:val="pl-PL"/>
        </w:rPr>
        <w:t>raz zapewnienia, że zostan</w:t>
      </w:r>
      <w:r w:rsidRPr="00E60FD2">
        <w:rPr>
          <w:lang w:val="pl-PL"/>
        </w:rPr>
        <w:t xml:space="preserve">ą one szeroko rozpowszechnione oraz, w koniecznych przypadkach, przetłumaczone, w szczególności </w:t>
      </w:r>
      <w:r w:rsidR="008236BB" w:rsidRPr="00E60FD2">
        <w:rPr>
          <w:lang w:val="pl-PL"/>
        </w:rPr>
        <w:t>dla</w:t>
      </w:r>
      <w:r w:rsidRPr="00E60FD2">
        <w:rPr>
          <w:lang w:val="pl-PL"/>
        </w:rPr>
        <w:t xml:space="preserve"> organów władzy odpowiedzialnych za walkę z bezkarnością sprawców.</w:t>
      </w:r>
    </w:p>
    <w:p w:rsidR="004A79BB" w:rsidRPr="00E60FD2" w:rsidRDefault="004A79BB">
      <w:pPr>
        <w:pStyle w:val="CMNormal"/>
        <w:rPr>
          <w:lang w:val="pl-PL"/>
        </w:rPr>
      </w:pPr>
    </w:p>
    <w:p w:rsidR="004A79BB" w:rsidRPr="00E60FD2" w:rsidRDefault="00D357C2">
      <w:pPr>
        <w:pStyle w:val="CMNormal"/>
        <w:rPr>
          <w:b/>
          <w:lang w:val="pl-PL"/>
        </w:rPr>
      </w:pPr>
      <w:r w:rsidRPr="00E60FD2">
        <w:rPr>
          <w:b/>
          <w:lang w:val="pl-PL"/>
        </w:rPr>
        <w:t xml:space="preserve">I. </w:t>
      </w:r>
      <w:r w:rsidR="00D44373" w:rsidRPr="00E60FD2">
        <w:rPr>
          <w:b/>
          <w:lang w:val="pl-PL"/>
        </w:rPr>
        <w:t>Potrzeba walki z bezkarnością sprawców</w:t>
      </w:r>
    </w:p>
    <w:p w:rsidR="004A79BB" w:rsidRPr="00E60FD2" w:rsidRDefault="00D357C2">
      <w:pPr>
        <w:pStyle w:val="CMNormal"/>
        <w:rPr>
          <w:lang w:val="pl-PL"/>
        </w:rPr>
      </w:pPr>
      <w:r w:rsidRPr="00E60FD2">
        <w:rPr>
          <w:lang w:val="pl-PL"/>
        </w:rPr>
        <w:tab/>
      </w:r>
    </w:p>
    <w:p w:rsidR="00D44373" w:rsidRPr="00E60FD2" w:rsidRDefault="00D44373">
      <w:pPr>
        <w:pStyle w:val="CMNormal"/>
        <w:numPr>
          <w:ilvl w:val="0"/>
          <w:numId w:val="18"/>
        </w:numPr>
        <w:tabs>
          <w:tab w:val="left" w:pos="720"/>
        </w:tabs>
        <w:ind w:left="0" w:firstLine="0"/>
        <w:rPr>
          <w:lang w:val="pl-PL"/>
        </w:rPr>
      </w:pPr>
      <w:r w:rsidRPr="00E60FD2">
        <w:rPr>
          <w:lang w:val="pl-PL"/>
        </w:rPr>
        <w:t xml:space="preserve">Poniższe zalecenia dotyczą problemu bezkarności sprawców poważnych naruszeń praw człowieka. Bezkarność </w:t>
      </w:r>
      <w:r w:rsidR="008236BB" w:rsidRPr="00E60FD2">
        <w:rPr>
          <w:lang w:val="pl-PL"/>
        </w:rPr>
        <w:t>ma miejsce</w:t>
      </w:r>
      <w:r w:rsidRPr="00E60FD2">
        <w:rPr>
          <w:lang w:val="pl-PL"/>
        </w:rPr>
        <w:t xml:space="preserve"> wówczas, gdy osoby odpowiedzialne za czyny stanowiące poważne naruszenie praw człowieka nie zostają pociągnięte do odpowiedzialności.</w:t>
      </w:r>
    </w:p>
    <w:p w:rsidR="004A79BB" w:rsidRPr="00E60FD2" w:rsidRDefault="004A79BB">
      <w:pPr>
        <w:pStyle w:val="CMNormal"/>
        <w:rPr>
          <w:lang w:val="pl-PL"/>
        </w:rPr>
      </w:pPr>
    </w:p>
    <w:p w:rsidR="00D44373" w:rsidRPr="00E60FD2" w:rsidRDefault="00D44373">
      <w:pPr>
        <w:pStyle w:val="CMNormal"/>
        <w:numPr>
          <w:ilvl w:val="0"/>
          <w:numId w:val="18"/>
        </w:numPr>
        <w:tabs>
          <w:tab w:val="left" w:pos="720"/>
        </w:tabs>
        <w:ind w:left="0" w:firstLine="0"/>
        <w:rPr>
          <w:lang w:val="pl-PL"/>
        </w:rPr>
      </w:pPr>
      <w:r w:rsidRPr="00E60FD2">
        <w:rPr>
          <w:lang w:val="pl-PL"/>
        </w:rPr>
        <w:t xml:space="preserve">Bezkarność jest powodowana i </w:t>
      </w:r>
      <w:r w:rsidR="00E718D0" w:rsidRPr="00E60FD2">
        <w:rPr>
          <w:lang w:val="pl-PL"/>
        </w:rPr>
        <w:t>sprzyja jej</w:t>
      </w:r>
      <w:r w:rsidRPr="00E60FD2">
        <w:rPr>
          <w:lang w:val="pl-PL"/>
        </w:rPr>
        <w:t xml:space="preserve"> brak zdecydowanej reakcji instytucji lub agen</w:t>
      </w:r>
      <w:r w:rsidR="00E718D0" w:rsidRPr="00E60FD2">
        <w:rPr>
          <w:lang w:val="pl-PL"/>
        </w:rPr>
        <w:t>d</w:t>
      </w:r>
      <w:r w:rsidRPr="00E60FD2">
        <w:rPr>
          <w:lang w:val="pl-PL"/>
        </w:rPr>
        <w:t xml:space="preserve"> państwowych na przypadki poważnych naruszeń praw człowieka. W takich sytuacjach można </w:t>
      </w:r>
      <w:r w:rsidR="008236BB" w:rsidRPr="00E60FD2">
        <w:rPr>
          <w:lang w:val="pl-PL"/>
        </w:rPr>
        <w:t>mówić o winie</w:t>
      </w:r>
      <w:r w:rsidRPr="00E60FD2">
        <w:rPr>
          <w:lang w:val="pl-PL"/>
        </w:rPr>
        <w:t xml:space="preserve"> </w:t>
      </w:r>
      <w:r w:rsidR="00DA6AAA" w:rsidRPr="00E60FD2">
        <w:rPr>
          <w:lang w:val="pl-PL"/>
        </w:rPr>
        <w:t>organów</w:t>
      </w:r>
      <w:r w:rsidR="008236BB" w:rsidRPr="00E60FD2">
        <w:rPr>
          <w:lang w:val="pl-PL"/>
        </w:rPr>
        <w:t xml:space="preserve"> państwowych oraz błędach popełnianych</w:t>
      </w:r>
      <w:r w:rsidRPr="00E60FD2">
        <w:rPr>
          <w:lang w:val="pl-PL"/>
        </w:rPr>
        <w:t xml:space="preserve"> na </w:t>
      </w:r>
      <w:r w:rsidR="00DA6AAA" w:rsidRPr="00E60FD2">
        <w:rPr>
          <w:lang w:val="pl-PL"/>
        </w:rPr>
        <w:t>poszczególnych etapach</w:t>
      </w:r>
      <w:r w:rsidRPr="00E60FD2">
        <w:rPr>
          <w:lang w:val="pl-PL"/>
        </w:rPr>
        <w:t xml:space="preserve"> postępowania sądowego lub administracyjnego.</w:t>
      </w:r>
    </w:p>
    <w:p w:rsidR="004A79BB" w:rsidRPr="00E60FD2" w:rsidRDefault="004A79BB">
      <w:pPr>
        <w:pStyle w:val="CMNormal"/>
        <w:rPr>
          <w:lang w:val="pl-PL"/>
        </w:rPr>
      </w:pPr>
    </w:p>
    <w:p w:rsidR="00D44373" w:rsidRPr="00E60FD2" w:rsidRDefault="00D44373">
      <w:pPr>
        <w:pStyle w:val="CMNormal"/>
        <w:numPr>
          <w:ilvl w:val="0"/>
          <w:numId w:val="18"/>
        </w:numPr>
        <w:tabs>
          <w:tab w:val="left" w:pos="720"/>
        </w:tabs>
        <w:ind w:left="0" w:firstLine="0"/>
        <w:rPr>
          <w:lang w:val="pl-PL"/>
        </w:rPr>
      </w:pPr>
      <w:r w:rsidRPr="00E60FD2">
        <w:rPr>
          <w:lang w:val="pl-PL"/>
        </w:rPr>
        <w:t xml:space="preserve">Państwa mają zwalczać bezkarność sprawców w imię zapewnienia sprawiedliwości ofiarom oraz aby odstraszać przed naruszaniem praw człowieka w przyszłości. Walka </w:t>
      </w:r>
      <w:r w:rsidR="00946ECC" w:rsidRPr="00E60FD2">
        <w:rPr>
          <w:lang w:val="pl-PL"/>
        </w:rPr>
        <w:t>z bezkarnością</w:t>
      </w:r>
      <w:r w:rsidRPr="00E60FD2">
        <w:rPr>
          <w:lang w:val="pl-PL"/>
        </w:rPr>
        <w:t xml:space="preserve"> jest także </w:t>
      </w:r>
      <w:r w:rsidR="000279A8" w:rsidRPr="00E60FD2">
        <w:rPr>
          <w:lang w:val="pl-PL"/>
        </w:rPr>
        <w:t xml:space="preserve">elementem stania na straży przepisów prawa i budowania zaufania do </w:t>
      </w:r>
      <w:r w:rsidR="00946ECC" w:rsidRPr="00E60FD2">
        <w:rPr>
          <w:lang w:val="pl-PL"/>
        </w:rPr>
        <w:t>wymiaru sprawiedliwości</w:t>
      </w:r>
      <w:r w:rsidR="000279A8" w:rsidRPr="00E60FD2">
        <w:rPr>
          <w:lang w:val="pl-PL"/>
        </w:rPr>
        <w:t>.</w:t>
      </w:r>
    </w:p>
    <w:p w:rsidR="004A79BB" w:rsidRPr="00E60FD2" w:rsidRDefault="004A79BB">
      <w:pPr>
        <w:pStyle w:val="CMNormal"/>
        <w:rPr>
          <w:lang w:val="pl-PL"/>
        </w:rPr>
      </w:pPr>
    </w:p>
    <w:p w:rsidR="004A79BB" w:rsidRPr="00E60FD2" w:rsidRDefault="00D357C2">
      <w:pPr>
        <w:pStyle w:val="CMNormal"/>
        <w:rPr>
          <w:lang w:val="pl-PL"/>
        </w:rPr>
      </w:pPr>
      <w:r w:rsidRPr="00E60FD2">
        <w:rPr>
          <w:b/>
          <w:lang w:val="pl-PL"/>
        </w:rPr>
        <w:t xml:space="preserve">II. </w:t>
      </w:r>
      <w:r w:rsidR="000279A8" w:rsidRPr="00E60FD2">
        <w:rPr>
          <w:b/>
          <w:lang w:val="pl-PL"/>
        </w:rPr>
        <w:t>Zakres zaleceń</w:t>
      </w:r>
    </w:p>
    <w:p w:rsidR="004A79BB" w:rsidRPr="00E60FD2" w:rsidRDefault="004A79BB">
      <w:pPr>
        <w:pStyle w:val="CMNormal"/>
        <w:rPr>
          <w:lang w:val="pl-PL"/>
        </w:rPr>
      </w:pPr>
    </w:p>
    <w:p w:rsidR="000279A8" w:rsidRPr="00E60FD2" w:rsidRDefault="000279A8">
      <w:pPr>
        <w:pStyle w:val="CMNormal"/>
        <w:numPr>
          <w:ilvl w:val="0"/>
          <w:numId w:val="19"/>
        </w:numPr>
        <w:tabs>
          <w:tab w:val="left" w:pos="720"/>
        </w:tabs>
        <w:ind w:left="0" w:firstLine="0"/>
        <w:rPr>
          <w:lang w:val="pl-PL"/>
        </w:rPr>
      </w:pPr>
      <w:r w:rsidRPr="00E60FD2">
        <w:rPr>
          <w:lang w:val="pl-PL"/>
        </w:rPr>
        <w:t>Niniejsze zalecenia dotyczą bezkarności sprawców czynów lub zaniedbań stanowiących poważne naruszenia praw człowieka i mają</w:t>
      </w:r>
      <w:r w:rsidR="008236BB" w:rsidRPr="00E60FD2">
        <w:rPr>
          <w:lang w:val="pl-PL"/>
        </w:rPr>
        <w:t>cych</w:t>
      </w:r>
      <w:r w:rsidRPr="00E60FD2">
        <w:rPr>
          <w:lang w:val="pl-PL"/>
        </w:rPr>
        <w:t xml:space="preserve"> miejsce w jurysdykcji państw</w:t>
      </w:r>
      <w:r w:rsidR="008236BB" w:rsidRPr="00E60FD2">
        <w:rPr>
          <w:lang w:val="pl-PL"/>
        </w:rPr>
        <w:t xml:space="preserve"> członkowskich</w:t>
      </w:r>
      <w:r w:rsidRPr="00E60FD2">
        <w:rPr>
          <w:lang w:val="pl-PL"/>
        </w:rPr>
        <w:t>.</w:t>
      </w:r>
    </w:p>
    <w:p w:rsidR="004A79BB" w:rsidRPr="00E60FD2" w:rsidRDefault="004A79BB">
      <w:pPr>
        <w:pStyle w:val="CMNormal"/>
        <w:rPr>
          <w:lang w:val="pl-PL"/>
        </w:rPr>
      </w:pPr>
    </w:p>
    <w:p w:rsidR="000279A8" w:rsidRPr="00E60FD2" w:rsidRDefault="00F74844">
      <w:pPr>
        <w:pStyle w:val="CMNormal"/>
        <w:numPr>
          <w:ilvl w:val="0"/>
          <w:numId w:val="19"/>
        </w:numPr>
        <w:tabs>
          <w:tab w:val="left" w:pos="720"/>
        </w:tabs>
        <w:ind w:left="0" w:firstLine="0"/>
        <w:rPr>
          <w:lang w:val="pl-PL"/>
        </w:rPr>
      </w:pPr>
      <w:r w:rsidRPr="00E60FD2">
        <w:rPr>
          <w:lang w:val="pl-PL"/>
        </w:rPr>
        <w:t xml:space="preserve">Zalecenia te są kierowane do organów państwowych </w:t>
      </w:r>
      <w:r w:rsidR="000279A8" w:rsidRPr="00E60FD2">
        <w:rPr>
          <w:lang w:val="pl-PL"/>
        </w:rPr>
        <w:t xml:space="preserve">i </w:t>
      </w:r>
      <w:r w:rsidRPr="00E60FD2">
        <w:rPr>
          <w:lang w:val="pl-PL"/>
        </w:rPr>
        <w:t>dotyczą działań lub zaniechań</w:t>
      </w:r>
      <w:r w:rsidR="000279A8" w:rsidRPr="00E60FD2">
        <w:rPr>
          <w:lang w:val="pl-PL"/>
        </w:rPr>
        <w:t xml:space="preserve"> państw, m.in. ze strony ich przedstawicieli. Przypadki takie obejmują również </w:t>
      </w:r>
      <w:r w:rsidR="00946ECC" w:rsidRPr="00E60FD2">
        <w:rPr>
          <w:lang w:val="pl-PL"/>
        </w:rPr>
        <w:t xml:space="preserve">wynikający z Konwencji obowiązek </w:t>
      </w:r>
      <w:r w:rsidR="000279A8" w:rsidRPr="00E60FD2">
        <w:rPr>
          <w:lang w:val="pl-PL"/>
        </w:rPr>
        <w:t xml:space="preserve">państw </w:t>
      </w:r>
      <w:r w:rsidR="00946ECC" w:rsidRPr="00E60FD2">
        <w:rPr>
          <w:lang w:val="pl-PL"/>
        </w:rPr>
        <w:t xml:space="preserve">do </w:t>
      </w:r>
      <w:r w:rsidR="000279A8" w:rsidRPr="00E60FD2">
        <w:rPr>
          <w:lang w:val="pl-PL"/>
        </w:rPr>
        <w:t>podejmowania działań w odniesieniu do podmiotów innych niż państwo.</w:t>
      </w:r>
    </w:p>
    <w:p w:rsidR="004A79BB" w:rsidRPr="00E60FD2" w:rsidRDefault="004A79BB">
      <w:pPr>
        <w:pStyle w:val="CMNormal"/>
        <w:rPr>
          <w:lang w:val="pl-PL"/>
        </w:rPr>
      </w:pPr>
    </w:p>
    <w:p w:rsidR="000279A8" w:rsidRPr="00E60FD2" w:rsidRDefault="000279A8">
      <w:pPr>
        <w:pStyle w:val="CMNormal"/>
        <w:numPr>
          <w:ilvl w:val="0"/>
          <w:numId w:val="19"/>
        </w:numPr>
        <w:tabs>
          <w:tab w:val="left" w:pos="720"/>
        </w:tabs>
        <w:ind w:left="0" w:firstLine="0"/>
        <w:rPr>
          <w:lang w:val="pl-PL"/>
        </w:rPr>
      </w:pPr>
      <w:r w:rsidRPr="00E60FD2">
        <w:rPr>
          <w:lang w:val="pl-PL"/>
        </w:rPr>
        <w:t>Dla celów niniejszych zaleceń „poważne naruszenia praw człowieka” dotyczą działań, w stosunku do których państwa mają obowiązek wynikający z Konwencji oraz w świetle wyroków precedensowych Trybunału do egzekwowania przepisów prawa karnego. Takie obowiązki wynikają w kontekście prawa do życia (art. 2 Konwencji), zakazu stosowania tortur i nieludzkiego lub poniżającego traktowania lub karania (art. 3 Konwencji), zakazu pracy przymusowej i niewolnictwa (art. 4 Konwencji) oraz w odniesieniu do pewnych aspektów prawa do wolności i ochrony (art. 5 par. 1 Konwencji) i prawa do poszanowania życia prywatnego i rodzinnego (art. 8 Konwencji). Nie wszystkie naruszenia takich artykułów muszą spełniać kryteria poważnego naruszenia.</w:t>
      </w:r>
    </w:p>
    <w:p w:rsidR="004A79BB" w:rsidRPr="00E60FD2" w:rsidRDefault="004A79BB">
      <w:pPr>
        <w:pStyle w:val="CMNormal"/>
        <w:rPr>
          <w:lang w:val="pl-PL"/>
        </w:rPr>
      </w:pPr>
    </w:p>
    <w:p w:rsidR="000279A8" w:rsidRPr="00E60FD2" w:rsidRDefault="000279A8">
      <w:pPr>
        <w:pStyle w:val="CMNormal"/>
        <w:numPr>
          <w:ilvl w:val="0"/>
          <w:numId w:val="19"/>
        </w:numPr>
        <w:tabs>
          <w:tab w:val="left" w:pos="720"/>
        </w:tabs>
        <w:ind w:left="0" w:firstLine="0"/>
        <w:rPr>
          <w:lang w:val="pl-PL"/>
        </w:rPr>
      </w:pPr>
      <w:r w:rsidRPr="00E60FD2">
        <w:rPr>
          <w:lang w:val="pl-PL"/>
        </w:rPr>
        <w:t>W niniejszych</w:t>
      </w:r>
      <w:r w:rsidR="008236BB" w:rsidRPr="00E60FD2">
        <w:rPr>
          <w:lang w:val="pl-PL"/>
        </w:rPr>
        <w:t xml:space="preserve"> zaleceniach określenie „sprawca</w:t>
      </w:r>
      <w:r w:rsidRPr="00E60FD2">
        <w:rPr>
          <w:lang w:val="pl-PL"/>
        </w:rPr>
        <w:t>” dotyczy osób odpowiedzialnych za działania lub zaniechania stanowiące poważne naruszenia praw człowieka.</w:t>
      </w:r>
    </w:p>
    <w:p w:rsidR="004A79BB" w:rsidRPr="00E60FD2" w:rsidRDefault="004A79BB">
      <w:pPr>
        <w:pStyle w:val="CMNormal"/>
        <w:rPr>
          <w:lang w:val="pl-PL"/>
        </w:rPr>
      </w:pPr>
    </w:p>
    <w:p w:rsidR="000279A8" w:rsidRPr="00E60FD2" w:rsidRDefault="000279A8">
      <w:pPr>
        <w:pStyle w:val="CMNormal"/>
        <w:numPr>
          <w:ilvl w:val="0"/>
          <w:numId w:val="19"/>
        </w:numPr>
        <w:tabs>
          <w:tab w:val="left" w:pos="720"/>
        </w:tabs>
        <w:ind w:left="0" w:firstLine="0"/>
        <w:rPr>
          <w:lang w:val="pl-PL"/>
        </w:rPr>
      </w:pPr>
      <w:r w:rsidRPr="00E60FD2">
        <w:rPr>
          <w:lang w:val="pl-PL"/>
        </w:rPr>
        <w:t xml:space="preserve">W zaleceniach tych słowo „ofiara” odnosi się do </w:t>
      </w:r>
      <w:r w:rsidR="00DA6AAA" w:rsidRPr="00E60FD2">
        <w:rPr>
          <w:lang w:val="pl-PL"/>
        </w:rPr>
        <w:t>osoby fizycznej, która została po</w:t>
      </w:r>
      <w:r w:rsidRPr="00E60FD2">
        <w:rPr>
          <w:lang w:val="pl-PL"/>
        </w:rPr>
        <w:t>krzywdzona</w:t>
      </w:r>
      <w:r w:rsidR="00946ECC" w:rsidRPr="00E60FD2">
        <w:rPr>
          <w:lang w:val="pl-PL"/>
        </w:rPr>
        <w:t xml:space="preserve"> na skutek poważnego naruszenia praw człowieka</w:t>
      </w:r>
      <w:r w:rsidRPr="00E60FD2">
        <w:rPr>
          <w:lang w:val="pl-PL"/>
        </w:rPr>
        <w:t xml:space="preserve">, co może obejmować obrażenia </w:t>
      </w:r>
      <w:r w:rsidR="008236BB" w:rsidRPr="00E60FD2">
        <w:rPr>
          <w:lang w:val="pl-PL"/>
        </w:rPr>
        <w:t xml:space="preserve">ciała </w:t>
      </w:r>
      <w:r w:rsidRPr="00E60FD2">
        <w:rPr>
          <w:lang w:val="pl-PL"/>
        </w:rPr>
        <w:t xml:space="preserve">lub </w:t>
      </w:r>
      <w:r w:rsidR="00226015" w:rsidRPr="00E60FD2">
        <w:rPr>
          <w:lang w:val="pl-PL"/>
        </w:rPr>
        <w:t xml:space="preserve">negatywne </w:t>
      </w:r>
      <w:r w:rsidR="00F74844" w:rsidRPr="00E60FD2">
        <w:rPr>
          <w:lang w:val="pl-PL"/>
        </w:rPr>
        <w:t>konsekwencje dla zdrowia psychicznego</w:t>
      </w:r>
      <w:r w:rsidRPr="00E60FD2">
        <w:rPr>
          <w:lang w:val="pl-PL"/>
        </w:rPr>
        <w:t xml:space="preserve">, cierpienie emocjonalne lub straty </w:t>
      </w:r>
      <w:r w:rsidR="00946ECC" w:rsidRPr="00E60FD2">
        <w:rPr>
          <w:lang w:val="pl-PL"/>
        </w:rPr>
        <w:t>finansowe</w:t>
      </w:r>
      <w:r w:rsidRPr="00E60FD2">
        <w:rPr>
          <w:lang w:val="pl-PL"/>
        </w:rPr>
        <w:t>. Termin „ofiara” może obejmować także w stosownych przypadkach najbliższą rodzinę i osoby będące na utrzymaniu bezpośredniej ofiary. Osobę uznaje się za ofiarę niezależnie od tego, czy sprawca naruszenia zostaje zidentyfikowany, zatrzymany, oskarżony czy skazany oraz bez względu na relacje rodzinne między sprawcą a ofiarą.</w:t>
      </w:r>
    </w:p>
    <w:p w:rsidR="004A79BB" w:rsidRPr="00E60FD2" w:rsidRDefault="004A79BB">
      <w:pPr>
        <w:pStyle w:val="CMNormal"/>
        <w:rPr>
          <w:lang w:val="pl-PL"/>
        </w:rPr>
      </w:pPr>
    </w:p>
    <w:p w:rsidR="000279A8" w:rsidRPr="00E60FD2" w:rsidRDefault="000279A8">
      <w:pPr>
        <w:pStyle w:val="CMNormal"/>
        <w:numPr>
          <w:ilvl w:val="0"/>
          <w:numId w:val="19"/>
        </w:numPr>
        <w:tabs>
          <w:tab w:val="left" w:pos="720"/>
        </w:tabs>
        <w:ind w:left="0" w:firstLine="0"/>
        <w:rPr>
          <w:lang w:val="pl-PL"/>
        </w:rPr>
      </w:pPr>
      <w:r w:rsidRPr="00E60FD2">
        <w:rPr>
          <w:lang w:val="pl-PL"/>
        </w:rPr>
        <w:t xml:space="preserve">Poniższe zalecenia uzupełniają inne standardy odnoszące się do bezkarności i nie zastępują takich innych norm. W szczególności nie powtarzają one ani nie uściślają obowiązków i odpowiedzialności państw wynikających z przepisów międzynarodowych, w tym międzynarodowych przepisów </w:t>
      </w:r>
      <w:r w:rsidR="007E144C" w:rsidRPr="00E60FD2">
        <w:rPr>
          <w:lang w:val="pl-PL"/>
        </w:rPr>
        <w:t xml:space="preserve">prawa dotyczących </w:t>
      </w:r>
      <w:r w:rsidR="00226015" w:rsidRPr="00E60FD2">
        <w:rPr>
          <w:lang w:val="pl-PL"/>
        </w:rPr>
        <w:t>zagadnień</w:t>
      </w:r>
      <w:r w:rsidR="007E144C" w:rsidRPr="00E60FD2">
        <w:rPr>
          <w:lang w:val="pl-PL"/>
        </w:rPr>
        <w:t xml:space="preserve"> humanitarnych ani międzynarodowego prawa karnego. Ich celem nie jest także odpowiedź na pytanie o relację między międzynarodowymi przepisami dotyczącymi praw człowieka a innymi zasadami prawa międzynarodowego. Żadne z niniejszych zaleceń nie może utrudniać państwom </w:t>
      </w:r>
      <w:r w:rsidR="008236BB" w:rsidRPr="00E60FD2">
        <w:rPr>
          <w:lang w:val="pl-PL"/>
        </w:rPr>
        <w:t xml:space="preserve">wprowadzania </w:t>
      </w:r>
      <w:r w:rsidR="00954581" w:rsidRPr="00E60FD2">
        <w:rPr>
          <w:lang w:val="pl-PL"/>
        </w:rPr>
        <w:t>ani</w:t>
      </w:r>
      <w:r w:rsidR="008236BB" w:rsidRPr="00E60FD2">
        <w:rPr>
          <w:lang w:val="pl-PL"/>
        </w:rPr>
        <w:t xml:space="preserve"> </w:t>
      </w:r>
      <w:r w:rsidR="00946ECC" w:rsidRPr="00E60FD2">
        <w:rPr>
          <w:lang w:val="pl-PL"/>
        </w:rPr>
        <w:t>realizowania</w:t>
      </w:r>
      <w:r w:rsidR="007E144C" w:rsidRPr="00E60FD2">
        <w:rPr>
          <w:lang w:val="pl-PL"/>
        </w:rPr>
        <w:t xml:space="preserve"> </w:t>
      </w:r>
      <w:r w:rsidR="00946ECC" w:rsidRPr="00E60FD2">
        <w:rPr>
          <w:lang w:val="pl-PL"/>
        </w:rPr>
        <w:t>bardziej zdecydowanych</w:t>
      </w:r>
      <w:r w:rsidR="007E144C" w:rsidRPr="00E60FD2">
        <w:rPr>
          <w:lang w:val="pl-PL"/>
        </w:rPr>
        <w:t xml:space="preserve"> lub szerszych środków zwalczania bezkarności.</w:t>
      </w:r>
    </w:p>
    <w:p w:rsidR="004A79BB" w:rsidRPr="00E60FD2" w:rsidRDefault="004A79BB">
      <w:pPr>
        <w:pStyle w:val="CMNormal"/>
        <w:rPr>
          <w:b/>
          <w:lang w:val="pl-PL"/>
        </w:rPr>
      </w:pPr>
    </w:p>
    <w:p w:rsidR="007E144C" w:rsidRPr="00E60FD2" w:rsidRDefault="00D357C2">
      <w:pPr>
        <w:pStyle w:val="CMNormal"/>
        <w:rPr>
          <w:b/>
          <w:lang w:val="pl-PL"/>
        </w:rPr>
      </w:pPr>
      <w:r w:rsidRPr="00E60FD2">
        <w:rPr>
          <w:b/>
          <w:lang w:val="pl-PL"/>
        </w:rPr>
        <w:t xml:space="preserve">III. </w:t>
      </w:r>
      <w:r w:rsidR="007E144C" w:rsidRPr="00E60FD2">
        <w:rPr>
          <w:b/>
          <w:lang w:val="pl-PL"/>
        </w:rPr>
        <w:t>Ogólne środki zapobiegania bezkarności sprawców</w:t>
      </w:r>
    </w:p>
    <w:p w:rsidR="004A79BB" w:rsidRPr="00E60FD2" w:rsidRDefault="004A79BB">
      <w:pPr>
        <w:pStyle w:val="CMNormal"/>
        <w:rPr>
          <w:b/>
          <w:lang w:val="pl-PL"/>
        </w:rPr>
      </w:pPr>
    </w:p>
    <w:p w:rsidR="004A79BB" w:rsidRPr="00E60FD2" w:rsidRDefault="007E144C" w:rsidP="007604A0">
      <w:pPr>
        <w:pStyle w:val="CMNormal"/>
        <w:numPr>
          <w:ilvl w:val="0"/>
          <w:numId w:val="20"/>
        </w:numPr>
        <w:tabs>
          <w:tab w:val="left" w:pos="720"/>
        </w:tabs>
        <w:ind w:left="0" w:firstLine="0"/>
        <w:rPr>
          <w:lang w:val="pl-PL"/>
        </w:rPr>
      </w:pPr>
      <w:r w:rsidRPr="00E60FD2">
        <w:rPr>
          <w:lang w:val="pl-PL"/>
        </w:rPr>
        <w:t xml:space="preserve">Aby unikać </w:t>
      </w:r>
      <w:r w:rsidR="007604A0" w:rsidRPr="00E60FD2">
        <w:rPr>
          <w:lang w:val="pl-PL"/>
        </w:rPr>
        <w:t>luk prawnych, które przyczyniają się do bezkarności</w:t>
      </w:r>
      <w:r w:rsidR="00D357C2" w:rsidRPr="00E60FD2">
        <w:rPr>
          <w:lang w:val="pl-PL"/>
        </w:rPr>
        <w:t>:</w:t>
      </w:r>
    </w:p>
    <w:p w:rsidR="004A79BB" w:rsidRPr="00E60FD2" w:rsidRDefault="004A79BB">
      <w:pPr>
        <w:pStyle w:val="CMNormal"/>
        <w:rPr>
          <w:lang w:val="pl-PL"/>
        </w:rPr>
      </w:pPr>
    </w:p>
    <w:p w:rsidR="007604A0" w:rsidRPr="00E60FD2" w:rsidRDefault="00D357C2">
      <w:pPr>
        <w:pStyle w:val="CMNormal"/>
        <w:rPr>
          <w:lang w:val="pl-PL"/>
        </w:rPr>
      </w:pPr>
      <w:r w:rsidRPr="00E60FD2">
        <w:rPr>
          <w:lang w:val="pl-PL"/>
        </w:rPr>
        <w:lastRenderedPageBreak/>
        <w:t xml:space="preserve">- </w:t>
      </w:r>
      <w:r w:rsidR="007604A0" w:rsidRPr="00E60FD2">
        <w:rPr>
          <w:lang w:val="pl-PL"/>
        </w:rPr>
        <w:t xml:space="preserve">Państwa powinny podejmować wszelkie niezbędne środki w celu spełnienia swoich obowiązków </w:t>
      </w:r>
      <w:r w:rsidR="0039153E" w:rsidRPr="00E60FD2">
        <w:rPr>
          <w:lang w:val="pl-PL"/>
        </w:rPr>
        <w:t xml:space="preserve">wynikających z Konwencji, przyjmując przepisy prawa karnego, które będą skutecznie karały </w:t>
      </w:r>
      <w:r w:rsidR="00954581" w:rsidRPr="00E60FD2">
        <w:rPr>
          <w:lang w:val="pl-PL"/>
        </w:rPr>
        <w:t xml:space="preserve">za </w:t>
      </w:r>
      <w:r w:rsidR="0039153E" w:rsidRPr="00E60FD2">
        <w:rPr>
          <w:lang w:val="pl-PL"/>
        </w:rPr>
        <w:t xml:space="preserve">poważne naruszenia praw człowieka przez nakładanie odpowiednich kar. Przepisy takie powinny być </w:t>
      </w:r>
      <w:r w:rsidR="00946ECC" w:rsidRPr="00E60FD2">
        <w:rPr>
          <w:lang w:val="pl-PL"/>
        </w:rPr>
        <w:t>egzekwowane</w:t>
      </w:r>
      <w:r w:rsidR="0039153E" w:rsidRPr="00E60FD2">
        <w:rPr>
          <w:lang w:val="pl-PL"/>
        </w:rPr>
        <w:t xml:space="preserve"> przez odpowiednie organy </w:t>
      </w:r>
      <w:r w:rsidR="00301C27" w:rsidRPr="00E60FD2">
        <w:rPr>
          <w:lang w:val="pl-PL"/>
        </w:rPr>
        <w:t>wykonawcze</w:t>
      </w:r>
      <w:r w:rsidR="0039153E" w:rsidRPr="00E60FD2">
        <w:rPr>
          <w:lang w:val="pl-PL"/>
        </w:rPr>
        <w:t xml:space="preserve"> i sądowe w sposób spójny i wolny od dyskryminacji.</w:t>
      </w:r>
    </w:p>
    <w:p w:rsidR="004A79BB" w:rsidRPr="00E60FD2" w:rsidRDefault="004A79BB">
      <w:pPr>
        <w:pStyle w:val="CMNormal"/>
        <w:rPr>
          <w:lang w:val="pl-PL"/>
        </w:rPr>
      </w:pPr>
    </w:p>
    <w:p w:rsidR="0039153E" w:rsidRPr="00E60FD2" w:rsidRDefault="00D357C2">
      <w:pPr>
        <w:pStyle w:val="CMNormal"/>
        <w:rPr>
          <w:lang w:val="pl-PL"/>
        </w:rPr>
      </w:pPr>
      <w:r w:rsidRPr="00E60FD2">
        <w:rPr>
          <w:lang w:val="pl-PL"/>
        </w:rPr>
        <w:t xml:space="preserve">- </w:t>
      </w:r>
      <w:r w:rsidR="0039153E" w:rsidRPr="00E60FD2">
        <w:rPr>
          <w:lang w:val="pl-PL"/>
        </w:rPr>
        <w:t xml:space="preserve">Państwa powinny przewidzieć możliwość </w:t>
      </w:r>
      <w:r w:rsidR="00301C27" w:rsidRPr="00E60FD2">
        <w:rPr>
          <w:lang w:val="pl-PL"/>
        </w:rPr>
        <w:t xml:space="preserve">przeprowadzania </w:t>
      </w:r>
      <w:r w:rsidR="0039153E" w:rsidRPr="00E60FD2">
        <w:rPr>
          <w:lang w:val="pl-PL"/>
        </w:rPr>
        <w:t xml:space="preserve">postępowań dyscyplinarnych wobec </w:t>
      </w:r>
      <w:r w:rsidR="00DA6AAA" w:rsidRPr="00E60FD2">
        <w:rPr>
          <w:lang w:val="pl-PL"/>
        </w:rPr>
        <w:t>funkcjonariuszy</w:t>
      </w:r>
      <w:r w:rsidR="0039153E" w:rsidRPr="00E60FD2">
        <w:rPr>
          <w:lang w:val="pl-PL"/>
        </w:rPr>
        <w:t xml:space="preserve"> państwowych.</w:t>
      </w:r>
    </w:p>
    <w:p w:rsidR="004A79BB" w:rsidRPr="00E60FD2" w:rsidRDefault="004A79BB">
      <w:pPr>
        <w:pStyle w:val="CMNormal"/>
        <w:rPr>
          <w:lang w:val="pl-PL"/>
        </w:rPr>
      </w:pPr>
    </w:p>
    <w:p w:rsidR="0039153E" w:rsidRPr="00E60FD2" w:rsidRDefault="00D357C2">
      <w:pPr>
        <w:pStyle w:val="CMNormal"/>
        <w:rPr>
          <w:lang w:val="pl-PL"/>
        </w:rPr>
      </w:pPr>
      <w:r w:rsidRPr="00E60FD2">
        <w:rPr>
          <w:lang w:val="pl-PL"/>
        </w:rPr>
        <w:t xml:space="preserve">- </w:t>
      </w:r>
      <w:r w:rsidR="0039153E" w:rsidRPr="00E60FD2">
        <w:rPr>
          <w:lang w:val="pl-PL"/>
        </w:rPr>
        <w:t xml:space="preserve">W </w:t>
      </w:r>
      <w:r w:rsidR="00DA6AAA" w:rsidRPr="00E60FD2">
        <w:rPr>
          <w:lang w:val="pl-PL"/>
        </w:rPr>
        <w:t xml:space="preserve">analogiczny </w:t>
      </w:r>
      <w:r w:rsidR="0039153E" w:rsidRPr="00E60FD2">
        <w:rPr>
          <w:lang w:val="pl-PL"/>
        </w:rPr>
        <w:t>sposób państwa powinny zapewnić mechanizm obejmując</w:t>
      </w:r>
      <w:r w:rsidR="00DA6AAA" w:rsidRPr="00E60FD2">
        <w:rPr>
          <w:lang w:val="pl-PL"/>
        </w:rPr>
        <w:t>y środki karne i dyscyplinarne mające</w:t>
      </w:r>
      <w:r w:rsidR="0039153E" w:rsidRPr="00E60FD2">
        <w:rPr>
          <w:lang w:val="pl-PL"/>
        </w:rPr>
        <w:t xml:space="preserve"> </w:t>
      </w:r>
      <w:r w:rsidR="00DA6AAA" w:rsidRPr="00E60FD2">
        <w:rPr>
          <w:lang w:val="pl-PL"/>
        </w:rPr>
        <w:t>eliminować zachowania</w:t>
      </w:r>
      <w:r w:rsidR="00D86776" w:rsidRPr="00E60FD2">
        <w:rPr>
          <w:lang w:val="pl-PL"/>
        </w:rPr>
        <w:t xml:space="preserve"> i praktyk</w:t>
      </w:r>
      <w:r w:rsidR="00DA6AAA" w:rsidRPr="00E60FD2">
        <w:rPr>
          <w:lang w:val="pl-PL"/>
        </w:rPr>
        <w:t>ę</w:t>
      </w:r>
      <w:r w:rsidR="00D86776" w:rsidRPr="00E60FD2">
        <w:rPr>
          <w:lang w:val="pl-PL"/>
        </w:rPr>
        <w:t xml:space="preserve"> władz państwowych, które prowadzą do bezkarności sprawców poważnych naruszeń praw człowieka.</w:t>
      </w:r>
    </w:p>
    <w:p w:rsidR="004A79BB" w:rsidRPr="00E60FD2" w:rsidRDefault="004A79BB">
      <w:pPr>
        <w:pStyle w:val="CMNormal"/>
        <w:rPr>
          <w:lang w:val="pl-PL"/>
        </w:rPr>
      </w:pPr>
    </w:p>
    <w:p w:rsidR="00D86776" w:rsidRPr="00E60FD2" w:rsidRDefault="00D86776">
      <w:pPr>
        <w:pStyle w:val="CMNormal"/>
        <w:numPr>
          <w:ilvl w:val="0"/>
          <w:numId w:val="20"/>
        </w:numPr>
        <w:tabs>
          <w:tab w:val="left" w:pos="720"/>
        </w:tabs>
        <w:ind w:left="0" w:firstLine="0"/>
        <w:rPr>
          <w:lang w:val="pl-PL"/>
        </w:rPr>
      </w:pPr>
      <w:r w:rsidRPr="00E60FD2">
        <w:rPr>
          <w:lang w:val="pl-PL"/>
        </w:rPr>
        <w:t>Państwa, co obejmuje ich urzędników i przedstawicieli, powinny publicznie potępiać przypadki poważnych naruszeń praw człowieka.</w:t>
      </w:r>
    </w:p>
    <w:p w:rsidR="004A79BB" w:rsidRPr="00E60FD2" w:rsidRDefault="004A79BB">
      <w:pPr>
        <w:pStyle w:val="CMNormal"/>
        <w:rPr>
          <w:lang w:val="pl-PL"/>
        </w:rPr>
      </w:pPr>
    </w:p>
    <w:p w:rsidR="00D86776" w:rsidRPr="00E60FD2" w:rsidRDefault="00D86776">
      <w:pPr>
        <w:pStyle w:val="CMNormal"/>
        <w:numPr>
          <w:ilvl w:val="0"/>
          <w:numId w:val="20"/>
        </w:numPr>
        <w:tabs>
          <w:tab w:val="left" w:pos="720"/>
        </w:tabs>
        <w:ind w:left="0" w:firstLine="0"/>
        <w:rPr>
          <w:lang w:val="pl-PL"/>
        </w:rPr>
      </w:pPr>
      <w:r w:rsidRPr="00E60FD2">
        <w:rPr>
          <w:lang w:val="pl-PL"/>
        </w:rPr>
        <w:t>Państwa powinny tworzyć polityki oraz podejmować praktyczne działania mające na celu zapobieganie i zwalczanie kultury instytucjonalnej władz, która promuje bezkarność sprawców. Takie działania powinny obejmować:</w:t>
      </w:r>
    </w:p>
    <w:p w:rsidR="004A79BB" w:rsidRPr="00E60FD2" w:rsidRDefault="004A79BB">
      <w:pPr>
        <w:pStyle w:val="CMNormal"/>
        <w:rPr>
          <w:lang w:val="pl-PL"/>
        </w:rPr>
      </w:pPr>
    </w:p>
    <w:p w:rsidR="00D86776" w:rsidRPr="00E60FD2" w:rsidRDefault="00D357C2">
      <w:pPr>
        <w:pStyle w:val="CMNormal"/>
        <w:rPr>
          <w:lang w:val="pl-PL"/>
        </w:rPr>
      </w:pPr>
      <w:r w:rsidRPr="00E60FD2">
        <w:rPr>
          <w:lang w:val="pl-PL"/>
        </w:rPr>
        <w:t xml:space="preserve">- </w:t>
      </w:r>
      <w:r w:rsidR="00D86776" w:rsidRPr="00E60FD2">
        <w:rPr>
          <w:lang w:val="pl-PL"/>
        </w:rPr>
        <w:t>promowanie kultury poszanowania praw człowieka i systematyczną pracę nad wdrażaniem praw człowieka na poziomie krajowym;</w:t>
      </w:r>
    </w:p>
    <w:p w:rsidR="00D86776" w:rsidRPr="00E60FD2" w:rsidRDefault="00D357C2">
      <w:pPr>
        <w:pStyle w:val="CMNormal"/>
        <w:rPr>
          <w:lang w:val="pl-PL"/>
        </w:rPr>
      </w:pPr>
      <w:r w:rsidRPr="00E60FD2">
        <w:rPr>
          <w:lang w:val="pl-PL"/>
        </w:rPr>
        <w:t xml:space="preserve">- </w:t>
      </w:r>
      <w:r w:rsidR="00D86776" w:rsidRPr="00E60FD2">
        <w:rPr>
          <w:lang w:val="pl-PL"/>
        </w:rPr>
        <w:t>wprowadzanie lub rozwijanie odpowiednich szkoleń i mechanizmów kontroli;</w:t>
      </w:r>
    </w:p>
    <w:p w:rsidR="00D86776" w:rsidRPr="00E60FD2" w:rsidRDefault="00D357C2">
      <w:pPr>
        <w:pStyle w:val="CMNormal"/>
        <w:rPr>
          <w:lang w:val="pl-PL"/>
        </w:rPr>
      </w:pPr>
      <w:r w:rsidRPr="00E60FD2">
        <w:rPr>
          <w:lang w:val="pl-PL"/>
        </w:rPr>
        <w:t xml:space="preserve">- </w:t>
      </w:r>
      <w:r w:rsidR="00D86776" w:rsidRPr="00E60FD2">
        <w:rPr>
          <w:lang w:val="pl-PL"/>
        </w:rPr>
        <w:t>wprowadzanie polityk antykorupcyjnych;</w:t>
      </w:r>
    </w:p>
    <w:p w:rsidR="00D86776" w:rsidRPr="00E60FD2" w:rsidRDefault="00D357C2">
      <w:pPr>
        <w:pStyle w:val="CMNormal"/>
        <w:rPr>
          <w:lang w:val="pl-PL"/>
        </w:rPr>
      </w:pPr>
      <w:r w:rsidRPr="00E60FD2">
        <w:rPr>
          <w:lang w:val="pl-PL"/>
        </w:rPr>
        <w:t xml:space="preserve">- </w:t>
      </w:r>
      <w:r w:rsidR="00D86776" w:rsidRPr="00E60FD2">
        <w:rPr>
          <w:lang w:val="pl-PL"/>
        </w:rPr>
        <w:t>uświadamianie odpowiednim władzom ich obowiązków, co obejmuje podejmowanie niezbędnych działań w odniesieniu do zapobiegania bezkarności oraz wprowadzanie właściwych sankcji za nieprzestrzeganie takich obowiązków;</w:t>
      </w:r>
    </w:p>
    <w:p w:rsidR="00D86776" w:rsidRPr="00E60FD2" w:rsidRDefault="00D357C2">
      <w:pPr>
        <w:pStyle w:val="CMNormal"/>
        <w:rPr>
          <w:lang w:val="pl-PL"/>
        </w:rPr>
      </w:pPr>
      <w:r w:rsidRPr="00E60FD2">
        <w:rPr>
          <w:lang w:val="pl-PL"/>
        </w:rPr>
        <w:t xml:space="preserve">- </w:t>
      </w:r>
      <w:r w:rsidR="00946ECC" w:rsidRPr="00E60FD2">
        <w:rPr>
          <w:lang w:val="pl-PL"/>
        </w:rPr>
        <w:t xml:space="preserve">realizowanie </w:t>
      </w:r>
      <w:r w:rsidR="00D86776" w:rsidRPr="00E60FD2">
        <w:rPr>
          <w:lang w:val="pl-PL"/>
        </w:rPr>
        <w:t>polityki zerowej tolerancji w przypadkach poważnych naruszeń praw człowieka;</w:t>
      </w:r>
    </w:p>
    <w:p w:rsidR="00D86776" w:rsidRPr="00E60FD2" w:rsidRDefault="00D357C2">
      <w:pPr>
        <w:pStyle w:val="CMNormal"/>
        <w:rPr>
          <w:lang w:val="pl-PL"/>
        </w:rPr>
      </w:pPr>
      <w:r w:rsidRPr="00E60FD2">
        <w:rPr>
          <w:lang w:val="pl-PL"/>
        </w:rPr>
        <w:t xml:space="preserve">- </w:t>
      </w:r>
      <w:r w:rsidR="00D86776" w:rsidRPr="00E60FD2">
        <w:rPr>
          <w:lang w:val="pl-PL"/>
        </w:rPr>
        <w:t>przekazywanie opinii publicznej informacji dotyczących naruszeń oraz reakcji władz na takie przypadki;</w:t>
      </w:r>
    </w:p>
    <w:p w:rsidR="00D86776" w:rsidRPr="00E60FD2" w:rsidRDefault="00D357C2">
      <w:pPr>
        <w:pStyle w:val="CMNormal"/>
        <w:rPr>
          <w:lang w:val="pl-PL"/>
        </w:rPr>
      </w:pPr>
      <w:r w:rsidRPr="00E60FD2">
        <w:rPr>
          <w:lang w:val="pl-PL"/>
        </w:rPr>
        <w:t xml:space="preserve">- </w:t>
      </w:r>
      <w:r w:rsidR="00D86776" w:rsidRPr="00E60FD2">
        <w:rPr>
          <w:lang w:val="pl-PL"/>
        </w:rPr>
        <w:t xml:space="preserve">prowadzenie </w:t>
      </w:r>
      <w:r w:rsidR="00301C27" w:rsidRPr="00E60FD2">
        <w:rPr>
          <w:lang w:val="pl-PL"/>
        </w:rPr>
        <w:t>rejestrów</w:t>
      </w:r>
      <w:r w:rsidR="00D86776" w:rsidRPr="00E60FD2">
        <w:rPr>
          <w:lang w:val="pl-PL"/>
        </w:rPr>
        <w:t xml:space="preserve"> oraz ułatwianie odpowiedniego dostępu do takich informacji przy pomocy obowiązujących mechanizmów.</w:t>
      </w:r>
    </w:p>
    <w:p w:rsidR="004A79BB" w:rsidRPr="00E60FD2" w:rsidRDefault="004A79BB">
      <w:pPr>
        <w:pStyle w:val="CMNormal"/>
        <w:rPr>
          <w:lang w:val="pl-PL"/>
        </w:rPr>
      </w:pPr>
    </w:p>
    <w:p w:rsidR="00D86776" w:rsidRPr="00E60FD2" w:rsidRDefault="00D86776">
      <w:pPr>
        <w:pStyle w:val="CMNormal"/>
        <w:numPr>
          <w:ilvl w:val="0"/>
          <w:numId w:val="20"/>
        </w:numPr>
        <w:tabs>
          <w:tab w:val="left" w:pos="720"/>
        </w:tabs>
        <w:ind w:left="0" w:firstLine="0"/>
        <w:rPr>
          <w:lang w:val="pl-PL"/>
        </w:rPr>
      </w:pPr>
      <w:r w:rsidRPr="00E60FD2">
        <w:rPr>
          <w:lang w:val="pl-PL"/>
        </w:rPr>
        <w:t xml:space="preserve">Państwa powinny wprowadzić i nagłośnić </w:t>
      </w:r>
      <w:r w:rsidR="00301C27" w:rsidRPr="00E60FD2">
        <w:rPr>
          <w:lang w:val="pl-PL"/>
        </w:rPr>
        <w:t>czytelne</w:t>
      </w:r>
      <w:r w:rsidRPr="00E60FD2">
        <w:rPr>
          <w:lang w:val="pl-PL"/>
        </w:rPr>
        <w:t xml:space="preserve"> procedury </w:t>
      </w:r>
      <w:r w:rsidR="00954581" w:rsidRPr="00E60FD2">
        <w:rPr>
          <w:lang w:val="pl-PL"/>
        </w:rPr>
        <w:t>zgłaszania skarg</w:t>
      </w:r>
      <w:r w:rsidRPr="00E60FD2">
        <w:rPr>
          <w:lang w:val="pl-PL"/>
        </w:rPr>
        <w:t xml:space="preserve"> </w:t>
      </w:r>
      <w:r w:rsidR="00DA6AAA" w:rsidRPr="00E60FD2">
        <w:rPr>
          <w:lang w:val="pl-PL"/>
        </w:rPr>
        <w:t>w związku z poważnymi</w:t>
      </w:r>
      <w:r w:rsidRPr="00E60FD2">
        <w:rPr>
          <w:lang w:val="pl-PL"/>
        </w:rPr>
        <w:t xml:space="preserve"> naruszenia</w:t>
      </w:r>
      <w:r w:rsidR="00DA6AAA" w:rsidRPr="00E60FD2">
        <w:rPr>
          <w:lang w:val="pl-PL"/>
        </w:rPr>
        <w:t>mi</w:t>
      </w:r>
      <w:r w:rsidRPr="00E60FD2">
        <w:rPr>
          <w:lang w:val="pl-PL"/>
        </w:rPr>
        <w:t xml:space="preserve"> praw człowieka, zarówno w ramach swoich organów jak i</w:t>
      </w:r>
      <w:r w:rsidR="00DA6AAA" w:rsidRPr="00E60FD2">
        <w:rPr>
          <w:lang w:val="pl-PL"/>
        </w:rPr>
        <w:t xml:space="preserve"> w</w:t>
      </w:r>
      <w:r w:rsidRPr="00E60FD2">
        <w:rPr>
          <w:lang w:val="pl-PL"/>
        </w:rPr>
        <w:t xml:space="preserve"> całej opinii publicznej. Państwa powinny zapewnić przyjmowanie takich zgłoszeń oraz ich skuteczne </w:t>
      </w:r>
      <w:r w:rsidR="00301C27" w:rsidRPr="00E60FD2">
        <w:rPr>
          <w:lang w:val="pl-PL"/>
        </w:rPr>
        <w:t>rozpatrywanie</w:t>
      </w:r>
      <w:r w:rsidRPr="00E60FD2">
        <w:rPr>
          <w:lang w:val="pl-PL"/>
        </w:rPr>
        <w:t xml:space="preserve"> przez właściwe władze.</w:t>
      </w:r>
    </w:p>
    <w:p w:rsidR="004A79BB" w:rsidRPr="00E60FD2" w:rsidRDefault="004A79BB">
      <w:pPr>
        <w:pStyle w:val="CMNormal"/>
        <w:rPr>
          <w:lang w:val="pl-PL"/>
        </w:rPr>
      </w:pPr>
    </w:p>
    <w:p w:rsidR="00D86776" w:rsidRPr="00E60FD2" w:rsidRDefault="00D86776">
      <w:pPr>
        <w:pStyle w:val="CMNormal"/>
        <w:numPr>
          <w:ilvl w:val="0"/>
          <w:numId w:val="20"/>
        </w:numPr>
        <w:tabs>
          <w:tab w:val="left" w:pos="720"/>
        </w:tabs>
        <w:ind w:left="0" w:firstLine="0"/>
        <w:rPr>
          <w:lang w:val="pl-PL"/>
        </w:rPr>
      </w:pPr>
      <w:r w:rsidRPr="00E60FD2">
        <w:rPr>
          <w:lang w:val="pl-PL"/>
        </w:rPr>
        <w:t xml:space="preserve">Państwa powinny podejmować działania mające zachęcać do zgłaszania </w:t>
      </w:r>
      <w:r w:rsidR="00301C27" w:rsidRPr="00E60FD2">
        <w:rPr>
          <w:lang w:val="pl-PL"/>
        </w:rPr>
        <w:t xml:space="preserve">przypadków poważnych naruszeń praw człowieka </w:t>
      </w:r>
      <w:r w:rsidRPr="00E60FD2">
        <w:rPr>
          <w:lang w:val="pl-PL"/>
        </w:rPr>
        <w:t xml:space="preserve">przez osoby </w:t>
      </w:r>
      <w:r w:rsidR="00301C27" w:rsidRPr="00E60FD2">
        <w:rPr>
          <w:lang w:val="pl-PL"/>
        </w:rPr>
        <w:t xml:space="preserve">ich </w:t>
      </w:r>
      <w:r w:rsidRPr="00E60FD2">
        <w:rPr>
          <w:lang w:val="pl-PL"/>
        </w:rPr>
        <w:t>świadome. W stosownych przypadkach państwa powinny przedsięwziąć środki zapewniające, że osoby zgłaszające takie przypadki są chronione przed prześladowaniem i odwetem.</w:t>
      </w:r>
    </w:p>
    <w:p w:rsidR="00D86776" w:rsidRPr="00E60FD2" w:rsidRDefault="00D86776" w:rsidP="00D86776">
      <w:pPr>
        <w:pStyle w:val="Akapitzlist"/>
        <w:rPr>
          <w:lang w:val="pl-PL"/>
        </w:rPr>
      </w:pPr>
    </w:p>
    <w:p w:rsidR="00D86776" w:rsidRPr="00E60FD2" w:rsidRDefault="00D86776">
      <w:pPr>
        <w:pStyle w:val="CMNormal"/>
        <w:numPr>
          <w:ilvl w:val="0"/>
          <w:numId w:val="20"/>
        </w:numPr>
        <w:tabs>
          <w:tab w:val="left" w:pos="720"/>
        </w:tabs>
        <w:ind w:left="0" w:firstLine="0"/>
        <w:rPr>
          <w:lang w:val="pl-PL"/>
        </w:rPr>
      </w:pPr>
      <w:r w:rsidRPr="00E60FD2">
        <w:rPr>
          <w:lang w:val="pl-PL"/>
        </w:rPr>
        <w:t xml:space="preserve">Państwa powinny wprowadzać plany i polityki mające przeciwdziałać dyskryminacji, która może prowadzić do poważnych naruszeń praw człowieka i bezkarności za takie czyny oraz do ich ponownego </w:t>
      </w:r>
      <w:r w:rsidR="00301C27" w:rsidRPr="00E60FD2">
        <w:rPr>
          <w:lang w:val="pl-PL"/>
        </w:rPr>
        <w:t>popełniania</w:t>
      </w:r>
      <w:r w:rsidRPr="00E60FD2">
        <w:rPr>
          <w:lang w:val="pl-PL"/>
        </w:rPr>
        <w:t>.</w:t>
      </w:r>
    </w:p>
    <w:p w:rsidR="00D86776" w:rsidRPr="00E60FD2" w:rsidRDefault="00D86776" w:rsidP="00D86776">
      <w:pPr>
        <w:pStyle w:val="Akapitzlist"/>
        <w:rPr>
          <w:lang w:val="pl-PL"/>
        </w:rPr>
      </w:pPr>
    </w:p>
    <w:p w:rsidR="00D86776" w:rsidRPr="00E60FD2" w:rsidRDefault="00D86776">
      <w:pPr>
        <w:pStyle w:val="CMNormal"/>
        <w:numPr>
          <w:ilvl w:val="0"/>
          <w:numId w:val="20"/>
        </w:numPr>
        <w:tabs>
          <w:tab w:val="left" w:pos="720"/>
        </w:tabs>
        <w:ind w:left="0" w:firstLine="0"/>
        <w:rPr>
          <w:lang w:val="pl-PL"/>
        </w:rPr>
      </w:pPr>
      <w:r w:rsidRPr="00E60FD2">
        <w:rPr>
          <w:lang w:val="pl-PL"/>
        </w:rPr>
        <w:t>Państwa powinny także wprowadzić mechanizmy zapewniające uczciwość i odpowiedzialność swoich przedstawicieli. Państwa powinny usuwać z urzędów osoby, którym właściwe organy udowodniły odpowiedzialność za poważne naruszenia praw człowieka</w:t>
      </w:r>
      <w:r w:rsidR="00954581" w:rsidRPr="00E60FD2">
        <w:rPr>
          <w:lang w:val="pl-PL"/>
        </w:rPr>
        <w:t>,</w:t>
      </w:r>
      <w:r w:rsidRPr="00E60FD2">
        <w:rPr>
          <w:lang w:val="pl-PL"/>
        </w:rPr>
        <w:t xml:space="preserve"> </w:t>
      </w:r>
      <w:r w:rsidR="00301C27" w:rsidRPr="00E60FD2">
        <w:rPr>
          <w:lang w:val="pl-PL"/>
        </w:rPr>
        <w:t>ewentualnie</w:t>
      </w:r>
      <w:r w:rsidRPr="00E60FD2">
        <w:rPr>
          <w:lang w:val="pl-PL"/>
        </w:rPr>
        <w:t xml:space="preserve"> </w:t>
      </w:r>
      <w:r w:rsidR="004F0EF5" w:rsidRPr="00E60FD2">
        <w:rPr>
          <w:lang w:val="pl-PL"/>
        </w:rPr>
        <w:t>popieranie lub tolerowanie bezkarności</w:t>
      </w:r>
      <w:r w:rsidR="00954581" w:rsidRPr="00E60FD2">
        <w:rPr>
          <w:lang w:val="pl-PL"/>
        </w:rPr>
        <w:t>,</w:t>
      </w:r>
      <w:r w:rsidR="004F0EF5" w:rsidRPr="00E60FD2">
        <w:rPr>
          <w:lang w:val="pl-PL"/>
        </w:rPr>
        <w:t xml:space="preserve"> lub podejmować inne odpowiednie środki dyscyplinarne. Państwa powinny w szczególności rozwijać i instytucjonalizować kodeksy dobrych praktyk.</w:t>
      </w:r>
    </w:p>
    <w:p w:rsidR="004A79BB" w:rsidRPr="00E60FD2" w:rsidRDefault="004A79BB">
      <w:pPr>
        <w:rPr>
          <w:lang w:val="pl-PL"/>
        </w:rPr>
      </w:pPr>
    </w:p>
    <w:p w:rsidR="004F0EF5" w:rsidRPr="00E60FD2" w:rsidRDefault="00D357C2">
      <w:pPr>
        <w:pStyle w:val="CMNormal"/>
        <w:rPr>
          <w:b/>
          <w:lang w:val="pl-PL"/>
        </w:rPr>
      </w:pPr>
      <w:r w:rsidRPr="00E60FD2">
        <w:rPr>
          <w:b/>
          <w:lang w:val="pl-PL"/>
        </w:rPr>
        <w:t xml:space="preserve">IV. </w:t>
      </w:r>
      <w:r w:rsidR="004F0EF5" w:rsidRPr="00E60FD2">
        <w:rPr>
          <w:b/>
          <w:lang w:val="pl-PL"/>
        </w:rPr>
        <w:t>Ochrona osób pozbawionych wolności przed poważnymi naruszeniami praw człowieka</w:t>
      </w:r>
    </w:p>
    <w:p w:rsidR="004A79BB" w:rsidRPr="00E60FD2" w:rsidRDefault="004A79BB">
      <w:pPr>
        <w:pStyle w:val="CMNormal"/>
        <w:rPr>
          <w:lang w:val="pl-PL"/>
        </w:rPr>
      </w:pPr>
    </w:p>
    <w:p w:rsidR="004F0EF5" w:rsidRPr="00E60FD2" w:rsidRDefault="004F0EF5">
      <w:pPr>
        <w:pStyle w:val="CMNormal"/>
        <w:numPr>
          <w:ilvl w:val="0"/>
          <w:numId w:val="21"/>
        </w:numPr>
        <w:tabs>
          <w:tab w:val="left" w:pos="720"/>
        </w:tabs>
        <w:ind w:left="0" w:firstLine="0"/>
        <w:rPr>
          <w:lang w:val="pl-PL"/>
        </w:rPr>
      </w:pPr>
      <w:r w:rsidRPr="00E60FD2">
        <w:rPr>
          <w:lang w:val="pl-PL"/>
        </w:rPr>
        <w:t xml:space="preserve">Państwa są zobowiązane zapewnić odpowiednie gwarancje osobom pozbawionym wolności przez organy publiczne, aby zapobiec </w:t>
      </w:r>
      <w:r w:rsidR="00C760D4" w:rsidRPr="00E60FD2">
        <w:rPr>
          <w:lang w:val="pl-PL"/>
        </w:rPr>
        <w:t xml:space="preserve">ich </w:t>
      </w:r>
      <w:r w:rsidRPr="00E60FD2">
        <w:rPr>
          <w:lang w:val="pl-PL"/>
        </w:rPr>
        <w:t>bezprawnemu zatrzym</w:t>
      </w:r>
      <w:r w:rsidR="00301C27" w:rsidRPr="00E60FD2">
        <w:rPr>
          <w:lang w:val="pl-PL"/>
        </w:rPr>
        <w:t>yw</w:t>
      </w:r>
      <w:r w:rsidRPr="00E60FD2">
        <w:rPr>
          <w:lang w:val="pl-PL"/>
        </w:rPr>
        <w:t xml:space="preserve">aniu lub złemu traktowaniu, i zagwarantować, że </w:t>
      </w:r>
      <w:r w:rsidR="00C760D4" w:rsidRPr="00E60FD2">
        <w:rPr>
          <w:lang w:val="pl-PL"/>
        </w:rPr>
        <w:t xml:space="preserve">żadne </w:t>
      </w:r>
      <w:r w:rsidRPr="00E60FD2">
        <w:rPr>
          <w:lang w:val="pl-PL"/>
        </w:rPr>
        <w:t xml:space="preserve">przypadki bezkarnego zatrzymania lub znęcania się nie pozostają bez kary. W szczególności osoby pozbawione wolności powinny </w:t>
      </w:r>
      <w:r w:rsidR="00C760D4" w:rsidRPr="00E60FD2">
        <w:rPr>
          <w:lang w:val="pl-PL"/>
        </w:rPr>
        <w:t>mieć zagwarantowane</w:t>
      </w:r>
      <w:r w:rsidRPr="00E60FD2">
        <w:rPr>
          <w:lang w:val="pl-PL"/>
        </w:rPr>
        <w:t>:</w:t>
      </w:r>
    </w:p>
    <w:p w:rsidR="004A79BB" w:rsidRPr="00E60FD2" w:rsidRDefault="004A79BB">
      <w:pPr>
        <w:pStyle w:val="CMNormal"/>
        <w:rPr>
          <w:lang w:val="pl-PL"/>
        </w:rPr>
      </w:pPr>
    </w:p>
    <w:p w:rsidR="004F0EF5" w:rsidRPr="00E60FD2" w:rsidRDefault="00D357C2">
      <w:pPr>
        <w:pStyle w:val="CMNormal"/>
        <w:rPr>
          <w:lang w:val="pl-PL"/>
        </w:rPr>
      </w:pPr>
      <w:r w:rsidRPr="00E60FD2">
        <w:rPr>
          <w:lang w:val="pl-PL"/>
        </w:rPr>
        <w:t xml:space="preserve">- </w:t>
      </w:r>
      <w:r w:rsidR="004F0EF5" w:rsidRPr="00E60FD2">
        <w:rPr>
          <w:lang w:val="pl-PL"/>
        </w:rPr>
        <w:t xml:space="preserve">prawo do </w:t>
      </w:r>
      <w:r w:rsidR="00C760D4" w:rsidRPr="00E60FD2">
        <w:rPr>
          <w:lang w:val="pl-PL"/>
        </w:rPr>
        <w:t>po</w:t>
      </w:r>
      <w:r w:rsidR="004F0EF5" w:rsidRPr="00E60FD2">
        <w:rPr>
          <w:lang w:val="pl-PL"/>
        </w:rPr>
        <w:t xml:space="preserve">informowania, bezpośrednio lub pośrednio, wybranej przez siebie osoby trzeciej o </w:t>
      </w:r>
      <w:r w:rsidR="00C760D4" w:rsidRPr="00E60FD2">
        <w:rPr>
          <w:lang w:val="pl-PL"/>
        </w:rPr>
        <w:t>zatrzymaniu</w:t>
      </w:r>
      <w:r w:rsidR="004F0EF5" w:rsidRPr="00E60FD2">
        <w:rPr>
          <w:lang w:val="pl-PL"/>
        </w:rPr>
        <w:t xml:space="preserve">, miejscu </w:t>
      </w:r>
      <w:r w:rsidR="00301C27" w:rsidRPr="00E60FD2">
        <w:rPr>
          <w:lang w:val="pl-PL"/>
        </w:rPr>
        <w:t>pobytu</w:t>
      </w:r>
      <w:r w:rsidR="004F0EF5" w:rsidRPr="00E60FD2">
        <w:rPr>
          <w:lang w:val="pl-PL"/>
        </w:rPr>
        <w:t xml:space="preserve"> oraz o zmianach takiego miejsca;</w:t>
      </w:r>
    </w:p>
    <w:p w:rsidR="004F0EF5" w:rsidRPr="00E60FD2" w:rsidRDefault="004F0EF5">
      <w:pPr>
        <w:pStyle w:val="CMNormal"/>
        <w:rPr>
          <w:lang w:val="pl-PL"/>
        </w:rPr>
      </w:pPr>
      <w:r w:rsidRPr="00E60FD2">
        <w:rPr>
          <w:lang w:val="pl-PL"/>
        </w:rPr>
        <w:t>- prawo dostępu do adwokata;</w:t>
      </w:r>
    </w:p>
    <w:p w:rsidR="004F0EF5" w:rsidRPr="00E60FD2" w:rsidRDefault="004F0EF5">
      <w:pPr>
        <w:pStyle w:val="CMNormal"/>
        <w:rPr>
          <w:lang w:val="pl-PL"/>
        </w:rPr>
      </w:pPr>
      <w:r w:rsidRPr="00E60FD2">
        <w:rPr>
          <w:lang w:val="pl-PL"/>
        </w:rPr>
        <w:t xml:space="preserve">- prawo </w:t>
      </w:r>
      <w:r w:rsidR="00301C27" w:rsidRPr="00E60FD2">
        <w:rPr>
          <w:lang w:val="pl-PL"/>
        </w:rPr>
        <w:t>do korzystania z</w:t>
      </w:r>
      <w:r w:rsidRPr="00E60FD2">
        <w:rPr>
          <w:lang w:val="pl-PL"/>
        </w:rPr>
        <w:t xml:space="preserve"> pomocy lekarskiej.</w:t>
      </w:r>
    </w:p>
    <w:p w:rsidR="004A79BB" w:rsidRPr="00E60FD2" w:rsidRDefault="004A79BB">
      <w:pPr>
        <w:pStyle w:val="CMNormal"/>
        <w:rPr>
          <w:lang w:val="pl-PL"/>
        </w:rPr>
      </w:pPr>
    </w:p>
    <w:p w:rsidR="004F0EF5" w:rsidRPr="00E60FD2" w:rsidRDefault="00E70C5D">
      <w:pPr>
        <w:pStyle w:val="CMNormal"/>
        <w:rPr>
          <w:lang w:val="pl-PL"/>
        </w:rPr>
      </w:pPr>
      <w:r w:rsidRPr="00E60FD2">
        <w:rPr>
          <w:lang w:val="pl-PL"/>
        </w:rPr>
        <w:t>Osoby pozbawione wolności powinny być wyraźnie i bezzwłocznie informowane o wszystkich swoich prawach, m.in. wymienionych powyżej. Wszelkie możliwości opóźniania przez władze egzekwowania któregoś z tych praw w celu ochrony porządku publicznego i zapewnienia skutecznego działania systemu sprawiedliwości powinny być jednoznacznie określane w przepisach prawnych. Stosowanie takich wyjątków powinno być ściśle ograniczone w czasie i podlegać odpowiednim zabezpieczeniom proceduralnym.</w:t>
      </w:r>
    </w:p>
    <w:p w:rsidR="004A79BB" w:rsidRPr="00E60FD2" w:rsidRDefault="004A79BB">
      <w:pPr>
        <w:pStyle w:val="CMNormal"/>
        <w:rPr>
          <w:lang w:val="pl-PL"/>
        </w:rPr>
      </w:pPr>
    </w:p>
    <w:p w:rsidR="00E70C5D" w:rsidRPr="00E60FD2" w:rsidRDefault="00D357C2">
      <w:pPr>
        <w:pStyle w:val="CMNormal"/>
        <w:rPr>
          <w:lang w:val="pl-PL"/>
        </w:rPr>
      </w:pPr>
      <w:r w:rsidRPr="00E60FD2">
        <w:rPr>
          <w:lang w:val="pl-PL"/>
        </w:rPr>
        <w:t>2.</w:t>
      </w:r>
      <w:r w:rsidRPr="00E60FD2">
        <w:rPr>
          <w:lang w:val="pl-PL"/>
        </w:rPr>
        <w:tab/>
      </w:r>
      <w:r w:rsidR="00E70C5D" w:rsidRPr="00E60FD2">
        <w:rPr>
          <w:lang w:val="pl-PL"/>
        </w:rPr>
        <w:t>Oprócz ww. praw osobom pozbawionym wolności przysługuje prawo do wszczynania procedur sądowych umożliwiających bezzwłoczne stwierdzenie bezprawności ich zatrzymania i nakazanie zwolnienia, jeśli pozbawienie wolności jest niezgodne z prawem. Osoby aresztowane lub zatrzymane w związku z popełnieniem przestępstwa muszą być bezzwłocznie doprowadzone przed sędziego. Przysługuje im prawo do procesu w rozsądnym terminie lub do zwolnienia w oczekiwaniu na proces zgodnie z wyrokami precedensowymi Trybunału.</w:t>
      </w:r>
    </w:p>
    <w:p w:rsidR="004A79BB" w:rsidRPr="00E60FD2" w:rsidRDefault="004A79BB">
      <w:pPr>
        <w:pStyle w:val="CMNormal"/>
        <w:rPr>
          <w:lang w:val="pl-PL"/>
        </w:rPr>
      </w:pPr>
    </w:p>
    <w:p w:rsidR="00E70C5D" w:rsidRPr="00E60FD2" w:rsidRDefault="00D357C2">
      <w:pPr>
        <w:pStyle w:val="CMNormal"/>
        <w:rPr>
          <w:lang w:val="pl-PL"/>
        </w:rPr>
      </w:pPr>
      <w:r w:rsidRPr="00E60FD2">
        <w:rPr>
          <w:lang w:val="pl-PL"/>
        </w:rPr>
        <w:t>3.</w:t>
      </w:r>
      <w:r w:rsidRPr="00E60FD2">
        <w:rPr>
          <w:lang w:val="pl-PL"/>
        </w:rPr>
        <w:tab/>
      </w:r>
      <w:r w:rsidR="006E77BB" w:rsidRPr="00E60FD2">
        <w:rPr>
          <w:lang w:val="pl-PL"/>
        </w:rPr>
        <w:t>Państwa powinny podejmować skuteczne środki mające zabezpieczać je przed ryzykiem występowania poważnych naruszeń praw człowieka przez prowadzenie rejestrów zawierających datę, godzinę i miejsce przebywania osób pozbawionych wolności jak również inne odpowiednie informacje dotyczące pozbawienia wolności.</w:t>
      </w:r>
    </w:p>
    <w:p w:rsidR="004A79BB" w:rsidRPr="00E60FD2" w:rsidRDefault="004A79BB">
      <w:pPr>
        <w:pStyle w:val="CMNormal"/>
        <w:rPr>
          <w:lang w:val="pl-PL"/>
        </w:rPr>
      </w:pPr>
    </w:p>
    <w:p w:rsidR="006E77BB" w:rsidRPr="00E60FD2" w:rsidRDefault="00D357C2">
      <w:pPr>
        <w:pStyle w:val="CMNormal"/>
        <w:rPr>
          <w:lang w:val="pl-PL"/>
        </w:rPr>
      </w:pPr>
      <w:r w:rsidRPr="00E60FD2">
        <w:rPr>
          <w:lang w:val="pl-PL"/>
        </w:rPr>
        <w:t>4.</w:t>
      </w:r>
      <w:r w:rsidRPr="00E60FD2">
        <w:rPr>
          <w:lang w:val="pl-PL"/>
        </w:rPr>
        <w:tab/>
      </w:r>
      <w:r w:rsidR="006E77BB" w:rsidRPr="00E60FD2">
        <w:rPr>
          <w:lang w:val="pl-PL"/>
        </w:rPr>
        <w:t xml:space="preserve">Państwa mają obowiązek zapewnić, że </w:t>
      </w:r>
      <w:r w:rsidR="008D418F" w:rsidRPr="00E60FD2">
        <w:rPr>
          <w:lang w:val="pl-PL"/>
        </w:rPr>
        <w:t xml:space="preserve">funkcjonariusze dokonujący aresztowań i przeprowadzający przesłuchania lub stosujący </w:t>
      </w:r>
      <w:r w:rsidR="00301C27" w:rsidRPr="00E60FD2">
        <w:rPr>
          <w:lang w:val="pl-PL"/>
        </w:rPr>
        <w:t>środki przymusu bezpośredniego</w:t>
      </w:r>
      <w:r w:rsidR="008D418F" w:rsidRPr="00E60FD2">
        <w:rPr>
          <w:lang w:val="pl-PL"/>
        </w:rPr>
        <w:t xml:space="preserve"> mogą zostać zidentyfikowani w ramach wszczynanych następnie dochodzeń </w:t>
      </w:r>
      <w:r w:rsidR="00DA6AAA" w:rsidRPr="00E60FD2">
        <w:rPr>
          <w:lang w:val="pl-PL"/>
        </w:rPr>
        <w:t xml:space="preserve">oraz </w:t>
      </w:r>
      <w:r w:rsidR="008D418F" w:rsidRPr="00E60FD2">
        <w:rPr>
          <w:lang w:val="pl-PL"/>
        </w:rPr>
        <w:t>postepowań karnych lub dyscyplinarnych.</w:t>
      </w:r>
    </w:p>
    <w:p w:rsidR="004A79BB" w:rsidRPr="00E60FD2" w:rsidRDefault="004A79BB">
      <w:pPr>
        <w:pStyle w:val="CMNormal"/>
        <w:rPr>
          <w:b/>
          <w:lang w:val="pl-PL"/>
        </w:rPr>
      </w:pPr>
    </w:p>
    <w:p w:rsidR="004A79BB" w:rsidRPr="00E60FD2" w:rsidRDefault="00D357C2">
      <w:pPr>
        <w:pStyle w:val="CMNormal"/>
        <w:rPr>
          <w:lang w:val="pl-PL"/>
        </w:rPr>
      </w:pPr>
      <w:r w:rsidRPr="00E60FD2">
        <w:rPr>
          <w:b/>
          <w:lang w:val="pl-PL"/>
        </w:rPr>
        <w:t xml:space="preserve">V. </w:t>
      </w:r>
      <w:r w:rsidR="008D418F" w:rsidRPr="00E60FD2">
        <w:rPr>
          <w:b/>
          <w:lang w:val="pl-PL"/>
        </w:rPr>
        <w:t>Obowiązek przeprowadzania dochodzeń</w:t>
      </w:r>
    </w:p>
    <w:p w:rsidR="004A79BB" w:rsidRPr="00E60FD2" w:rsidRDefault="004A79BB">
      <w:pPr>
        <w:pStyle w:val="CMNormal"/>
        <w:rPr>
          <w:b/>
          <w:lang w:val="pl-PL"/>
        </w:rPr>
      </w:pPr>
    </w:p>
    <w:p w:rsidR="008D418F" w:rsidRPr="00E60FD2" w:rsidRDefault="00DD56D8">
      <w:pPr>
        <w:pStyle w:val="CMNormal"/>
        <w:numPr>
          <w:ilvl w:val="0"/>
          <w:numId w:val="22"/>
        </w:numPr>
        <w:tabs>
          <w:tab w:val="left" w:pos="720"/>
        </w:tabs>
        <w:ind w:left="0" w:firstLine="0"/>
        <w:rPr>
          <w:bCs/>
          <w:lang w:val="pl-PL"/>
        </w:rPr>
      </w:pPr>
      <w:r w:rsidRPr="00E60FD2">
        <w:rPr>
          <w:bCs/>
          <w:lang w:val="pl-PL"/>
        </w:rPr>
        <w:t>Zwalczanie bezkarności sprawców wymaga skutecznego prowadzenia dochodzeń w przypadkach poważnych naruszeń praw człowieka. Obowiązek ten ma charakter bezwzględny.</w:t>
      </w:r>
    </w:p>
    <w:p w:rsidR="004A79BB" w:rsidRPr="00E60FD2" w:rsidRDefault="004A79BB">
      <w:pPr>
        <w:pStyle w:val="CMNormal"/>
        <w:rPr>
          <w:lang w:val="pl-PL"/>
        </w:rPr>
      </w:pPr>
    </w:p>
    <w:p w:rsidR="004A79BB" w:rsidRPr="00E60FD2" w:rsidRDefault="00DD56D8">
      <w:pPr>
        <w:pStyle w:val="CMNormal"/>
        <w:rPr>
          <w:b/>
          <w:i/>
          <w:lang w:val="pl-PL"/>
        </w:rPr>
      </w:pPr>
      <w:r w:rsidRPr="00E60FD2">
        <w:rPr>
          <w:b/>
          <w:i/>
          <w:lang w:val="pl-PL"/>
        </w:rPr>
        <w:t>Prawo do życia (art. 2 Konwencji</w:t>
      </w:r>
      <w:r w:rsidR="00D357C2" w:rsidRPr="00E60FD2">
        <w:rPr>
          <w:b/>
          <w:i/>
          <w:lang w:val="pl-PL"/>
        </w:rPr>
        <w:t>)</w:t>
      </w:r>
    </w:p>
    <w:p w:rsidR="00DD56D8" w:rsidRPr="00E60FD2" w:rsidRDefault="00DD56D8">
      <w:pPr>
        <w:pStyle w:val="CMNormal"/>
        <w:rPr>
          <w:lang w:val="pl-PL"/>
        </w:rPr>
      </w:pPr>
      <w:r w:rsidRPr="00E60FD2">
        <w:rPr>
          <w:lang w:val="pl-PL"/>
        </w:rPr>
        <w:t>Obowiązek ochrony prawa do życia wymaga m.in. przeprowadzania skutecznych śledztw w przypadku zabójstw dokonywanych przez agentów rządowych lub osoby prywatne. Dochodzenia takie należy przeprowadzać we wszystkich przypadkach, gdy przyczyna śmierci jest podejrzana. Obowiązek ten powstaje w sytuacjach, w których nie m</w:t>
      </w:r>
      <w:r w:rsidR="00301C27" w:rsidRPr="00E60FD2">
        <w:rPr>
          <w:lang w:val="pl-PL"/>
        </w:rPr>
        <w:t>a pewności, czy ofiara nie żyje</w:t>
      </w:r>
      <w:r w:rsidRPr="00E60FD2">
        <w:rPr>
          <w:lang w:val="pl-PL"/>
        </w:rPr>
        <w:t xml:space="preserve"> i są powody </w:t>
      </w:r>
      <w:r w:rsidR="00165BBB" w:rsidRPr="00E60FD2">
        <w:rPr>
          <w:lang w:val="pl-PL"/>
        </w:rPr>
        <w:t>uznać</w:t>
      </w:r>
      <w:r w:rsidRPr="00E60FD2">
        <w:rPr>
          <w:lang w:val="pl-PL"/>
        </w:rPr>
        <w:t>, ze okoliczności sprawy są podejrzane, tak jak w przypadku uprowadzeń.</w:t>
      </w:r>
    </w:p>
    <w:p w:rsidR="004A79BB" w:rsidRPr="00E60FD2" w:rsidRDefault="004A79BB">
      <w:pPr>
        <w:pStyle w:val="CMNormal"/>
        <w:rPr>
          <w:b/>
          <w:i/>
          <w:lang w:val="pl-PL"/>
        </w:rPr>
      </w:pPr>
    </w:p>
    <w:p w:rsidR="004A79BB" w:rsidRPr="00E60FD2" w:rsidRDefault="00DD56D8">
      <w:pPr>
        <w:pStyle w:val="CMNormal"/>
        <w:rPr>
          <w:b/>
          <w:i/>
          <w:lang w:val="pl-PL"/>
        </w:rPr>
      </w:pPr>
      <w:r w:rsidRPr="00E60FD2">
        <w:rPr>
          <w:b/>
          <w:i/>
          <w:lang w:val="pl-PL"/>
        </w:rPr>
        <w:t>Zakaz stosowania tortur i nieludzkiego lub poniżającego traktowania lub karania (art. 3 Konwencji</w:t>
      </w:r>
      <w:r w:rsidR="00D357C2" w:rsidRPr="00E60FD2">
        <w:rPr>
          <w:b/>
          <w:i/>
          <w:lang w:val="pl-PL"/>
        </w:rPr>
        <w:t xml:space="preserve">) </w:t>
      </w:r>
    </w:p>
    <w:p w:rsidR="00DD56D8" w:rsidRPr="00E60FD2" w:rsidRDefault="00DD56D8">
      <w:pPr>
        <w:pStyle w:val="CMNormal"/>
        <w:rPr>
          <w:lang w:val="pl-PL"/>
        </w:rPr>
      </w:pPr>
      <w:r w:rsidRPr="00E60FD2">
        <w:rPr>
          <w:lang w:val="pl-PL"/>
        </w:rPr>
        <w:t>Na państwach spoczywa obowiązek proceduralny wynikający z art. 3 Konwencji prowadzenia skutecznych dochodzeń</w:t>
      </w:r>
      <w:r w:rsidR="003E1F25" w:rsidRPr="00E60FD2">
        <w:rPr>
          <w:lang w:val="pl-PL"/>
        </w:rPr>
        <w:t>, jeśli otrzymują</w:t>
      </w:r>
      <w:r w:rsidR="007A1855" w:rsidRPr="00E60FD2">
        <w:rPr>
          <w:lang w:val="pl-PL"/>
        </w:rPr>
        <w:t xml:space="preserve"> </w:t>
      </w:r>
      <w:r w:rsidR="003E1F25" w:rsidRPr="00E60FD2">
        <w:rPr>
          <w:lang w:val="pl-PL"/>
        </w:rPr>
        <w:t>wiarygodne</w:t>
      </w:r>
      <w:r w:rsidRPr="00E60FD2">
        <w:rPr>
          <w:lang w:val="pl-PL"/>
        </w:rPr>
        <w:t xml:space="preserve"> </w:t>
      </w:r>
      <w:r w:rsidR="007A1855" w:rsidRPr="00E60FD2">
        <w:rPr>
          <w:lang w:val="pl-PL"/>
        </w:rPr>
        <w:t>skarg</w:t>
      </w:r>
      <w:r w:rsidR="003E1F25" w:rsidRPr="00E60FD2">
        <w:rPr>
          <w:lang w:val="pl-PL"/>
        </w:rPr>
        <w:t>i</w:t>
      </w:r>
      <w:r w:rsidR="007A1855" w:rsidRPr="00E60FD2">
        <w:rPr>
          <w:lang w:val="pl-PL"/>
        </w:rPr>
        <w:t xml:space="preserve"> na przypadki</w:t>
      </w:r>
      <w:r w:rsidRPr="00E60FD2">
        <w:rPr>
          <w:lang w:val="pl-PL"/>
        </w:rPr>
        <w:t xml:space="preserve"> znęcania się lub gdy władze mają podstawy podejrzewać, że takie przypadki miały miejsce.</w:t>
      </w:r>
    </w:p>
    <w:p w:rsidR="004A79BB" w:rsidRPr="00E60FD2" w:rsidRDefault="004A79BB">
      <w:pPr>
        <w:pStyle w:val="CMNormal"/>
        <w:rPr>
          <w:lang w:val="pl-PL"/>
        </w:rPr>
      </w:pPr>
    </w:p>
    <w:p w:rsidR="004A79BB" w:rsidRPr="00E60FD2" w:rsidRDefault="00DD56D8">
      <w:pPr>
        <w:pStyle w:val="CMNormal"/>
        <w:rPr>
          <w:b/>
          <w:i/>
          <w:lang w:val="pl-PL"/>
        </w:rPr>
      </w:pPr>
      <w:r w:rsidRPr="00E60FD2">
        <w:rPr>
          <w:b/>
          <w:i/>
          <w:lang w:val="pl-PL"/>
        </w:rPr>
        <w:t>Zakaz niewolnictwa i pracy przymusowej (art. 4 Konwencji</w:t>
      </w:r>
      <w:r w:rsidR="00D357C2" w:rsidRPr="00E60FD2">
        <w:rPr>
          <w:b/>
          <w:i/>
          <w:lang w:val="pl-PL"/>
        </w:rPr>
        <w:t xml:space="preserve">) </w:t>
      </w:r>
    </w:p>
    <w:p w:rsidR="00DD56D8" w:rsidRPr="00E60FD2" w:rsidRDefault="00DD56D8">
      <w:pPr>
        <w:pStyle w:val="CMNormal"/>
        <w:rPr>
          <w:lang w:val="pl-PL"/>
        </w:rPr>
      </w:pPr>
      <w:r w:rsidRPr="00E60FD2">
        <w:rPr>
          <w:lang w:val="pl-PL"/>
        </w:rPr>
        <w:t>Zakaz niewolnictwa i pracy przymusowej pociąga za sobą proceduralny obowiązek przeprowadzania skutecznych śledztw w sytuacjach, w których może występować handel ludźmi.</w:t>
      </w:r>
    </w:p>
    <w:p w:rsidR="004A79BB" w:rsidRPr="00E60FD2" w:rsidRDefault="004A79BB">
      <w:pPr>
        <w:pStyle w:val="CMNormal"/>
        <w:rPr>
          <w:lang w:val="pl-PL"/>
        </w:rPr>
      </w:pPr>
    </w:p>
    <w:p w:rsidR="004A79BB" w:rsidRPr="00E60FD2" w:rsidRDefault="00DD56D8">
      <w:pPr>
        <w:pStyle w:val="CMNormal"/>
        <w:rPr>
          <w:b/>
          <w:i/>
          <w:lang w:val="pl-PL"/>
        </w:rPr>
      </w:pPr>
      <w:r w:rsidRPr="00E60FD2">
        <w:rPr>
          <w:b/>
          <w:i/>
          <w:lang w:val="pl-PL"/>
        </w:rPr>
        <w:t>Prawo do wolności i bezpieczeństwa osobistego (art. 5 Konwencji</w:t>
      </w:r>
      <w:r w:rsidR="00D357C2" w:rsidRPr="00E60FD2">
        <w:rPr>
          <w:b/>
          <w:i/>
          <w:lang w:val="pl-PL"/>
        </w:rPr>
        <w:t>)</w:t>
      </w:r>
      <w:r w:rsidR="00D357C2" w:rsidRPr="00E60FD2">
        <w:rPr>
          <w:lang w:val="pl-PL"/>
        </w:rPr>
        <w:t xml:space="preserve"> </w:t>
      </w:r>
    </w:p>
    <w:p w:rsidR="00DD56D8" w:rsidRPr="00E60FD2" w:rsidRDefault="00226015">
      <w:pPr>
        <w:pStyle w:val="CMNormal"/>
        <w:rPr>
          <w:lang w:val="pl-PL"/>
        </w:rPr>
      </w:pPr>
      <w:r w:rsidRPr="00E60FD2">
        <w:rPr>
          <w:lang w:val="pl-PL"/>
        </w:rPr>
        <w:t>Gwarancje p</w:t>
      </w:r>
      <w:r w:rsidR="00DD56D8" w:rsidRPr="00E60FD2">
        <w:rPr>
          <w:lang w:val="pl-PL"/>
        </w:rPr>
        <w:t xml:space="preserve">roceduralne wynikające m.in. z prawa do wolności i bezpieczeństwa osobistego wymagają od państw przeprowadzania skutecznych dochodzeń w przypadku </w:t>
      </w:r>
      <w:r w:rsidR="003E1F25" w:rsidRPr="00E60FD2">
        <w:rPr>
          <w:lang w:val="pl-PL"/>
        </w:rPr>
        <w:t xml:space="preserve">otrzymania </w:t>
      </w:r>
      <w:r w:rsidR="00DD56D8" w:rsidRPr="00E60FD2">
        <w:rPr>
          <w:lang w:val="pl-PL"/>
        </w:rPr>
        <w:t xml:space="preserve">wiarygodnych </w:t>
      </w:r>
      <w:r w:rsidR="00165BBB" w:rsidRPr="00E60FD2">
        <w:rPr>
          <w:lang w:val="pl-PL"/>
        </w:rPr>
        <w:t>skarg</w:t>
      </w:r>
      <w:r w:rsidR="00DD56D8" w:rsidRPr="00E60FD2">
        <w:rPr>
          <w:lang w:val="pl-PL"/>
        </w:rPr>
        <w:t xml:space="preserve"> dotyczących pozbawienia wolności i zaginięcia osób.</w:t>
      </w:r>
    </w:p>
    <w:p w:rsidR="004A79BB" w:rsidRPr="00E60FD2" w:rsidRDefault="004A79BB">
      <w:pPr>
        <w:pStyle w:val="CMNormal"/>
        <w:rPr>
          <w:lang w:val="pl-PL"/>
        </w:rPr>
      </w:pPr>
    </w:p>
    <w:p w:rsidR="004A79BB" w:rsidRPr="00E60FD2" w:rsidRDefault="00DD56D8">
      <w:pPr>
        <w:pStyle w:val="CMNormal"/>
        <w:rPr>
          <w:b/>
          <w:lang w:val="pl-PL"/>
        </w:rPr>
      </w:pPr>
      <w:r w:rsidRPr="00E60FD2">
        <w:rPr>
          <w:b/>
          <w:i/>
          <w:lang w:val="pl-PL"/>
        </w:rPr>
        <w:t>Prawo do poszanowania życia prywatnego i rodzinnego (art. 8 Konwencji</w:t>
      </w:r>
      <w:r w:rsidR="00D357C2" w:rsidRPr="00E60FD2">
        <w:rPr>
          <w:b/>
          <w:i/>
          <w:lang w:val="pl-PL"/>
        </w:rPr>
        <w:t>)</w:t>
      </w:r>
    </w:p>
    <w:p w:rsidR="00DD56D8" w:rsidRPr="00E60FD2" w:rsidRDefault="00DD56D8">
      <w:pPr>
        <w:pStyle w:val="CMNormal"/>
        <w:rPr>
          <w:lang w:val="pl-PL"/>
        </w:rPr>
      </w:pPr>
      <w:r w:rsidRPr="00E60FD2">
        <w:rPr>
          <w:lang w:val="pl-PL"/>
        </w:rPr>
        <w:t xml:space="preserve">Państwa mają obowiązek </w:t>
      </w:r>
      <w:r w:rsidR="003751B0" w:rsidRPr="00E60FD2">
        <w:rPr>
          <w:lang w:val="pl-PL"/>
        </w:rPr>
        <w:t xml:space="preserve">przeprowadzania </w:t>
      </w:r>
      <w:r w:rsidRPr="00E60FD2">
        <w:rPr>
          <w:lang w:val="pl-PL"/>
        </w:rPr>
        <w:t>skutecznych śledztw w</w:t>
      </w:r>
      <w:r w:rsidR="003751B0" w:rsidRPr="00E60FD2">
        <w:rPr>
          <w:lang w:val="pl-PL"/>
        </w:rPr>
        <w:t xml:space="preserve"> związku z wiarygodnymi</w:t>
      </w:r>
      <w:r w:rsidRPr="00E60FD2">
        <w:rPr>
          <w:lang w:val="pl-PL"/>
        </w:rPr>
        <w:t xml:space="preserve"> </w:t>
      </w:r>
      <w:r w:rsidR="00863431" w:rsidRPr="00E60FD2">
        <w:rPr>
          <w:lang w:val="pl-PL"/>
        </w:rPr>
        <w:t>skarg</w:t>
      </w:r>
      <w:r w:rsidR="003751B0" w:rsidRPr="00E60FD2">
        <w:rPr>
          <w:lang w:val="pl-PL"/>
        </w:rPr>
        <w:t>ami dotyczącymi</w:t>
      </w:r>
      <w:r w:rsidRPr="00E60FD2">
        <w:rPr>
          <w:lang w:val="pl-PL"/>
        </w:rPr>
        <w:t xml:space="preserve"> poważnego naruszenia praw przyznanych w art. 8 Konwencji, jeśli wymaga tego charakter i ciężar domniemanego naruszenia zgodnie z wyrokami precedensowymi Trybunału.</w:t>
      </w:r>
    </w:p>
    <w:p w:rsidR="004A79BB" w:rsidRPr="00E60FD2" w:rsidRDefault="004A79BB">
      <w:pPr>
        <w:pStyle w:val="CMNormal"/>
        <w:rPr>
          <w:lang w:val="pl-PL"/>
        </w:rPr>
      </w:pPr>
    </w:p>
    <w:p w:rsidR="00DD56D8" w:rsidRPr="00E60FD2" w:rsidRDefault="00DD56D8">
      <w:pPr>
        <w:pStyle w:val="CMNormal"/>
        <w:numPr>
          <w:ilvl w:val="0"/>
          <w:numId w:val="22"/>
        </w:numPr>
        <w:tabs>
          <w:tab w:val="left" w:pos="720"/>
        </w:tabs>
        <w:ind w:left="0" w:firstLine="0"/>
        <w:rPr>
          <w:lang w:val="pl-PL"/>
        </w:rPr>
      </w:pPr>
      <w:r w:rsidRPr="00E60FD2">
        <w:rPr>
          <w:lang w:val="pl-PL"/>
        </w:rPr>
        <w:t xml:space="preserve">W przypadku </w:t>
      </w:r>
      <w:r w:rsidR="00165BBB" w:rsidRPr="00E60FD2">
        <w:rPr>
          <w:lang w:val="pl-PL"/>
        </w:rPr>
        <w:t>otrzymania wiarygodnej skargi</w:t>
      </w:r>
      <w:r w:rsidR="00863431" w:rsidRPr="00E60FD2">
        <w:rPr>
          <w:lang w:val="pl-PL"/>
        </w:rPr>
        <w:t xml:space="preserve"> lub </w:t>
      </w:r>
      <w:r w:rsidR="00165BBB" w:rsidRPr="00E60FD2">
        <w:rPr>
          <w:lang w:val="pl-PL"/>
        </w:rPr>
        <w:t xml:space="preserve">gdy </w:t>
      </w:r>
      <w:r w:rsidR="00863431" w:rsidRPr="00E60FD2">
        <w:rPr>
          <w:lang w:val="pl-PL"/>
        </w:rPr>
        <w:t>władze mają uzasadnione podstawy podejrzewać, że miało miejsce poważne naruszenie praw człowieka, są zobowiązane wszcząć śledztwo z urzędu.</w:t>
      </w:r>
    </w:p>
    <w:p w:rsidR="004A79BB" w:rsidRPr="00E60FD2" w:rsidRDefault="004A79BB">
      <w:pPr>
        <w:pStyle w:val="CMNormal"/>
        <w:rPr>
          <w:lang w:val="pl-PL"/>
        </w:rPr>
      </w:pPr>
    </w:p>
    <w:p w:rsidR="00863431" w:rsidRPr="00E60FD2" w:rsidRDefault="00863431">
      <w:pPr>
        <w:pStyle w:val="CMNormal"/>
        <w:numPr>
          <w:ilvl w:val="0"/>
          <w:numId w:val="22"/>
        </w:numPr>
        <w:tabs>
          <w:tab w:val="left" w:pos="720"/>
        </w:tabs>
        <w:ind w:left="0" w:firstLine="0"/>
        <w:rPr>
          <w:lang w:val="pl-PL"/>
        </w:rPr>
      </w:pPr>
      <w:r w:rsidRPr="00E60FD2">
        <w:rPr>
          <w:lang w:val="pl-PL"/>
        </w:rPr>
        <w:t xml:space="preserve">Fakt, że ofiara nie chce wnosić oficjalnej skargi, wycofuje </w:t>
      </w:r>
      <w:r w:rsidR="003E1F25" w:rsidRPr="00E60FD2">
        <w:rPr>
          <w:lang w:val="pl-PL"/>
        </w:rPr>
        <w:t xml:space="preserve">złożoną wcześniej </w:t>
      </w:r>
      <w:r w:rsidRPr="00E60FD2">
        <w:rPr>
          <w:lang w:val="pl-PL"/>
        </w:rPr>
        <w:t xml:space="preserve">skargę lub </w:t>
      </w:r>
      <w:r w:rsidR="003751B0" w:rsidRPr="00E60FD2">
        <w:rPr>
          <w:lang w:val="pl-PL"/>
        </w:rPr>
        <w:t>wnioskuje</w:t>
      </w:r>
      <w:r w:rsidR="003E1F25" w:rsidRPr="00E60FD2">
        <w:rPr>
          <w:lang w:val="pl-PL"/>
        </w:rPr>
        <w:t xml:space="preserve"> o umorzenie postępowania</w:t>
      </w:r>
      <w:r w:rsidRPr="00E60FD2">
        <w:rPr>
          <w:lang w:val="pl-PL"/>
        </w:rPr>
        <w:t xml:space="preserve">, nie zwalnia władz z obowiązku przeprowadzenia skutecznego dochodzenia, jeśli </w:t>
      </w:r>
      <w:r w:rsidR="00165BBB" w:rsidRPr="00E60FD2">
        <w:rPr>
          <w:lang w:val="pl-PL"/>
        </w:rPr>
        <w:t>istnieją dowody wystąpienia</w:t>
      </w:r>
      <w:r w:rsidRPr="00E60FD2">
        <w:rPr>
          <w:lang w:val="pl-PL"/>
        </w:rPr>
        <w:t xml:space="preserve"> poważne</w:t>
      </w:r>
      <w:r w:rsidR="00165BBB" w:rsidRPr="00E60FD2">
        <w:rPr>
          <w:lang w:val="pl-PL"/>
        </w:rPr>
        <w:t>go naruszenia</w:t>
      </w:r>
      <w:r w:rsidRPr="00E60FD2">
        <w:rPr>
          <w:lang w:val="pl-PL"/>
        </w:rPr>
        <w:t xml:space="preserve"> praw człowieka.</w:t>
      </w:r>
    </w:p>
    <w:p w:rsidR="004A79BB" w:rsidRPr="00E60FD2" w:rsidRDefault="004A79BB">
      <w:pPr>
        <w:pStyle w:val="CMNormal"/>
        <w:rPr>
          <w:lang w:val="pl-PL"/>
        </w:rPr>
      </w:pPr>
    </w:p>
    <w:p w:rsidR="00863431" w:rsidRPr="00E60FD2" w:rsidRDefault="00863431">
      <w:pPr>
        <w:pStyle w:val="CMNormal"/>
        <w:numPr>
          <w:ilvl w:val="0"/>
          <w:numId w:val="22"/>
        </w:numPr>
        <w:tabs>
          <w:tab w:val="left" w:pos="720"/>
        </w:tabs>
        <w:ind w:left="0" w:firstLine="0"/>
        <w:rPr>
          <w:lang w:val="pl-PL"/>
        </w:rPr>
      </w:pPr>
      <w:r w:rsidRPr="00E60FD2">
        <w:rPr>
          <w:lang w:val="pl-PL"/>
        </w:rPr>
        <w:t xml:space="preserve">Decyzja o </w:t>
      </w:r>
      <w:r w:rsidR="00301C27" w:rsidRPr="00E60FD2">
        <w:rPr>
          <w:lang w:val="pl-PL"/>
        </w:rPr>
        <w:t xml:space="preserve">odmowie wszczęcia lub </w:t>
      </w:r>
      <w:r w:rsidR="003E1F25" w:rsidRPr="00E60FD2">
        <w:rPr>
          <w:lang w:val="pl-PL"/>
        </w:rPr>
        <w:t>umorzeniu</w:t>
      </w:r>
      <w:r w:rsidRPr="00E60FD2">
        <w:rPr>
          <w:lang w:val="pl-PL"/>
        </w:rPr>
        <w:t xml:space="preserve"> dochodzenia może być podejmowana wyłącznie przez niezależny i kompetentny organ zgodnie z kryteriami skutecznego prowadzenia dochodzeń określonymi w zaleceniu VI. Działania takie muszą być należycie uzasadnione.</w:t>
      </w:r>
    </w:p>
    <w:p w:rsidR="00863431" w:rsidRPr="00E60FD2" w:rsidRDefault="00863431" w:rsidP="00863431">
      <w:pPr>
        <w:pStyle w:val="Akapitzlist"/>
        <w:rPr>
          <w:lang w:val="pl-PL"/>
        </w:rPr>
      </w:pPr>
    </w:p>
    <w:p w:rsidR="00863431" w:rsidRPr="00E60FD2" w:rsidRDefault="00863431">
      <w:pPr>
        <w:pStyle w:val="CMNormal"/>
        <w:numPr>
          <w:ilvl w:val="0"/>
          <w:numId w:val="22"/>
        </w:numPr>
        <w:tabs>
          <w:tab w:val="left" w:pos="720"/>
        </w:tabs>
        <w:ind w:left="0" w:firstLine="0"/>
        <w:rPr>
          <w:lang w:val="pl-PL"/>
        </w:rPr>
      </w:pPr>
      <w:r w:rsidRPr="00E60FD2">
        <w:rPr>
          <w:lang w:val="pl-PL"/>
        </w:rPr>
        <w:t>Takie decyzje muszą być przedmiotem odpowiedniego nadzoru i z reguły powinna istnieć ścieżka odwoławcza od takich decyzji w ramach procesu sądowego.</w:t>
      </w:r>
    </w:p>
    <w:p w:rsidR="004A79BB" w:rsidRPr="00E60FD2" w:rsidRDefault="004A79BB">
      <w:pPr>
        <w:pStyle w:val="CMNormal"/>
        <w:rPr>
          <w:lang w:val="pl-PL"/>
        </w:rPr>
      </w:pPr>
    </w:p>
    <w:p w:rsidR="00863431" w:rsidRPr="00E60FD2" w:rsidRDefault="00D357C2">
      <w:pPr>
        <w:pStyle w:val="CMNormal"/>
        <w:rPr>
          <w:b/>
          <w:lang w:val="pl-PL"/>
        </w:rPr>
      </w:pPr>
      <w:r w:rsidRPr="00E60FD2">
        <w:rPr>
          <w:b/>
          <w:lang w:val="pl-PL"/>
        </w:rPr>
        <w:t xml:space="preserve">VI. </w:t>
      </w:r>
      <w:r w:rsidR="00863431" w:rsidRPr="00E60FD2">
        <w:rPr>
          <w:b/>
          <w:lang w:val="pl-PL"/>
        </w:rPr>
        <w:t>Kryteria prowadzenia skutecznych dochodzeń</w:t>
      </w:r>
    </w:p>
    <w:p w:rsidR="004A79BB" w:rsidRPr="00E60FD2" w:rsidRDefault="004A79BB">
      <w:pPr>
        <w:pStyle w:val="CMNormal"/>
        <w:rPr>
          <w:lang w:val="pl-PL"/>
        </w:rPr>
      </w:pPr>
    </w:p>
    <w:p w:rsidR="00863431" w:rsidRPr="00E60FD2" w:rsidRDefault="00BD06BF">
      <w:pPr>
        <w:pStyle w:val="CMNormal"/>
        <w:rPr>
          <w:lang w:val="pl-PL"/>
        </w:rPr>
      </w:pPr>
      <w:r w:rsidRPr="00E60FD2">
        <w:rPr>
          <w:lang w:val="pl-PL"/>
        </w:rPr>
        <w:t>Dla skuteczności śledztwa konieczne jest spełnienie następujących kluczowych wymogów:</w:t>
      </w:r>
    </w:p>
    <w:p w:rsidR="004A79BB" w:rsidRPr="00E60FD2" w:rsidRDefault="004A79BB">
      <w:pPr>
        <w:pStyle w:val="CMNormal"/>
        <w:rPr>
          <w:lang w:val="pl-PL"/>
        </w:rPr>
      </w:pPr>
    </w:p>
    <w:p w:rsidR="00BD06BF" w:rsidRPr="00E60FD2" w:rsidRDefault="00BD06BF">
      <w:pPr>
        <w:pStyle w:val="CMNormal"/>
        <w:rPr>
          <w:b/>
          <w:i/>
          <w:lang w:val="pl-PL"/>
        </w:rPr>
      </w:pPr>
      <w:r w:rsidRPr="00E60FD2">
        <w:rPr>
          <w:b/>
          <w:i/>
          <w:lang w:val="pl-PL"/>
        </w:rPr>
        <w:t>Rzetelność</w:t>
      </w:r>
    </w:p>
    <w:p w:rsidR="00BD06BF" w:rsidRPr="00E60FD2" w:rsidRDefault="00BD06BF">
      <w:pPr>
        <w:pStyle w:val="CMNormal"/>
        <w:rPr>
          <w:iCs/>
          <w:lang w:val="pl-PL"/>
        </w:rPr>
      </w:pPr>
      <w:r w:rsidRPr="00E60FD2">
        <w:rPr>
          <w:iCs/>
          <w:lang w:val="pl-PL"/>
        </w:rPr>
        <w:t xml:space="preserve">Dochodzenie musi </w:t>
      </w:r>
      <w:r w:rsidR="004A5370" w:rsidRPr="00E60FD2">
        <w:rPr>
          <w:iCs/>
          <w:lang w:val="pl-PL"/>
        </w:rPr>
        <w:t>umożliwiać określenie i ukaranie</w:t>
      </w:r>
      <w:r w:rsidRPr="00E60FD2">
        <w:rPr>
          <w:iCs/>
          <w:lang w:val="pl-PL"/>
        </w:rPr>
        <w:t xml:space="preserve"> osób odpowiedzialnych. Nie nakłada to na państwa obowiązku zapewnienia, że śledztwo prowadzi do określonego wyniku, jednak władze są zobowiązane podjąć uzasadnione i dostępne </w:t>
      </w:r>
      <w:r w:rsidR="00165BBB" w:rsidRPr="00E60FD2">
        <w:rPr>
          <w:iCs/>
          <w:lang w:val="pl-PL"/>
        </w:rPr>
        <w:t>działania</w:t>
      </w:r>
      <w:r w:rsidRPr="00E60FD2">
        <w:rPr>
          <w:iCs/>
          <w:lang w:val="pl-PL"/>
        </w:rPr>
        <w:t xml:space="preserve">, aby zgromadzić dowody dotyczące </w:t>
      </w:r>
      <w:r w:rsidR="00165BBB" w:rsidRPr="00E60FD2">
        <w:rPr>
          <w:iCs/>
          <w:lang w:val="pl-PL"/>
        </w:rPr>
        <w:t>zdarzenia</w:t>
      </w:r>
      <w:r w:rsidRPr="00E60FD2">
        <w:rPr>
          <w:iCs/>
          <w:lang w:val="pl-PL"/>
        </w:rPr>
        <w:t>.</w:t>
      </w:r>
    </w:p>
    <w:p w:rsidR="004A79BB" w:rsidRPr="00E60FD2" w:rsidRDefault="004A79BB">
      <w:pPr>
        <w:pStyle w:val="CMNormal"/>
        <w:rPr>
          <w:lang w:val="pl-PL"/>
        </w:rPr>
      </w:pPr>
    </w:p>
    <w:p w:rsidR="00BD06BF" w:rsidRPr="00E60FD2" w:rsidRDefault="00BD06BF">
      <w:pPr>
        <w:pStyle w:val="CMNormal"/>
        <w:rPr>
          <w:b/>
          <w:i/>
          <w:lang w:val="pl-PL"/>
        </w:rPr>
      </w:pPr>
      <w:r w:rsidRPr="00E60FD2">
        <w:rPr>
          <w:b/>
          <w:i/>
          <w:lang w:val="pl-PL"/>
        </w:rPr>
        <w:t>Dokładność</w:t>
      </w:r>
    </w:p>
    <w:p w:rsidR="00BD06BF" w:rsidRPr="00E60FD2" w:rsidRDefault="00BD06BF">
      <w:pPr>
        <w:pStyle w:val="CMNormal"/>
        <w:rPr>
          <w:lang w:val="pl-PL"/>
        </w:rPr>
      </w:pPr>
      <w:r w:rsidRPr="00E60FD2">
        <w:rPr>
          <w:lang w:val="pl-PL"/>
        </w:rPr>
        <w:t xml:space="preserve">Śledztwo powinno mieć wszechstronny zakres i dotyczyć wszystkich istotnych okoliczności, co obejmuje m.in. występowanie pobudek rasistowskich i innych </w:t>
      </w:r>
      <w:r w:rsidR="00165BBB" w:rsidRPr="00E60FD2">
        <w:rPr>
          <w:lang w:val="pl-PL"/>
        </w:rPr>
        <w:t>rodzajów</w:t>
      </w:r>
      <w:r w:rsidRPr="00E60FD2">
        <w:rPr>
          <w:lang w:val="pl-PL"/>
        </w:rPr>
        <w:t xml:space="preserve"> dyskryminacji. Powinno być w stanie określić wady systemowe, które doprowadziły do naruszenia. Wymaga to podjęcia wszelkich uzasadnionych działań w celu zgromadzenia istotnych dowodów, takich jak identyfikacja i przepytanie rzekomych ofiar, podejrzanych i naocznych świadków, zbadanie miejsca rzekomego naruszenia w celu zgromadzenia istotnych dowodów oraz gromadzenie dowodów sądowych i medycznych przez kompetentnych </w:t>
      </w:r>
      <w:r w:rsidR="003751B0" w:rsidRPr="00E60FD2">
        <w:rPr>
          <w:lang w:val="pl-PL"/>
        </w:rPr>
        <w:t>biegłych</w:t>
      </w:r>
      <w:r w:rsidRPr="00E60FD2">
        <w:rPr>
          <w:lang w:val="pl-PL"/>
        </w:rPr>
        <w:t>. Dowody należy oceniać w sposób dokładny, konsekwentny i obiektywny.</w:t>
      </w:r>
    </w:p>
    <w:p w:rsidR="004A79BB" w:rsidRPr="00E60FD2" w:rsidRDefault="004A79BB">
      <w:pPr>
        <w:pStyle w:val="CMNormal"/>
        <w:rPr>
          <w:lang w:val="pl-PL"/>
        </w:rPr>
      </w:pPr>
    </w:p>
    <w:p w:rsidR="00BD06BF" w:rsidRPr="00E60FD2" w:rsidRDefault="00BD06BF">
      <w:pPr>
        <w:pStyle w:val="CMNormal"/>
        <w:rPr>
          <w:b/>
          <w:i/>
          <w:lang w:val="pl-PL"/>
        </w:rPr>
      </w:pPr>
      <w:r w:rsidRPr="00E60FD2">
        <w:rPr>
          <w:b/>
          <w:i/>
          <w:lang w:val="pl-PL"/>
        </w:rPr>
        <w:t>Bezstronność i niezależność</w:t>
      </w:r>
    </w:p>
    <w:p w:rsidR="006303C5" w:rsidRPr="00E60FD2" w:rsidRDefault="00BD06BF">
      <w:pPr>
        <w:pStyle w:val="CMNormal"/>
        <w:rPr>
          <w:lang w:val="pl-PL"/>
        </w:rPr>
      </w:pPr>
      <w:r w:rsidRPr="00E60FD2">
        <w:rPr>
          <w:lang w:val="pl-PL"/>
        </w:rPr>
        <w:t xml:space="preserve">Osoby odpowiedzialne za </w:t>
      </w:r>
      <w:r w:rsidR="00E041FA" w:rsidRPr="00E60FD2">
        <w:rPr>
          <w:lang w:val="pl-PL"/>
        </w:rPr>
        <w:t>prowadzenie</w:t>
      </w:r>
      <w:r w:rsidRPr="00E60FD2">
        <w:rPr>
          <w:lang w:val="pl-PL"/>
        </w:rPr>
        <w:t xml:space="preserve"> dochodzeń muszą być bezstronne i niezależnie od uczestników zdarzeń. Oznacza to, że władze, które są zamieszane w sprawę, nie mogą uczestniczyć w gromadzeniu dowodów an</w:t>
      </w:r>
      <w:r w:rsidR="00301C27" w:rsidRPr="00E60FD2">
        <w:rPr>
          <w:lang w:val="pl-PL"/>
        </w:rPr>
        <w:t>i w dochodzeniu przygotowawczym</w:t>
      </w:r>
      <w:r w:rsidRPr="00E60FD2">
        <w:rPr>
          <w:lang w:val="pl-PL"/>
        </w:rPr>
        <w:t xml:space="preserve">. W szczególności śledczy nie mogą należeć do tej samej jednostki co funkcjonariusze </w:t>
      </w:r>
      <w:r w:rsidR="006303C5" w:rsidRPr="00E60FD2">
        <w:rPr>
          <w:lang w:val="pl-PL"/>
        </w:rPr>
        <w:t>podejrzani w śledztwie.</w:t>
      </w:r>
    </w:p>
    <w:p w:rsidR="004A79BB" w:rsidRPr="00E60FD2" w:rsidRDefault="004A79BB">
      <w:pPr>
        <w:pStyle w:val="CMNormal"/>
        <w:rPr>
          <w:lang w:val="pl-PL"/>
        </w:rPr>
      </w:pPr>
    </w:p>
    <w:p w:rsidR="006303C5" w:rsidRPr="00E60FD2" w:rsidRDefault="006303C5">
      <w:pPr>
        <w:pStyle w:val="CMNormal"/>
        <w:rPr>
          <w:b/>
          <w:i/>
          <w:lang w:val="pl-PL"/>
        </w:rPr>
      </w:pPr>
      <w:r w:rsidRPr="00E60FD2">
        <w:rPr>
          <w:b/>
          <w:i/>
          <w:lang w:val="pl-PL"/>
        </w:rPr>
        <w:t>Szybkość prowadzenia dochodzeń</w:t>
      </w:r>
    </w:p>
    <w:p w:rsidR="006303C5" w:rsidRPr="00E60FD2" w:rsidRDefault="006303C5">
      <w:pPr>
        <w:pStyle w:val="CMNormal"/>
        <w:rPr>
          <w:lang w:val="pl-PL"/>
        </w:rPr>
      </w:pPr>
      <w:r w:rsidRPr="00E60FD2">
        <w:rPr>
          <w:lang w:val="pl-PL"/>
        </w:rPr>
        <w:t xml:space="preserve">Śledztwo musi zostać wszczęte bezzwłocznie, aby umożliwić zgromadzenie możliwie największej ilości dostępnych dowodów </w:t>
      </w:r>
      <w:r w:rsidR="00E041FA" w:rsidRPr="00E60FD2">
        <w:rPr>
          <w:lang w:val="pl-PL"/>
        </w:rPr>
        <w:t xml:space="preserve">i zapewnić ich </w:t>
      </w:r>
      <w:r w:rsidR="004A5370" w:rsidRPr="00E60FD2">
        <w:rPr>
          <w:lang w:val="pl-PL"/>
        </w:rPr>
        <w:t xml:space="preserve">odpowiednią </w:t>
      </w:r>
      <w:r w:rsidR="00E041FA" w:rsidRPr="00E60FD2">
        <w:rPr>
          <w:lang w:val="pl-PL"/>
        </w:rPr>
        <w:t>jakość</w:t>
      </w:r>
      <w:r w:rsidRPr="00E60FD2">
        <w:rPr>
          <w:lang w:val="pl-PL"/>
        </w:rPr>
        <w:t>. Chociaż w określonej sytuacji występować mogą przeszkody lub trudności uniemożliwia</w:t>
      </w:r>
      <w:r w:rsidR="00301C27" w:rsidRPr="00E60FD2">
        <w:rPr>
          <w:lang w:val="pl-PL"/>
        </w:rPr>
        <w:t>jące postępy dochodzenia, szybką reakcję ze strony władz można z reguły uznać</w:t>
      </w:r>
      <w:r w:rsidRPr="00E60FD2">
        <w:rPr>
          <w:lang w:val="pl-PL"/>
        </w:rPr>
        <w:t xml:space="preserve"> za kluczowy element </w:t>
      </w:r>
      <w:r w:rsidR="00E041FA" w:rsidRPr="00E60FD2">
        <w:rPr>
          <w:lang w:val="pl-PL"/>
        </w:rPr>
        <w:t>zdobycia</w:t>
      </w:r>
      <w:r w:rsidRPr="00E60FD2">
        <w:rPr>
          <w:lang w:val="pl-PL"/>
        </w:rPr>
        <w:t xml:space="preserve"> zaufania opinii publicznej do działania systemu prawa. Szybkość działania władz zapobiega także powstaniu wrażania zmowy lub tolerowania bezprawnych działań. Dochodzenie musi zostać zakończone w rozsądnym terminie i zawsze musi być prowadzone z należytą starannością.</w:t>
      </w:r>
    </w:p>
    <w:p w:rsidR="004A79BB" w:rsidRPr="00E60FD2" w:rsidRDefault="004A79BB">
      <w:pPr>
        <w:pStyle w:val="CMNormal"/>
        <w:rPr>
          <w:b/>
          <w:lang w:val="pl-PL"/>
        </w:rPr>
      </w:pPr>
    </w:p>
    <w:p w:rsidR="006303C5" w:rsidRPr="00E60FD2" w:rsidRDefault="006303C5">
      <w:pPr>
        <w:pStyle w:val="CMNormal"/>
        <w:rPr>
          <w:b/>
          <w:i/>
          <w:lang w:val="pl-PL"/>
        </w:rPr>
      </w:pPr>
      <w:r w:rsidRPr="00E60FD2">
        <w:rPr>
          <w:b/>
          <w:i/>
          <w:lang w:val="pl-PL"/>
        </w:rPr>
        <w:t>Nadzór publiczny</w:t>
      </w:r>
    </w:p>
    <w:p w:rsidR="006303C5" w:rsidRPr="00E60FD2" w:rsidRDefault="006303C5">
      <w:pPr>
        <w:pStyle w:val="CMNormal"/>
        <w:rPr>
          <w:lang w:val="pl-PL"/>
        </w:rPr>
      </w:pPr>
      <w:r w:rsidRPr="00E60FD2">
        <w:rPr>
          <w:lang w:val="pl-PL"/>
        </w:rPr>
        <w:t>Powinien występować wystarczający element nadzoru publicznego nad dochodzeniem lub jego wynikami, aby zapewnić odpowiedzialność, zaufanie opi</w:t>
      </w:r>
      <w:r w:rsidR="00E57E6D" w:rsidRPr="00E60FD2">
        <w:rPr>
          <w:lang w:val="pl-PL"/>
        </w:rPr>
        <w:t>nii publicznej do przestrzegania</w:t>
      </w:r>
      <w:r w:rsidRPr="00E60FD2">
        <w:rPr>
          <w:lang w:val="pl-PL"/>
        </w:rPr>
        <w:t xml:space="preserve"> przez władze przepisów prawa oraz zapobiec powstawaniu </w:t>
      </w:r>
      <w:r w:rsidR="00E57E6D" w:rsidRPr="00E60FD2">
        <w:rPr>
          <w:lang w:val="pl-PL"/>
        </w:rPr>
        <w:t>odczucia, że ma miejsce zmowa lub tolerowanie</w:t>
      </w:r>
      <w:r w:rsidRPr="00E60FD2">
        <w:rPr>
          <w:lang w:val="pl-PL"/>
        </w:rPr>
        <w:t xml:space="preserve"> bezprawnych działań. Nadzór publiczny nie powinien zagrażać celom dochodzenia ani fundamentalnym prawom stron.</w:t>
      </w:r>
    </w:p>
    <w:p w:rsidR="004A79BB" w:rsidRPr="00E60FD2" w:rsidRDefault="004A79BB">
      <w:pPr>
        <w:pStyle w:val="CMNormal"/>
        <w:rPr>
          <w:lang w:val="pl-PL"/>
        </w:rPr>
      </w:pPr>
    </w:p>
    <w:p w:rsidR="006303C5" w:rsidRPr="00E60FD2" w:rsidRDefault="00D357C2">
      <w:pPr>
        <w:pStyle w:val="CMNormal"/>
        <w:rPr>
          <w:b/>
          <w:lang w:val="pl-PL"/>
        </w:rPr>
      </w:pPr>
      <w:r w:rsidRPr="00E60FD2">
        <w:rPr>
          <w:b/>
          <w:lang w:val="pl-PL"/>
        </w:rPr>
        <w:t xml:space="preserve">VII. </w:t>
      </w:r>
      <w:r w:rsidR="006303C5" w:rsidRPr="00E60FD2">
        <w:rPr>
          <w:b/>
          <w:lang w:val="pl-PL"/>
        </w:rPr>
        <w:t>Udział ofiar w dochodzeniu</w:t>
      </w:r>
    </w:p>
    <w:p w:rsidR="004A79BB" w:rsidRPr="00E60FD2" w:rsidRDefault="004A79BB">
      <w:pPr>
        <w:pStyle w:val="CMNormal"/>
        <w:rPr>
          <w:i/>
          <w:lang w:val="pl-PL"/>
        </w:rPr>
      </w:pPr>
    </w:p>
    <w:p w:rsidR="006303C5" w:rsidRPr="00E60FD2" w:rsidRDefault="006303C5">
      <w:pPr>
        <w:pStyle w:val="CMNormal"/>
        <w:numPr>
          <w:ilvl w:val="0"/>
          <w:numId w:val="23"/>
        </w:numPr>
        <w:tabs>
          <w:tab w:val="left" w:pos="720"/>
        </w:tabs>
        <w:ind w:left="0" w:firstLine="0"/>
        <w:rPr>
          <w:lang w:val="pl-PL"/>
        </w:rPr>
      </w:pPr>
      <w:r w:rsidRPr="00E60FD2">
        <w:rPr>
          <w:lang w:val="pl-PL"/>
        </w:rPr>
        <w:t>Państwa powinny zapewnić, że ofiary mogą uczestniczyć w dochodzeniach i postę</w:t>
      </w:r>
      <w:r w:rsidR="003751B0" w:rsidRPr="00E60FD2">
        <w:rPr>
          <w:lang w:val="pl-PL"/>
        </w:rPr>
        <w:t>powaniach w zakresie koniecznym</w:t>
      </w:r>
      <w:r w:rsidRPr="00E60FD2">
        <w:rPr>
          <w:lang w:val="pl-PL"/>
        </w:rPr>
        <w:t xml:space="preserve"> do ochrony ich uzasadnionych interesów w ramach odpowiednich procedur wynikających z przepisów krajowych.</w:t>
      </w:r>
    </w:p>
    <w:p w:rsidR="004A79BB" w:rsidRPr="00E60FD2" w:rsidRDefault="004A79BB">
      <w:pPr>
        <w:pStyle w:val="CMNormal"/>
        <w:rPr>
          <w:lang w:val="pl-PL"/>
        </w:rPr>
      </w:pPr>
    </w:p>
    <w:p w:rsidR="006303C5" w:rsidRPr="00E60FD2" w:rsidRDefault="006303C5">
      <w:pPr>
        <w:pStyle w:val="CMNormal"/>
        <w:numPr>
          <w:ilvl w:val="0"/>
          <w:numId w:val="23"/>
        </w:numPr>
        <w:tabs>
          <w:tab w:val="left" w:pos="720"/>
        </w:tabs>
        <w:ind w:left="0" w:firstLine="0"/>
        <w:rPr>
          <w:lang w:val="pl-PL"/>
        </w:rPr>
      </w:pPr>
      <w:r w:rsidRPr="00E60FD2">
        <w:rPr>
          <w:lang w:val="pl-PL"/>
        </w:rPr>
        <w:t xml:space="preserve">Państwa mają obowiązek zapewnić, że ofiary mogą, w zakresie koniecznym do ochrony ich uzasadnionych interesów, otrzymywać informacje odnoszące się do </w:t>
      </w:r>
      <w:r w:rsidR="00E57E6D" w:rsidRPr="00E60FD2">
        <w:rPr>
          <w:lang w:val="pl-PL"/>
        </w:rPr>
        <w:t>sposobu rozpatrzenia</w:t>
      </w:r>
      <w:r w:rsidRPr="00E60FD2">
        <w:rPr>
          <w:lang w:val="pl-PL"/>
        </w:rPr>
        <w:t xml:space="preserve"> i wyniku składanych skarg, postępów dochodzeń i ścigania sprawców, wykonania decyzji sądów oraz wszystkich działań podejmowanych w zakresie naprawy szkód wyrządzonych ofiarom.</w:t>
      </w:r>
    </w:p>
    <w:p w:rsidR="006303C5" w:rsidRPr="00E60FD2" w:rsidRDefault="006303C5" w:rsidP="006303C5">
      <w:pPr>
        <w:pStyle w:val="Akapitzlist"/>
        <w:rPr>
          <w:lang w:val="pl-PL"/>
        </w:rPr>
      </w:pPr>
    </w:p>
    <w:p w:rsidR="006303C5" w:rsidRPr="00E60FD2" w:rsidRDefault="006303C5">
      <w:pPr>
        <w:pStyle w:val="CMNormal"/>
        <w:numPr>
          <w:ilvl w:val="0"/>
          <w:numId w:val="23"/>
        </w:numPr>
        <w:tabs>
          <w:tab w:val="left" w:pos="720"/>
        </w:tabs>
        <w:ind w:left="0" w:firstLine="0"/>
        <w:rPr>
          <w:lang w:val="pl-PL"/>
        </w:rPr>
      </w:pPr>
      <w:r w:rsidRPr="00E60FD2">
        <w:rPr>
          <w:lang w:val="pl-PL"/>
        </w:rPr>
        <w:t>W przypadkach podejrzanych zgonów lub uprowadzeń państwa są zobowiązane w możliwym zakresie przekazywać najbliższym informacje dotyczące losu osoby</w:t>
      </w:r>
      <w:r w:rsidR="00BF67F3" w:rsidRPr="00E60FD2">
        <w:rPr>
          <w:lang w:val="pl-PL"/>
        </w:rPr>
        <w:t xml:space="preserve"> zmarłej lub uprowadzonej</w:t>
      </w:r>
      <w:r w:rsidRPr="00E60FD2">
        <w:rPr>
          <w:lang w:val="pl-PL"/>
        </w:rPr>
        <w:t>.</w:t>
      </w:r>
    </w:p>
    <w:p w:rsidR="004A79BB" w:rsidRPr="00E60FD2" w:rsidRDefault="004A79BB">
      <w:pPr>
        <w:pStyle w:val="CMNormal"/>
        <w:rPr>
          <w:lang w:val="pl-PL"/>
        </w:rPr>
      </w:pPr>
    </w:p>
    <w:p w:rsidR="00BF67F3" w:rsidRPr="00E60FD2" w:rsidRDefault="00BF67F3">
      <w:pPr>
        <w:pStyle w:val="CMNormal"/>
        <w:numPr>
          <w:ilvl w:val="0"/>
          <w:numId w:val="23"/>
        </w:numPr>
        <w:tabs>
          <w:tab w:val="left" w:pos="720"/>
        </w:tabs>
        <w:ind w:left="0" w:firstLine="0"/>
        <w:rPr>
          <w:lang w:val="pl-PL"/>
        </w:rPr>
      </w:pPr>
      <w:r w:rsidRPr="00E60FD2">
        <w:rPr>
          <w:lang w:val="pl-PL"/>
        </w:rPr>
        <w:t>Ofiary mogą otrzymywać możliwość zastrzeżenia, że nie chcą otrzymywać takich informacji.</w:t>
      </w:r>
    </w:p>
    <w:p w:rsidR="00BF67F3" w:rsidRPr="00E60FD2" w:rsidRDefault="00BF67F3" w:rsidP="00BF67F3">
      <w:pPr>
        <w:pStyle w:val="Akapitzlist"/>
        <w:rPr>
          <w:lang w:val="pl-PL"/>
        </w:rPr>
      </w:pPr>
    </w:p>
    <w:p w:rsidR="00BF67F3" w:rsidRPr="00E60FD2" w:rsidRDefault="00BF67F3">
      <w:pPr>
        <w:pStyle w:val="CMNormal"/>
        <w:numPr>
          <w:ilvl w:val="0"/>
          <w:numId w:val="23"/>
        </w:numPr>
        <w:tabs>
          <w:tab w:val="left" w:pos="720"/>
        </w:tabs>
        <w:ind w:left="0" w:firstLine="0"/>
        <w:rPr>
          <w:lang w:val="pl-PL"/>
        </w:rPr>
      </w:pPr>
      <w:r w:rsidRPr="00E60FD2">
        <w:rPr>
          <w:lang w:val="pl-PL"/>
        </w:rPr>
        <w:t xml:space="preserve">W przypadku gdy przepisy krajowe przewidują uczestniczenie </w:t>
      </w:r>
      <w:r w:rsidR="00E041FA" w:rsidRPr="00E60FD2">
        <w:rPr>
          <w:lang w:val="pl-PL"/>
        </w:rPr>
        <w:t xml:space="preserve">ofiar </w:t>
      </w:r>
      <w:r w:rsidRPr="00E60FD2">
        <w:rPr>
          <w:lang w:val="pl-PL"/>
        </w:rPr>
        <w:t xml:space="preserve">w postępowaniu w charakterze strony, państwo powinno zapewnić </w:t>
      </w:r>
      <w:r w:rsidR="00E041FA" w:rsidRPr="00E60FD2">
        <w:rPr>
          <w:lang w:val="pl-PL"/>
        </w:rPr>
        <w:t xml:space="preserve">im </w:t>
      </w:r>
      <w:r w:rsidRPr="00E60FD2">
        <w:rPr>
          <w:lang w:val="pl-PL"/>
        </w:rPr>
        <w:t>odpowiednią public</w:t>
      </w:r>
      <w:r w:rsidR="005B3AA1" w:rsidRPr="00E60FD2">
        <w:rPr>
          <w:lang w:val="pl-PL"/>
        </w:rPr>
        <w:t>zną pomoc prawną oraz doradztwo</w:t>
      </w:r>
      <w:r w:rsidRPr="00E60FD2">
        <w:rPr>
          <w:lang w:val="pl-PL"/>
        </w:rPr>
        <w:t xml:space="preserve"> w zakresie koniecznym </w:t>
      </w:r>
      <w:r w:rsidR="005B3AA1" w:rsidRPr="00E60FD2">
        <w:rPr>
          <w:lang w:val="pl-PL"/>
        </w:rPr>
        <w:t>do</w:t>
      </w:r>
      <w:r w:rsidRPr="00E60FD2">
        <w:rPr>
          <w:lang w:val="pl-PL"/>
        </w:rPr>
        <w:t xml:space="preserve"> </w:t>
      </w:r>
      <w:r w:rsidR="00E041FA" w:rsidRPr="00E60FD2">
        <w:rPr>
          <w:lang w:val="pl-PL"/>
        </w:rPr>
        <w:t xml:space="preserve">udziału </w:t>
      </w:r>
      <w:r w:rsidRPr="00E60FD2">
        <w:rPr>
          <w:lang w:val="pl-PL"/>
        </w:rPr>
        <w:t>w postępowaniu.</w:t>
      </w:r>
    </w:p>
    <w:p w:rsidR="00BF67F3" w:rsidRPr="00E60FD2" w:rsidRDefault="00BF67F3" w:rsidP="00BF67F3">
      <w:pPr>
        <w:pStyle w:val="Akapitzlist"/>
        <w:rPr>
          <w:lang w:val="pl-PL"/>
        </w:rPr>
      </w:pPr>
    </w:p>
    <w:p w:rsidR="00BF67F3" w:rsidRPr="00E60FD2" w:rsidRDefault="00BF67F3">
      <w:pPr>
        <w:pStyle w:val="CMNormal"/>
        <w:numPr>
          <w:ilvl w:val="0"/>
          <w:numId w:val="23"/>
        </w:numPr>
        <w:tabs>
          <w:tab w:val="left" w:pos="720"/>
        </w:tabs>
        <w:ind w:left="0" w:firstLine="0"/>
        <w:rPr>
          <w:lang w:val="pl-PL"/>
        </w:rPr>
      </w:pPr>
      <w:r w:rsidRPr="00E60FD2">
        <w:rPr>
          <w:lang w:val="pl-PL"/>
        </w:rPr>
        <w:t>Państwa powinny zapewnić, że na wszystkich etapach postępowania w niezbędnych sytuacjach ofiarom i świadkom zapewnia się</w:t>
      </w:r>
      <w:r w:rsidR="00E57E6D" w:rsidRPr="00E60FD2">
        <w:rPr>
          <w:lang w:val="pl-PL"/>
        </w:rPr>
        <w:t xml:space="preserve"> ochronę </w:t>
      </w:r>
      <w:r w:rsidR="00E041FA" w:rsidRPr="00E60FD2">
        <w:rPr>
          <w:lang w:val="pl-PL"/>
        </w:rPr>
        <w:t>gwarantującą</w:t>
      </w:r>
      <w:r w:rsidRPr="00E60FD2">
        <w:rPr>
          <w:lang w:val="pl-PL"/>
        </w:rPr>
        <w:t xml:space="preserve"> ich nietykalność cielesną i bezpieczeństwo psychologiczne. Państwa powinny zapewnić, że ofiary i świadkowie nie są zastraszani, nie stosuje się wobec nich odwetu ani nie są odwodzeni w inny sposób od składania ani </w:t>
      </w:r>
      <w:r w:rsidR="00E041FA" w:rsidRPr="00E60FD2">
        <w:rPr>
          <w:lang w:val="pl-PL"/>
        </w:rPr>
        <w:t>pod</w:t>
      </w:r>
      <w:r w:rsidRPr="00E60FD2">
        <w:rPr>
          <w:lang w:val="pl-PL"/>
        </w:rPr>
        <w:t>trzymywania skarg czy uczestniczenia w postępowaniu. Działania takie mogą obejmować w szczególności środki dochodzeniowe, ochronę i pomoc przed, w trakcie i po zakończeniu śledztwa, aby zagwarantować ochronę i godność takich osób.</w:t>
      </w:r>
    </w:p>
    <w:p w:rsidR="004A79BB" w:rsidRPr="00E60FD2" w:rsidRDefault="004A79BB">
      <w:pPr>
        <w:pStyle w:val="CMNormal"/>
        <w:rPr>
          <w:lang w:val="pl-PL"/>
        </w:rPr>
      </w:pPr>
    </w:p>
    <w:p w:rsidR="004A79BB" w:rsidRPr="00E60FD2" w:rsidRDefault="00D357C2">
      <w:pPr>
        <w:pStyle w:val="CMNormal"/>
        <w:rPr>
          <w:b/>
          <w:lang w:val="pl-PL"/>
        </w:rPr>
      </w:pPr>
      <w:r w:rsidRPr="00E60FD2">
        <w:rPr>
          <w:b/>
          <w:lang w:val="pl-PL"/>
        </w:rPr>
        <w:t xml:space="preserve">VIII. </w:t>
      </w:r>
      <w:r w:rsidR="004A5370" w:rsidRPr="00E60FD2">
        <w:rPr>
          <w:b/>
          <w:lang w:val="pl-PL"/>
        </w:rPr>
        <w:t>Ściganie</w:t>
      </w:r>
      <w:r w:rsidR="00BF67F3" w:rsidRPr="00E60FD2">
        <w:rPr>
          <w:b/>
          <w:lang w:val="pl-PL"/>
        </w:rPr>
        <w:t xml:space="preserve"> sprawców</w:t>
      </w:r>
    </w:p>
    <w:p w:rsidR="004A79BB" w:rsidRPr="00E60FD2" w:rsidRDefault="004A79BB">
      <w:pPr>
        <w:pStyle w:val="CMNormal"/>
        <w:rPr>
          <w:b/>
          <w:lang w:val="pl-PL"/>
        </w:rPr>
      </w:pPr>
    </w:p>
    <w:p w:rsidR="00BF67F3" w:rsidRPr="00E60FD2" w:rsidRDefault="00BF67F3">
      <w:pPr>
        <w:pStyle w:val="CMNormal"/>
        <w:numPr>
          <w:ilvl w:val="0"/>
          <w:numId w:val="24"/>
        </w:numPr>
        <w:tabs>
          <w:tab w:val="left" w:pos="720"/>
        </w:tabs>
        <w:ind w:left="0" w:firstLine="0"/>
        <w:rPr>
          <w:lang w:val="pl-PL"/>
        </w:rPr>
      </w:pPr>
      <w:r w:rsidRPr="00E60FD2">
        <w:rPr>
          <w:lang w:val="pl-PL"/>
        </w:rPr>
        <w:t>Państwa mają obowiązek wnosić oskarżenia wobec sprawców, jeśli uzasadnia to wynik dochodzenia. Chociaż nie istnieje prawo gwarantujące oskarżenie ani skazanie określonej osoby, władze wnoszące oskarżenie są zobowiązane, gdy uzasadniają to fakty, podejmować niezbędne działania mające doprowadzić do postawienia sprawców poważnych naruszeń praw człowieka przed sądem.</w:t>
      </w:r>
    </w:p>
    <w:p w:rsidR="004A79BB" w:rsidRPr="00E60FD2" w:rsidRDefault="004A79BB">
      <w:pPr>
        <w:pStyle w:val="CMNormal"/>
        <w:rPr>
          <w:lang w:val="pl-PL"/>
        </w:rPr>
      </w:pPr>
    </w:p>
    <w:p w:rsidR="00BF67F3" w:rsidRPr="00E60FD2" w:rsidRDefault="00BF67F3">
      <w:pPr>
        <w:pStyle w:val="CMNormal"/>
        <w:numPr>
          <w:ilvl w:val="0"/>
          <w:numId w:val="24"/>
        </w:numPr>
        <w:tabs>
          <w:tab w:val="left" w:pos="720"/>
        </w:tabs>
        <w:ind w:left="0" w:firstLine="0"/>
        <w:rPr>
          <w:lang w:val="pl-PL"/>
        </w:rPr>
      </w:pPr>
      <w:r w:rsidRPr="00E60FD2">
        <w:rPr>
          <w:lang w:val="pl-PL"/>
        </w:rPr>
        <w:t>Kluczowe wymogi dotyczące skutecznego prowadzenia dochodzeń określone w zaleceniach V i VI dotyczą także wnoszenia oskarżeń.</w:t>
      </w:r>
    </w:p>
    <w:p w:rsidR="004A79BB" w:rsidRPr="00E60FD2" w:rsidRDefault="004A79BB">
      <w:pPr>
        <w:pStyle w:val="CMNormal"/>
        <w:rPr>
          <w:lang w:val="pl-PL"/>
        </w:rPr>
      </w:pPr>
    </w:p>
    <w:p w:rsidR="004A79BB" w:rsidRPr="00E60FD2" w:rsidRDefault="00D357C2">
      <w:pPr>
        <w:pStyle w:val="CMNormal"/>
        <w:rPr>
          <w:b/>
          <w:lang w:val="pl-PL"/>
        </w:rPr>
      </w:pPr>
      <w:r w:rsidRPr="00E60FD2">
        <w:rPr>
          <w:b/>
          <w:lang w:val="pl-PL"/>
        </w:rPr>
        <w:t xml:space="preserve">IX. </w:t>
      </w:r>
      <w:r w:rsidR="00BF67F3" w:rsidRPr="00E60FD2">
        <w:rPr>
          <w:b/>
          <w:lang w:val="pl-PL"/>
        </w:rPr>
        <w:t>Postępowanie sądowe</w:t>
      </w:r>
    </w:p>
    <w:p w:rsidR="004A79BB" w:rsidRPr="00E60FD2" w:rsidRDefault="004A79BB">
      <w:pPr>
        <w:pStyle w:val="CMNormal"/>
        <w:rPr>
          <w:b/>
          <w:lang w:val="pl-PL"/>
        </w:rPr>
      </w:pPr>
    </w:p>
    <w:p w:rsidR="00BF67F3" w:rsidRPr="00E60FD2" w:rsidRDefault="00BF67F3">
      <w:pPr>
        <w:pStyle w:val="CMNormal"/>
        <w:numPr>
          <w:ilvl w:val="0"/>
          <w:numId w:val="17"/>
        </w:numPr>
        <w:ind w:left="0" w:firstLine="0"/>
        <w:rPr>
          <w:lang w:val="pl-PL"/>
        </w:rPr>
      </w:pPr>
      <w:r w:rsidRPr="00E60FD2">
        <w:rPr>
          <w:lang w:val="pl-PL"/>
        </w:rPr>
        <w:t xml:space="preserve">Państwa powinny zapewnić niezależność i bezstronność </w:t>
      </w:r>
      <w:r w:rsidR="00345D55" w:rsidRPr="00E60FD2">
        <w:rPr>
          <w:lang w:val="pl-PL"/>
        </w:rPr>
        <w:t>władzy sądowniczej zgodnie z zasadami podziału władzy.</w:t>
      </w:r>
    </w:p>
    <w:p w:rsidR="004A79BB" w:rsidRPr="00E60FD2" w:rsidRDefault="004A79BB">
      <w:pPr>
        <w:pStyle w:val="CMNormal"/>
        <w:rPr>
          <w:lang w:val="pl-PL"/>
        </w:rPr>
      </w:pPr>
    </w:p>
    <w:p w:rsidR="00345D55" w:rsidRPr="00E60FD2" w:rsidRDefault="00345D55">
      <w:pPr>
        <w:pStyle w:val="CMNormal"/>
        <w:numPr>
          <w:ilvl w:val="0"/>
          <w:numId w:val="17"/>
        </w:numPr>
        <w:ind w:left="0" w:firstLine="0"/>
        <w:rPr>
          <w:lang w:val="pl-PL"/>
        </w:rPr>
      </w:pPr>
      <w:r w:rsidRPr="00E60FD2">
        <w:rPr>
          <w:lang w:val="pl-PL"/>
        </w:rPr>
        <w:t>Należy wprowadzić środki ochronne zapewniające, że adwokaci, prokuratorzy i sędziowie nie obawiają się odwetu w związku z wypełnianiem swoich obowiązków.</w:t>
      </w:r>
    </w:p>
    <w:p w:rsidR="00345D55" w:rsidRPr="00E60FD2" w:rsidRDefault="00345D55" w:rsidP="00345D55">
      <w:pPr>
        <w:pStyle w:val="Akapitzlist"/>
        <w:rPr>
          <w:lang w:val="pl-PL"/>
        </w:rPr>
      </w:pPr>
    </w:p>
    <w:p w:rsidR="00345D55" w:rsidRPr="00E60FD2" w:rsidRDefault="00345D55">
      <w:pPr>
        <w:pStyle w:val="CMNormal"/>
        <w:numPr>
          <w:ilvl w:val="0"/>
          <w:numId w:val="17"/>
        </w:numPr>
        <w:ind w:left="0" w:firstLine="0"/>
        <w:rPr>
          <w:lang w:val="pl-PL"/>
        </w:rPr>
      </w:pPr>
      <w:r w:rsidRPr="00E60FD2">
        <w:rPr>
          <w:lang w:val="pl-PL"/>
        </w:rPr>
        <w:t xml:space="preserve">Należy zamykać postępowania w rozsądnym czasie. Państwa powinny zapewnić, że władze sądownicze i organy śledcze dysponują środkami </w:t>
      </w:r>
      <w:r w:rsidR="005B3AA1" w:rsidRPr="00E60FD2">
        <w:rPr>
          <w:lang w:val="pl-PL"/>
        </w:rPr>
        <w:t xml:space="preserve">niezbędnymi </w:t>
      </w:r>
      <w:r w:rsidRPr="00E60FD2">
        <w:rPr>
          <w:lang w:val="pl-PL"/>
        </w:rPr>
        <w:t>d</w:t>
      </w:r>
      <w:r w:rsidR="005B3AA1" w:rsidRPr="00E60FD2">
        <w:rPr>
          <w:lang w:val="pl-PL"/>
        </w:rPr>
        <w:t>o</w:t>
      </w:r>
      <w:r w:rsidRPr="00E60FD2">
        <w:rPr>
          <w:lang w:val="pl-PL"/>
        </w:rPr>
        <w:t xml:space="preserve"> spełnienia tego wymogu.</w:t>
      </w:r>
    </w:p>
    <w:p w:rsidR="00345D55" w:rsidRPr="00E60FD2" w:rsidRDefault="00345D55" w:rsidP="00345D55">
      <w:pPr>
        <w:pStyle w:val="Akapitzlist"/>
        <w:rPr>
          <w:lang w:val="pl-PL"/>
        </w:rPr>
      </w:pPr>
    </w:p>
    <w:p w:rsidR="00345D55" w:rsidRPr="00E60FD2" w:rsidRDefault="00345D55">
      <w:pPr>
        <w:pStyle w:val="CMNormal"/>
        <w:numPr>
          <w:ilvl w:val="0"/>
          <w:numId w:val="17"/>
        </w:numPr>
        <w:ind w:left="0" w:firstLine="0"/>
        <w:rPr>
          <w:lang w:val="pl-PL"/>
        </w:rPr>
      </w:pPr>
      <w:r w:rsidRPr="00E60FD2">
        <w:rPr>
          <w:lang w:val="pl-PL"/>
        </w:rPr>
        <w:t xml:space="preserve">Osobom oskarżonym o popełnienie poważnych naruszeń praw człowieka przysługuje prawo do uczciwej i publicznej rozprawy sądowej w rozsądnym </w:t>
      </w:r>
      <w:r w:rsidR="00E57E6D" w:rsidRPr="00E60FD2">
        <w:rPr>
          <w:lang w:val="pl-PL"/>
        </w:rPr>
        <w:t>terminie</w:t>
      </w:r>
      <w:r w:rsidRPr="00E60FD2">
        <w:rPr>
          <w:lang w:val="pl-PL"/>
        </w:rPr>
        <w:t>, prowadzonej przez niezależny i bezstronny trybunał powołany zgodnie z prawem.</w:t>
      </w:r>
    </w:p>
    <w:p w:rsidR="004A79BB" w:rsidRPr="00E60FD2" w:rsidRDefault="004A79BB">
      <w:pPr>
        <w:pStyle w:val="CMNormal"/>
        <w:rPr>
          <w:b/>
          <w:lang w:val="pl-PL"/>
        </w:rPr>
      </w:pPr>
    </w:p>
    <w:p w:rsidR="004A79BB" w:rsidRPr="00E60FD2" w:rsidRDefault="00D357C2">
      <w:pPr>
        <w:pStyle w:val="CMNormal"/>
        <w:rPr>
          <w:b/>
          <w:lang w:val="pl-PL"/>
        </w:rPr>
      </w:pPr>
      <w:r w:rsidRPr="00E60FD2">
        <w:rPr>
          <w:b/>
          <w:lang w:val="pl-PL"/>
        </w:rPr>
        <w:t xml:space="preserve">X. </w:t>
      </w:r>
      <w:r w:rsidR="00345D55" w:rsidRPr="00E60FD2">
        <w:rPr>
          <w:b/>
          <w:lang w:val="pl-PL"/>
        </w:rPr>
        <w:t>Wyroki</w:t>
      </w:r>
    </w:p>
    <w:p w:rsidR="004A79BB" w:rsidRPr="00E60FD2" w:rsidRDefault="004A79BB">
      <w:pPr>
        <w:pStyle w:val="CMNormal"/>
        <w:rPr>
          <w:lang w:val="pl-PL"/>
        </w:rPr>
      </w:pPr>
    </w:p>
    <w:p w:rsidR="00345D55" w:rsidRPr="00E60FD2" w:rsidRDefault="00345D55">
      <w:pPr>
        <w:pStyle w:val="CMNormal"/>
        <w:rPr>
          <w:lang w:val="pl-PL"/>
        </w:rPr>
      </w:pPr>
      <w:r w:rsidRPr="00E60FD2">
        <w:rPr>
          <w:lang w:val="pl-PL"/>
        </w:rPr>
        <w:t xml:space="preserve">Respektując niezależność sądów należy wskazać, że w przypadku udowodnienia poważnych naruszeń praw człowieka sprawcę powinna spotkać </w:t>
      </w:r>
      <w:r w:rsidR="00E57E6D" w:rsidRPr="00E60FD2">
        <w:rPr>
          <w:lang w:val="pl-PL"/>
        </w:rPr>
        <w:t>stosowna</w:t>
      </w:r>
      <w:r w:rsidRPr="00E60FD2">
        <w:rPr>
          <w:lang w:val="pl-PL"/>
        </w:rPr>
        <w:t xml:space="preserve"> kara. Wydawane wyroki powinny być skuteczne, proporcjonalne i odpowiednie do popełnionego przestępstwa.</w:t>
      </w:r>
    </w:p>
    <w:p w:rsidR="004A79BB" w:rsidRPr="00E60FD2" w:rsidRDefault="004A79BB">
      <w:pPr>
        <w:pStyle w:val="CMNormal"/>
        <w:rPr>
          <w:lang w:val="pl-PL"/>
        </w:rPr>
      </w:pPr>
    </w:p>
    <w:p w:rsidR="00345D55" w:rsidRPr="00E60FD2" w:rsidRDefault="00D357C2">
      <w:pPr>
        <w:pStyle w:val="CMNormal"/>
        <w:rPr>
          <w:b/>
          <w:lang w:val="pl-PL"/>
        </w:rPr>
      </w:pPr>
      <w:r w:rsidRPr="00E60FD2">
        <w:rPr>
          <w:b/>
          <w:lang w:val="pl-PL"/>
        </w:rPr>
        <w:t xml:space="preserve">XI. </w:t>
      </w:r>
      <w:r w:rsidR="00345D55" w:rsidRPr="00E60FD2">
        <w:rPr>
          <w:b/>
          <w:lang w:val="pl-PL"/>
        </w:rPr>
        <w:t>Egzekwowanie wyroków sądów krajowych</w:t>
      </w:r>
    </w:p>
    <w:p w:rsidR="004A79BB" w:rsidRPr="00E60FD2" w:rsidRDefault="004A79BB">
      <w:pPr>
        <w:pStyle w:val="CMNormal"/>
        <w:rPr>
          <w:lang w:val="pl-PL"/>
        </w:rPr>
      </w:pPr>
    </w:p>
    <w:p w:rsidR="00345D55" w:rsidRPr="00E60FD2" w:rsidRDefault="00345D55">
      <w:pPr>
        <w:pStyle w:val="CMNormal"/>
        <w:rPr>
          <w:lang w:val="pl-PL"/>
        </w:rPr>
      </w:pPr>
      <w:r w:rsidRPr="00E60FD2">
        <w:rPr>
          <w:lang w:val="pl-PL"/>
        </w:rPr>
        <w:t>Wyroki wydawane przez sądy krajowe powinny być egzekwowane w pełni i bezzwłocznie przez odpowiednie organy.</w:t>
      </w:r>
    </w:p>
    <w:p w:rsidR="004A79BB" w:rsidRPr="00E60FD2" w:rsidRDefault="004A79BB">
      <w:pPr>
        <w:pStyle w:val="CMNormal"/>
        <w:rPr>
          <w:lang w:val="pl-PL"/>
        </w:rPr>
      </w:pPr>
    </w:p>
    <w:p w:rsidR="00345D55" w:rsidRPr="00E60FD2" w:rsidRDefault="00D357C2">
      <w:pPr>
        <w:pStyle w:val="CMNormal"/>
        <w:rPr>
          <w:b/>
          <w:lang w:val="pl-PL"/>
        </w:rPr>
      </w:pPr>
      <w:r w:rsidRPr="00E60FD2">
        <w:rPr>
          <w:b/>
          <w:lang w:val="pl-PL"/>
        </w:rPr>
        <w:t xml:space="preserve">XII. </w:t>
      </w:r>
      <w:r w:rsidR="00345D55" w:rsidRPr="00E60FD2">
        <w:rPr>
          <w:b/>
          <w:lang w:val="pl-PL"/>
        </w:rPr>
        <w:t>Współpraca międzynarodowa</w:t>
      </w:r>
    </w:p>
    <w:p w:rsidR="004A79BB" w:rsidRPr="00E60FD2" w:rsidRDefault="004A79BB">
      <w:pPr>
        <w:pStyle w:val="CMNormal"/>
        <w:rPr>
          <w:lang w:val="pl-PL"/>
        </w:rPr>
      </w:pPr>
    </w:p>
    <w:p w:rsidR="00345D55" w:rsidRPr="00E60FD2" w:rsidRDefault="00345D55">
      <w:pPr>
        <w:pStyle w:val="CMNormal"/>
        <w:rPr>
          <w:lang w:val="pl-PL"/>
        </w:rPr>
      </w:pPr>
      <w:r w:rsidRPr="00E60FD2">
        <w:rPr>
          <w:lang w:val="pl-PL"/>
        </w:rPr>
        <w:t xml:space="preserve">Współpraca międzynarodowa odgrywa ważną rolę w zwalczaniu bezkarności sprawców. Aby zapobiegać takiej bezkarności i ją wykorzenić, państwa muszą spełniać swoje obowiązki, w szczególności w odniesieniu do wzajemnej pomocy prawnej, ścigania sprawców i ekstradycji, w sposób zgodny z prawami człowieka, co obejmuje </w:t>
      </w:r>
      <w:r w:rsidR="005D6674" w:rsidRPr="00E60FD2">
        <w:rPr>
          <w:lang w:val="pl-PL"/>
        </w:rPr>
        <w:t>zasadę niedopuszczalności wydale</w:t>
      </w:r>
      <w:r w:rsidRPr="00E60FD2">
        <w:rPr>
          <w:lang w:val="pl-PL"/>
        </w:rPr>
        <w:t>nia</w:t>
      </w:r>
      <w:r w:rsidR="00422910" w:rsidRPr="00E60FD2">
        <w:rPr>
          <w:lang w:val="pl-PL"/>
        </w:rPr>
        <w:t>,</w:t>
      </w:r>
      <w:r w:rsidRPr="00E60FD2">
        <w:rPr>
          <w:lang w:val="pl-PL"/>
        </w:rPr>
        <w:t xml:space="preserve"> i </w:t>
      </w:r>
      <w:r w:rsidR="00422910" w:rsidRPr="00E60FD2">
        <w:rPr>
          <w:lang w:val="pl-PL"/>
        </w:rPr>
        <w:t xml:space="preserve">działając </w:t>
      </w:r>
      <w:r w:rsidRPr="00E60FD2">
        <w:rPr>
          <w:lang w:val="pl-PL"/>
        </w:rPr>
        <w:t xml:space="preserve">w dobrej wierze. W tym celu zachęca się państwa do </w:t>
      </w:r>
      <w:r w:rsidR="00E57E6D" w:rsidRPr="00E60FD2">
        <w:rPr>
          <w:lang w:val="pl-PL"/>
        </w:rPr>
        <w:t>rozszerzania</w:t>
      </w:r>
      <w:r w:rsidRPr="00E60FD2">
        <w:rPr>
          <w:lang w:val="pl-PL"/>
        </w:rPr>
        <w:t xml:space="preserve"> współpracy poza obowiązkowe ramy.</w:t>
      </w:r>
    </w:p>
    <w:p w:rsidR="004A79BB" w:rsidRPr="00E60FD2" w:rsidRDefault="004A79BB">
      <w:pPr>
        <w:pStyle w:val="CMNormal"/>
        <w:rPr>
          <w:lang w:val="pl-PL"/>
        </w:rPr>
      </w:pPr>
    </w:p>
    <w:p w:rsidR="00345D55" w:rsidRPr="00E60FD2" w:rsidRDefault="00D357C2">
      <w:pPr>
        <w:pStyle w:val="CMNormal"/>
        <w:rPr>
          <w:b/>
          <w:lang w:val="pl-PL"/>
        </w:rPr>
      </w:pPr>
      <w:r w:rsidRPr="00E60FD2">
        <w:rPr>
          <w:b/>
          <w:lang w:val="pl-PL"/>
        </w:rPr>
        <w:t xml:space="preserve">XIII. </w:t>
      </w:r>
      <w:r w:rsidR="00345D55" w:rsidRPr="00E60FD2">
        <w:rPr>
          <w:b/>
          <w:lang w:val="pl-PL"/>
        </w:rPr>
        <w:t>Odpowiedzialność podwładnych</w:t>
      </w:r>
    </w:p>
    <w:p w:rsidR="004A79BB" w:rsidRPr="00E60FD2" w:rsidRDefault="004A79BB">
      <w:pPr>
        <w:pStyle w:val="CMNormal"/>
        <w:rPr>
          <w:lang w:val="pl-PL"/>
        </w:rPr>
      </w:pPr>
    </w:p>
    <w:p w:rsidR="004A79BB" w:rsidRPr="00E60FD2" w:rsidRDefault="00345D55" w:rsidP="00345D55">
      <w:pPr>
        <w:pStyle w:val="CMNormal"/>
        <w:rPr>
          <w:lang w:val="pl-PL"/>
        </w:rPr>
      </w:pPr>
      <w:r w:rsidRPr="00E60FD2">
        <w:rPr>
          <w:lang w:val="pl-PL"/>
        </w:rPr>
        <w:t>Chociaż fakt przestrzegania rozkazów lub instrukcji przełożonych może wpływać na wymiar kary, nie może stanowić okoliczności wykluczającej odpowiedzialności podwładnych za poważne naruszenia praw człowieka.</w:t>
      </w:r>
    </w:p>
    <w:p w:rsidR="004A79BB" w:rsidRPr="00E60FD2" w:rsidRDefault="004A79BB">
      <w:pPr>
        <w:pStyle w:val="CMNormal"/>
        <w:rPr>
          <w:b/>
          <w:lang w:val="pl-PL"/>
        </w:rPr>
      </w:pPr>
    </w:p>
    <w:p w:rsidR="00345D55" w:rsidRPr="00E60FD2" w:rsidRDefault="00D357C2">
      <w:pPr>
        <w:pStyle w:val="CMNormal"/>
        <w:rPr>
          <w:b/>
          <w:lang w:val="pl-PL"/>
        </w:rPr>
      </w:pPr>
      <w:r w:rsidRPr="00E60FD2">
        <w:rPr>
          <w:b/>
          <w:lang w:val="pl-PL"/>
        </w:rPr>
        <w:t xml:space="preserve">XIV. </w:t>
      </w:r>
      <w:r w:rsidR="00345D55" w:rsidRPr="00E60FD2">
        <w:rPr>
          <w:b/>
          <w:lang w:val="pl-PL"/>
        </w:rPr>
        <w:t>Ograniczenia</w:t>
      </w:r>
    </w:p>
    <w:p w:rsidR="004A79BB" w:rsidRPr="00E60FD2" w:rsidRDefault="004A79BB">
      <w:pPr>
        <w:pStyle w:val="CMNormal"/>
        <w:rPr>
          <w:lang w:val="pl-PL"/>
        </w:rPr>
      </w:pPr>
    </w:p>
    <w:p w:rsidR="00345D55" w:rsidRPr="00E60FD2" w:rsidRDefault="00345D55">
      <w:pPr>
        <w:pStyle w:val="CMNormal"/>
        <w:rPr>
          <w:lang w:val="pl-PL"/>
        </w:rPr>
      </w:pPr>
      <w:r w:rsidRPr="00E60FD2">
        <w:rPr>
          <w:lang w:val="pl-PL"/>
        </w:rPr>
        <w:t xml:space="preserve">Państwa powinny wspierać wszystkimi możliwymi środkami dochodzenia w sprawie poważnych naruszeń praw człowieka i ściganie podejrzanych w takich sprawach. Prawne ograniczenia </w:t>
      </w:r>
      <w:r w:rsidR="00910F54" w:rsidRPr="00E60FD2">
        <w:rPr>
          <w:lang w:val="pl-PL"/>
        </w:rPr>
        <w:t>obowiązujące w takich dochodzeniach i ściganiu sprawców powinny być ograniczone do minimum, aby zapewnić osiągnięcie założonego celu.</w:t>
      </w:r>
    </w:p>
    <w:p w:rsidR="004A79BB" w:rsidRPr="00E60FD2" w:rsidRDefault="004A79BB">
      <w:pPr>
        <w:pStyle w:val="CMNormal"/>
        <w:rPr>
          <w:lang w:val="pl-PL"/>
        </w:rPr>
      </w:pPr>
    </w:p>
    <w:p w:rsidR="00910F54" w:rsidRPr="00E60FD2" w:rsidRDefault="00D357C2">
      <w:pPr>
        <w:pStyle w:val="CMNormal"/>
        <w:rPr>
          <w:b/>
          <w:lang w:val="pl-PL"/>
        </w:rPr>
      </w:pPr>
      <w:r w:rsidRPr="00E60FD2">
        <w:rPr>
          <w:b/>
          <w:lang w:val="pl-PL"/>
        </w:rPr>
        <w:t xml:space="preserve">XV. </w:t>
      </w:r>
      <w:r w:rsidR="00910F54" w:rsidRPr="00E60FD2">
        <w:rPr>
          <w:b/>
          <w:lang w:val="pl-PL"/>
        </w:rPr>
        <w:t>Mechanizmy pozasądowe</w:t>
      </w:r>
    </w:p>
    <w:p w:rsidR="004A79BB" w:rsidRPr="00E60FD2" w:rsidRDefault="004A79BB">
      <w:pPr>
        <w:pStyle w:val="CMNormal"/>
        <w:rPr>
          <w:lang w:val="pl-PL"/>
        </w:rPr>
      </w:pPr>
    </w:p>
    <w:p w:rsidR="00910F54" w:rsidRPr="00E60FD2" w:rsidRDefault="00910F54">
      <w:pPr>
        <w:pStyle w:val="CMNormal"/>
        <w:rPr>
          <w:iCs/>
          <w:lang w:val="pl-PL"/>
        </w:rPr>
      </w:pPr>
      <w:r w:rsidRPr="00E60FD2">
        <w:rPr>
          <w:iCs/>
          <w:lang w:val="pl-PL"/>
        </w:rPr>
        <w:t xml:space="preserve">Państwa powinny także uwzględnić możliwość wprowadzenia mechanizmów pozasądowych, takich jak </w:t>
      </w:r>
      <w:r w:rsidR="00422910" w:rsidRPr="00E60FD2">
        <w:rPr>
          <w:iCs/>
          <w:lang w:val="pl-PL"/>
        </w:rPr>
        <w:t xml:space="preserve">śledztwa </w:t>
      </w:r>
      <w:r w:rsidRPr="00E60FD2">
        <w:rPr>
          <w:iCs/>
          <w:lang w:val="pl-PL"/>
        </w:rPr>
        <w:t xml:space="preserve">parlamentarne lub inne </w:t>
      </w:r>
      <w:r w:rsidR="00422910" w:rsidRPr="00E60FD2">
        <w:rPr>
          <w:iCs/>
          <w:lang w:val="pl-PL"/>
        </w:rPr>
        <w:t xml:space="preserve">dochodzenia </w:t>
      </w:r>
      <w:r w:rsidRPr="00E60FD2">
        <w:rPr>
          <w:iCs/>
          <w:lang w:val="pl-PL"/>
        </w:rPr>
        <w:t>publiczne, działalność rzeczników praw człowieka, niezależne komisje i mediacja, które mogą stanowić użyteczne procedury uzupełniające dla krajowych środków prawnych gwarantowanych na mocy Konwencji.</w:t>
      </w:r>
    </w:p>
    <w:p w:rsidR="004A79BB" w:rsidRPr="00E60FD2" w:rsidRDefault="004A79BB">
      <w:pPr>
        <w:pStyle w:val="CMNormal"/>
        <w:rPr>
          <w:lang w:val="pl-PL"/>
        </w:rPr>
      </w:pPr>
    </w:p>
    <w:p w:rsidR="00910F54" w:rsidRPr="00E60FD2" w:rsidRDefault="00D357C2">
      <w:pPr>
        <w:pStyle w:val="CMNormal"/>
        <w:rPr>
          <w:b/>
          <w:lang w:val="pl-PL"/>
        </w:rPr>
      </w:pPr>
      <w:r w:rsidRPr="00E60FD2">
        <w:rPr>
          <w:b/>
          <w:lang w:val="pl-PL"/>
        </w:rPr>
        <w:t xml:space="preserve">XVI. </w:t>
      </w:r>
      <w:r w:rsidR="00910F54" w:rsidRPr="00E60FD2">
        <w:rPr>
          <w:b/>
          <w:lang w:val="pl-PL"/>
        </w:rPr>
        <w:t>Zadośćuczynienie</w:t>
      </w:r>
    </w:p>
    <w:p w:rsidR="004A79BB" w:rsidRPr="00E60FD2" w:rsidRDefault="004A79BB">
      <w:pPr>
        <w:pStyle w:val="CMNormal"/>
        <w:rPr>
          <w:lang w:val="pl-PL"/>
        </w:rPr>
      </w:pPr>
    </w:p>
    <w:p w:rsidR="00910F54" w:rsidRPr="00E60FD2" w:rsidRDefault="00910F54">
      <w:pPr>
        <w:pStyle w:val="CMNormal"/>
        <w:rPr>
          <w:lang w:val="pl-PL"/>
        </w:rPr>
      </w:pPr>
      <w:r w:rsidRPr="00E60FD2">
        <w:rPr>
          <w:lang w:val="pl-PL"/>
        </w:rPr>
        <w:t xml:space="preserve">Państwa powinny podejmować wszelkie odpowiednie działania w celu wprowadzenia dostępnych i skutecznych mechanizmów, które zapewniają, że ofiary poważnych naruszeń praw człowieka otrzymują bezzwłoczne i wystarczające zadośćuczynienie z tytułu </w:t>
      </w:r>
      <w:r w:rsidR="00F67DF7" w:rsidRPr="00E60FD2">
        <w:rPr>
          <w:lang w:val="pl-PL"/>
        </w:rPr>
        <w:t>doznanych</w:t>
      </w:r>
      <w:r w:rsidRPr="00E60FD2">
        <w:rPr>
          <w:lang w:val="pl-PL"/>
        </w:rPr>
        <w:t xml:space="preserve"> krzywd. Środki takie mogą obejmować rehabilitację, odszkodowanie, zadośćuczynienie, </w:t>
      </w:r>
      <w:r w:rsidR="00216493" w:rsidRPr="00E60FD2">
        <w:rPr>
          <w:lang w:val="pl-PL"/>
        </w:rPr>
        <w:t>rekompensaty</w:t>
      </w:r>
      <w:r w:rsidRPr="00E60FD2">
        <w:rPr>
          <w:lang w:val="pl-PL"/>
        </w:rPr>
        <w:t xml:space="preserve"> oraz ochronę przed ponownymi naruszeniami.</w:t>
      </w:r>
    </w:p>
    <w:sectPr w:rsidR="00910F54" w:rsidRPr="00E60FD2">
      <w:headerReference w:type="even" r:id="rId8"/>
      <w:headerReference w:type="default" r:id="rId9"/>
      <w:headerReference w:type="first" r:id="rId10"/>
      <w:pgSz w:w="11906" w:h="16838" w:code="9"/>
      <w:pgMar w:top="1418" w:right="1134" w:bottom="740" w:left="1134" w:header="709" w:footer="344" w:gutter="0"/>
      <w:cols w:space="720"/>
      <w:titlePg/>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6B87" w:rsidRDefault="00E06B87">
      <w:r>
        <w:separator/>
      </w:r>
    </w:p>
  </w:endnote>
  <w:endnote w:type="continuationSeparator" w:id="0">
    <w:p w:rsidR="00E06B87" w:rsidRDefault="00E06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6B87" w:rsidRDefault="00E06B87">
      <w:r>
        <w:separator/>
      </w:r>
    </w:p>
  </w:footnote>
  <w:footnote w:type="continuationSeparator" w:id="0">
    <w:p w:rsidR="00E06B87" w:rsidRDefault="00E06B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9BB" w:rsidRDefault="00D357C2">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0</w:t>
    </w:r>
    <w:r>
      <w:rPr>
        <w:rStyle w:val="Numerstrony"/>
      </w:rPr>
      <w:fldChar w:fldCharType="end"/>
    </w:r>
  </w:p>
  <w:p w:rsidR="004A79BB" w:rsidRDefault="00D357C2">
    <w:pPr>
      <w:pStyle w:val="Nagwek"/>
    </w:pPr>
    <w:r>
      <w:t>CM/Notes/1110/1.5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9BB" w:rsidRDefault="004A79BB">
    <w:pPr>
      <w:pStyle w:val="Nagwek"/>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9BB" w:rsidRDefault="004A79BB">
    <w:pPr>
      <w:pStyle w:val="Nagwek"/>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E03"/>
    <w:multiLevelType w:val="hybridMultilevel"/>
    <w:tmpl w:val="7E564700"/>
    <w:lvl w:ilvl="0" w:tplc="0407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CC228B0"/>
    <w:multiLevelType w:val="hybridMultilevel"/>
    <w:tmpl w:val="67A0FD26"/>
    <w:lvl w:ilvl="0" w:tplc="0407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2127231"/>
    <w:multiLevelType w:val="multilevel"/>
    <w:tmpl w:val="00FC1E90"/>
    <w:lvl w:ilvl="0">
      <w:start w:val="1"/>
      <w:numFmt w:val="upperRoman"/>
      <w:lvlText w:val="%1."/>
      <w:lvlJc w:val="left"/>
      <w:pPr>
        <w:tabs>
          <w:tab w:val="num" w:pos="360"/>
        </w:tabs>
        <w:ind w:left="0" w:firstLine="0"/>
      </w:pPr>
      <w:rPr>
        <w:rFonts w:hint="default"/>
      </w:rPr>
    </w:lvl>
    <w:lvl w:ilvl="1">
      <w:start w:val="1"/>
      <w:numFmt w:val="decimal"/>
      <w:lvlText w:val="%1.%2."/>
      <w:lvlJc w:val="left"/>
      <w:pPr>
        <w:tabs>
          <w:tab w:val="num" w:pos="1080"/>
        </w:tabs>
        <w:ind w:left="720" w:firstLine="0"/>
      </w:pPr>
      <w:rPr>
        <w:rFonts w:hint="default"/>
      </w:rPr>
    </w:lvl>
    <w:lvl w:ilvl="2">
      <w:start w:val="1"/>
      <w:numFmt w:val="decimal"/>
      <w:lvlText w:val="%1.%2.%3."/>
      <w:lvlJc w:val="left"/>
      <w:pPr>
        <w:tabs>
          <w:tab w:val="num" w:pos="1800"/>
        </w:tabs>
        <w:ind w:left="1440" w:firstLine="0"/>
      </w:pPr>
      <w:rPr>
        <w:rFonts w:hint="default"/>
      </w:rPr>
    </w:lvl>
    <w:lvl w:ilvl="3">
      <w:start w:val="1"/>
      <w:numFmt w:val="decimal"/>
      <w:pStyle w:val="COEHeading4"/>
      <w:lvlText w:val="%1.%2.%3.%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
    <w:nsid w:val="2ED152B3"/>
    <w:multiLevelType w:val="hybridMultilevel"/>
    <w:tmpl w:val="ACA02A40"/>
    <w:lvl w:ilvl="0" w:tplc="0407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379798E"/>
    <w:multiLevelType w:val="hybridMultilevel"/>
    <w:tmpl w:val="071AC88C"/>
    <w:lvl w:ilvl="0" w:tplc="0407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FB7034F"/>
    <w:multiLevelType w:val="hybridMultilevel"/>
    <w:tmpl w:val="F4C84346"/>
    <w:lvl w:ilvl="0" w:tplc="D2D24FF2">
      <w:start w:val="1"/>
      <w:numFmt w:val="bullet"/>
      <w:pStyle w:val="COE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41E539EA"/>
    <w:multiLevelType w:val="hybridMultilevel"/>
    <w:tmpl w:val="DCD2FDC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4BB6A11"/>
    <w:multiLevelType w:val="hybridMultilevel"/>
    <w:tmpl w:val="9C584BE8"/>
    <w:lvl w:ilvl="0" w:tplc="0407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4CC4E50"/>
    <w:multiLevelType w:val="hybridMultilevel"/>
    <w:tmpl w:val="25823474"/>
    <w:lvl w:ilvl="0" w:tplc="0407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FB95BB5"/>
    <w:multiLevelType w:val="hybridMultilevel"/>
    <w:tmpl w:val="D92AD1D0"/>
    <w:lvl w:ilvl="0" w:tplc="0407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AB42D9F"/>
    <w:multiLevelType w:val="multilevel"/>
    <w:tmpl w:val="BF7A66F2"/>
    <w:lvl w:ilvl="0">
      <w:start w:val="1"/>
      <w:numFmt w:val="upperRoman"/>
      <w:lvlText w:val="%1."/>
      <w:lvlJc w:val="left"/>
      <w:pPr>
        <w:tabs>
          <w:tab w:val="num" w:pos="360"/>
        </w:tabs>
        <w:ind w:left="0" w:firstLine="0"/>
      </w:pPr>
      <w:rPr>
        <w:rFonts w:hint="default"/>
      </w:rPr>
    </w:lvl>
    <w:lvl w:ilvl="1">
      <w:start w:val="1"/>
      <w:numFmt w:val="decimal"/>
      <w:lvlText w:val="%1.%2."/>
      <w:lvlJc w:val="left"/>
      <w:pPr>
        <w:tabs>
          <w:tab w:val="num" w:pos="1080"/>
        </w:tabs>
        <w:ind w:left="720" w:firstLine="0"/>
      </w:pPr>
      <w:rPr>
        <w:rFonts w:hint="default"/>
      </w:rPr>
    </w:lvl>
    <w:lvl w:ilvl="2">
      <w:start w:val="1"/>
      <w:numFmt w:val="decimal"/>
      <w:lvlText w:val="%1.%2.%3."/>
      <w:lvlJc w:val="left"/>
      <w:pPr>
        <w:tabs>
          <w:tab w:val="num" w:pos="1800"/>
        </w:tabs>
        <w:ind w:left="1440" w:firstLine="0"/>
      </w:pPr>
      <w:rPr>
        <w:rFonts w:hint="default"/>
      </w:rPr>
    </w:lvl>
    <w:lvl w:ilvl="3">
      <w:start w:val="1"/>
      <w:numFmt w:val="decimal"/>
      <w:pStyle w:val="Nagwek4"/>
      <w:lvlText w:val="%1.%2.%3.%4."/>
      <w:lvlJc w:val="left"/>
      <w:pPr>
        <w:tabs>
          <w:tab w:val="num" w:pos="2520"/>
        </w:tabs>
        <w:ind w:left="2160" w:firstLine="0"/>
      </w:pPr>
      <w:rPr>
        <w:rFonts w:hint="default"/>
      </w:rPr>
    </w:lvl>
    <w:lvl w:ilvl="4">
      <w:start w:val="1"/>
      <w:numFmt w:val="decimal"/>
      <w:pStyle w:val="Nagwek5"/>
      <w:lvlText w:val="(%5)"/>
      <w:lvlJc w:val="left"/>
      <w:pPr>
        <w:tabs>
          <w:tab w:val="num" w:pos="3240"/>
        </w:tabs>
        <w:ind w:left="2880" w:firstLine="0"/>
      </w:pPr>
      <w:rPr>
        <w:rFonts w:hint="default"/>
      </w:rPr>
    </w:lvl>
    <w:lvl w:ilvl="5">
      <w:start w:val="1"/>
      <w:numFmt w:val="lowerLetter"/>
      <w:pStyle w:val="Nagwek6"/>
      <w:lvlText w:val="(%6)"/>
      <w:lvlJc w:val="left"/>
      <w:pPr>
        <w:tabs>
          <w:tab w:val="num" w:pos="3960"/>
        </w:tabs>
        <w:ind w:left="3600" w:firstLine="0"/>
      </w:pPr>
      <w:rPr>
        <w:rFonts w:hint="default"/>
      </w:rPr>
    </w:lvl>
    <w:lvl w:ilvl="6">
      <w:start w:val="1"/>
      <w:numFmt w:val="lowerRoman"/>
      <w:pStyle w:val="Nagwek7"/>
      <w:lvlText w:val="(%7)"/>
      <w:lvlJc w:val="left"/>
      <w:pPr>
        <w:tabs>
          <w:tab w:val="num" w:pos="4680"/>
        </w:tabs>
        <w:ind w:left="4320" w:firstLine="0"/>
      </w:pPr>
      <w:rPr>
        <w:rFonts w:hint="default"/>
      </w:rPr>
    </w:lvl>
    <w:lvl w:ilvl="7">
      <w:start w:val="1"/>
      <w:numFmt w:val="lowerLetter"/>
      <w:pStyle w:val="Nagwek8"/>
      <w:lvlText w:val="(%8)"/>
      <w:lvlJc w:val="left"/>
      <w:pPr>
        <w:tabs>
          <w:tab w:val="num" w:pos="5400"/>
        </w:tabs>
        <w:ind w:left="5040" w:firstLine="0"/>
      </w:pPr>
      <w:rPr>
        <w:rFonts w:hint="default"/>
      </w:rPr>
    </w:lvl>
    <w:lvl w:ilvl="8">
      <w:start w:val="1"/>
      <w:numFmt w:val="lowerRoman"/>
      <w:pStyle w:val="Nagwek9"/>
      <w:lvlText w:val="(%9)"/>
      <w:lvlJc w:val="left"/>
      <w:pPr>
        <w:tabs>
          <w:tab w:val="num" w:pos="6120"/>
        </w:tabs>
        <w:ind w:left="5760" w:firstLine="0"/>
      </w:pPr>
      <w:rPr>
        <w:rFonts w:hint="default"/>
      </w:rPr>
    </w:lvl>
  </w:abstractNum>
  <w:num w:numId="1">
    <w:abstractNumId w:val="5"/>
  </w:num>
  <w:num w:numId="2">
    <w:abstractNumId w:val="2"/>
  </w:num>
  <w:num w:numId="3">
    <w:abstractNumId w:val="10"/>
  </w:num>
  <w:num w:numId="4">
    <w:abstractNumId w:val="10"/>
  </w:num>
  <w:num w:numId="5">
    <w:abstractNumId w:val="10"/>
  </w:num>
  <w:num w:numId="6">
    <w:abstractNumId w:val="10"/>
  </w:num>
  <w:num w:numId="7">
    <w:abstractNumId w:val="10"/>
  </w:num>
  <w:num w:numId="8">
    <w:abstractNumId w:val="10"/>
  </w:num>
  <w:num w:numId="9">
    <w:abstractNumId w:val="5"/>
  </w:num>
  <w:num w:numId="10">
    <w:abstractNumId w:val="2"/>
  </w:num>
  <w:num w:numId="11">
    <w:abstractNumId w:val="10"/>
  </w:num>
  <w:num w:numId="12">
    <w:abstractNumId w:val="10"/>
  </w:num>
  <w:num w:numId="13">
    <w:abstractNumId w:val="10"/>
  </w:num>
  <w:num w:numId="14">
    <w:abstractNumId w:val="10"/>
  </w:num>
  <w:num w:numId="15">
    <w:abstractNumId w:val="10"/>
  </w:num>
  <w:num w:numId="16">
    <w:abstractNumId w:val="10"/>
  </w:num>
  <w:num w:numId="17">
    <w:abstractNumId w:val="6"/>
  </w:num>
  <w:num w:numId="18">
    <w:abstractNumId w:val="3"/>
  </w:num>
  <w:num w:numId="19">
    <w:abstractNumId w:val="0"/>
  </w:num>
  <w:num w:numId="20">
    <w:abstractNumId w:val="4"/>
  </w:num>
  <w:num w:numId="21">
    <w:abstractNumId w:val="9"/>
  </w:num>
  <w:num w:numId="22">
    <w:abstractNumId w:val="1"/>
  </w:num>
  <w:num w:numId="23">
    <w:abstractNumId w:val="7"/>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ttachedTemplate r:id="rId1"/>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164"/>
    <w:rsid w:val="000279A8"/>
    <w:rsid w:val="00063179"/>
    <w:rsid w:val="00090F8D"/>
    <w:rsid w:val="000A6442"/>
    <w:rsid w:val="001552C5"/>
    <w:rsid w:val="00165BBB"/>
    <w:rsid w:val="00216493"/>
    <w:rsid w:val="002210B0"/>
    <w:rsid w:val="00226015"/>
    <w:rsid w:val="00251796"/>
    <w:rsid w:val="00293AB2"/>
    <w:rsid w:val="00301C27"/>
    <w:rsid w:val="00301D40"/>
    <w:rsid w:val="00317A0E"/>
    <w:rsid w:val="00345D55"/>
    <w:rsid w:val="00367696"/>
    <w:rsid w:val="003751B0"/>
    <w:rsid w:val="0039153E"/>
    <w:rsid w:val="003E1F25"/>
    <w:rsid w:val="00422910"/>
    <w:rsid w:val="004A5370"/>
    <w:rsid w:val="004A79BB"/>
    <w:rsid w:val="004F0EF5"/>
    <w:rsid w:val="00505677"/>
    <w:rsid w:val="00556CF4"/>
    <w:rsid w:val="005B3AA1"/>
    <w:rsid w:val="005D6674"/>
    <w:rsid w:val="006303C5"/>
    <w:rsid w:val="006E77BB"/>
    <w:rsid w:val="007604A0"/>
    <w:rsid w:val="007A1855"/>
    <w:rsid w:val="007E144C"/>
    <w:rsid w:val="008231CE"/>
    <w:rsid w:val="008236BB"/>
    <w:rsid w:val="00863431"/>
    <w:rsid w:val="008D418F"/>
    <w:rsid w:val="00910F54"/>
    <w:rsid w:val="009260E9"/>
    <w:rsid w:val="00946ECC"/>
    <w:rsid w:val="00954581"/>
    <w:rsid w:val="009E04B0"/>
    <w:rsid w:val="00BD06BF"/>
    <w:rsid w:val="00BF67F3"/>
    <w:rsid w:val="00C760D4"/>
    <w:rsid w:val="00D357C2"/>
    <w:rsid w:val="00D44373"/>
    <w:rsid w:val="00D86776"/>
    <w:rsid w:val="00DA6AAA"/>
    <w:rsid w:val="00DD56D8"/>
    <w:rsid w:val="00E041FA"/>
    <w:rsid w:val="00E06B87"/>
    <w:rsid w:val="00E20F89"/>
    <w:rsid w:val="00E3394B"/>
    <w:rsid w:val="00E57E6D"/>
    <w:rsid w:val="00E60FD2"/>
    <w:rsid w:val="00E70C5D"/>
    <w:rsid w:val="00E718D0"/>
    <w:rsid w:val="00EF3164"/>
    <w:rsid w:val="00F425DF"/>
    <w:rsid w:val="00F67DF7"/>
    <w:rsid w:val="00F74844"/>
    <w:rsid w:val="00FE79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rFonts w:ascii="Arial" w:hAnsi="Arial"/>
      <w:szCs w:val="24"/>
      <w:lang w:val="en-GB" w:eastAsia="fr-FR"/>
    </w:rPr>
  </w:style>
  <w:style w:type="paragraph" w:styleId="Nagwek1">
    <w:name w:val="heading 1"/>
    <w:basedOn w:val="Normalny"/>
    <w:next w:val="Normalny"/>
    <w:autoRedefine/>
    <w:qFormat/>
    <w:pPr>
      <w:keepNext/>
      <w:spacing w:before="240" w:after="60"/>
      <w:ind w:left="720"/>
      <w:outlineLvl w:val="0"/>
    </w:pPr>
    <w:rPr>
      <w:rFonts w:cs="Arial"/>
      <w:bCs/>
      <w:kern w:val="32"/>
      <w:sz w:val="24"/>
      <w:szCs w:val="32"/>
    </w:rPr>
  </w:style>
  <w:style w:type="paragraph" w:styleId="Nagwek2">
    <w:name w:val="heading 2"/>
    <w:basedOn w:val="Normalny"/>
    <w:next w:val="Normalny"/>
    <w:autoRedefine/>
    <w:qFormat/>
    <w:pPr>
      <w:keepNext/>
      <w:spacing w:before="240" w:after="60"/>
      <w:ind w:left="720"/>
      <w:outlineLvl w:val="1"/>
    </w:pPr>
    <w:rPr>
      <w:rFonts w:cs="Arial"/>
      <w:b/>
      <w:bCs/>
      <w:iCs/>
      <w:sz w:val="22"/>
      <w:szCs w:val="28"/>
    </w:rPr>
  </w:style>
  <w:style w:type="paragraph" w:styleId="Nagwek3">
    <w:name w:val="heading 3"/>
    <w:basedOn w:val="Normalny"/>
    <w:next w:val="Normalny"/>
    <w:qFormat/>
    <w:pPr>
      <w:keepNext/>
      <w:spacing w:before="240" w:after="60"/>
      <w:outlineLvl w:val="2"/>
    </w:pPr>
    <w:rPr>
      <w:rFonts w:cs="Arial"/>
      <w:b/>
      <w:bCs/>
      <w:sz w:val="26"/>
      <w:szCs w:val="26"/>
    </w:rPr>
  </w:style>
  <w:style w:type="paragraph" w:styleId="Nagwek4">
    <w:name w:val="heading 4"/>
    <w:basedOn w:val="Normalny"/>
    <w:next w:val="Normalny"/>
    <w:qFormat/>
    <w:pPr>
      <w:keepNext/>
      <w:numPr>
        <w:ilvl w:val="3"/>
        <w:numId w:val="16"/>
      </w:numPr>
      <w:spacing w:before="240" w:after="60"/>
      <w:outlineLvl w:val="3"/>
    </w:pPr>
    <w:rPr>
      <w:rFonts w:ascii="Times New Roman" w:hAnsi="Times New Roman"/>
      <w:b/>
      <w:bCs/>
      <w:sz w:val="28"/>
      <w:szCs w:val="28"/>
    </w:rPr>
  </w:style>
  <w:style w:type="paragraph" w:styleId="Nagwek5">
    <w:name w:val="heading 5"/>
    <w:basedOn w:val="Normalny"/>
    <w:qFormat/>
    <w:pPr>
      <w:numPr>
        <w:ilvl w:val="4"/>
        <w:numId w:val="16"/>
      </w:numPr>
      <w:spacing w:before="100" w:beforeAutospacing="1" w:after="100" w:afterAutospacing="1"/>
      <w:outlineLvl w:val="4"/>
    </w:pPr>
    <w:rPr>
      <w:szCs w:val="20"/>
      <w:lang w:val="en-US" w:eastAsia="en-US"/>
    </w:rPr>
  </w:style>
  <w:style w:type="paragraph" w:styleId="Nagwek6">
    <w:name w:val="heading 6"/>
    <w:basedOn w:val="Normalny"/>
    <w:next w:val="Normalny"/>
    <w:qFormat/>
    <w:pPr>
      <w:numPr>
        <w:ilvl w:val="5"/>
        <w:numId w:val="16"/>
      </w:numPr>
      <w:spacing w:before="240" w:after="60"/>
      <w:outlineLvl w:val="5"/>
    </w:pPr>
    <w:rPr>
      <w:rFonts w:ascii="Times New Roman" w:hAnsi="Times New Roman"/>
      <w:b/>
      <w:bCs/>
      <w:sz w:val="22"/>
      <w:szCs w:val="22"/>
    </w:rPr>
  </w:style>
  <w:style w:type="paragraph" w:styleId="Nagwek7">
    <w:name w:val="heading 7"/>
    <w:basedOn w:val="Normalny"/>
    <w:next w:val="Normalny"/>
    <w:qFormat/>
    <w:pPr>
      <w:numPr>
        <w:ilvl w:val="6"/>
        <w:numId w:val="16"/>
      </w:numPr>
      <w:spacing w:before="240" w:after="60"/>
      <w:outlineLvl w:val="6"/>
    </w:pPr>
    <w:rPr>
      <w:rFonts w:ascii="Times New Roman" w:hAnsi="Times New Roman"/>
      <w:sz w:val="24"/>
    </w:rPr>
  </w:style>
  <w:style w:type="paragraph" w:styleId="Nagwek8">
    <w:name w:val="heading 8"/>
    <w:basedOn w:val="Normalny"/>
    <w:next w:val="Normalny"/>
    <w:qFormat/>
    <w:pPr>
      <w:numPr>
        <w:ilvl w:val="7"/>
        <w:numId w:val="16"/>
      </w:numPr>
      <w:spacing w:before="240" w:after="60"/>
      <w:outlineLvl w:val="7"/>
    </w:pPr>
    <w:rPr>
      <w:rFonts w:ascii="Times New Roman" w:hAnsi="Times New Roman"/>
      <w:i/>
      <w:iCs/>
      <w:sz w:val="24"/>
    </w:rPr>
  </w:style>
  <w:style w:type="paragraph" w:styleId="Nagwek9">
    <w:name w:val="heading 9"/>
    <w:basedOn w:val="Normalny"/>
    <w:next w:val="Normalny"/>
    <w:qFormat/>
    <w:pPr>
      <w:numPr>
        <w:ilvl w:val="8"/>
        <w:numId w:val="16"/>
      </w:numPr>
      <w:spacing w:before="240" w:after="60"/>
      <w:outlineLvl w:val="8"/>
    </w:pPr>
    <w:rPr>
      <w:rFonts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COECote">
    <w:name w:val="COE_Cote"/>
    <w:basedOn w:val="Normalny"/>
    <w:pPr>
      <w:spacing w:before="240"/>
    </w:pPr>
    <w:rPr>
      <w:b/>
      <w:sz w:val="22"/>
      <w:szCs w:val="22"/>
    </w:rPr>
  </w:style>
  <w:style w:type="paragraph" w:customStyle="1" w:styleId="COEEnceinte">
    <w:name w:val="COE_Enceinte"/>
    <w:basedOn w:val="COECote"/>
    <w:rPr>
      <w:b w:val="0"/>
      <w:i/>
      <w:color w:val="808080"/>
      <w:sz w:val="28"/>
      <w:szCs w:val="28"/>
    </w:rPr>
  </w:style>
  <w:style w:type="paragraph" w:customStyle="1" w:styleId="COEHeading1">
    <w:name w:val="COE_Heading1"/>
    <w:basedOn w:val="Normalny"/>
    <w:autoRedefine/>
    <w:rPr>
      <w:b/>
      <w:sz w:val="24"/>
      <w:szCs w:val="32"/>
      <w:lang w:eastAsia="en-US"/>
    </w:rPr>
  </w:style>
  <w:style w:type="paragraph" w:customStyle="1" w:styleId="COEHeading2">
    <w:name w:val="COE_Heading2"/>
    <w:basedOn w:val="Normalny"/>
    <w:autoRedefine/>
    <w:rPr>
      <w:rFonts w:ascii="Verdana" w:hAnsi="Verdana"/>
      <w:b/>
      <w:szCs w:val="28"/>
      <w:lang w:eastAsia="en-US"/>
    </w:rPr>
  </w:style>
  <w:style w:type="paragraph" w:customStyle="1" w:styleId="COEHeading3">
    <w:name w:val="COE_Heading3"/>
    <w:basedOn w:val="Normalny"/>
    <w:autoRedefine/>
    <w:pPr>
      <w:outlineLvl w:val="2"/>
    </w:pPr>
    <w:rPr>
      <w:rFonts w:ascii="Helvetica" w:hAnsi="Helvetica"/>
      <w:i/>
    </w:rPr>
  </w:style>
  <w:style w:type="paragraph" w:customStyle="1" w:styleId="COEWord">
    <w:name w:val="COE_Word"/>
    <w:basedOn w:val="Normalny"/>
    <w:pPr>
      <w:jc w:val="right"/>
    </w:pPr>
    <w:rPr>
      <w:i/>
      <w:iCs/>
    </w:rPr>
  </w:style>
  <w:style w:type="paragraph" w:customStyle="1" w:styleId="COENoLignes">
    <w:name w:val="COE_NoLignes"/>
    <w:rPr>
      <w:rFonts w:ascii="Arial" w:hAnsi="Arial"/>
      <w:lang w:val="en-US" w:eastAsia="en-US"/>
    </w:rPr>
  </w:style>
  <w:style w:type="character" w:styleId="Numerstrony">
    <w:name w:val="page number"/>
    <w:basedOn w:val="Domylnaczcionkaakapitu"/>
    <w:semiHidden/>
  </w:style>
  <w:style w:type="paragraph" w:customStyle="1" w:styleId="CMAuthor">
    <w:name w:val="CM_Author"/>
    <w:basedOn w:val="COEEnceinte"/>
    <w:qFormat/>
    <w:pPr>
      <w:suppressLineNumbers/>
      <w:tabs>
        <w:tab w:val="center" w:pos="4513"/>
        <w:tab w:val="right" w:pos="9027"/>
      </w:tabs>
      <w:suppressAutoHyphens/>
      <w:spacing w:before="0"/>
    </w:pPr>
    <w:rPr>
      <w:rFonts w:ascii="Times New Roman" w:hAnsi="Times New Roman"/>
      <w:b/>
      <w:szCs w:val="24"/>
    </w:rPr>
  </w:style>
  <w:style w:type="paragraph" w:customStyle="1" w:styleId="COETitre">
    <w:name w:val="COE_Titre"/>
    <w:basedOn w:val="Normalny"/>
    <w:pPr>
      <w:spacing w:before="360" w:after="240"/>
    </w:pPr>
    <w:rPr>
      <w:sz w:val="36"/>
      <w:szCs w:val="36"/>
    </w:rPr>
  </w:style>
  <w:style w:type="paragraph" w:customStyle="1" w:styleId="COEType">
    <w:name w:val="COE_Type"/>
    <w:basedOn w:val="Normalny"/>
    <w:pPr>
      <w:spacing w:before="240"/>
    </w:pPr>
    <w:rPr>
      <w:b/>
      <w:sz w:val="28"/>
      <w:szCs w:val="28"/>
    </w:rPr>
  </w:style>
  <w:style w:type="character" w:styleId="UyteHipercze">
    <w:name w:val="FollowedHyperlink"/>
    <w:basedOn w:val="Domylnaczcionkaakapitu"/>
    <w:semiHidden/>
    <w:rPr>
      <w:color w:val="606420"/>
      <w:u w:val="single"/>
    </w:rPr>
  </w:style>
  <w:style w:type="paragraph" w:styleId="Stopka">
    <w:name w:val="footer"/>
    <w:basedOn w:val="Normalny"/>
    <w:semiHidden/>
    <w:rPr>
      <w:sz w:val="16"/>
    </w:rPr>
  </w:style>
  <w:style w:type="character" w:styleId="Odwoanieprzypisudolnego">
    <w:name w:val="footnote reference"/>
    <w:aliases w:val="Footnotes refss Car Char Car Char,callout Car Car Char Char Car Car Char Char"/>
    <w:basedOn w:val="Domylnaczcionkaakapitu"/>
    <w:semiHidden/>
    <w:rPr>
      <w:vertAlign w:val="superscript"/>
    </w:rPr>
  </w:style>
  <w:style w:type="paragraph" w:styleId="Tekstprzypisudolnego">
    <w:name w:val="footnote text"/>
    <w:aliases w:val="Voetnoottekst Char,Footnote Text Char,Footnote Text Char1,Footnote Text Char Char,Footnote Text Char2 Char Char,Footnote Text Char2 Char,Footnote Text Char Char1 Char,Footnote Text Char2 Char Char1 Char"/>
    <w:basedOn w:val="COESource"/>
    <w:semiHidden/>
    <w:rPr>
      <w:szCs w:val="20"/>
    </w:rPr>
  </w:style>
  <w:style w:type="paragraph" w:styleId="Nagwek">
    <w:name w:val="header"/>
    <w:basedOn w:val="Normalny"/>
    <w:semiHidden/>
    <w:pPr>
      <w:tabs>
        <w:tab w:val="center" w:pos="4320"/>
        <w:tab w:val="right" w:pos="8640"/>
      </w:tabs>
    </w:pPr>
  </w:style>
  <w:style w:type="character" w:styleId="Hipercze">
    <w:name w:val="Hyperlink"/>
    <w:basedOn w:val="Domylnaczcionkaakapitu"/>
    <w:semiHidden/>
    <w:rPr>
      <w:color w:val="0000FF"/>
      <w:u w:val="single"/>
    </w:rPr>
  </w:style>
  <w:style w:type="paragraph" w:customStyle="1" w:styleId="CMCote">
    <w:name w:val="CM_Cote"/>
    <w:basedOn w:val="Normalny"/>
    <w:qFormat/>
    <w:pPr>
      <w:spacing w:before="120"/>
    </w:pPr>
    <w:rPr>
      <w:b/>
      <w:sz w:val="22"/>
      <w:szCs w:val="22"/>
    </w:rPr>
  </w:style>
  <w:style w:type="paragraph" w:customStyle="1" w:styleId="CMTitle">
    <w:name w:val="CM_Title"/>
    <w:basedOn w:val="COETitre"/>
    <w:autoRedefine/>
    <w:qFormat/>
    <w:pPr>
      <w:spacing w:before="0" w:after="0"/>
    </w:pPr>
    <w:rPr>
      <w:b/>
      <w:szCs w:val="32"/>
    </w:rPr>
  </w:style>
  <w:style w:type="paragraph" w:customStyle="1" w:styleId="CMDocType">
    <w:name w:val="CM_DocType"/>
    <w:basedOn w:val="CMTitle"/>
    <w:autoRedefine/>
    <w:qFormat/>
    <w:rPr>
      <w:rFonts w:ascii="Verdana" w:hAnsi="Verdana"/>
      <w:sz w:val="32"/>
    </w:rPr>
  </w:style>
  <w:style w:type="paragraph" w:customStyle="1" w:styleId="CMEnceinte">
    <w:name w:val="CM_Enceinte"/>
    <w:basedOn w:val="COEEnceinte"/>
    <w:qFormat/>
    <w:pPr>
      <w:suppressLineNumbers/>
      <w:tabs>
        <w:tab w:val="center" w:pos="4513"/>
        <w:tab w:val="right" w:pos="9027"/>
      </w:tabs>
      <w:suppressAutoHyphens/>
      <w:spacing w:before="0"/>
    </w:pPr>
    <w:rPr>
      <w:rFonts w:ascii="Times New Roman" w:hAnsi="Times New Roman"/>
      <w:b/>
      <w:szCs w:val="24"/>
    </w:rPr>
  </w:style>
  <w:style w:type="paragraph" w:customStyle="1" w:styleId="CMhLine">
    <w:name w:val="CM_hLine"/>
    <w:basedOn w:val="CMTitle"/>
    <w:qFormat/>
    <w:pPr>
      <w:pBdr>
        <w:bottom w:val="single" w:sz="18" w:space="1" w:color="auto"/>
      </w:pBdr>
      <w:spacing w:after="240"/>
      <w:ind w:right="5243"/>
    </w:pPr>
    <w:rPr>
      <w:sz w:val="22"/>
    </w:rPr>
  </w:style>
  <w:style w:type="paragraph" w:customStyle="1" w:styleId="CMLinkedDocs">
    <w:name w:val="CM_LinkedDocs"/>
    <w:basedOn w:val="Normalny"/>
    <w:rPr>
      <w:sz w:val="16"/>
    </w:rPr>
  </w:style>
  <w:style w:type="paragraph" w:customStyle="1" w:styleId="CMMainSubTitle">
    <w:name w:val="CM_MainSubTitle"/>
    <w:basedOn w:val="Normalny"/>
    <w:autoRedefine/>
    <w:rPr>
      <w:sz w:val="32"/>
    </w:rPr>
  </w:style>
  <w:style w:type="paragraph" w:customStyle="1" w:styleId="CMRevision">
    <w:name w:val="CM_Revision"/>
    <w:basedOn w:val="Normalny"/>
    <w:rPr>
      <w:rFonts w:cs="Arial"/>
      <w:color w:val="FF0000"/>
      <w:szCs w:val="20"/>
      <w:shd w:val="clear" w:color="auto" w:fill="D9D9D9"/>
      <w:lang w:eastAsia="en-US"/>
    </w:rPr>
  </w:style>
  <w:style w:type="character" w:customStyle="1" w:styleId="CMRevisionChar">
    <w:name w:val="CM_Revision Char"/>
    <w:basedOn w:val="Domylnaczcionkaakapitu"/>
    <w:rPr>
      <w:rFonts w:ascii="Arial" w:hAnsi="Arial" w:cs="Arial"/>
      <w:color w:val="FF0000"/>
      <w:shd w:val="clear" w:color="auto" w:fill="D9D9D9"/>
      <w:lang w:val="en-GB" w:eastAsia="en-US" w:bidi="ar-SA"/>
    </w:rPr>
  </w:style>
  <w:style w:type="paragraph" w:customStyle="1" w:styleId="CMRevisionInside">
    <w:name w:val="CM_RevisionInside"/>
    <w:basedOn w:val="Normalny"/>
    <w:rPr>
      <w:color w:val="FF0000"/>
      <w:shd w:val="clear" w:color="auto" w:fill="D9D9D9"/>
    </w:rPr>
  </w:style>
  <w:style w:type="character" w:customStyle="1" w:styleId="CMRevisionInsideCharChar">
    <w:name w:val="CM_RevisionInside Char Char"/>
    <w:basedOn w:val="Domylnaczcionkaakapitu"/>
    <w:rPr>
      <w:rFonts w:ascii="Arial" w:hAnsi="Arial"/>
      <w:color w:val="FF0000"/>
      <w:szCs w:val="24"/>
      <w:shd w:val="clear" w:color="auto" w:fill="D9D9D9"/>
      <w:lang w:val="en-GB" w:eastAsia="fr-FR" w:bidi="ar-SA"/>
    </w:rPr>
  </w:style>
  <w:style w:type="paragraph" w:customStyle="1" w:styleId="CMSpace">
    <w:name w:val="CM_Space"/>
    <w:basedOn w:val="Normalny"/>
    <w:qFormat/>
  </w:style>
  <w:style w:type="paragraph" w:customStyle="1" w:styleId="CMSubTitle">
    <w:name w:val="CM_SubTitle"/>
    <w:basedOn w:val="Normalny"/>
    <w:qFormat/>
    <w:rPr>
      <w:sz w:val="22"/>
      <w:szCs w:val="22"/>
    </w:rPr>
  </w:style>
  <w:style w:type="paragraph" w:customStyle="1" w:styleId="COEAbstract">
    <w:name w:val="COE_Abstract"/>
    <w:pPr>
      <w:spacing w:before="120" w:after="120"/>
    </w:pPr>
    <w:rPr>
      <w:rFonts w:ascii="Verdana" w:hAnsi="Verdana"/>
      <w:lang w:val="fr-FR" w:eastAsia="en-US"/>
    </w:rPr>
  </w:style>
  <w:style w:type="character" w:customStyle="1" w:styleId="COEAbstractChar">
    <w:name w:val="COE_Abstract Char"/>
    <w:basedOn w:val="Domylnaczcionkaakapitu"/>
    <w:rPr>
      <w:rFonts w:ascii="Verdana" w:hAnsi="Verdana"/>
      <w:lang w:val="fr-FR" w:eastAsia="en-US" w:bidi="ar-SA"/>
    </w:rPr>
  </w:style>
  <w:style w:type="paragraph" w:customStyle="1" w:styleId="COEBullet">
    <w:name w:val="COE_Bullet"/>
    <w:basedOn w:val="Normalny"/>
    <w:pPr>
      <w:numPr>
        <w:numId w:val="9"/>
      </w:numPr>
      <w:spacing w:after="60"/>
    </w:pPr>
  </w:style>
  <w:style w:type="paragraph" w:customStyle="1" w:styleId="COEDate">
    <w:name w:val="COE_Date"/>
    <w:next w:val="Normalny"/>
    <w:pPr>
      <w:spacing w:before="120" w:after="120"/>
    </w:pPr>
    <w:rPr>
      <w:rFonts w:ascii="Verdana" w:hAnsi="Verdana"/>
      <w:b/>
      <w:color w:val="808080"/>
      <w:szCs w:val="22"/>
      <w:lang w:val="en-US" w:eastAsia="fr-FR"/>
    </w:rPr>
  </w:style>
  <w:style w:type="paragraph" w:customStyle="1" w:styleId="COEFootnote">
    <w:name w:val="COE_Footnote"/>
    <w:basedOn w:val="Normalny"/>
    <w:next w:val="Normalny"/>
    <w:pPr>
      <w:spacing w:before="60" w:after="60"/>
    </w:pPr>
    <w:rPr>
      <w:i/>
    </w:rPr>
  </w:style>
  <w:style w:type="character" w:customStyle="1" w:styleId="COEHeading1Char">
    <w:name w:val="COE_Heading1 Char"/>
    <w:basedOn w:val="Domylnaczcionkaakapitu"/>
    <w:rPr>
      <w:rFonts w:ascii="Arial" w:hAnsi="Arial"/>
      <w:b/>
      <w:sz w:val="24"/>
      <w:szCs w:val="32"/>
      <w:lang w:val="en-GB" w:eastAsia="en-US" w:bidi="ar-SA"/>
    </w:rPr>
  </w:style>
  <w:style w:type="paragraph" w:customStyle="1" w:styleId="COEHeading4">
    <w:name w:val="COE_Heading4"/>
    <w:basedOn w:val="Normalny"/>
    <w:next w:val="Normalny"/>
    <w:pPr>
      <w:numPr>
        <w:ilvl w:val="3"/>
        <w:numId w:val="10"/>
      </w:numPr>
    </w:pPr>
  </w:style>
  <w:style w:type="paragraph" w:customStyle="1" w:styleId="COEIMGPROTECTED">
    <w:name w:val="COE_IMG_PROTECTED"/>
    <w:basedOn w:val="Normalny"/>
    <w:pPr>
      <w:jc w:val="center"/>
    </w:pPr>
  </w:style>
  <w:style w:type="paragraph" w:customStyle="1" w:styleId="COEInconnu">
    <w:name w:val="COE_Inconnu"/>
    <w:basedOn w:val="COEType"/>
    <w:pPr>
      <w:spacing w:before="120"/>
    </w:pPr>
    <w:rPr>
      <w:i/>
      <w:color w:val="99CC00"/>
      <w:sz w:val="24"/>
    </w:rPr>
  </w:style>
  <w:style w:type="paragraph" w:customStyle="1" w:styleId="COELegende">
    <w:name w:val="COE_Legende"/>
    <w:basedOn w:val="Normalny"/>
    <w:rPr>
      <w:i/>
      <w:color w:val="999999"/>
    </w:rPr>
  </w:style>
  <w:style w:type="paragraph" w:customStyle="1" w:styleId="COELignes">
    <w:name w:val="COE_Lignes"/>
    <w:basedOn w:val="Normalny"/>
    <w:rPr>
      <w:lang w:val="en-US" w:eastAsia="en-US"/>
    </w:rPr>
  </w:style>
  <w:style w:type="paragraph" w:customStyle="1" w:styleId="COEList">
    <w:name w:val="COE_List"/>
    <w:basedOn w:val="Normalny"/>
    <w:pPr>
      <w:spacing w:after="60"/>
    </w:pPr>
  </w:style>
  <w:style w:type="paragraph" w:customStyle="1" w:styleId="COEMedium">
    <w:name w:val="COE_Medium"/>
    <w:pPr>
      <w:spacing w:before="120" w:after="60"/>
      <w:jc w:val="both"/>
    </w:pPr>
    <w:rPr>
      <w:rFonts w:ascii="Verdana" w:hAnsi="Verdana"/>
      <w:b/>
      <w:sz w:val="24"/>
      <w:szCs w:val="24"/>
      <w:lang w:val="fr-FR" w:eastAsia="fr-FR"/>
    </w:rPr>
  </w:style>
  <w:style w:type="paragraph" w:customStyle="1" w:styleId="COESource">
    <w:name w:val="COE_Source"/>
    <w:basedOn w:val="Normalny"/>
    <w:autoRedefine/>
    <w:rPr>
      <w:sz w:val="16"/>
      <w:szCs w:val="18"/>
    </w:rPr>
  </w:style>
  <w:style w:type="paragraph" w:customStyle="1" w:styleId="COESousTitre">
    <w:name w:val="COE_SousTitre"/>
    <w:next w:val="Normalny"/>
    <w:pPr>
      <w:spacing w:before="240" w:after="120"/>
    </w:pPr>
    <w:rPr>
      <w:rFonts w:ascii="Verdana" w:hAnsi="Verdana"/>
      <w:sz w:val="28"/>
      <w:szCs w:val="28"/>
      <w:lang w:val="fr-FR" w:eastAsia="fr-FR"/>
    </w:rPr>
  </w:style>
  <w:style w:type="character" w:customStyle="1" w:styleId="COETitreChar">
    <w:name w:val="COE_Titre Char"/>
    <w:basedOn w:val="Domylnaczcionkaakapitu"/>
    <w:rPr>
      <w:rFonts w:ascii="Arial" w:hAnsi="Arial"/>
      <w:sz w:val="36"/>
      <w:szCs w:val="36"/>
      <w:lang w:val="fr-FR" w:eastAsia="fr-FR" w:bidi="ar-SA"/>
    </w:rPr>
  </w:style>
  <w:style w:type="character" w:customStyle="1" w:styleId="COESousTitreChar">
    <w:name w:val="COE_SousTitre Char"/>
    <w:basedOn w:val="COETitreChar"/>
    <w:rPr>
      <w:rFonts w:ascii="Verdana" w:hAnsi="Verdana"/>
      <w:sz w:val="28"/>
      <w:szCs w:val="28"/>
      <w:lang w:val="fr-FR" w:eastAsia="fr-FR" w:bidi="ar-SA"/>
    </w:rPr>
  </w:style>
  <w:style w:type="paragraph" w:styleId="NormalnyWeb">
    <w:name w:val="Normal (Web)"/>
    <w:basedOn w:val="Normalny"/>
    <w:semiHidden/>
    <w:pPr>
      <w:spacing w:before="100" w:beforeAutospacing="1" w:after="100" w:afterAutospacing="1"/>
    </w:pPr>
    <w:rPr>
      <w:sz w:val="17"/>
      <w:szCs w:val="17"/>
      <w:lang w:val="en-US" w:eastAsia="en-US"/>
    </w:rPr>
  </w:style>
  <w:style w:type="paragraph" w:customStyle="1" w:styleId="Style1">
    <w:name w:val="Style1"/>
    <w:basedOn w:val="COEHeading1"/>
    <w:autoRedefine/>
    <w:rPr>
      <w:sz w:val="28"/>
    </w:rPr>
  </w:style>
  <w:style w:type="paragraph" w:customStyle="1" w:styleId="Style2">
    <w:name w:val="Style2"/>
    <w:basedOn w:val="COEHeading2"/>
    <w:rPr>
      <w:rFonts w:ascii="Arial" w:hAnsi="Arial"/>
    </w:rPr>
  </w:style>
  <w:style w:type="paragraph" w:styleId="Akapitzlist">
    <w:name w:val="List Paragraph"/>
    <w:basedOn w:val="Normalny"/>
    <w:uiPriority w:val="34"/>
    <w:qFormat/>
    <w:rsid w:val="00D44373"/>
    <w:pPr>
      <w:ind w:left="720"/>
      <w:contextualSpacing/>
    </w:pPr>
  </w:style>
  <w:style w:type="paragraph" w:styleId="Spistreci1">
    <w:name w:val="toc 1"/>
    <w:basedOn w:val="Normalny"/>
    <w:next w:val="Normalny"/>
    <w:autoRedefine/>
    <w:semiHidden/>
  </w:style>
  <w:style w:type="paragraph" w:styleId="Spistreci2">
    <w:name w:val="toc 2"/>
    <w:basedOn w:val="Normalny"/>
    <w:next w:val="Normalny"/>
    <w:autoRedefine/>
    <w:semiHidden/>
    <w:pPr>
      <w:ind w:left="240"/>
    </w:pPr>
  </w:style>
  <w:style w:type="paragraph" w:styleId="Spistreci3">
    <w:name w:val="toc 3"/>
    <w:basedOn w:val="Normalny"/>
    <w:next w:val="Normalny"/>
    <w:autoRedefine/>
    <w:semiHidden/>
    <w:pPr>
      <w:ind w:left="480"/>
    </w:pPr>
  </w:style>
  <w:style w:type="paragraph" w:styleId="Spistreci4">
    <w:name w:val="toc 4"/>
    <w:basedOn w:val="Normalny"/>
    <w:next w:val="Normalny"/>
    <w:autoRedefine/>
    <w:semiHidden/>
    <w:pPr>
      <w:ind w:left="600"/>
    </w:pPr>
  </w:style>
  <w:style w:type="paragraph" w:customStyle="1" w:styleId="CMNormal">
    <w:name w:val="CM_Normal"/>
    <w:basedOn w:val="Normalny"/>
    <w:rPr>
      <w:rFonts w:cs="Arial"/>
      <w:color w:val="000000"/>
      <w:szCs w:val="20"/>
    </w:rPr>
  </w:style>
  <w:style w:type="paragraph" w:customStyle="1" w:styleId="CMRightAlign">
    <w:name w:val="CM_RightAlign"/>
    <w:basedOn w:val="Normalny"/>
    <w:pPr>
      <w:jc w:val="right"/>
    </w:pPr>
    <w:rPr>
      <w:rFonts w:cs="Arial"/>
      <w:color w:val="000000"/>
      <w:szCs w:val="20"/>
    </w:rPr>
  </w:style>
  <w:style w:type="character" w:customStyle="1" w:styleId="CMTitleChar">
    <w:name w:val="CM_Title Char"/>
    <w:basedOn w:val="COETitreChar"/>
    <w:rPr>
      <w:rFonts w:ascii="Arial" w:hAnsi="Arial"/>
      <w:b/>
      <w:sz w:val="36"/>
      <w:szCs w:val="32"/>
      <w:lang w:val="en-GB" w:eastAsia="fr-FR" w:bidi="ar-SA"/>
    </w:rPr>
  </w:style>
  <w:style w:type="character" w:customStyle="1" w:styleId="COENoLignesChar">
    <w:name w:val="COE_NoLignes Char"/>
    <w:basedOn w:val="Domylnaczcionkaakapitu"/>
    <w:rPr>
      <w:rFonts w:ascii="Arial" w:hAnsi="Arial"/>
      <w:lang w:val="en-US" w:eastAsia="en-US" w:bidi="ar-SA"/>
    </w:rPr>
  </w:style>
  <w:style w:type="character" w:customStyle="1" w:styleId="COESourceChar">
    <w:name w:val="COE_Source Char"/>
    <w:basedOn w:val="Domylnaczcionkaakapitu"/>
    <w:rPr>
      <w:rFonts w:ascii="Arial" w:hAnsi="Arial"/>
      <w:sz w:val="16"/>
      <w:szCs w:val="18"/>
      <w:lang w:val="fr-FR" w:eastAsia="fr-FR" w:bidi="ar-SA"/>
    </w:rPr>
  </w:style>
  <w:style w:type="paragraph" w:customStyle="1" w:styleId="COETitleSystem">
    <w:name w:val="COE_Title(System)"/>
    <w:basedOn w:val="Normalny"/>
    <w:next w:val="Normalny"/>
    <w:rPr>
      <w:rFonts w:ascii="Verdana" w:hAnsi="Verdana"/>
      <w:bCs/>
      <w:color w:val="808080"/>
      <w:sz w:val="26"/>
    </w:rPr>
  </w:style>
  <w:style w:type="paragraph" w:customStyle="1" w:styleId="COETitleBrowser">
    <w:name w:val="COE_Title(Browser)"/>
    <w:basedOn w:val="COETitleSystem"/>
    <w:next w:val="Normalny"/>
    <w:rPr>
      <w:color w:val="C0C0C0"/>
      <w:sz w:val="16"/>
    </w:rPr>
  </w:style>
  <w:style w:type="paragraph" w:customStyle="1" w:styleId="COEWCDSearchParams">
    <w:name w:val="COE_WCD_SearchParams"/>
    <w:basedOn w:val="Normalny"/>
    <w:autoRedefine/>
    <w:rPr>
      <w:rFonts w:ascii="Verdana" w:hAnsi="Verdana"/>
      <w:lang w:eastAsia="en-US"/>
    </w:rPr>
  </w:style>
  <w:style w:type="character" w:styleId="Numerwiersza">
    <w:name w:val="line number"/>
    <w:basedOn w:val="Domylnaczcionkaakapitu"/>
    <w:semiHidden/>
  </w:style>
  <w:style w:type="character" w:styleId="Pogrubienie">
    <w:name w:val="Strong"/>
    <w:basedOn w:val="Domylnaczcionkaakapitu"/>
    <w:qFormat/>
    <w:rPr>
      <w:b/>
    </w:rPr>
  </w:style>
  <w:style w:type="paragraph" w:customStyle="1" w:styleId="StyleCMAuthorGray-50">
    <w:name w:val="Style CM_Author + Gray-50%"/>
    <w:basedOn w:val="CMAuthor"/>
    <w:autoRedefine/>
    <w:rPr>
      <w:bCs/>
      <w:iCs/>
    </w:rPr>
  </w:style>
  <w:style w:type="character" w:customStyle="1" w:styleId="VoetnoottekstCharChar">
    <w:name w:val="Voetnoottekst Char Char"/>
    <w:aliases w:val="Footnote Text Char Char1,Footnote Text Char1 Char,Footnote Text Char Char Char,Footnote Text Char2 Char Char Char,Footnote Text Char2 Char Char1,Footnote Text Char Char1 Char Char,Footnote Text Char2 Char Char1 Char Char Char"/>
    <w:basedOn w:val="Domylnaczcionkaakapitu"/>
    <w:semiHidden/>
    <w:locked/>
    <w:rPr>
      <w:rFonts w:ascii="Arial" w:hAnsi="Arial"/>
      <w:sz w:val="16"/>
      <w:lang w:val="fr-FR" w:eastAsia="fr-FR" w:bidi="ar-SA"/>
    </w:rPr>
  </w:style>
  <w:style w:type="paragraph" w:customStyle="1" w:styleId="FootnotesrefssCarCharCar">
    <w:name w:val="Footnotes refss Car Char Car"/>
    <w:aliases w:val="callout Car Car Char Char Car Car"/>
    <w:basedOn w:val="Normalny"/>
    <w:pPr>
      <w:autoSpaceDE w:val="0"/>
      <w:autoSpaceDN w:val="0"/>
      <w:spacing w:after="160" w:line="240" w:lineRule="exact"/>
      <w:jc w:val="both"/>
    </w:pPr>
    <w:rPr>
      <w:rFonts w:ascii="Times New Roman" w:hAnsi="Times New Roman"/>
      <w:szCs w:val="20"/>
      <w:vertAlign w:val="superscript"/>
      <w:lang w:val="pl-PL" w:eastAsia="pl-PL"/>
    </w:rPr>
  </w:style>
  <w:style w:type="paragraph" w:styleId="Tekstdymka">
    <w:name w:val="Balloon Text"/>
    <w:basedOn w:val="Normalny"/>
    <w:link w:val="TekstdymkaZnak"/>
    <w:uiPriority w:val="99"/>
    <w:semiHidden/>
    <w:unhideWhenUsed/>
    <w:rsid w:val="00910F54"/>
    <w:rPr>
      <w:rFonts w:ascii="Segoe UI" w:hAnsi="Segoe UI" w:cs="Segoe UI"/>
      <w:sz w:val="18"/>
      <w:szCs w:val="18"/>
    </w:rPr>
  </w:style>
  <w:style w:type="character" w:customStyle="1" w:styleId="TekstdymkaZnak">
    <w:name w:val="Tekst dymka Znak"/>
    <w:basedOn w:val="Domylnaczcionkaakapitu"/>
    <w:link w:val="Tekstdymka"/>
    <w:uiPriority w:val="99"/>
    <w:semiHidden/>
    <w:rsid w:val="00910F54"/>
    <w:rPr>
      <w:rFonts w:ascii="Segoe UI" w:hAnsi="Segoe UI" w:cs="Segoe UI"/>
      <w:sz w:val="18"/>
      <w:szCs w:val="18"/>
      <w:lang w:val="en-GB"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rFonts w:ascii="Arial" w:hAnsi="Arial"/>
      <w:szCs w:val="24"/>
      <w:lang w:val="en-GB" w:eastAsia="fr-FR"/>
    </w:rPr>
  </w:style>
  <w:style w:type="paragraph" w:styleId="Nagwek1">
    <w:name w:val="heading 1"/>
    <w:basedOn w:val="Normalny"/>
    <w:next w:val="Normalny"/>
    <w:autoRedefine/>
    <w:qFormat/>
    <w:pPr>
      <w:keepNext/>
      <w:spacing w:before="240" w:after="60"/>
      <w:ind w:left="720"/>
      <w:outlineLvl w:val="0"/>
    </w:pPr>
    <w:rPr>
      <w:rFonts w:cs="Arial"/>
      <w:bCs/>
      <w:kern w:val="32"/>
      <w:sz w:val="24"/>
      <w:szCs w:val="32"/>
    </w:rPr>
  </w:style>
  <w:style w:type="paragraph" w:styleId="Nagwek2">
    <w:name w:val="heading 2"/>
    <w:basedOn w:val="Normalny"/>
    <w:next w:val="Normalny"/>
    <w:autoRedefine/>
    <w:qFormat/>
    <w:pPr>
      <w:keepNext/>
      <w:spacing w:before="240" w:after="60"/>
      <w:ind w:left="720"/>
      <w:outlineLvl w:val="1"/>
    </w:pPr>
    <w:rPr>
      <w:rFonts w:cs="Arial"/>
      <w:b/>
      <w:bCs/>
      <w:iCs/>
      <w:sz w:val="22"/>
      <w:szCs w:val="28"/>
    </w:rPr>
  </w:style>
  <w:style w:type="paragraph" w:styleId="Nagwek3">
    <w:name w:val="heading 3"/>
    <w:basedOn w:val="Normalny"/>
    <w:next w:val="Normalny"/>
    <w:qFormat/>
    <w:pPr>
      <w:keepNext/>
      <w:spacing w:before="240" w:after="60"/>
      <w:outlineLvl w:val="2"/>
    </w:pPr>
    <w:rPr>
      <w:rFonts w:cs="Arial"/>
      <w:b/>
      <w:bCs/>
      <w:sz w:val="26"/>
      <w:szCs w:val="26"/>
    </w:rPr>
  </w:style>
  <w:style w:type="paragraph" w:styleId="Nagwek4">
    <w:name w:val="heading 4"/>
    <w:basedOn w:val="Normalny"/>
    <w:next w:val="Normalny"/>
    <w:qFormat/>
    <w:pPr>
      <w:keepNext/>
      <w:numPr>
        <w:ilvl w:val="3"/>
        <w:numId w:val="16"/>
      </w:numPr>
      <w:spacing w:before="240" w:after="60"/>
      <w:outlineLvl w:val="3"/>
    </w:pPr>
    <w:rPr>
      <w:rFonts w:ascii="Times New Roman" w:hAnsi="Times New Roman"/>
      <w:b/>
      <w:bCs/>
      <w:sz w:val="28"/>
      <w:szCs w:val="28"/>
    </w:rPr>
  </w:style>
  <w:style w:type="paragraph" w:styleId="Nagwek5">
    <w:name w:val="heading 5"/>
    <w:basedOn w:val="Normalny"/>
    <w:qFormat/>
    <w:pPr>
      <w:numPr>
        <w:ilvl w:val="4"/>
        <w:numId w:val="16"/>
      </w:numPr>
      <w:spacing w:before="100" w:beforeAutospacing="1" w:after="100" w:afterAutospacing="1"/>
      <w:outlineLvl w:val="4"/>
    </w:pPr>
    <w:rPr>
      <w:szCs w:val="20"/>
      <w:lang w:val="en-US" w:eastAsia="en-US"/>
    </w:rPr>
  </w:style>
  <w:style w:type="paragraph" w:styleId="Nagwek6">
    <w:name w:val="heading 6"/>
    <w:basedOn w:val="Normalny"/>
    <w:next w:val="Normalny"/>
    <w:qFormat/>
    <w:pPr>
      <w:numPr>
        <w:ilvl w:val="5"/>
        <w:numId w:val="16"/>
      </w:numPr>
      <w:spacing w:before="240" w:after="60"/>
      <w:outlineLvl w:val="5"/>
    </w:pPr>
    <w:rPr>
      <w:rFonts w:ascii="Times New Roman" w:hAnsi="Times New Roman"/>
      <w:b/>
      <w:bCs/>
      <w:sz w:val="22"/>
      <w:szCs w:val="22"/>
    </w:rPr>
  </w:style>
  <w:style w:type="paragraph" w:styleId="Nagwek7">
    <w:name w:val="heading 7"/>
    <w:basedOn w:val="Normalny"/>
    <w:next w:val="Normalny"/>
    <w:qFormat/>
    <w:pPr>
      <w:numPr>
        <w:ilvl w:val="6"/>
        <w:numId w:val="16"/>
      </w:numPr>
      <w:spacing w:before="240" w:after="60"/>
      <w:outlineLvl w:val="6"/>
    </w:pPr>
    <w:rPr>
      <w:rFonts w:ascii="Times New Roman" w:hAnsi="Times New Roman"/>
      <w:sz w:val="24"/>
    </w:rPr>
  </w:style>
  <w:style w:type="paragraph" w:styleId="Nagwek8">
    <w:name w:val="heading 8"/>
    <w:basedOn w:val="Normalny"/>
    <w:next w:val="Normalny"/>
    <w:qFormat/>
    <w:pPr>
      <w:numPr>
        <w:ilvl w:val="7"/>
        <w:numId w:val="16"/>
      </w:numPr>
      <w:spacing w:before="240" w:after="60"/>
      <w:outlineLvl w:val="7"/>
    </w:pPr>
    <w:rPr>
      <w:rFonts w:ascii="Times New Roman" w:hAnsi="Times New Roman"/>
      <w:i/>
      <w:iCs/>
      <w:sz w:val="24"/>
    </w:rPr>
  </w:style>
  <w:style w:type="paragraph" w:styleId="Nagwek9">
    <w:name w:val="heading 9"/>
    <w:basedOn w:val="Normalny"/>
    <w:next w:val="Normalny"/>
    <w:qFormat/>
    <w:pPr>
      <w:numPr>
        <w:ilvl w:val="8"/>
        <w:numId w:val="16"/>
      </w:numPr>
      <w:spacing w:before="240" w:after="60"/>
      <w:outlineLvl w:val="8"/>
    </w:pPr>
    <w:rPr>
      <w:rFonts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COECote">
    <w:name w:val="COE_Cote"/>
    <w:basedOn w:val="Normalny"/>
    <w:pPr>
      <w:spacing w:before="240"/>
    </w:pPr>
    <w:rPr>
      <w:b/>
      <w:sz w:val="22"/>
      <w:szCs w:val="22"/>
    </w:rPr>
  </w:style>
  <w:style w:type="paragraph" w:customStyle="1" w:styleId="COEEnceinte">
    <w:name w:val="COE_Enceinte"/>
    <w:basedOn w:val="COECote"/>
    <w:rPr>
      <w:b w:val="0"/>
      <w:i/>
      <w:color w:val="808080"/>
      <w:sz w:val="28"/>
      <w:szCs w:val="28"/>
    </w:rPr>
  </w:style>
  <w:style w:type="paragraph" w:customStyle="1" w:styleId="COEHeading1">
    <w:name w:val="COE_Heading1"/>
    <w:basedOn w:val="Normalny"/>
    <w:autoRedefine/>
    <w:rPr>
      <w:b/>
      <w:sz w:val="24"/>
      <w:szCs w:val="32"/>
      <w:lang w:eastAsia="en-US"/>
    </w:rPr>
  </w:style>
  <w:style w:type="paragraph" w:customStyle="1" w:styleId="COEHeading2">
    <w:name w:val="COE_Heading2"/>
    <w:basedOn w:val="Normalny"/>
    <w:autoRedefine/>
    <w:rPr>
      <w:rFonts w:ascii="Verdana" w:hAnsi="Verdana"/>
      <w:b/>
      <w:szCs w:val="28"/>
      <w:lang w:eastAsia="en-US"/>
    </w:rPr>
  </w:style>
  <w:style w:type="paragraph" w:customStyle="1" w:styleId="COEHeading3">
    <w:name w:val="COE_Heading3"/>
    <w:basedOn w:val="Normalny"/>
    <w:autoRedefine/>
    <w:pPr>
      <w:outlineLvl w:val="2"/>
    </w:pPr>
    <w:rPr>
      <w:rFonts w:ascii="Helvetica" w:hAnsi="Helvetica"/>
      <w:i/>
    </w:rPr>
  </w:style>
  <w:style w:type="paragraph" w:customStyle="1" w:styleId="COEWord">
    <w:name w:val="COE_Word"/>
    <w:basedOn w:val="Normalny"/>
    <w:pPr>
      <w:jc w:val="right"/>
    </w:pPr>
    <w:rPr>
      <w:i/>
      <w:iCs/>
    </w:rPr>
  </w:style>
  <w:style w:type="paragraph" w:customStyle="1" w:styleId="COENoLignes">
    <w:name w:val="COE_NoLignes"/>
    <w:rPr>
      <w:rFonts w:ascii="Arial" w:hAnsi="Arial"/>
      <w:lang w:val="en-US" w:eastAsia="en-US"/>
    </w:rPr>
  </w:style>
  <w:style w:type="character" w:styleId="Numerstrony">
    <w:name w:val="page number"/>
    <w:basedOn w:val="Domylnaczcionkaakapitu"/>
    <w:semiHidden/>
  </w:style>
  <w:style w:type="paragraph" w:customStyle="1" w:styleId="CMAuthor">
    <w:name w:val="CM_Author"/>
    <w:basedOn w:val="COEEnceinte"/>
    <w:qFormat/>
    <w:pPr>
      <w:suppressLineNumbers/>
      <w:tabs>
        <w:tab w:val="center" w:pos="4513"/>
        <w:tab w:val="right" w:pos="9027"/>
      </w:tabs>
      <w:suppressAutoHyphens/>
      <w:spacing w:before="0"/>
    </w:pPr>
    <w:rPr>
      <w:rFonts w:ascii="Times New Roman" w:hAnsi="Times New Roman"/>
      <w:b/>
      <w:szCs w:val="24"/>
    </w:rPr>
  </w:style>
  <w:style w:type="paragraph" w:customStyle="1" w:styleId="COETitre">
    <w:name w:val="COE_Titre"/>
    <w:basedOn w:val="Normalny"/>
    <w:pPr>
      <w:spacing w:before="360" w:after="240"/>
    </w:pPr>
    <w:rPr>
      <w:sz w:val="36"/>
      <w:szCs w:val="36"/>
    </w:rPr>
  </w:style>
  <w:style w:type="paragraph" w:customStyle="1" w:styleId="COEType">
    <w:name w:val="COE_Type"/>
    <w:basedOn w:val="Normalny"/>
    <w:pPr>
      <w:spacing w:before="240"/>
    </w:pPr>
    <w:rPr>
      <w:b/>
      <w:sz w:val="28"/>
      <w:szCs w:val="28"/>
    </w:rPr>
  </w:style>
  <w:style w:type="character" w:styleId="UyteHipercze">
    <w:name w:val="FollowedHyperlink"/>
    <w:basedOn w:val="Domylnaczcionkaakapitu"/>
    <w:semiHidden/>
    <w:rPr>
      <w:color w:val="606420"/>
      <w:u w:val="single"/>
    </w:rPr>
  </w:style>
  <w:style w:type="paragraph" w:styleId="Stopka">
    <w:name w:val="footer"/>
    <w:basedOn w:val="Normalny"/>
    <w:semiHidden/>
    <w:rPr>
      <w:sz w:val="16"/>
    </w:rPr>
  </w:style>
  <w:style w:type="character" w:styleId="Odwoanieprzypisudolnego">
    <w:name w:val="footnote reference"/>
    <w:aliases w:val="Footnotes refss Car Char Car Char,callout Car Car Char Char Car Car Char Char"/>
    <w:basedOn w:val="Domylnaczcionkaakapitu"/>
    <w:semiHidden/>
    <w:rPr>
      <w:vertAlign w:val="superscript"/>
    </w:rPr>
  </w:style>
  <w:style w:type="paragraph" w:styleId="Tekstprzypisudolnego">
    <w:name w:val="footnote text"/>
    <w:aliases w:val="Voetnoottekst Char,Footnote Text Char,Footnote Text Char1,Footnote Text Char Char,Footnote Text Char2 Char Char,Footnote Text Char2 Char,Footnote Text Char Char1 Char,Footnote Text Char2 Char Char1 Char"/>
    <w:basedOn w:val="COESource"/>
    <w:semiHidden/>
    <w:rPr>
      <w:szCs w:val="20"/>
    </w:rPr>
  </w:style>
  <w:style w:type="paragraph" w:styleId="Nagwek">
    <w:name w:val="header"/>
    <w:basedOn w:val="Normalny"/>
    <w:semiHidden/>
    <w:pPr>
      <w:tabs>
        <w:tab w:val="center" w:pos="4320"/>
        <w:tab w:val="right" w:pos="8640"/>
      </w:tabs>
    </w:pPr>
  </w:style>
  <w:style w:type="character" w:styleId="Hipercze">
    <w:name w:val="Hyperlink"/>
    <w:basedOn w:val="Domylnaczcionkaakapitu"/>
    <w:semiHidden/>
    <w:rPr>
      <w:color w:val="0000FF"/>
      <w:u w:val="single"/>
    </w:rPr>
  </w:style>
  <w:style w:type="paragraph" w:customStyle="1" w:styleId="CMCote">
    <w:name w:val="CM_Cote"/>
    <w:basedOn w:val="Normalny"/>
    <w:qFormat/>
    <w:pPr>
      <w:spacing w:before="120"/>
    </w:pPr>
    <w:rPr>
      <w:b/>
      <w:sz w:val="22"/>
      <w:szCs w:val="22"/>
    </w:rPr>
  </w:style>
  <w:style w:type="paragraph" w:customStyle="1" w:styleId="CMTitle">
    <w:name w:val="CM_Title"/>
    <w:basedOn w:val="COETitre"/>
    <w:autoRedefine/>
    <w:qFormat/>
    <w:pPr>
      <w:spacing w:before="0" w:after="0"/>
    </w:pPr>
    <w:rPr>
      <w:b/>
      <w:szCs w:val="32"/>
    </w:rPr>
  </w:style>
  <w:style w:type="paragraph" w:customStyle="1" w:styleId="CMDocType">
    <w:name w:val="CM_DocType"/>
    <w:basedOn w:val="CMTitle"/>
    <w:autoRedefine/>
    <w:qFormat/>
    <w:rPr>
      <w:rFonts w:ascii="Verdana" w:hAnsi="Verdana"/>
      <w:sz w:val="32"/>
    </w:rPr>
  </w:style>
  <w:style w:type="paragraph" w:customStyle="1" w:styleId="CMEnceinte">
    <w:name w:val="CM_Enceinte"/>
    <w:basedOn w:val="COEEnceinte"/>
    <w:qFormat/>
    <w:pPr>
      <w:suppressLineNumbers/>
      <w:tabs>
        <w:tab w:val="center" w:pos="4513"/>
        <w:tab w:val="right" w:pos="9027"/>
      </w:tabs>
      <w:suppressAutoHyphens/>
      <w:spacing w:before="0"/>
    </w:pPr>
    <w:rPr>
      <w:rFonts w:ascii="Times New Roman" w:hAnsi="Times New Roman"/>
      <w:b/>
      <w:szCs w:val="24"/>
    </w:rPr>
  </w:style>
  <w:style w:type="paragraph" w:customStyle="1" w:styleId="CMhLine">
    <w:name w:val="CM_hLine"/>
    <w:basedOn w:val="CMTitle"/>
    <w:qFormat/>
    <w:pPr>
      <w:pBdr>
        <w:bottom w:val="single" w:sz="18" w:space="1" w:color="auto"/>
      </w:pBdr>
      <w:spacing w:after="240"/>
      <w:ind w:right="5243"/>
    </w:pPr>
    <w:rPr>
      <w:sz w:val="22"/>
    </w:rPr>
  </w:style>
  <w:style w:type="paragraph" w:customStyle="1" w:styleId="CMLinkedDocs">
    <w:name w:val="CM_LinkedDocs"/>
    <w:basedOn w:val="Normalny"/>
    <w:rPr>
      <w:sz w:val="16"/>
    </w:rPr>
  </w:style>
  <w:style w:type="paragraph" w:customStyle="1" w:styleId="CMMainSubTitle">
    <w:name w:val="CM_MainSubTitle"/>
    <w:basedOn w:val="Normalny"/>
    <w:autoRedefine/>
    <w:rPr>
      <w:sz w:val="32"/>
    </w:rPr>
  </w:style>
  <w:style w:type="paragraph" w:customStyle="1" w:styleId="CMRevision">
    <w:name w:val="CM_Revision"/>
    <w:basedOn w:val="Normalny"/>
    <w:rPr>
      <w:rFonts w:cs="Arial"/>
      <w:color w:val="FF0000"/>
      <w:szCs w:val="20"/>
      <w:shd w:val="clear" w:color="auto" w:fill="D9D9D9"/>
      <w:lang w:eastAsia="en-US"/>
    </w:rPr>
  </w:style>
  <w:style w:type="character" w:customStyle="1" w:styleId="CMRevisionChar">
    <w:name w:val="CM_Revision Char"/>
    <w:basedOn w:val="Domylnaczcionkaakapitu"/>
    <w:rPr>
      <w:rFonts w:ascii="Arial" w:hAnsi="Arial" w:cs="Arial"/>
      <w:color w:val="FF0000"/>
      <w:shd w:val="clear" w:color="auto" w:fill="D9D9D9"/>
      <w:lang w:val="en-GB" w:eastAsia="en-US" w:bidi="ar-SA"/>
    </w:rPr>
  </w:style>
  <w:style w:type="paragraph" w:customStyle="1" w:styleId="CMRevisionInside">
    <w:name w:val="CM_RevisionInside"/>
    <w:basedOn w:val="Normalny"/>
    <w:rPr>
      <w:color w:val="FF0000"/>
      <w:shd w:val="clear" w:color="auto" w:fill="D9D9D9"/>
    </w:rPr>
  </w:style>
  <w:style w:type="character" w:customStyle="1" w:styleId="CMRevisionInsideCharChar">
    <w:name w:val="CM_RevisionInside Char Char"/>
    <w:basedOn w:val="Domylnaczcionkaakapitu"/>
    <w:rPr>
      <w:rFonts w:ascii="Arial" w:hAnsi="Arial"/>
      <w:color w:val="FF0000"/>
      <w:szCs w:val="24"/>
      <w:shd w:val="clear" w:color="auto" w:fill="D9D9D9"/>
      <w:lang w:val="en-GB" w:eastAsia="fr-FR" w:bidi="ar-SA"/>
    </w:rPr>
  </w:style>
  <w:style w:type="paragraph" w:customStyle="1" w:styleId="CMSpace">
    <w:name w:val="CM_Space"/>
    <w:basedOn w:val="Normalny"/>
    <w:qFormat/>
  </w:style>
  <w:style w:type="paragraph" w:customStyle="1" w:styleId="CMSubTitle">
    <w:name w:val="CM_SubTitle"/>
    <w:basedOn w:val="Normalny"/>
    <w:qFormat/>
    <w:rPr>
      <w:sz w:val="22"/>
      <w:szCs w:val="22"/>
    </w:rPr>
  </w:style>
  <w:style w:type="paragraph" w:customStyle="1" w:styleId="COEAbstract">
    <w:name w:val="COE_Abstract"/>
    <w:pPr>
      <w:spacing w:before="120" w:after="120"/>
    </w:pPr>
    <w:rPr>
      <w:rFonts w:ascii="Verdana" w:hAnsi="Verdana"/>
      <w:lang w:val="fr-FR" w:eastAsia="en-US"/>
    </w:rPr>
  </w:style>
  <w:style w:type="character" w:customStyle="1" w:styleId="COEAbstractChar">
    <w:name w:val="COE_Abstract Char"/>
    <w:basedOn w:val="Domylnaczcionkaakapitu"/>
    <w:rPr>
      <w:rFonts w:ascii="Verdana" w:hAnsi="Verdana"/>
      <w:lang w:val="fr-FR" w:eastAsia="en-US" w:bidi="ar-SA"/>
    </w:rPr>
  </w:style>
  <w:style w:type="paragraph" w:customStyle="1" w:styleId="COEBullet">
    <w:name w:val="COE_Bullet"/>
    <w:basedOn w:val="Normalny"/>
    <w:pPr>
      <w:numPr>
        <w:numId w:val="9"/>
      </w:numPr>
      <w:spacing w:after="60"/>
    </w:pPr>
  </w:style>
  <w:style w:type="paragraph" w:customStyle="1" w:styleId="COEDate">
    <w:name w:val="COE_Date"/>
    <w:next w:val="Normalny"/>
    <w:pPr>
      <w:spacing w:before="120" w:after="120"/>
    </w:pPr>
    <w:rPr>
      <w:rFonts w:ascii="Verdana" w:hAnsi="Verdana"/>
      <w:b/>
      <w:color w:val="808080"/>
      <w:szCs w:val="22"/>
      <w:lang w:val="en-US" w:eastAsia="fr-FR"/>
    </w:rPr>
  </w:style>
  <w:style w:type="paragraph" w:customStyle="1" w:styleId="COEFootnote">
    <w:name w:val="COE_Footnote"/>
    <w:basedOn w:val="Normalny"/>
    <w:next w:val="Normalny"/>
    <w:pPr>
      <w:spacing w:before="60" w:after="60"/>
    </w:pPr>
    <w:rPr>
      <w:i/>
    </w:rPr>
  </w:style>
  <w:style w:type="character" w:customStyle="1" w:styleId="COEHeading1Char">
    <w:name w:val="COE_Heading1 Char"/>
    <w:basedOn w:val="Domylnaczcionkaakapitu"/>
    <w:rPr>
      <w:rFonts w:ascii="Arial" w:hAnsi="Arial"/>
      <w:b/>
      <w:sz w:val="24"/>
      <w:szCs w:val="32"/>
      <w:lang w:val="en-GB" w:eastAsia="en-US" w:bidi="ar-SA"/>
    </w:rPr>
  </w:style>
  <w:style w:type="paragraph" w:customStyle="1" w:styleId="COEHeading4">
    <w:name w:val="COE_Heading4"/>
    <w:basedOn w:val="Normalny"/>
    <w:next w:val="Normalny"/>
    <w:pPr>
      <w:numPr>
        <w:ilvl w:val="3"/>
        <w:numId w:val="10"/>
      </w:numPr>
    </w:pPr>
  </w:style>
  <w:style w:type="paragraph" w:customStyle="1" w:styleId="COEIMGPROTECTED">
    <w:name w:val="COE_IMG_PROTECTED"/>
    <w:basedOn w:val="Normalny"/>
    <w:pPr>
      <w:jc w:val="center"/>
    </w:pPr>
  </w:style>
  <w:style w:type="paragraph" w:customStyle="1" w:styleId="COEInconnu">
    <w:name w:val="COE_Inconnu"/>
    <w:basedOn w:val="COEType"/>
    <w:pPr>
      <w:spacing w:before="120"/>
    </w:pPr>
    <w:rPr>
      <w:i/>
      <w:color w:val="99CC00"/>
      <w:sz w:val="24"/>
    </w:rPr>
  </w:style>
  <w:style w:type="paragraph" w:customStyle="1" w:styleId="COELegende">
    <w:name w:val="COE_Legende"/>
    <w:basedOn w:val="Normalny"/>
    <w:rPr>
      <w:i/>
      <w:color w:val="999999"/>
    </w:rPr>
  </w:style>
  <w:style w:type="paragraph" w:customStyle="1" w:styleId="COELignes">
    <w:name w:val="COE_Lignes"/>
    <w:basedOn w:val="Normalny"/>
    <w:rPr>
      <w:lang w:val="en-US" w:eastAsia="en-US"/>
    </w:rPr>
  </w:style>
  <w:style w:type="paragraph" w:customStyle="1" w:styleId="COEList">
    <w:name w:val="COE_List"/>
    <w:basedOn w:val="Normalny"/>
    <w:pPr>
      <w:spacing w:after="60"/>
    </w:pPr>
  </w:style>
  <w:style w:type="paragraph" w:customStyle="1" w:styleId="COEMedium">
    <w:name w:val="COE_Medium"/>
    <w:pPr>
      <w:spacing w:before="120" w:after="60"/>
      <w:jc w:val="both"/>
    </w:pPr>
    <w:rPr>
      <w:rFonts w:ascii="Verdana" w:hAnsi="Verdana"/>
      <w:b/>
      <w:sz w:val="24"/>
      <w:szCs w:val="24"/>
      <w:lang w:val="fr-FR" w:eastAsia="fr-FR"/>
    </w:rPr>
  </w:style>
  <w:style w:type="paragraph" w:customStyle="1" w:styleId="COESource">
    <w:name w:val="COE_Source"/>
    <w:basedOn w:val="Normalny"/>
    <w:autoRedefine/>
    <w:rPr>
      <w:sz w:val="16"/>
      <w:szCs w:val="18"/>
    </w:rPr>
  </w:style>
  <w:style w:type="paragraph" w:customStyle="1" w:styleId="COESousTitre">
    <w:name w:val="COE_SousTitre"/>
    <w:next w:val="Normalny"/>
    <w:pPr>
      <w:spacing w:before="240" w:after="120"/>
    </w:pPr>
    <w:rPr>
      <w:rFonts w:ascii="Verdana" w:hAnsi="Verdana"/>
      <w:sz w:val="28"/>
      <w:szCs w:val="28"/>
      <w:lang w:val="fr-FR" w:eastAsia="fr-FR"/>
    </w:rPr>
  </w:style>
  <w:style w:type="character" w:customStyle="1" w:styleId="COETitreChar">
    <w:name w:val="COE_Titre Char"/>
    <w:basedOn w:val="Domylnaczcionkaakapitu"/>
    <w:rPr>
      <w:rFonts w:ascii="Arial" w:hAnsi="Arial"/>
      <w:sz w:val="36"/>
      <w:szCs w:val="36"/>
      <w:lang w:val="fr-FR" w:eastAsia="fr-FR" w:bidi="ar-SA"/>
    </w:rPr>
  </w:style>
  <w:style w:type="character" w:customStyle="1" w:styleId="COESousTitreChar">
    <w:name w:val="COE_SousTitre Char"/>
    <w:basedOn w:val="COETitreChar"/>
    <w:rPr>
      <w:rFonts w:ascii="Verdana" w:hAnsi="Verdana"/>
      <w:sz w:val="28"/>
      <w:szCs w:val="28"/>
      <w:lang w:val="fr-FR" w:eastAsia="fr-FR" w:bidi="ar-SA"/>
    </w:rPr>
  </w:style>
  <w:style w:type="paragraph" w:styleId="NormalnyWeb">
    <w:name w:val="Normal (Web)"/>
    <w:basedOn w:val="Normalny"/>
    <w:semiHidden/>
    <w:pPr>
      <w:spacing w:before="100" w:beforeAutospacing="1" w:after="100" w:afterAutospacing="1"/>
    </w:pPr>
    <w:rPr>
      <w:sz w:val="17"/>
      <w:szCs w:val="17"/>
      <w:lang w:val="en-US" w:eastAsia="en-US"/>
    </w:rPr>
  </w:style>
  <w:style w:type="paragraph" w:customStyle="1" w:styleId="Style1">
    <w:name w:val="Style1"/>
    <w:basedOn w:val="COEHeading1"/>
    <w:autoRedefine/>
    <w:rPr>
      <w:sz w:val="28"/>
    </w:rPr>
  </w:style>
  <w:style w:type="paragraph" w:customStyle="1" w:styleId="Style2">
    <w:name w:val="Style2"/>
    <w:basedOn w:val="COEHeading2"/>
    <w:rPr>
      <w:rFonts w:ascii="Arial" w:hAnsi="Arial"/>
    </w:rPr>
  </w:style>
  <w:style w:type="paragraph" w:styleId="Akapitzlist">
    <w:name w:val="List Paragraph"/>
    <w:basedOn w:val="Normalny"/>
    <w:uiPriority w:val="34"/>
    <w:qFormat/>
    <w:rsid w:val="00D44373"/>
    <w:pPr>
      <w:ind w:left="720"/>
      <w:contextualSpacing/>
    </w:pPr>
  </w:style>
  <w:style w:type="paragraph" w:styleId="Spistreci1">
    <w:name w:val="toc 1"/>
    <w:basedOn w:val="Normalny"/>
    <w:next w:val="Normalny"/>
    <w:autoRedefine/>
    <w:semiHidden/>
  </w:style>
  <w:style w:type="paragraph" w:styleId="Spistreci2">
    <w:name w:val="toc 2"/>
    <w:basedOn w:val="Normalny"/>
    <w:next w:val="Normalny"/>
    <w:autoRedefine/>
    <w:semiHidden/>
    <w:pPr>
      <w:ind w:left="240"/>
    </w:pPr>
  </w:style>
  <w:style w:type="paragraph" w:styleId="Spistreci3">
    <w:name w:val="toc 3"/>
    <w:basedOn w:val="Normalny"/>
    <w:next w:val="Normalny"/>
    <w:autoRedefine/>
    <w:semiHidden/>
    <w:pPr>
      <w:ind w:left="480"/>
    </w:pPr>
  </w:style>
  <w:style w:type="paragraph" w:styleId="Spistreci4">
    <w:name w:val="toc 4"/>
    <w:basedOn w:val="Normalny"/>
    <w:next w:val="Normalny"/>
    <w:autoRedefine/>
    <w:semiHidden/>
    <w:pPr>
      <w:ind w:left="600"/>
    </w:pPr>
  </w:style>
  <w:style w:type="paragraph" w:customStyle="1" w:styleId="CMNormal">
    <w:name w:val="CM_Normal"/>
    <w:basedOn w:val="Normalny"/>
    <w:rPr>
      <w:rFonts w:cs="Arial"/>
      <w:color w:val="000000"/>
      <w:szCs w:val="20"/>
    </w:rPr>
  </w:style>
  <w:style w:type="paragraph" w:customStyle="1" w:styleId="CMRightAlign">
    <w:name w:val="CM_RightAlign"/>
    <w:basedOn w:val="Normalny"/>
    <w:pPr>
      <w:jc w:val="right"/>
    </w:pPr>
    <w:rPr>
      <w:rFonts w:cs="Arial"/>
      <w:color w:val="000000"/>
      <w:szCs w:val="20"/>
    </w:rPr>
  </w:style>
  <w:style w:type="character" w:customStyle="1" w:styleId="CMTitleChar">
    <w:name w:val="CM_Title Char"/>
    <w:basedOn w:val="COETitreChar"/>
    <w:rPr>
      <w:rFonts w:ascii="Arial" w:hAnsi="Arial"/>
      <w:b/>
      <w:sz w:val="36"/>
      <w:szCs w:val="32"/>
      <w:lang w:val="en-GB" w:eastAsia="fr-FR" w:bidi="ar-SA"/>
    </w:rPr>
  </w:style>
  <w:style w:type="character" w:customStyle="1" w:styleId="COENoLignesChar">
    <w:name w:val="COE_NoLignes Char"/>
    <w:basedOn w:val="Domylnaczcionkaakapitu"/>
    <w:rPr>
      <w:rFonts w:ascii="Arial" w:hAnsi="Arial"/>
      <w:lang w:val="en-US" w:eastAsia="en-US" w:bidi="ar-SA"/>
    </w:rPr>
  </w:style>
  <w:style w:type="character" w:customStyle="1" w:styleId="COESourceChar">
    <w:name w:val="COE_Source Char"/>
    <w:basedOn w:val="Domylnaczcionkaakapitu"/>
    <w:rPr>
      <w:rFonts w:ascii="Arial" w:hAnsi="Arial"/>
      <w:sz w:val="16"/>
      <w:szCs w:val="18"/>
      <w:lang w:val="fr-FR" w:eastAsia="fr-FR" w:bidi="ar-SA"/>
    </w:rPr>
  </w:style>
  <w:style w:type="paragraph" w:customStyle="1" w:styleId="COETitleSystem">
    <w:name w:val="COE_Title(System)"/>
    <w:basedOn w:val="Normalny"/>
    <w:next w:val="Normalny"/>
    <w:rPr>
      <w:rFonts w:ascii="Verdana" w:hAnsi="Verdana"/>
      <w:bCs/>
      <w:color w:val="808080"/>
      <w:sz w:val="26"/>
    </w:rPr>
  </w:style>
  <w:style w:type="paragraph" w:customStyle="1" w:styleId="COETitleBrowser">
    <w:name w:val="COE_Title(Browser)"/>
    <w:basedOn w:val="COETitleSystem"/>
    <w:next w:val="Normalny"/>
    <w:rPr>
      <w:color w:val="C0C0C0"/>
      <w:sz w:val="16"/>
    </w:rPr>
  </w:style>
  <w:style w:type="paragraph" w:customStyle="1" w:styleId="COEWCDSearchParams">
    <w:name w:val="COE_WCD_SearchParams"/>
    <w:basedOn w:val="Normalny"/>
    <w:autoRedefine/>
    <w:rPr>
      <w:rFonts w:ascii="Verdana" w:hAnsi="Verdana"/>
      <w:lang w:eastAsia="en-US"/>
    </w:rPr>
  </w:style>
  <w:style w:type="character" w:styleId="Numerwiersza">
    <w:name w:val="line number"/>
    <w:basedOn w:val="Domylnaczcionkaakapitu"/>
    <w:semiHidden/>
  </w:style>
  <w:style w:type="character" w:styleId="Pogrubienie">
    <w:name w:val="Strong"/>
    <w:basedOn w:val="Domylnaczcionkaakapitu"/>
    <w:qFormat/>
    <w:rPr>
      <w:b/>
    </w:rPr>
  </w:style>
  <w:style w:type="paragraph" w:customStyle="1" w:styleId="StyleCMAuthorGray-50">
    <w:name w:val="Style CM_Author + Gray-50%"/>
    <w:basedOn w:val="CMAuthor"/>
    <w:autoRedefine/>
    <w:rPr>
      <w:bCs/>
      <w:iCs/>
    </w:rPr>
  </w:style>
  <w:style w:type="character" w:customStyle="1" w:styleId="VoetnoottekstCharChar">
    <w:name w:val="Voetnoottekst Char Char"/>
    <w:aliases w:val="Footnote Text Char Char1,Footnote Text Char1 Char,Footnote Text Char Char Char,Footnote Text Char2 Char Char Char,Footnote Text Char2 Char Char1,Footnote Text Char Char1 Char Char,Footnote Text Char2 Char Char1 Char Char Char"/>
    <w:basedOn w:val="Domylnaczcionkaakapitu"/>
    <w:semiHidden/>
    <w:locked/>
    <w:rPr>
      <w:rFonts w:ascii="Arial" w:hAnsi="Arial"/>
      <w:sz w:val="16"/>
      <w:lang w:val="fr-FR" w:eastAsia="fr-FR" w:bidi="ar-SA"/>
    </w:rPr>
  </w:style>
  <w:style w:type="paragraph" w:customStyle="1" w:styleId="FootnotesrefssCarCharCar">
    <w:name w:val="Footnotes refss Car Char Car"/>
    <w:aliases w:val="callout Car Car Char Char Car Car"/>
    <w:basedOn w:val="Normalny"/>
    <w:pPr>
      <w:autoSpaceDE w:val="0"/>
      <w:autoSpaceDN w:val="0"/>
      <w:spacing w:after="160" w:line="240" w:lineRule="exact"/>
      <w:jc w:val="both"/>
    </w:pPr>
    <w:rPr>
      <w:rFonts w:ascii="Times New Roman" w:hAnsi="Times New Roman"/>
      <w:szCs w:val="20"/>
      <w:vertAlign w:val="superscript"/>
      <w:lang w:val="pl-PL" w:eastAsia="pl-PL"/>
    </w:rPr>
  </w:style>
  <w:style w:type="paragraph" w:styleId="Tekstdymka">
    <w:name w:val="Balloon Text"/>
    <w:basedOn w:val="Normalny"/>
    <w:link w:val="TekstdymkaZnak"/>
    <w:uiPriority w:val="99"/>
    <w:semiHidden/>
    <w:unhideWhenUsed/>
    <w:rsid w:val="00910F54"/>
    <w:rPr>
      <w:rFonts w:ascii="Segoe UI" w:hAnsi="Segoe UI" w:cs="Segoe UI"/>
      <w:sz w:val="18"/>
      <w:szCs w:val="18"/>
    </w:rPr>
  </w:style>
  <w:style w:type="character" w:customStyle="1" w:styleId="TekstdymkaZnak">
    <w:name w:val="Tekst dymka Znak"/>
    <w:basedOn w:val="Domylnaczcionkaakapitu"/>
    <w:link w:val="Tekstdymka"/>
    <w:uiPriority w:val="99"/>
    <w:semiHidden/>
    <w:rsid w:val="00910F54"/>
    <w:rPr>
      <w:rFonts w:ascii="Segoe UI" w:hAnsi="Segoe UI" w:cs="Segoe UI"/>
      <w:sz w:val="18"/>
      <w:szCs w:val="18"/>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Y:\CM%20General%20documents\E_Decisi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E_Decision.dot</Template>
  <TotalTime>1</TotalTime>
  <Pages>3</Pages>
  <Words>3300</Words>
  <Characters>19806</Characters>
  <Application>Microsoft Office Word</Application>
  <DocSecurity>0</DocSecurity>
  <Lines>165</Lines>
  <Paragraphs>46</Paragraphs>
  <ScaleCrop>false</ScaleCrop>
  <HeadingPairs>
    <vt:vector size="2" baseType="variant">
      <vt:variant>
        <vt:lpstr>Tytuł</vt:lpstr>
      </vt:variant>
      <vt:variant>
        <vt:i4>1</vt:i4>
      </vt:variant>
    </vt:vector>
  </HeadingPairs>
  <TitlesOfParts>
    <vt:vector size="1" baseType="lpstr">
      <vt:lpstr>Decision of the Ministers' Deputies</vt:lpstr>
    </vt:vector>
  </TitlesOfParts>
  <Company>BABEL s.c., 81-703 Sopot, ul. Kościuszki 61</Company>
  <LinksUpToDate>false</LinksUpToDate>
  <CharactersWithSpaces>23060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of the Ministers' Deputies</dc:title>
  <dc:creator>BABEL s.c.</dc:creator>
  <dc:description>(+48 58) 5500132, 5510076, 5517258_x000d_biuro@babel.pl, office@babel.pl_x000d_www.babel.pl</dc:description>
  <cp:lastModifiedBy>Czuczman Karolina</cp:lastModifiedBy>
  <cp:revision>2</cp:revision>
  <cp:lastPrinted>2015-08-20T04:19:00Z</cp:lastPrinted>
  <dcterms:created xsi:type="dcterms:W3CDTF">2020-09-03T09:55:00Z</dcterms:created>
  <dcterms:modified xsi:type="dcterms:W3CDTF">2020-09-03T09:55:00Z</dcterms:modified>
</cp:coreProperties>
</file>