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7F72" w14:textId="77777777" w:rsidR="0003753B" w:rsidRDefault="00B90909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SZACOWANIE WARTOŚCI ZAMÓWIENIA</w:t>
      </w:r>
    </w:p>
    <w:p w14:paraId="0BCD26A3" w14:textId="77777777" w:rsidR="00B90909" w:rsidRPr="00BC5D59" w:rsidRDefault="00B90909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</w:p>
    <w:p w14:paraId="584FF61B" w14:textId="77777777" w:rsidR="0003753B" w:rsidRPr="00BC5D59" w:rsidRDefault="0003753B" w:rsidP="0003753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Times New Roman"/>
          <w:b/>
        </w:rPr>
      </w:pPr>
      <w:r w:rsidRPr="00BC5D59">
        <w:rPr>
          <w:rFonts w:ascii="Calibri" w:hAnsi="Calibri" w:cs="Times New Roman"/>
          <w:b/>
        </w:rPr>
        <w:t>ZAMAWIAJĄCY</w:t>
      </w:r>
    </w:p>
    <w:p w14:paraId="0EA1612C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Ministerstwo Spraw Zagranicznych,</w:t>
      </w:r>
    </w:p>
    <w:p w14:paraId="60199605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Biuro Informatyki i Telekomunikacji</w:t>
      </w:r>
    </w:p>
    <w:p w14:paraId="509D3121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Al. J.Ch. Szucha 23, 00-580 Warszawa</w:t>
      </w:r>
    </w:p>
    <w:p w14:paraId="3972ADBC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</w:p>
    <w:p w14:paraId="7F7FCA9A" w14:textId="77777777" w:rsidR="0003753B" w:rsidRDefault="0003753B" w:rsidP="0003753B">
      <w:pPr>
        <w:pStyle w:val="Akapitzlist"/>
        <w:numPr>
          <w:ilvl w:val="0"/>
          <w:numId w:val="1"/>
        </w:numPr>
        <w:rPr>
          <w:b/>
        </w:rPr>
      </w:pPr>
      <w:r w:rsidRPr="00BC5D59">
        <w:rPr>
          <w:b/>
        </w:rPr>
        <w:t xml:space="preserve">FORMA POSTĘPOWANIA: </w:t>
      </w:r>
      <w:r w:rsidR="0070097D">
        <w:rPr>
          <w:b/>
        </w:rPr>
        <w:t>SZACOWANIE WARTOŚCI ZAMÓWIENIA</w:t>
      </w:r>
    </w:p>
    <w:p w14:paraId="520458D0" w14:textId="7DFEECA4" w:rsidR="0070097D" w:rsidRDefault="0070097D" w:rsidP="006B6F58">
      <w:pPr>
        <w:pStyle w:val="Akapitzlist"/>
        <w:ind w:left="1080"/>
        <w:jc w:val="both"/>
      </w:pPr>
      <w:r>
        <w:t xml:space="preserve">Informujemy, że poniższe postępowanie ma charakter szacowania wartości i nie zostanie zakończone wyborem oferty. Zamawiający jest zobowiązany do przeprowadzenia szacowania wartości zamówienia w myśl artykułów 32-35 ustawy Prawo Zamówień Publicznych. </w:t>
      </w:r>
    </w:p>
    <w:p w14:paraId="0BD00160" w14:textId="77777777" w:rsidR="0070097D" w:rsidRDefault="0070097D" w:rsidP="0070097D">
      <w:pPr>
        <w:pStyle w:val="Akapitzlist"/>
        <w:ind w:left="1080"/>
        <w:jc w:val="both"/>
      </w:pPr>
      <w:r>
        <w:t xml:space="preserve">Informujemy, iż niniejsze zapytanie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 </w:t>
      </w:r>
    </w:p>
    <w:p w14:paraId="45D1833C" w14:textId="77777777" w:rsidR="0070097D" w:rsidRDefault="0070097D" w:rsidP="0070097D">
      <w:pPr>
        <w:pStyle w:val="Akapitzlist"/>
        <w:spacing w:after="200" w:line="276" w:lineRule="auto"/>
        <w:contextualSpacing/>
        <w:jc w:val="both"/>
      </w:pPr>
    </w:p>
    <w:p w14:paraId="6DE7415B" w14:textId="0CC96BC9" w:rsidR="0070097D" w:rsidRDefault="0070097D" w:rsidP="0070097D">
      <w:pPr>
        <w:pStyle w:val="Akapitzlist"/>
        <w:ind w:left="1080"/>
        <w:jc w:val="both"/>
      </w:pPr>
      <w:r>
        <w:t>Jednocześnie Zamawiający zastrzega, że odpowiedź na niniejsze zapytanie w zakresie szacowania ceny może skutkować:</w:t>
      </w:r>
    </w:p>
    <w:p w14:paraId="5BC33758" w14:textId="77777777" w:rsidR="0070097D" w:rsidRDefault="0070097D" w:rsidP="00EF1C1B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</w:pPr>
      <w:r>
        <w:t xml:space="preserve">zaproszeniem do złożenia oferty lub/i </w:t>
      </w:r>
    </w:p>
    <w:p w14:paraId="6B2F0B66" w14:textId="7DE6FDFE" w:rsidR="0070097D" w:rsidRDefault="0070097D" w:rsidP="00EF1C1B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</w:pPr>
      <w:r>
        <w:t xml:space="preserve">zaproszeniem do negocjacji warunków umownych </w:t>
      </w:r>
    </w:p>
    <w:p w14:paraId="1B1ADDFC" w14:textId="77777777" w:rsidR="00EF1C1B" w:rsidRDefault="00EF1C1B" w:rsidP="00EF1C1B">
      <w:pPr>
        <w:pStyle w:val="Akapitzlist"/>
        <w:spacing w:after="200" w:line="276" w:lineRule="auto"/>
        <w:ind w:left="1440"/>
        <w:contextualSpacing/>
        <w:jc w:val="both"/>
      </w:pPr>
    </w:p>
    <w:p w14:paraId="4621609A" w14:textId="77777777" w:rsidR="0003753B" w:rsidRPr="00D207EA" w:rsidRDefault="0003753B" w:rsidP="0003753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D207EA">
        <w:rPr>
          <w:b/>
        </w:rPr>
        <w:t>OPIS PRZEDMIOTU ZAMÓWIENIA</w:t>
      </w:r>
    </w:p>
    <w:p w14:paraId="2F119E05" w14:textId="77777777" w:rsidR="00296D60" w:rsidRDefault="00296D60" w:rsidP="00296D60">
      <w:pPr>
        <w:pStyle w:val="Nagwek4"/>
        <w:numPr>
          <w:ilvl w:val="0"/>
          <w:numId w:val="26"/>
        </w:numPr>
        <w:ind w:left="1134"/>
      </w:pPr>
      <w:bookmarkStart w:id="0" w:name="_Toc105587451"/>
      <w:r>
        <w:t>Cel zamówienia</w:t>
      </w:r>
      <w:bookmarkEnd w:id="0"/>
    </w:p>
    <w:p w14:paraId="51E7FE02" w14:textId="77777777" w:rsidR="00296D60" w:rsidRDefault="00296D60" w:rsidP="00296D60">
      <w:pPr>
        <w:pStyle w:val="Akapitzlist"/>
        <w:jc w:val="both"/>
      </w:pPr>
      <w:r w:rsidRPr="003B16E8">
        <w:t xml:space="preserve">Zamówienie ma na celu zapewnienie ciągłości funkcjonowania </w:t>
      </w:r>
      <w:r>
        <w:t xml:space="preserve">systemu </w:t>
      </w:r>
      <w:proofErr w:type="spellStart"/>
      <w:r>
        <w:t>eGranty</w:t>
      </w:r>
      <w:proofErr w:type="spellEnd"/>
      <w:r>
        <w:t xml:space="preserve"> służącego do</w:t>
      </w:r>
    </w:p>
    <w:p w14:paraId="4C08648C" w14:textId="3573F015" w:rsidR="00296D60" w:rsidRDefault="00296D60" w:rsidP="00296D60">
      <w:pPr>
        <w:pStyle w:val="Akapitzlist"/>
        <w:jc w:val="both"/>
      </w:pPr>
      <w:r>
        <w:t>naboru i oceny ofert składanych w ramach konkursów Ministra Spraw Zagranicznych na realizację zadań publicznych.</w:t>
      </w:r>
    </w:p>
    <w:p w14:paraId="3BCE18B1" w14:textId="77777777" w:rsidR="00296D60" w:rsidRDefault="00296D60" w:rsidP="00296D60">
      <w:pPr>
        <w:pStyle w:val="Akapitzlist"/>
        <w:jc w:val="both"/>
      </w:pPr>
    </w:p>
    <w:p w14:paraId="7906362F" w14:textId="77777777" w:rsidR="00296D60" w:rsidRDefault="00296D60" w:rsidP="00296D60">
      <w:pPr>
        <w:pStyle w:val="Nagwek4"/>
        <w:numPr>
          <w:ilvl w:val="0"/>
          <w:numId w:val="26"/>
        </w:numPr>
        <w:ind w:left="1134"/>
      </w:pPr>
      <w:bookmarkStart w:id="1" w:name="_Toc105587452"/>
      <w:r>
        <w:t>Opis przedmiotu zamówienia</w:t>
      </w:r>
      <w:bookmarkEnd w:id="1"/>
    </w:p>
    <w:p w14:paraId="7E59956B" w14:textId="6B92AB60" w:rsidR="00296D60" w:rsidRPr="00296D60" w:rsidRDefault="00296D60" w:rsidP="00296D60">
      <w:pPr>
        <w:pStyle w:val="Akapitzlist"/>
        <w:jc w:val="both"/>
      </w:pPr>
      <w:r>
        <w:t>Przedmiotem zamówienia jest</w:t>
      </w:r>
      <w:r>
        <w:rPr>
          <w:rFonts w:cstheme="minorHAnsi"/>
        </w:rPr>
        <w:t xml:space="preserve"> rozwój i </w:t>
      </w:r>
      <w:r w:rsidRPr="00245D95">
        <w:rPr>
          <w:rFonts w:cstheme="minorHAnsi"/>
        </w:rPr>
        <w:t>wsparc</w:t>
      </w:r>
      <w:r>
        <w:rPr>
          <w:rFonts w:cstheme="minorHAnsi"/>
        </w:rPr>
        <w:t xml:space="preserve">ie </w:t>
      </w:r>
      <w:r w:rsidRPr="00296D60">
        <w:rPr>
          <w:rFonts w:cstheme="minorHAnsi"/>
        </w:rPr>
        <w:t xml:space="preserve">techniczne dla obecnego systemu </w:t>
      </w:r>
      <w:proofErr w:type="spellStart"/>
      <w:r w:rsidRPr="00296D60">
        <w:rPr>
          <w:rFonts w:cstheme="minorHAnsi"/>
        </w:rPr>
        <w:t>eGranty</w:t>
      </w:r>
      <w:proofErr w:type="spellEnd"/>
      <w:r w:rsidRPr="00296D60">
        <w:t xml:space="preserve"> </w:t>
      </w:r>
      <w:r w:rsidRPr="00296D60">
        <w:rPr>
          <w:rFonts w:cstheme="minorHAnsi"/>
        </w:rPr>
        <w:t xml:space="preserve"> w  zakresie usuwania wad, luk bezpieczeństwa, konfiguracji, aktualizacji bibliotek i komponentów oraz wykonania aktualizacji dokumentacji technicznej, systemu i użytkownika, zapewnienie bezpieczeństwa przetwarzanych danych na poziomie aplikacji oraz bazy danych.</w:t>
      </w:r>
    </w:p>
    <w:p w14:paraId="4DC61CE3" w14:textId="77777777" w:rsidR="00296D60" w:rsidRDefault="00296D60" w:rsidP="00296D60">
      <w:pPr>
        <w:pStyle w:val="Akapitzlist"/>
        <w:jc w:val="both"/>
      </w:pPr>
    </w:p>
    <w:p w14:paraId="444F0369" w14:textId="77777777" w:rsidR="00296D60" w:rsidRDefault="00296D60" w:rsidP="00296D60">
      <w:pPr>
        <w:pStyle w:val="Akapitzlist"/>
        <w:jc w:val="both"/>
      </w:pPr>
      <w:r>
        <w:t>Zrealizowane będzie to poprzez:</w:t>
      </w:r>
    </w:p>
    <w:p w14:paraId="2642AFE8" w14:textId="77777777" w:rsidR="00296D60" w:rsidRDefault="00296D60" w:rsidP="00296D60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</w:pPr>
      <w:r>
        <w:t xml:space="preserve">Zapewnienie wsparcia technicznego  </w:t>
      </w:r>
    </w:p>
    <w:p w14:paraId="67632C2C" w14:textId="77777777" w:rsidR="00296D60" w:rsidRDefault="00296D60" w:rsidP="00296D60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</w:pPr>
      <w:r>
        <w:t>Zapewnienie usługi rozwoju</w:t>
      </w:r>
    </w:p>
    <w:p w14:paraId="62A28C78" w14:textId="77777777" w:rsidR="00296D60" w:rsidRDefault="00296D60" w:rsidP="00296D60">
      <w:pPr>
        <w:pStyle w:val="Akapitzlist"/>
        <w:numPr>
          <w:ilvl w:val="0"/>
          <w:numId w:val="24"/>
        </w:numPr>
        <w:spacing w:after="160" w:line="259" w:lineRule="auto"/>
        <w:contextualSpacing/>
        <w:jc w:val="both"/>
      </w:pPr>
      <w:r>
        <w:t>Zapewnienie okresowych przeglądów stanu środowiska</w:t>
      </w:r>
    </w:p>
    <w:p w14:paraId="10F3B46F" w14:textId="77777777" w:rsidR="00296D60" w:rsidRDefault="00296D60" w:rsidP="00296D60">
      <w:pPr>
        <w:pStyle w:val="Akapitzlist"/>
        <w:ind w:left="1788"/>
        <w:jc w:val="both"/>
      </w:pPr>
    </w:p>
    <w:p w14:paraId="705DBBD2" w14:textId="77777777" w:rsidR="00296D60" w:rsidRPr="00296D60" w:rsidRDefault="00296D60" w:rsidP="00296D60">
      <w:pPr>
        <w:pStyle w:val="Nagwek5"/>
        <w:numPr>
          <w:ilvl w:val="0"/>
          <w:numId w:val="27"/>
        </w:numPr>
        <w:ind w:left="1134"/>
        <w:rPr>
          <w:rStyle w:val="Pogrubienie"/>
        </w:rPr>
      </w:pPr>
      <w:r w:rsidRPr="00296D60">
        <w:rPr>
          <w:rStyle w:val="Pogrubienie"/>
        </w:rPr>
        <w:t xml:space="preserve">Wsparcie techniczne systemu </w:t>
      </w:r>
      <w:proofErr w:type="spellStart"/>
      <w:r w:rsidRPr="00296D60">
        <w:rPr>
          <w:rStyle w:val="Pogrubienie"/>
        </w:rPr>
        <w:t>eGranty</w:t>
      </w:r>
      <w:proofErr w:type="spellEnd"/>
    </w:p>
    <w:p w14:paraId="56FB5BA7" w14:textId="77777777" w:rsidR="00296D60" w:rsidRDefault="00296D60" w:rsidP="00296D60">
      <w:pPr>
        <w:pStyle w:val="Akapitzlist"/>
        <w:spacing w:after="160" w:line="259" w:lineRule="auto"/>
        <w:ind w:left="709"/>
        <w:jc w:val="both"/>
        <w:rPr>
          <w:b/>
        </w:rPr>
      </w:pPr>
    </w:p>
    <w:p w14:paraId="03F7F2F5" w14:textId="3CAE28E3" w:rsidR="00296D60" w:rsidRDefault="00296D60" w:rsidP="00296D60">
      <w:pPr>
        <w:pStyle w:val="Akapitzlist"/>
        <w:jc w:val="both"/>
      </w:pPr>
      <w:r>
        <w:rPr>
          <w:rFonts w:cstheme="minorHAnsi"/>
        </w:rPr>
        <w:t xml:space="preserve">Wykonawca będzie świadczył </w:t>
      </w:r>
      <w:r w:rsidRPr="00245D95">
        <w:rPr>
          <w:rFonts w:cstheme="minorHAnsi"/>
        </w:rPr>
        <w:t>wsparci</w:t>
      </w:r>
      <w:r>
        <w:rPr>
          <w:rFonts w:cstheme="minorHAnsi"/>
        </w:rPr>
        <w:t>e</w:t>
      </w:r>
      <w:r w:rsidRPr="00245D95">
        <w:rPr>
          <w:rFonts w:cstheme="minorHAnsi"/>
        </w:rPr>
        <w:t xml:space="preserve"> techniczne </w:t>
      </w:r>
      <w:r w:rsidRPr="00296D60">
        <w:rPr>
          <w:rFonts w:cstheme="minorHAnsi"/>
        </w:rPr>
        <w:t xml:space="preserve">dla systemu </w:t>
      </w:r>
      <w:proofErr w:type="spellStart"/>
      <w:r w:rsidRPr="00296D60">
        <w:rPr>
          <w:rFonts w:cstheme="minorHAnsi"/>
        </w:rPr>
        <w:t>eGranty</w:t>
      </w:r>
      <w:proofErr w:type="spellEnd"/>
      <w:r w:rsidRPr="00296D60">
        <w:rPr>
          <w:rFonts w:cstheme="minorHAnsi"/>
        </w:rPr>
        <w:t xml:space="preserve"> . </w:t>
      </w:r>
    </w:p>
    <w:p w14:paraId="5A3059F3" w14:textId="00636C9A" w:rsidR="00296D60" w:rsidRPr="005C2965" w:rsidRDefault="00296D60" w:rsidP="00296D60">
      <w:pPr>
        <w:pStyle w:val="Tekstwstpniesformatowany"/>
        <w:spacing w:before="240" w:after="120" w:line="276" w:lineRule="auto"/>
        <w:ind w:left="690"/>
        <w:jc w:val="both"/>
        <w:rPr>
          <w:rFonts w:asciiTheme="minorHAnsi" w:hAnsiTheme="minorHAnsi"/>
          <w:sz w:val="22"/>
          <w:szCs w:val="22"/>
        </w:rPr>
      </w:pPr>
      <w:r w:rsidRPr="005C2965">
        <w:rPr>
          <w:rFonts w:asciiTheme="minorHAnsi" w:hAnsiTheme="minorHAnsi"/>
          <w:sz w:val="22"/>
          <w:szCs w:val="22"/>
        </w:rPr>
        <w:t xml:space="preserve">Do tego celu Wykonawca udostępni system zgłoszeń, w którym rejestrowane będą wszystkie zgłoszenia oraz umożliwi Zamawiającemu generowanie raportów zarejestrowanych zgłoszeń. Ponadto, Zamawiający posiadać będzie możliwość zgłoszenia problemu (przez grupę wsparcia ze strony Zamawiającego) bezpośrednio w systemie zgłoszeń, mailowo lub telefonicznie. W </w:t>
      </w:r>
      <w:r w:rsidRPr="005C2965">
        <w:rPr>
          <w:rFonts w:asciiTheme="minorHAnsi" w:hAnsiTheme="minorHAnsi"/>
          <w:sz w:val="22"/>
          <w:szCs w:val="22"/>
        </w:rPr>
        <w:lastRenderedPageBreak/>
        <w:t>przypadku pozostałych dwóch form kontaktu Wykonawca wprowadzi zgłoszenie do systemu zgłoszeniowego samodzielnie.</w:t>
      </w:r>
    </w:p>
    <w:p w14:paraId="3F386963" w14:textId="77777777" w:rsidR="00296D60" w:rsidRDefault="00296D60" w:rsidP="00296D60">
      <w:pPr>
        <w:pStyle w:val="Tekstwstpniesformatowany"/>
        <w:spacing w:before="240" w:after="120" w:line="276" w:lineRule="auto"/>
        <w:ind w:left="690"/>
        <w:jc w:val="both"/>
        <w:rPr>
          <w:rFonts w:asciiTheme="minorHAnsi" w:hAnsiTheme="minorHAnsi"/>
          <w:sz w:val="22"/>
          <w:szCs w:val="22"/>
        </w:rPr>
      </w:pPr>
      <w:r w:rsidRPr="00296D60">
        <w:rPr>
          <w:rFonts w:asciiTheme="minorHAnsi" w:hAnsiTheme="minorHAnsi"/>
          <w:sz w:val="22"/>
          <w:szCs w:val="22"/>
        </w:rPr>
        <w:t xml:space="preserve">Świadczenie usługi rozpocznie się od dnia zawarcia umowy, nie wcześniej niż od </w:t>
      </w:r>
      <w:r w:rsidRPr="00296D60">
        <w:rPr>
          <w:rFonts w:asciiTheme="minorHAnsi" w:hAnsiTheme="minorHAnsi"/>
          <w:sz w:val="22"/>
          <w:szCs w:val="22"/>
        </w:rPr>
        <w:br/>
        <w:t>15 lutego  2023 r i będzie trwało 48 miesięcy. Wsparcie świadczone będzie w godzinach: 8:00-17:00 w dni robocze.</w:t>
      </w:r>
    </w:p>
    <w:p w14:paraId="3142D8CE" w14:textId="16406391" w:rsidR="00296D60" w:rsidRPr="00296D60" w:rsidRDefault="00296D60" w:rsidP="00296D60">
      <w:pPr>
        <w:pStyle w:val="Tekstwstpniesformatowany"/>
        <w:spacing w:before="240" w:after="120" w:line="276" w:lineRule="auto"/>
        <w:ind w:left="690"/>
        <w:jc w:val="both"/>
        <w:rPr>
          <w:rFonts w:asciiTheme="minorHAnsi" w:hAnsiTheme="minorHAnsi"/>
          <w:sz w:val="22"/>
          <w:szCs w:val="22"/>
        </w:rPr>
      </w:pPr>
      <w:r w:rsidRPr="00296D60">
        <w:rPr>
          <w:rFonts w:asciiTheme="minorHAnsi" w:hAnsiTheme="minorHAnsi"/>
          <w:sz w:val="22"/>
          <w:szCs w:val="22"/>
        </w:rPr>
        <w:br/>
        <w:t xml:space="preserve">Wszelkie modyfikacje wykonane w systemach muszą spełniać wymagania Ustawy z dnia </w:t>
      </w:r>
      <w:r w:rsidRPr="00296D60">
        <w:rPr>
          <w:rFonts w:asciiTheme="minorHAnsi" w:hAnsiTheme="minorHAnsi"/>
          <w:sz w:val="22"/>
          <w:szCs w:val="22"/>
        </w:rPr>
        <w:br/>
        <w:t>4 kwietnia 2019 r. o dostępności cyfrowej stron internetowych i aplikacji mobilnych podmiotów publicznych (Dz. U. 2019 poz. 848).</w:t>
      </w:r>
    </w:p>
    <w:p w14:paraId="6C842E0D" w14:textId="77777777" w:rsidR="00296D60" w:rsidRDefault="00296D60" w:rsidP="00296D60">
      <w:pPr>
        <w:ind w:left="708"/>
        <w:jc w:val="both"/>
      </w:pPr>
      <w:r>
        <w:t>Kategorie zgłoszeń i czasy reakcji:</w:t>
      </w:r>
    </w:p>
    <w:p w14:paraId="25E7930C" w14:textId="236BEC1A" w:rsidR="00296D60" w:rsidRDefault="00296D60" w:rsidP="005F5FDA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</w:pPr>
      <w:r>
        <w:t xml:space="preserve">Awaria: czas reakcji 2 h, czas realizacji </w:t>
      </w:r>
      <w:r w:rsidR="005F5FDA">
        <w:t>18 godzin</w:t>
      </w:r>
      <w:r w:rsidR="005F5FDA" w:rsidRPr="005F5FDA">
        <w:t xml:space="preserve"> od czasu przyjęcia zgłoszenia</w:t>
      </w:r>
      <w:r>
        <w:t>.</w:t>
      </w:r>
    </w:p>
    <w:p w14:paraId="4001039C" w14:textId="77777777" w:rsidR="00296D60" w:rsidRDefault="00296D60" w:rsidP="00296D60">
      <w:pPr>
        <w:pStyle w:val="Akapitzlist"/>
        <w:spacing w:after="160" w:line="259" w:lineRule="auto"/>
        <w:ind w:left="1788"/>
        <w:jc w:val="both"/>
      </w:pPr>
      <w:r>
        <w:t>Awaria to problem, który uniemożliwia wykorzystanie jednej z kluczowych funkcjonalności lub niedostępność systemu.</w:t>
      </w:r>
    </w:p>
    <w:p w14:paraId="01F43FC2" w14:textId="3547B2E2" w:rsidR="00296D60" w:rsidRDefault="005F5FDA" w:rsidP="005F5FDA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</w:pPr>
      <w:r>
        <w:t>Błąd: czas reakcji 2</w:t>
      </w:r>
      <w:r w:rsidR="00296D60">
        <w:t xml:space="preserve"> h, </w:t>
      </w:r>
      <w:r w:rsidRPr="005F5FDA">
        <w:t>72 godzin zgłoszonego w godzinach 7-17</w:t>
      </w:r>
      <w:r w:rsidR="00296D60">
        <w:t>.</w:t>
      </w:r>
    </w:p>
    <w:p w14:paraId="123E9EEA" w14:textId="77777777" w:rsidR="00296D60" w:rsidRDefault="00296D60" w:rsidP="00296D60">
      <w:pPr>
        <w:pStyle w:val="Akapitzlist"/>
        <w:spacing w:after="160" w:line="259" w:lineRule="auto"/>
        <w:ind w:left="1788"/>
        <w:jc w:val="both"/>
      </w:pPr>
      <w:r>
        <w:t>Błąd to problem, który uniemożliwia wykorzystanie jednej z kluczowych funkcjonalności, ale pozwala na pracę poprzez wykorzystanie obejścia.</w:t>
      </w:r>
    </w:p>
    <w:p w14:paraId="07633BA6" w14:textId="04A41DDB" w:rsidR="00296D60" w:rsidRDefault="00296D60" w:rsidP="005F5FDA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</w:pPr>
      <w:r>
        <w:t>Usterka: czas reakcji 4 h, c</w:t>
      </w:r>
      <w:r w:rsidR="005F5FDA">
        <w:t>zas realizacji 10</w:t>
      </w:r>
      <w:r>
        <w:t xml:space="preserve"> dni roboczych.</w:t>
      </w:r>
    </w:p>
    <w:p w14:paraId="04F4021C" w14:textId="77777777" w:rsidR="00296D60" w:rsidRDefault="00296D60" w:rsidP="005F5FDA">
      <w:pPr>
        <w:pStyle w:val="Akapitzlist"/>
        <w:spacing w:after="160" w:line="259" w:lineRule="auto"/>
        <w:ind w:left="1843"/>
        <w:contextualSpacing/>
        <w:jc w:val="both"/>
      </w:pPr>
      <w:r>
        <w:t>Usterka to problem nie mający wpływu na możliwość wykorzystania danej funkcjonalności.</w:t>
      </w:r>
    </w:p>
    <w:p w14:paraId="2001A57F" w14:textId="77777777" w:rsidR="00296D60" w:rsidRDefault="00296D60" w:rsidP="005F5FDA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</w:pPr>
      <w:r>
        <w:t>Pytania/Wnioski: czas reakcji 4 h, czas realizacji 5 dni roboczych.</w:t>
      </w:r>
    </w:p>
    <w:p w14:paraId="7A36AAE3" w14:textId="77777777" w:rsidR="00296D60" w:rsidRPr="00452B5C" w:rsidRDefault="00296D60" w:rsidP="00296D60">
      <w:pPr>
        <w:pStyle w:val="Akapitzlist"/>
        <w:spacing w:after="160" w:line="259" w:lineRule="auto"/>
        <w:ind w:left="1788"/>
        <w:jc w:val="both"/>
      </w:pPr>
      <w:r>
        <w:rPr>
          <w:rFonts w:cstheme="minorHAnsi"/>
        </w:rPr>
        <w:t>Pytania i wnioski dotyczą uwag</w:t>
      </w:r>
      <w:r w:rsidRPr="00180ADC">
        <w:rPr>
          <w:rFonts w:cstheme="minorHAnsi"/>
        </w:rPr>
        <w:t xml:space="preserve"> związan</w:t>
      </w:r>
      <w:r>
        <w:rPr>
          <w:rFonts w:cstheme="minorHAnsi"/>
        </w:rPr>
        <w:t>ych</w:t>
      </w:r>
      <w:r w:rsidRPr="00180ADC">
        <w:rPr>
          <w:rFonts w:cstheme="minorHAnsi"/>
        </w:rPr>
        <w:t xml:space="preserve"> z funkcjonowaniem, konfiguracją, uż</w:t>
      </w:r>
      <w:r>
        <w:rPr>
          <w:rFonts w:cstheme="minorHAnsi"/>
        </w:rPr>
        <w:t xml:space="preserve">ytkowaniem systemu </w:t>
      </w:r>
      <w:proofErr w:type="spellStart"/>
      <w:r>
        <w:rPr>
          <w:rFonts w:cstheme="minorHAnsi"/>
        </w:rPr>
        <w:t>eGranty</w:t>
      </w:r>
      <w:proofErr w:type="spellEnd"/>
      <w:r>
        <w:rPr>
          <w:rFonts w:cstheme="minorHAnsi"/>
        </w:rPr>
        <w:t xml:space="preserve"> </w:t>
      </w:r>
      <w:r w:rsidRPr="00180ADC">
        <w:rPr>
          <w:rFonts w:cstheme="minorHAnsi"/>
        </w:rPr>
        <w:t>lub dotyczący</w:t>
      </w:r>
      <w:r>
        <w:rPr>
          <w:rFonts w:cstheme="minorHAnsi"/>
        </w:rPr>
        <w:t>ch</w:t>
      </w:r>
      <w:r w:rsidRPr="00180ADC">
        <w:rPr>
          <w:rFonts w:cstheme="minorHAnsi"/>
        </w:rPr>
        <w:t xml:space="preserve"> obsługi</w:t>
      </w:r>
      <w:r>
        <w:rPr>
          <w:rFonts w:cstheme="minorHAnsi"/>
        </w:rPr>
        <w:t xml:space="preserve"> systemu zgłoszeniowego oraz </w:t>
      </w:r>
      <w:r w:rsidRPr="003716A0">
        <w:rPr>
          <w:rFonts w:cstheme="minorHAnsi"/>
        </w:rPr>
        <w:t xml:space="preserve">możliwości wykonania zmiany w systemie </w:t>
      </w:r>
      <w:r>
        <w:rPr>
          <w:rFonts w:cstheme="minorHAnsi"/>
        </w:rPr>
        <w:t>i</w:t>
      </w:r>
      <w:r w:rsidRPr="003716A0">
        <w:rPr>
          <w:rFonts w:cstheme="minorHAnsi"/>
        </w:rPr>
        <w:t xml:space="preserve"> ich wycenę przez Wykonawcę</w:t>
      </w:r>
      <w:r>
        <w:rPr>
          <w:rFonts w:cstheme="minorHAnsi"/>
        </w:rPr>
        <w:t>.</w:t>
      </w:r>
    </w:p>
    <w:p w14:paraId="1E46B7AF" w14:textId="5C9612A4" w:rsidR="00296D60" w:rsidRDefault="00296D60" w:rsidP="005F5FDA">
      <w:pPr>
        <w:pStyle w:val="Akapitzlist"/>
        <w:numPr>
          <w:ilvl w:val="0"/>
          <w:numId w:val="23"/>
        </w:numPr>
        <w:spacing w:after="160" w:line="259" w:lineRule="auto"/>
        <w:contextualSpacing/>
        <w:jc w:val="both"/>
      </w:pPr>
      <w:r>
        <w:t>Zgłoszenie wsparcia administracyjnego</w:t>
      </w:r>
      <w:r w:rsidR="005F5FDA">
        <w:t>: czas reakcji 2 h, czas realizacji 5</w:t>
      </w:r>
      <w:r>
        <w:t xml:space="preserve"> dni roboczych.</w:t>
      </w:r>
    </w:p>
    <w:p w14:paraId="1A0179BC" w14:textId="77777777" w:rsidR="00296D60" w:rsidRDefault="00296D60" w:rsidP="00296D60">
      <w:pPr>
        <w:pStyle w:val="Akapitzlist"/>
        <w:spacing w:after="160" w:line="259" w:lineRule="auto"/>
        <w:ind w:left="1788"/>
        <w:jc w:val="both"/>
      </w:pPr>
      <w:r>
        <w:t xml:space="preserve">Zgłoszenie wsparcia administracyjnego dotyczy praca administracyjnych </w:t>
      </w:r>
      <w:r>
        <w:br/>
        <w:t xml:space="preserve">w zakresie systemu </w:t>
      </w:r>
      <w:proofErr w:type="spellStart"/>
      <w:r>
        <w:t>eGrantów</w:t>
      </w:r>
      <w:proofErr w:type="spellEnd"/>
      <w:r>
        <w:t>.</w:t>
      </w:r>
    </w:p>
    <w:p w14:paraId="45A7EDE0" w14:textId="77777777" w:rsidR="00296D60" w:rsidRDefault="00296D60" w:rsidP="00296D60">
      <w:pPr>
        <w:pStyle w:val="Akapitzlist"/>
        <w:jc w:val="both"/>
      </w:pPr>
    </w:p>
    <w:p w14:paraId="3D2E82F6" w14:textId="6FCC5875" w:rsidR="00296D60" w:rsidRDefault="00296D60" w:rsidP="005F5FDA">
      <w:pPr>
        <w:pStyle w:val="Akapitzlist"/>
        <w:spacing w:after="160" w:line="259" w:lineRule="auto"/>
        <w:ind w:left="709"/>
        <w:jc w:val="both"/>
      </w:pPr>
      <w:r>
        <w:t xml:space="preserve">Każdorazowo gdy rozwiązanie problemu/zgłoszenia wymagało będzie dokonania zmiany </w:t>
      </w:r>
      <w:r>
        <w:br/>
        <w:t>(np. elementów konfiguracyjnych, kodu itp.), zostanie ona przez Wykonawcę opisana/zaktualizowana w dokumentacji technicznej systemu i/lub dokumentacji użytkownika.</w:t>
      </w:r>
    </w:p>
    <w:p w14:paraId="0D6A81FC" w14:textId="77777777" w:rsidR="005F5FDA" w:rsidRPr="00A16446" w:rsidRDefault="005F5FDA" w:rsidP="005F5FDA">
      <w:pPr>
        <w:pStyle w:val="Akapitzlist"/>
        <w:spacing w:after="160" w:line="259" w:lineRule="auto"/>
        <w:ind w:left="709"/>
        <w:jc w:val="both"/>
      </w:pPr>
    </w:p>
    <w:p w14:paraId="3C62E5F8" w14:textId="77777777" w:rsidR="00296D60" w:rsidRPr="00296D60" w:rsidRDefault="00296D60" w:rsidP="00296D60">
      <w:pPr>
        <w:pStyle w:val="Nagwek5"/>
        <w:numPr>
          <w:ilvl w:val="0"/>
          <w:numId w:val="27"/>
        </w:numPr>
        <w:ind w:left="1134"/>
        <w:rPr>
          <w:rStyle w:val="Pogrubienie"/>
        </w:rPr>
      </w:pPr>
      <w:r w:rsidRPr="00296D60">
        <w:rPr>
          <w:rStyle w:val="Pogrubienie"/>
        </w:rPr>
        <w:t xml:space="preserve">Rozwój aplikacji </w:t>
      </w:r>
      <w:proofErr w:type="spellStart"/>
      <w:r w:rsidRPr="00296D60">
        <w:rPr>
          <w:rStyle w:val="Pogrubienie"/>
        </w:rPr>
        <w:t>eGranty</w:t>
      </w:r>
      <w:proofErr w:type="spellEnd"/>
    </w:p>
    <w:p w14:paraId="391D2353" w14:textId="77777777" w:rsidR="00296D60" w:rsidRDefault="00296D60" w:rsidP="00296D60">
      <w:pPr>
        <w:pStyle w:val="Akapitzlist"/>
        <w:jc w:val="both"/>
        <w:rPr>
          <w:b/>
        </w:rPr>
      </w:pPr>
    </w:p>
    <w:p w14:paraId="2DE104E4" w14:textId="77777777" w:rsidR="00296D60" w:rsidRDefault="00296D60" w:rsidP="00296D60">
      <w:pPr>
        <w:pStyle w:val="Akapitzlist"/>
        <w:ind w:left="709"/>
        <w:jc w:val="both"/>
      </w:pPr>
      <w:r>
        <w:t xml:space="preserve">Do zadań Wykonawcy będzie należał rozwój aplikacji za pomocą puli godzin programistycznych.  </w:t>
      </w:r>
    </w:p>
    <w:p w14:paraId="2C855B39" w14:textId="77777777" w:rsidR="00296D60" w:rsidRDefault="00296D60" w:rsidP="00296D60">
      <w:pPr>
        <w:ind w:left="708"/>
        <w:jc w:val="both"/>
      </w:pPr>
      <w:r>
        <w:t xml:space="preserve">Każda zmiana zgłoszona przez Zamawiającego musi zostać przeanalizowana oraz wyceniona przez Wykonawcę. Następnie koszt takiej zmiany </w:t>
      </w:r>
      <w:r w:rsidRPr="00BB0476">
        <w:t>w przypadku zlecenia</w:t>
      </w:r>
      <w:r>
        <w:t xml:space="preserve"> musi zostać zaakceptowany przez Zamawiającego.</w:t>
      </w:r>
    </w:p>
    <w:p w14:paraId="13095C9F" w14:textId="77777777" w:rsidR="00296D60" w:rsidRDefault="00296D60" w:rsidP="00296D60">
      <w:pPr>
        <w:ind w:left="708"/>
        <w:jc w:val="both"/>
      </w:pPr>
      <w:r>
        <w:t xml:space="preserve">Zamawiający na realizację swoich celów wymaga minimum 1400 godzin rozwojowych na cały okres obowiązywania umowy.  Zamawiający z godzin programistycznych, będzie korzystać w </w:t>
      </w:r>
      <w:r>
        <w:lastRenderedPageBreak/>
        <w:t xml:space="preserve">formie opcji. Godziny programistyczne mogą zostać wykorzystane, ale nie muszą. Rozliczenie za wykorzystane godziny programistyczne będzie uregulowane kwartalnie po podpisaniu protokołu odbioru tychże godzin. </w:t>
      </w:r>
    </w:p>
    <w:p w14:paraId="6932FB1A" w14:textId="4A094F3A" w:rsidR="00296D60" w:rsidRDefault="00296D60" w:rsidP="00296D60">
      <w:pPr>
        <w:ind w:left="708"/>
        <w:jc w:val="both"/>
      </w:pPr>
      <w:r>
        <w:t>Każdorazowo gdy zostanie wprowadzona jakakolwiek zmiana (np. elementów konfiguracyjnych, kodu itp.), zostanie ona przez Wykonawcę opisana/zaktualizowana w dokumentacji technicznej systemu i/lub dokumentacji użytkownika.</w:t>
      </w:r>
    </w:p>
    <w:p w14:paraId="62314420" w14:textId="77777777" w:rsidR="005F5FDA" w:rsidRPr="00790F5A" w:rsidRDefault="005F5FDA" w:rsidP="00296D60">
      <w:pPr>
        <w:ind w:left="708"/>
        <w:jc w:val="both"/>
      </w:pPr>
    </w:p>
    <w:p w14:paraId="63D80F40" w14:textId="170F7A96" w:rsidR="00296D60" w:rsidRDefault="00296D60" w:rsidP="00296D60">
      <w:pPr>
        <w:pStyle w:val="Nagwek5"/>
        <w:numPr>
          <w:ilvl w:val="0"/>
          <w:numId w:val="27"/>
        </w:numPr>
        <w:ind w:left="1134"/>
        <w:rPr>
          <w:rStyle w:val="Pogrubienie"/>
        </w:rPr>
      </w:pPr>
      <w:r w:rsidRPr="00296D60">
        <w:rPr>
          <w:rStyle w:val="Pogrubienie"/>
        </w:rPr>
        <w:t>Przeglądy środowiska</w:t>
      </w:r>
    </w:p>
    <w:p w14:paraId="47DE82BD" w14:textId="77777777" w:rsidR="005F5FDA" w:rsidRPr="005F5FDA" w:rsidRDefault="005F5FDA" w:rsidP="005F5FDA"/>
    <w:p w14:paraId="72CDFF49" w14:textId="77777777" w:rsidR="00296D60" w:rsidRDefault="00296D60" w:rsidP="00296D60">
      <w:pPr>
        <w:ind w:left="708"/>
        <w:jc w:val="both"/>
      </w:pPr>
      <w:r>
        <w:t xml:space="preserve">Raz na rok lub częściej zgodnie z ofertą (w terminie uzgodnionym przez obie strony) Wykonawca wykona przegląd całego środowiska </w:t>
      </w:r>
      <w:proofErr w:type="spellStart"/>
      <w:r>
        <w:t>eGrantów</w:t>
      </w:r>
      <w:proofErr w:type="spellEnd"/>
      <w:r>
        <w:t xml:space="preserve"> Zamawiającego oraz przekaże raport wraz z ew. zaleceniami.</w:t>
      </w:r>
    </w:p>
    <w:p w14:paraId="63C78915" w14:textId="77777777" w:rsidR="00296D60" w:rsidRPr="00180ADC" w:rsidRDefault="00296D60" w:rsidP="00296D60">
      <w:pPr>
        <w:spacing w:before="240" w:after="240"/>
        <w:ind w:left="708"/>
        <w:jc w:val="both"/>
        <w:rPr>
          <w:lang w:eastAsia="ar-SA"/>
        </w:rPr>
      </w:pPr>
      <w:r>
        <w:rPr>
          <w:lang w:eastAsia="ar-SA"/>
        </w:rPr>
        <w:t>Szczegóły zostały opisane w załączniku nr 6 do Umowy – Procedurze Wsparcia Technicznego.</w:t>
      </w:r>
    </w:p>
    <w:p w14:paraId="6F17E6C9" w14:textId="77777777" w:rsidR="00A83FFF" w:rsidRPr="00180ADC" w:rsidRDefault="00A83FFF" w:rsidP="00A83FFF">
      <w:pPr>
        <w:pStyle w:val="Akapitzlist"/>
        <w:rPr>
          <w:lang w:eastAsia="ar-SA"/>
        </w:rPr>
      </w:pPr>
      <w:bookmarkStart w:id="2" w:name="_Toc105587453"/>
      <w:r w:rsidRPr="00180ADC">
        <w:rPr>
          <w:lang w:eastAsia="ar-SA"/>
        </w:rPr>
        <w:t>Przegląd ma obejmować następujące elementy:</w:t>
      </w:r>
    </w:p>
    <w:p w14:paraId="02FDA97B" w14:textId="0CC19F84" w:rsidR="00A83FFF" w:rsidRPr="00180ADC" w:rsidRDefault="00A83FFF" w:rsidP="00A83FFF">
      <w:pPr>
        <w:pStyle w:val="Akapitzlist"/>
        <w:numPr>
          <w:ilvl w:val="0"/>
          <w:numId w:val="28"/>
        </w:numPr>
        <w:spacing w:line="276" w:lineRule="auto"/>
        <w:ind w:left="1080"/>
        <w:contextualSpacing/>
        <w:rPr>
          <w:lang w:eastAsia="ar-SA"/>
        </w:rPr>
      </w:pPr>
      <w:r>
        <w:rPr>
          <w:lang w:eastAsia="ar-SA"/>
        </w:rPr>
        <w:t>Przegląd systemu</w:t>
      </w:r>
      <w:r w:rsidRPr="004A2444">
        <w:rPr>
          <w:lang w:eastAsia="ar-SA"/>
        </w:rPr>
        <w:t xml:space="preserve"> </w:t>
      </w:r>
      <w:r w:rsidRPr="00180ADC">
        <w:rPr>
          <w:lang w:eastAsia="ar-SA"/>
        </w:rPr>
        <w:t>pod kątem błędów, konfliktów oraz niezbędnych aktualizacji;</w:t>
      </w:r>
    </w:p>
    <w:p w14:paraId="585B7BEB" w14:textId="77777777" w:rsidR="00A83FFF" w:rsidRDefault="00A83FFF" w:rsidP="00A83FFF">
      <w:pPr>
        <w:pStyle w:val="Akapitzlist"/>
        <w:numPr>
          <w:ilvl w:val="0"/>
          <w:numId w:val="28"/>
        </w:numPr>
        <w:spacing w:line="276" w:lineRule="auto"/>
        <w:ind w:left="1080"/>
        <w:contextualSpacing/>
        <w:jc w:val="both"/>
        <w:rPr>
          <w:lang w:eastAsia="ar-SA"/>
        </w:rPr>
      </w:pPr>
      <w:r w:rsidRPr="00180ADC">
        <w:rPr>
          <w:lang w:eastAsia="ar-SA"/>
        </w:rPr>
        <w:t xml:space="preserve">Przygotowanie raportu błędów, konfliktów oraz niezbędnych aktualizacji </w:t>
      </w:r>
      <w:r>
        <w:rPr>
          <w:lang w:eastAsia="ar-SA"/>
        </w:rPr>
        <w:t xml:space="preserve">tj. nieprawidłowości </w:t>
      </w:r>
      <w:r w:rsidRPr="00180ADC">
        <w:rPr>
          <w:lang w:eastAsia="ar-SA"/>
        </w:rPr>
        <w:t>wraz z rekomendacjami ich rozwiązania;</w:t>
      </w:r>
    </w:p>
    <w:p w14:paraId="48ADD4F8" w14:textId="628311E0" w:rsidR="00A83FFF" w:rsidRPr="00180ADC" w:rsidRDefault="00A83FFF" w:rsidP="00A83FFF">
      <w:pPr>
        <w:pStyle w:val="Akapitzlist"/>
        <w:numPr>
          <w:ilvl w:val="0"/>
          <w:numId w:val="28"/>
        </w:numPr>
        <w:spacing w:line="276" w:lineRule="auto"/>
        <w:ind w:left="1080"/>
        <w:contextualSpacing/>
        <w:jc w:val="both"/>
        <w:rPr>
          <w:lang w:eastAsia="ar-SA"/>
        </w:rPr>
      </w:pPr>
      <w:r>
        <w:rPr>
          <w:lang w:eastAsia="ar-SA"/>
        </w:rPr>
        <w:t>Podział w raporcie na odpowiednie kategorie w zakresie wykrytych nieprawidłowości na kategorie niski, średni i wysoki;</w:t>
      </w:r>
    </w:p>
    <w:p w14:paraId="4FCFFC78" w14:textId="0E8885B4" w:rsidR="00A83FFF" w:rsidRPr="00180ADC" w:rsidRDefault="00A83FFF" w:rsidP="00A83FFF">
      <w:pPr>
        <w:pStyle w:val="Akapitzlist"/>
        <w:numPr>
          <w:ilvl w:val="0"/>
          <w:numId w:val="28"/>
        </w:numPr>
        <w:spacing w:line="276" w:lineRule="auto"/>
        <w:ind w:left="1080"/>
        <w:contextualSpacing/>
        <w:jc w:val="both"/>
        <w:rPr>
          <w:lang w:eastAsia="ar-SA"/>
        </w:rPr>
      </w:pPr>
      <w:r w:rsidRPr="00180ADC">
        <w:rPr>
          <w:lang w:eastAsia="ar-SA"/>
        </w:rPr>
        <w:t xml:space="preserve">Przegląd </w:t>
      </w:r>
      <w:r>
        <w:rPr>
          <w:lang w:eastAsia="ar-SA"/>
        </w:rPr>
        <w:t xml:space="preserve">systemu </w:t>
      </w:r>
      <w:r w:rsidRPr="00180ADC">
        <w:rPr>
          <w:lang w:eastAsia="ar-SA"/>
        </w:rPr>
        <w:t>pod kątem wydajności</w:t>
      </w:r>
      <w:r>
        <w:rPr>
          <w:lang w:eastAsia="ar-SA"/>
        </w:rPr>
        <w:t xml:space="preserve"> również z podziałem na ww. kategorie</w:t>
      </w:r>
      <w:r w:rsidRPr="00180ADC">
        <w:rPr>
          <w:lang w:eastAsia="ar-SA"/>
        </w:rPr>
        <w:t>;</w:t>
      </w:r>
    </w:p>
    <w:p w14:paraId="79156148" w14:textId="77777777" w:rsidR="00A83FFF" w:rsidRPr="00E728CF" w:rsidRDefault="00A83FFF" w:rsidP="00A83FFF">
      <w:pPr>
        <w:pStyle w:val="Akapitzlist"/>
        <w:numPr>
          <w:ilvl w:val="0"/>
          <w:numId w:val="28"/>
        </w:numPr>
        <w:spacing w:line="276" w:lineRule="auto"/>
        <w:ind w:left="1080"/>
        <w:contextualSpacing/>
        <w:jc w:val="both"/>
        <w:rPr>
          <w:lang w:eastAsia="ar-SA"/>
        </w:rPr>
      </w:pPr>
      <w:r w:rsidRPr="00E728CF">
        <w:rPr>
          <w:lang w:eastAsia="ar-SA"/>
        </w:rPr>
        <w:t>Przygotowanie raportu wydajności wraz z rekomendacjami ich optymalizacji;</w:t>
      </w:r>
    </w:p>
    <w:p w14:paraId="4441F141" w14:textId="77777777" w:rsidR="00A83FFF" w:rsidRDefault="00A83FFF" w:rsidP="00A83FFF">
      <w:pPr>
        <w:pStyle w:val="Akapitzlist"/>
        <w:numPr>
          <w:ilvl w:val="0"/>
          <w:numId w:val="28"/>
        </w:numPr>
        <w:spacing w:line="276" w:lineRule="auto"/>
        <w:ind w:left="1080"/>
        <w:contextualSpacing/>
        <w:jc w:val="both"/>
        <w:rPr>
          <w:lang w:eastAsia="ar-SA"/>
        </w:rPr>
      </w:pPr>
      <w:r w:rsidRPr="00E728CF">
        <w:rPr>
          <w:lang w:eastAsia="ar-SA"/>
        </w:rPr>
        <w:t xml:space="preserve">Wdrożenie rekomendowanych i zaakceptowanych przez Zamawiającego rozwiązań (konfliktów, błędów oraz optymalizacji) </w:t>
      </w:r>
    </w:p>
    <w:p w14:paraId="30D12C3F" w14:textId="77777777" w:rsidR="00A83FFF" w:rsidRPr="00E728CF" w:rsidRDefault="00A83FFF" w:rsidP="00A83FFF">
      <w:pPr>
        <w:pStyle w:val="Akapitzlist"/>
        <w:numPr>
          <w:ilvl w:val="0"/>
          <w:numId w:val="28"/>
        </w:numPr>
        <w:spacing w:line="276" w:lineRule="auto"/>
        <w:ind w:left="1080"/>
        <w:contextualSpacing/>
        <w:jc w:val="both"/>
        <w:rPr>
          <w:lang w:eastAsia="ar-SA"/>
        </w:rPr>
      </w:pPr>
      <w:r>
        <w:rPr>
          <w:lang w:eastAsia="ar-SA"/>
        </w:rPr>
        <w:t>W</w:t>
      </w:r>
      <w:r w:rsidRPr="00E728CF">
        <w:rPr>
          <w:lang w:eastAsia="ar-SA"/>
        </w:rPr>
        <w:t xml:space="preserve">drożenie rekomendowanych i zaakceptowanych przez Zamawiającego niezbędnych aktualizacji </w:t>
      </w:r>
      <w:r>
        <w:rPr>
          <w:lang w:eastAsia="ar-SA"/>
        </w:rPr>
        <w:t>systemowych i aplikacyjnych</w:t>
      </w:r>
      <w:r w:rsidRPr="00E728CF">
        <w:rPr>
          <w:lang w:eastAsia="ar-SA"/>
        </w:rPr>
        <w:t xml:space="preserve">  </w:t>
      </w:r>
    </w:p>
    <w:p w14:paraId="639B3A5C" w14:textId="267E0FA0" w:rsidR="00A83FFF" w:rsidRPr="00A83FFF" w:rsidRDefault="00A83FFF" w:rsidP="00A83FFF">
      <w:pPr>
        <w:pStyle w:val="Akapitzlist"/>
        <w:numPr>
          <w:ilvl w:val="0"/>
          <w:numId w:val="28"/>
        </w:numPr>
        <w:spacing w:line="276" w:lineRule="auto"/>
        <w:ind w:left="1080"/>
        <w:contextualSpacing/>
        <w:jc w:val="both"/>
        <w:rPr>
          <w:b/>
        </w:rPr>
      </w:pPr>
      <w:r w:rsidRPr="00236966">
        <w:rPr>
          <w:lang w:eastAsia="ar-SA"/>
        </w:rPr>
        <w:t>Raport końcowy z wykonanych prac.</w:t>
      </w:r>
    </w:p>
    <w:p w14:paraId="3898E0FE" w14:textId="5BFC4564" w:rsidR="00A83FFF" w:rsidRDefault="00A83FFF" w:rsidP="00A83FFF">
      <w:pPr>
        <w:pStyle w:val="Akapitzlist"/>
        <w:spacing w:line="276" w:lineRule="auto"/>
        <w:ind w:left="1080"/>
        <w:contextualSpacing/>
        <w:jc w:val="both"/>
        <w:rPr>
          <w:b/>
        </w:rPr>
      </w:pPr>
    </w:p>
    <w:p w14:paraId="2E924187" w14:textId="1BC0B633" w:rsidR="00296D60" w:rsidRDefault="00296D60" w:rsidP="00A83FFF">
      <w:pPr>
        <w:pStyle w:val="Nagwek4"/>
        <w:numPr>
          <w:ilvl w:val="0"/>
          <w:numId w:val="26"/>
        </w:numPr>
        <w:ind w:left="1134"/>
      </w:pPr>
      <w:r>
        <w:t>Opis systemu</w:t>
      </w:r>
      <w:bookmarkEnd w:id="2"/>
    </w:p>
    <w:p w14:paraId="3BE89350" w14:textId="77777777" w:rsidR="00296D60" w:rsidRDefault="00296D60" w:rsidP="00296D60">
      <w:pPr>
        <w:pStyle w:val="Akapitzlist"/>
        <w:jc w:val="both"/>
      </w:pPr>
      <w:r>
        <w:t xml:space="preserve">Służy do naboru i oceny ofert składanych w ramach konkursów Ministra Spraw Zagranicznych na realizację zadań publicznych. Składanie ofert w wybranych konkursach możliwe jest za pośrednictwem strony internetowej </w:t>
      </w:r>
      <w:hyperlink r:id="rId9" w:history="1">
        <w:r w:rsidRPr="00DE7FA6">
          <w:rPr>
            <w:rStyle w:val="Hipercze"/>
          </w:rPr>
          <w:t>https://egranty.msz.gov.pl</w:t>
        </w:r>
      </w:hyperlink>
      <w:r>
        <w:t xml:space="preserve"> . Ponadto aplikacja wspomaga nadzór powadzony przez MSZ nad wyłonionymi w tych konkursach projektami oraz stanowi bazę danych pozwalających na tworzenie zestawień statystycznych i przechowywanie danych archiwalnych. </w:t>
      </w:r>
    </w:p>
    <w:p w14:paraId="64683189" w14:textId="77777777" w:rsidR="00296D60" w:rsidRDefault="00296D60" w:rsidP="00296D60">
      <w:pPr>
        <w:pStyle w:val="Akapitzlist"/>
        <w:jc w:val="both"/>
      </w:pPr>
      <w:r>
        <w:t>Aplikacja umożliwia również analogiczne działania w stosunku do wniosków składanych przez urzędy administracji publicznej i placówki zagraniczne.</w:t>
      </w:r>
    </w:p>
    <w:p w14:paraId="0C414DEF" w14:textId="77777777" w:rsidR="00296D60" w:rsidRDefault="00296D60" w:rsidP="00296D60">
      <w:pPr>
        <w:pStyle w:val="Akapitzlist"/>
      </w:pPr>
    </w:p>
    <w:p w14:paraId="40577249" w14:textId="77777777" w:rsidR="00296D60" w:rsidRDefault="00296D60" w:rsidP="00A83FFF">
      <w:pPr>
        <w:pStyle w:val="Nagwek4"/>
        <w:numPr>
          <w:ilvl w:val="0"/>
          <w:numId w:val="26"/>
        </w:numPr>
        <w:ind w:left="1134"/>
      </w:pPr>
      <w:r w:rsidRPr="00A32214">
        <w:t>Opis środowiska w którym uruchomiona jest aplikacja:</w:t>
      </w:r>
    </w:p>
    <w:p w14:paraId="75C837A7" w14:textId="77777777" w:rsidR="00296D60" w:rsidRDefault="00296D60" w:rsidP="00296D60">
      <w:pPr>
        <w:pStyle w:val="Akapitzlist"/>
        <w:jc w:val="both"/>
      </w:pPr>
      <w:r w:rsidRPr="00565FBF">
        <w:t xml:space="preserve">System uruchomiony jest w środowisku chmurowym Microsoft </w:t>
      </w:r>
      <w:proofErr w:type="spellStart"/>
      <w:r w:rsidRPr="00565FBF">
        <w:t>Azure</w:t>
      </w:r>
      <w:proofErr w:type="spellEnd"/>
      <w:r w:rsidRPr="00565FBF">
        <w:t xml:space="preserve">. Aplikacja posadowiona jest za WAF (Web Application Firewall) i musi z nimi współpracować. Zamawiający nie przewiduje udzielenia dostępu do środowiska produkcyjnego w którym uruchomiona jest aplikacja. </w:t>
      </w:r>
    </w:p>
    <w:p w14:paraId="1D0BF968" w14:textId="77777777" w:rsidR="00296D60" w:rsidRDefault="00296D60" w:rsidP="00A83FFF">
      <w:pPr>
        <w:pStyle w:val="Nagwek4"/>
        <w:numPr>
          <w:ilvl w:val="1"/>
          <w:numId w:val="26"/>
        </w:numPr>
        <w:ind w:left="1276"/>
      </w:pPr>
      <w:proofErr w:type="spellStart"/>
      <w:r>
        <w:lastRenderedPageBreak/>
        <w:t>Frontend</w:t>
      </w:r>
      <w:proofErr w:type="spellEnd"/>
      <w:r>
        <w:t xml:space="preserve"> i </w:t>
      </w:r>
      <w:proofErr w:type="spellStart"/>
      <w:r>
        <w:t>backend</w:t>
      </w:r>
      <w:proofErr w:type="spellEnd"/>
      <w:r>
        <w:t xml:space="preserve"> aplikacji</w:t>
      </w:r>
    </w:p>
    <w:p w14:paraId="6F6BC872" w14:textId="39E95219" w:rsidR="00296D60" w:rsidRDefault="00296D60" w:rsidP="00296D60">
      <w:pPr>
        <w:pStyle w:val="Akapitzlist"/>
        <w:jc w:val="both"/>
      </w:pPr>
      <w:r>
        <w:t xml:space="preserve">Aplikacja składa się z </w:t>
      </w:r>
      <w:proofErr w:type="spellStart"/>
      <w:r>
        <w:t>frontendu</w:t>
      </w:r>
      <w:proofErr w:type="spellEnd"/>
      <w:r>
        <w:t xml:space="preserve"> i </w:t>
      </w:r>
      <w:proofErr w:type="spellStart"/>
      <w:r>
        <w:t>backendu</w:t>
      </w:r>
      <w:proofErr w:type="spellEnd"/>
      <w:r>
        <w:t xml:space="preserve">. Za </w:t>
      </w:r>
      <w:proofErr w:type="spellStart"/>
      <w:r>
        <w:t>frontend</w:t>
      </w:r>
      <w:proofErr w:type="spellEnd"/>
      <w:r>
        <w:t xml:space="preserve"> aplikacji odpowiada serwer </w:t>
      </w:r>
      <w:r w:rsidR="00A83FFF">
        <w:t xml:space="preserve">aplikacyjny Apache, natomiast za </w:t>
      </w:r>
      <w:proofErr w:type="spellStart"/>
      <w:r>
        <w:t>frontend</w:t>
      </w:r>
      <w:proofErr w:type="spellEnd"/>
      <w:r>
        <w:t xml:space="preserve"> odpowiada aplikacja </w:t>
      </w:r>
      <w:r w:rsidR="00A83FFF">
        <w:t>wykorzystująca</w:t>
      </w:r>
      <w:r>
        <w:t xml:space="preserve"> </w:t>
      </w:r>
      <w:proofErr w:type="spellStart"/>
      <w:r>
        <w:t>JAVEę</w:t>
      </w:r>
      <w:proofErr w:type="spellEnd"/>
      <w:r>
        <w:t>.</w:t>
      </w:r>
    </w:p>
    <w:p w14:paraId="14F5AA10" w14:textId="690D1906" w:rsidR="00296D60" w:rsidRDefault="00296D60" w:rsidP="00296D60">
      <w:pPr>
        <w:pStyle w:val="Akapitzlist"/>
        <w:jc w:val="both"/>
      </w:pPr>
      <w:r>
        <w:t>Dodat</w:t>
      </w:r>
      <w:r w:rsidR="00A83FFF">
        <w:t>kowo w ramach aplikacji działa D</w:t>
      </w:r>
      <w:r>
        <w:t xml:space="preserve">ocker, w </w:t>
      </w:r>
      <w:r w:rsidR="00A83FFF">
        <w:t>k</w:t>
      </w:r>
      <w:r>
        <w:t xml:space="preserve">tórym uruchomiony jest kontener generujący </w:t>
      </w:r>
      <w:r w:rsidR="00A83FFF">
        <w:t>wydruki PDF w aplikacji.</w:t>
      </w:r>
    </w:p>
    <w:p w14:paraId="3685E222" w14:textId="77777777" w:rsidR="00A83FFF" w:rsidRDefault="00A83FFF" w:rsidP="00296D60">
      <w:pPr>
        <w:pStyle w:val="Akapitzlist"/>
        <w:jc w:val="both"/>
      </w:pPr>
    </w:p>
    <w:p w14:paraId="2F89E9FA" w14:textId="77777777" w:rsidR="00296D60" w:rsidRDefault="00296D60" w:rsidP="00A83FFF">
      <w:pPr>
        <w:pStyle w:val="Nagwek4"/>
        <w:numPr>
          <w:ilvl w:val="1"/>
          <w:numId w:val="26"/>
        </w:numPr>
        <w:ind w:left="1276"/>
      </w:pPr>
      <w:bookmarkStart w:id="3" w:name="_Toc105587456"/>
      <w:r>
        <w:t>Baza danych</w:t>
      </w:r>
      <w:bookmarkEnd w:id="3"/>
    </w:p>
    <w:p w14:paraId="58E1DE35" w14:textId="77777777" w:rsidR="00296D60" w:rsidRDefault="00296D60" w:rsidP="00296D60">
      <w:pPr>
        <w:pStyle w:val="Akapitzlist"/>
      </w:pPr>
      <w:r>
        <w:t xml:space="preserve">Aplikacja wykorzystuje bazę </w:t>
      </w:r>
      <w:proofErr w:type="spellStart"/>
      <w:r>
        <w:t>PostgreSQL</w:t>
      </w:r>
      <w:proofErr w:type="spellEnd"/>
      <w:r>
        <w:t>.</w:t>
      </w:r>
    </w:p>
    <w:p w14:paraId="6C166E8B" w14:textId="05802030" w:rsidR="00296D60" w:rsidRDefault="00296D60" w:rsidP="00296D60">
      <w:pPr>
        <w:pStyle w:val="Akapitzlist"/>
      </w:pPr>
      <w:r>
        <w:t>Obecnie wielkość baz danych wszystkich elementów system</w:t>
      </w:r>
      <w:r w:rsidR="00A83FFF">
        <w:t>u określa się na poziomie 27</w:t>
      </w:r>
      <w:r>
        <w:t xml:space="preserve">GB. </w:t>
      </w:r>
    </w:p>
    <w:p w14:paraId="339BBBCA" w14:textId="77777777" w:rsidR="00296D60" w:rsidRDefault="00296D60" w:rsidP="00296D60">
      <w:pPr>
        <w:pStyle w:val="Akapitzlist"/>
      </w:pPr>
    </w:p>
    <w:p w14:paraId="7880006F" w14:textId="77777777" w:rsidR="00296D60" w:rsidRDefault="00296D60" w:rsidP="00A83FFF">
      <w:pPr>
        <w:pStyle w:val="Nagwek4"/>
        <w:numPr>
          <w:ilvl w:val="1"/>
          <w:numId w:val="26"/>
        </w:numPr>
        <w:ind w:left="1276"/>
      </w:pPr>
      <w:bookmarkStart w:id="4" w:name="_Toc105587457"/>
      <w:r>
        <w:t>Środowisko testowe</w:t>
      </w:r>
      <w:bookmarkEnd w:id="4"/>
    </w:p>
    <w:p w14:paraId="619D8A2C" w14:textId="53CB3701" w:rsidR="00296D60" w:rsidRDefault="00296D60" w:rsidP="00A83FFF">
      <w:pPr>
        <w:pStyle w:val="Akapitzlist"/>
      </w:pPr>
      <w:r>
        <w:t>Zamawiający dysponuje środowiskiem testowym.</w:t>
      </w:r>
      <w:r w:rsidRPr="00A83FFF">
        <w:t xml:space="preserve">  </w:t>
      </w:r>
    </w:p>
    <w:p w14:paraId="360A00D3" w14:textId="38CE61DD" w:rsidR="00376AAA" w:rsidRDefault="00376AAA" w:rsidP="00A83FFF">
      <w:pPr>
        <w:pStyle w:val="Akapitzlist"/>
      </w:pPr>
    </w:p>
    <w:p w14:paraId="723F1216" w14:textId="77777777" w:rsidR="00376AAA" w:rsidRPr="00376AAA" w:rsidRDefault="00376AAA" w:rsidP="00376AAA">
      <w:pPr>
        <w:pStyle w:val="Nagwek4"/>
        <w:numPr>
          <w:ilvl w:val="0"/>
          <w:numId w:val="26"/>
        </w:numPr>
        <w:ind w:left="1134"/>
      </w:pPr>
      <w:bookmarkStart w:id="5" w:name="_Toc89074165"/>
      <w:r w:rsidRPr="00376AAA">
        <w:t>Kary umowne</w:t>
      </w:r>
      <w:bookmarkEnd w:id="5"/>
    </w:p>
    <w:p w14:paraId="78A5BCF1" w14:textId="77777777" w:rsidR="00376AAA" w:rsidRPr="00376AAA" w:rsidRDefault="00376AAA" w:rsidP="00376AAA">
      <w:pPr>
        <w:suppressAutoHyphens/>
        <w:spacing w:after="120" w:line="240" w:lineRule="auto"/>
        <w:ind w:left="708"/>
        <w:jc w:val="both"/>
      </w:pPr>
      <w:r w:rsidRPr="00376AAA">
        <w:t>W wypadku niewykonania bądź nienależytego wykonania niniejszej umowy, z przyczyn za które Zleceniobiorca ponosi odpowiedzialność, Zleceniobiorca zapłaci Zleceniodawcy kary umowne:</w:t>
      </w:r>
    </w:p>
    <w:p w14:paraId="094E5992" w14:textId="77777777" w:rsidR="00376AAA" w:rsidRPr="00376AAA" w:rsidRDefault="00376AAA" w:rsidP="00376AAA">
      <w:pPr>
        <w:numPr>
          <w:ilvl w:val="0"/>
          <w:numId w:val="31"/>
        </w:numPr>
        <w:suppressAutoHyphens/>
        <w:spacing w:after="120" w:line="240" w:lineRule="auto"/>
        <w:ind w:left="1134"/>
        <w:jc w:val="both"/>
      </w:pPr>
      <w:r w:rsidRPr="00376AAA">
        <w:t xml:space="preserve">Kara za niedotrzymanie terminów w przypadku awarii - 50 PLN za każdą rozpoczęta godzinę </w:t>
      </w:r>
    </w:p>
    <w:p w14:paraId="1DCEFECC" w14:textId="77777777" w:rsidR="00376AAA" w:rsidRPr="00376AAA" w:rsidRDefault="00376AAA" w:rsidP="00376AAA">
      <w:pPr>
        <w:numPr>
          <w:ilvl w:val="0"/>
          <w:numId w:val="31"/>
        </w:numPr>
        <w:suppressAutoHyphens/>
        <w:spacing w:after="120" w:line="240" w:lineRule="auto"/>
        <w:ind w:left="1134"/>
        <w:jc w:val="both"/>
      </w:pPr>
      <w:r w:rsidRPr="00376AAA">
        <w:t xml:space="preserve">Kara za niedotrzymanie terminów w przypadku błędów - 30 PLN za każdą rozpoczęta godzinę </w:t>
      </w:r>
    </w:p>
    <w:p w14:paraId="291199E6" w14:textId="77777777" w:rsidR="00376AAA" w:rsidRPr="00376AAA" w:rsidRDefault="00376AAA" w:rsidP="00376AAA">
      <w:pPr>
        <w:numPr>
          <w:ilvl w:val="0"/>
          <w:numId w:val="31"/>
        </w:numPr>
        <w:suppressAutoHyphens/>
        <w:spacing w:after="120" w:line="240" w:lineRule="auto"/>
        <w:ind w:left="1134"/>
        <w:jc w:val="both"/>
      </w:pPr>
      <w:r w:rsidRPr="00376AAA">
        <w:t xml:space="preserve">Kara za niedotrzymanie terminów w przypadku usterki - 10 PLN za każdą rozpoczęta godzinę </w:t>
      </w:r>
    </w:p>
    <w:p w14:paraId="2349D277" w14:textId="77777777" w:rsidR="00376AAA" w:rsidRPr="00376AAA" w:rsidRDefault="00376AAA" w:rsidP="00376AAA">
      <w:pPr>
        <w:numPr>
          <w:ilvl w:val="0"/>
          <w:numId w:val="31"/>
        </w:numPr>
        <w:suppressAutoHyphens/>
        <w:spacing w:after="120" w:line="240" w:lineRule="auto"/>
        <w:ind w:left="1134"/>
        <w:jc w:val="both"/>
      </w:pPr>
      <w:r w:rsidRPr="00376AAA">
        <w:t>Kara za niedotrzymanie terminów w przypadku Pytania/Wniosku – 10 PLN za każdą rozpoczętą godzinę.</w:t>
      </w:r>
    </w:p>
    <w:p w14:paraId="621BE4C3" w14:textId="77777777" w:rsidR="00376AAA" w:rsidRPr="00376AAA" w:rsidRDefault="00376AAA" w:rsidP="00376AAA">
      <w:pPr>
        <w:numPr>
          <w:ilvl w:val="0"/>
          <w:numId w:val="31"/>
        </w:numPr>
        <w:suppressAutoHyphens/>
        <w:spacing w:after="120" w:line="240" w:lineRule="auto"/>
        <w:ind w:left="1134"/>
        <w:jc w:val="both"/>
      </w:pPr>
      <w:r w:rsidRPr="00376AAA">
        <w:t>Kara za niedotrzymanie terminów w przypadku Przeglądu środowiska – 80 PLN za każdy rozpoczęty dzień.</w:t>
      </w:r>
    </w:p>
    <w:p w14:paraId="76914DA2" w14:textId="1886F01D" w:rsidR="00376AAA" w:rsidRDefault="00376AAA" w:rsidP="00376AAA">
      <w:pPr>
        <w:numPr>
          <w:ilvl w:val="0"/>
          <w:numId w:val="31"/>
        </w:numPr>
        <w:suppressAutoHyphens/>
        <w:spacing w:after="120" w:line="240" w:lineRule="auto"/>
        <w:ind w:left="1134"/>
        <w:jc w:val="both"/>
      </w:pPr>
      <w:r w:rsidRPr="00376AAA">
        <w:t>Suma kar umownych nie przekroczy 30% wartości umowy.</w:t>
      </w:r>
    </w:p>
    <w:p w14:paraId="0BB6393E" w14:textId="77777777" w:rsidR="00376AAA" w:rsidRPr="00376AAA" w:rsidRDefault="00376AAA" w:rsidP="00376AAA">
      <w:pPr>
        <w:suppressAutoHyphens/>
        <w:spacing w:after="120" w:line="240" w:lineRule="auto"/>
        <w:ind w:left="708"/>
        <w:jc w:val="both"/>
      </w:pPr>
    </w:p>
    <w:p w14:paraId="3F5C4201" w14:textId="77777777" w:rsidR="00376AAA" w:rsidRPr="00376AAA" w:rsidRDefault="00376AAA" w:rsidP="00376AAA">
      <w:pPr>
        <w:suppressAutoHyphens/>
        <w:spacing w:after="120" w:line="240" w:lineRule="auto"/>
        <w:ind w:left="708"/>
        <w:jc w:val="both"/>
      </w:pPr>
      <w:r w:rsidRPr="00376AAA">
        <w:t>Zamawiający wyraża zgodę na potrącenie kary umownej z należnego mu wynagrodzenia. W przypadku gdy takie potrącenie nie będzie możliwe, Zleceniobiorca zobowiązuje się zapłacić karę umowną w terminie 7 dni od otrzymania pisemnego wezwania do zapłaty.</w:t>
      </w:r>
    </w:p>
    <w:p w14:paraId="515CE778" w14:textId="38CF80C0" w:rsidR="00376AAA" w:rsidRDefault="00376AAA" w:rsidP="00376AAA">
      <w:pPr>
        <w:suppressAutoHyphens/>
        <w:spacing w:after="120" w:line="240" w:lineRule="auto"/>
        <w:ind w:left="708"/>
        <w:jc w:val="both"/>
      </w:pPr>
      <w:r w:rsidRPr="00376AAA">
        <w:t>Zamawiający zastrzega sobie prawo dochodzenia odszkodowania przewyższającego wysokość zastrzeżonych kar umownych na zasadach ogólnych.</w:t>
      </w:r>
    </w:p>
    <w:p w14:paraId="0B8B1F98" w14:textId="7347B586" w:rsidR="00376AAA" w:rsidRDefault="00376AAA" w:rsidP="00376AAA">
      <w:pPr>
        <w:suppressAutoHyphens/>
        <w:spacing w:after="120" w:line="240" w:lineRule="auto"/>
        <w:ind w:left="708"/>
        <w:jc w:val="both"/>
      </w:pPr>
    </w:p>
    <w:p w14:paraId="02912354" w14:textId="2676C102" w:rsidR="00376AAA" w:rsidRDefault="00376AAA" w:rsidP="00376AAA">
      <w:pPr>
        <w:pStyle w:val="Nagwek4"/>
        <w:numPr>
          <w:ilvl w:val="0"/>
          <w:numId w:val="26"/>
        </w:numPr>
        <w:ind w:left="1134"/>
      </w:pPr>
      <w:r>
        <w:t>Zakres gwarancji</w:t>
      </w:r>
    </w:p>
    <w:p w14:paraId="15050F9B" w14:textId="14DFC0AA" w:rsidR="00376AAA" w:rsidRDefault="00376AAA" w:rsidP="00376AAA">
      <w:pPr>
        <w:pStyle w:val="Akapitzlist"/>
        <w:numPr>
          <w:ilvl w:val="0"/>
          <w:numId w:val="32"/>
        </w:numPr>
        <w:suppressAutoHyphens/>
        <w:spacing w:after="120"/>
        <w:jc w:val="both"/>
      </w:pPr>
      <w:r>
        <w:t xml:space="preserve">Wykonawca udziela gwarancji na przedmiot Umowy w zakresie działania aplikacji. </w:t>
      </w:r>
    </w:p>
    <w:p w14:paraId="7E3468BA" w14:textId="19DB9568" w:rsidR="00376AAA" w:rsidRDefault="00376AAA" w:rsidP="00376AAA">
      <w:pPr>
        <w:pStyle w:val="Akapitzlist"/>
        <w:numPr>
          <w:ilvl w:val="0"/>
          <w:numId w:val="32"/>
        </w:numPr>
        <w:suppressAutoHyphens/>
        <w:spacing w:after="120"/>
        <w:jc w:val="both"/>
      </w:pPr>
      <w:r>
        <w:t xml:space="preserve">Wykonawca będzie usuwał wady produktu, czyli udokumentowane błędy w systemie, na żądanie Zamawiającego. </w:t>
      </w:r>
    </w:p>
    <w:p w14:paraId="3BA299FD" w14:textId="501734D0" w:rsidR="00376AAA" w:rsidRDefault="00376AAA" w:rsidP="00376AAA">
      <w:pPr>
        <w:pStyle w:val="Akapitzlist"/>
        <w:numPr>
          <w:ilvl w:val="0"/>
          <w:numId w:val="32"/>
        </w:numPr>
        <w:suppressAutoHyphens/>
        <w:spacing w:after="120"/>
        <w:jc w:val="both"/>
      </w:pPr>
      <w:r>
        <w:t>Koszty usuwania udokumentowanych błędów w okresie gwarancji ponosi Wykonawca.</w:t>
      </w:r>
    </w:p>
    <w:p w14:paraId="67FA4078" w14:textId="2DC52478" w:rsidR="00376AAA" w:rsidRDefault="00376AAA" w:rsidP="00376AAA">
      <w:pPr>
        <w:pStyle w:val="Akapitzlist"/>
        <w:numPr>
          <w:ilvl w:val="0"/>
          <w:numId w:val="32"/>
        </w:numPr>
        <w:suppressAutoHyphens/>
        <w:spacing w:after="120"/>
        <w:jc w:val="both"/>
      </w:pPr>
      <w:r>
        <w:t>Wykonawca przystąpi do usunięcia błędów w możliwie najszybszym terminie; nie późniejszym niż cztery dni od daty złożenia reklamacji.</w:t>
      </w:r>
    </w:p>
    <w:p w14:paraId="06883954" w14:textId="77777777" w:rsidR="00376AAA" w:rsidRDefault="00376AAA" w:rsidP="00376AAA">
      <w:pPr>
        <w:suppressAutoHyphens/>
        <w:spacing w:after="120" w:line="240" w:lineRule="auto"/>
        <w:ind w:left="708"/>
        <w:jc w:val="both"/>
      </w:pPr>
    </w:p>
    <w:p w14:paraId="330BF70D" w14:textId="77777777" w:rsidR="00376AAA" w:rsidRDefault="00376AAA" w:rsidP="00376AAA">
      <w:pPr>
        <w:pStyle w:val="Nagwek6"/>
        <w:ind w:left="993"/>
      </w:pPr>
      <w:r>
        <w:lastRenderedPageBreak/>
        <w:t>Gwarancja nie dotyczy:</w:t>
      </w:r>
    </w:p>
    <w:p w14:paraId="6D1175A7" w14:textId="0B43CE9E" w:rsidR="00376AAA" w:rsidRDefault="00376AAA" w:rsidP="00376AAA">
      <w:pPr>
        <w:pStyle w:val="Akapitzlist"/>
        <w:numPr>
          <w:ilvl w:val="1"/>
          <w:numId w:val="34"/>
        </w:numPr>
        <w:suppressAutoHyphens/>
        <w:spacing w:after="120"/>
        <w:ind w:left="1418"/>
        <w:jc w:val="both"/>
      </w:pPr>
      <w:r>
        <w:t>Funkcjonowania elementów rozwiązania zapewnianych przez Zamawiającego – między innymi elementów usługi hostingowej.</w:t>
      </w:r>
    </w:p>
    <w:p w14:paraId="51DB6FE4" w14:textId="49BC27E2" w:rsidR="00376AAA" w:rsidRDefault="00376AAA" w:rsidP="00376AAA">
      <w:pPr>
        <w:pStyle w:val="Akapitzlist"/>
        <w:numPr>
          <w:ilvl w:val="1"/>
          <w:numId w:val="34"/>
        </w:numPr>
        <w:suppressAutoHyphens/>
        <w:spacing w:after="120"/>
        <w:ind w:left="1418"/>
        <w:jc w:val="both"/>
      </w:pPr>
      <w:r>
        <w:t>Błędów wynikających z nieprawidłowej obsługi lub świadomego uszkodzenia systemu.</w:t>
      </w:r>
    </w:p>
    <w:p w14:paraId="6A607124" w14:textId="4F08FDB1" w:rsidR="00376AAA" w:rsidRDefault="00376AAA" w:rsidP="00376AAA">
      <w:pPr>
        <w:pStyle w:val="Akapitzlist"/>
        <w:numPr>
          <w:ilvl w:val="1"/>
          <w:numId w:val="34"/>
        </w:numPr>
        <w:suppressAutoHyphens/>
        <w:spacing w:after="120"/>
        <w:ind w:left="1418"/>
        <w:jc w:val="both"/>
      </w:pPr>
      <w:r>
        <w:t>Błędów wynikających z nieprawidłowej pracy elementów zapewnianych przez Zamawiającego, w tym elementów usługi hostingowej lub systemów zewnętrznych.</w:t>
      </w:r>
    </w:p>
    <w:p w14:paraId="10E160D3" w14:textId="77777777" w:rsidR="00376AAA" w:rsidRDefault="00376AAA" w:rsidP="00376AAA">
      <w:pPr>
        <w:suppressAutoHyphens/>
        <w:spacing w:after="120" w:line="240" w:lineRule="auto"/>
        <w:ind w:left="708"/>
        <w:jc w:val="both"/>
      </w:pPr>
    </w:p>
    <w:p w14:paraId="314C43F6" w14:textId="77777777" w:rsidR="00376AAA" w:rsidRDefault="00376AAA" w:rsidP="00376AAA">
      <w:pPr>
        <w:pStyle w:val="Nagwek6"/>
        <w:ind w:left="993"/>
      </w:pPr>
      <w:r>
        <w:t>Okres gwarancji:</w:t>
      </w:r>
    </w:p>
    <w:p w14:paraId="55D80EE1" w14:textId="77777777" w:rsidR="00376AAA" w:rsidRDefault="00376AAA" w:rsidP="00376AAA">
      <w:pPr>
        <w:suppressAutoHyphens/>
        <w:spacing w:after="120" w:line="240" w:lineRule="auto"/>
        <w:ind w:left="993"/>
        <w:jc w:val="both"/>
      </w:pPr>
      <w:r>
        <w:t xml:space="preserve">Wykonawca udziela gwarancji na przedmiot Umowy na okres 24 miesięcy od chwili podpisania ostatecznego odbioru przedmiotu Umowy (po zakończeniu okresu wsparcia i rozwoju aplikacji). </w:t>
      </w:r>
    </w:p>
    <w:p w14:paraId="5CBFB7C3" w14:textId="77777777" w:rsidR="00376AAA" w:rsidRDefault="00376AAA" w:rsidP="00376AAA">
      <w:pPr>
        <w:suppressAutoHyphens/>
        <w:spacing w:after="120" w:line="240" w:lineRule="auto"/>
        <w:ind w:left="708"/>
        <w:jc w:val="both"/>
      </w:pPr>
    </w:p>
    <w:p w14:paraId="41F98E81" w14:textId="77777777" w:rsidR="00376AAA" w:rsidRDefault="00376AAA" w:rsidP="00376AAA">
      <w:pPr>
        <w:pStyle w:val="Nagwek6"/>
        <w:ind w:left="993"/>
      </w:pPr>
      <w:r>
        <w:t>Warunki dodatkowe:</w:t>
      </w:r>
    </w:p>
    <w:p w14:paraId="378C7049" w14:textId="1DDCBC76" w:rsidR="00376AAA" w:rsidRPr="00376AAA" w:rsidRDefault="00376AAA" w:rsidP="00376AAA">
      <w:pPr>
        <w:suppressAutoHyphens/>
        <w:spacing w:after="120" w:line="240" w:lineRule="auto"/>
        <w:ind w:left="993"/>
        <w:jc w:val="both"/>
      </w:pPr>
      <w:r>
        <w:t>W okresie gwarancyjnym usunięcie wskazanego przez Zamawiającego udokumentowanego błędu systemu w przypadku uzasadnionej reklamacji jest bezpłatne.</w:t>
      </w:r>
    </w:p>
    <w:p w14:paraId="453C9BB5" w14:textId="77777777" w:rsidR="00296D60" w:rsidRDefault="00296D60" w:rsidP="00C3046B">
      <w:pPr>
        <w:pStyle w:val="Akapitzlist"/>
        <w:spacing w:after="200" w:line="276" w:lineRule="auto"/>
        <w:ind w:left="1080"/>
        <w:contextualSpacing/>
        <w:jc w:val="both"/>
      </w:pPr>
    </w:p>
    <w:p w14:paraId="6049266D" w14:textId="241426AF" w:rsidR="00C3046B" w:rsidRPr="00C3046B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MIEJSCE ORAZ TERMIN SKŁADANIA OFERT</w:t>
      </w:r>
    </w:p>
    <w:p w14:paraId="7153FA97" w14:textId="7EE13404" w:rsidR="00834934" w:rsidRDefault="00C3046B" w:rsidP="00C3046B">
      <w:pPr>
        <w:pStyle w:val="Akapitzlist"/>
        <w:ind w:left="1080"/>
      </w:pPr>
      <w:r>
        <w:t>Oferta powinna być przesłana drogą elektroniczną z opisem w temacie: „</w:t>
      </w:r>
      <w:r w:rsidR="00B90909">
        <w:t xml:space="preserve">Szacowanie </w:t>
      </w:r>
      <w:r w:rsidR="001C5052">
        <w:t xml:space="preserve">utrzymania </w:t>
      </w:r>
      <w:r w:rsidR="00376AAA">
        <w:t xml:space="preserve">i rozwój </w:t>
      </w:r>
      <w:r w:rsidR="001C5052">
        <w:t>systemu</w:t>
      </w:r>
      <w:r w:rsidR="00376AAA">
        <w:t xml:space="preserve"> </w:t>
      </w:r>
      <w:proofErr w:type="spellStart"/>
      <w:r w:rsidR="00376AAA">
        <w:t>eGranty</w:t>
      </w:r>
      <w:proofErr w:type="spellEnd"/>
      <w:r>
        <w:t xml:space="preserve">” na adres kontakt_oferta@msz.gov.pl do dnia </w:t>
      </w:r>
      <w:r w:rsidR="00736BA4">
        <w:t>16</w:t>
      </w:r>
      <w:r w:rsidR="00376AAA">
        <w:t xml:space="preserve"> </w:t>
      </w:r>
      <w:r w:rsidR="005B0D61">
        <w:t>listopad</w:t>
      </w:r>
      <w:bookmarkStart w:id="6" w:name="_GoBack"/>
      <w:bookmarkEnd w:id="6"/>
      <w:r w:rsidR="00B90909">
        <w:t xml:space="preserve"> </w:t>
      </w:r>
      <w:r>
        <w:t>2022 r</w:t>
      </w:r>
      <w:r w:rsidR="00736BA4">
        <w:t xml:space="preserve"> do końca dnia</w:t>
      </w:r>
      <w:r>
        <w:t>.</w:t>
      </w:r>
    </w:p>
    <w:p w14:paraId="34240AFF" w14:textId="65C69ACC" w:rsidR="0011710B" w:rsidRDefault="0011710B" w:rsidP="00C3046B">
      <w:pPr>
        <w:pStyle w:val="Akapitzlist"/>
        <w:ind w:left="1080"/>
      </w:pPr>
    </w:p>
    <w:p w14:paraId="0F2D6CDD" w14:textId="7B08E2D5" w:rsidR="0011710B" w:rsidRDefault="0011710B" w:rsidP="0011710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11710B">
        <w:rPr>
          <w:b/>
        </w:rPr>
        <w:t>OPIS KRYTERIÓW OCENY</w:t>
      </w:r>
    </w:p>
    <w:p w14:paraId="68901DC7" w14:textId="77777777" w:rsidR="0011710B" w:rsidRPr="0011710B" w:rsidRDefault="0011710B" w:rsidP="0011710B">
      <w:pPr>
        <w:suppressAutoHyphens/>
        <w:spacing w:after="120" w:line="240" w:lineRule="auto"/>
        <w:ind w:left="993"/>
        <w:jc w:val="both"/>
      </w:pPr>
      <w:r w:rsidRPr="0011710B">
        <w:t xml:space="preserve">Przy wyborze oferty zamawiający będzie się kierował następującymi kryteriami: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8"/>
        <w:gridCol w:w="5775"/>
        <w:gridCol w:w="1399"/>
      </w:tblGrid>
      <w:tr w:rsidR="0011710B" w:rsidRPr="00024FC9" w14:paraId="2120BC88" w14:textId="77777777" w:rsidTr="0011710B">
        <w:trPr>
          <w:trHeight w:val="353"/>
          <w:jc w:val="center"/>
        </w:trPr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BD33DBF" w14:textId="77777777" w:rsidR="0011710B" w:rsidRPr="00024FC9" w:rsidRDefault="0011710B" w:rsidP="00F0297B">
            <w:pPr>
              <w:spacing w:after="120"/>
              <w:ind w:left="-108"/>
              <w:jc w:val="center"/>
              <w:rPr>
                <w:rFonts w:ascii="Calibri" w:eastAsia="Calibri" w:hAnsi="Calibri" w:cs="Times New Roman"/>
                <w:b/>
              </w:rPr>
            </w:pPr>
            <w:r w:rsidRPr="00024FC9"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1F4BC26" w14:textId="77777777" w:rsidR="0011710B" w:rsidRPr="00024FC9" w:rsidRDefault="0011710B" w:rsidP="00F0297B">
            <w:pPr>
              <w:spacing w:after="120"/>
              <w:jc w:val="center"/>
              <w:rPr>
                <w:rFonts w:ascii="Calibri" w:eastAsia="Calibri" w:hAnsi="Calibri" w:cs="Times New Roman"/>
                <w:b/>
              </w:rPr>
            </w:pPr>
            <w:r w:rsidRPr="00024FC9">
              <w:rPr>
                <w:rFonts w:ascii="Calibri" w:eastAsia="Calibri" w:hAnsi="Calibri" w:cs="Times New Roman"/>
                <w:b/>
              </w:rPr>
              <w:t>Nazwa kryterium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4E2F012" w14:textId="77777777" w:rsidR="0011710B" w:rsidRPr="00024FC9" w:rsidRDefault="0011710B" w:rsidP="00F0297B">
            <w:pPr>
              <w:spacing w:after="120"/>
              <w:jc w:val="center"/>
              <w:rPr>
                <w:rFonts w:ascii="Calibri" w:eastAsia="Calibri" w:hAnsi="Calibri" w:cs="Times New Roman"/>
                <w:b/>
              </w:rPr>
            </w:pPr>
            <w:r w:rsidRPr="00024FC9">
              <w:rPr>
                <w:rFonts w:ascii="Calibri" w:eastAsia="Calibri" w:hAnsi="Calibri" w:cs="Times New Roman"/>
                <w:b/>
              </w:rPr>
              <w:t>Waga (pkt)</w:t>
            </w:r>
          </w:p>
        </w:tc>
      </w:tr>
      <w:tr w:rsidR="0011710B" w:rsidRPr="00024FC9" w14:paraId="39BDAF80" w14:textId="77777777" w:rsidTr="0011710B">
        <w:trPr>
          <w:trHeight w:val="366"/>
          <w:jc w:val="center"/>
        </w:trPr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D66A6" w14:textId="77777777" w:rsidR="0011710B" w:rsidRPr="00024FC9" w:rsidRDefault="0011710B" w:rsidP="00F0297B">
            <w:pPr>
              <w:spacing w:after="120"/>
              <w:ind w:left="-108"/>
              <w:jc w:val="center"/>
              <w:rPr>
                <w:rFonts w:ascii="Calibri" w:eastAsia="Calibri" w:hAnsi="Calibri" w:cs="Times New Roman"/>
              </w:rPr>
            </w:pPr>
            <w:r w:rsidRPr="00024FC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7E5D1" w14:textId="77777777" w:rsidR="0011710B" w:rsidRPr="00024FC9" w:rsidRDefault="0011710B" w:rsidP="00F0297B">
            <w:pPr>
              <w:spacing w:after="120"/>
              <w:jc w:val="center"/>
              <w:rPr>
                <w:rFonts w:ascii="Calibri" w:eastAsia="Calibri" w:hAnsi="Calibri" w:cs="Times New Roman"/>
              </w:rPr>
            </w:pPr>
            <w:r w:rsidRPr="00024FC9">
              <w:rPr>
                <w:rFonts w:ascii="Calibri" w:eastAsia="Calibri" w:hAnsi="Calibri" w:cs="Times New Roman"/>
              </w:rPr>
              <w:t>Cena (całkowity koszt wykonania zamówienia)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851F9" w14:textId="77777777" w:rsidR="0011710B" w:rsidRPr="00024FC9" w:rsidRDefault="0011710B" w:rsidP="00F0297B">
            <w:pPr>
              <w:spacing w:after="1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</w:t>
            </w:r>
          </w:p>
        </w:tc>
      </w:tr>
      <w:tr w:rsidR="0011710B" w:rsidRPr="00024FC9" w14:paraId="186C23EF" w14:textId="77777777" w:rsidTr="0011710B">
        <w:trPr>
          <w:trHeight w:val="353"/>
          <w:jc w:val="center"/>
        </w:trPr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28682" w14:textId="77777777" w:rsidR="0011710B" w:rsidRPr="00024FC9" w:rsidRDefault="0011710B" w:rsidP="00F0297B">
            <w:pPr>
              <w:spacing w:after="120"/>
              <w:ind w:left="-108"/>
              <w:jc w:val="center"/>
              <w:rPr>
                <w:rFonts w:ascii="Calibri" w:eastAsia="Calibri" w:hAnsi="Calibri" w:cs="Times New Roman"/>
              </w:rPr>
            </w:pPr>
            <w:r w:rsidRPr="00024FC9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F0E3B" w14:textId="77777777" w:rsidR="0011710B" w:rsidRPr="00EA4E0D" w:rsidRDefault="0011710B" w:rsidP="00F0297B">
            <w:pPr>
              <w:spacing w:after="120"/>
              <w:jc w:val="center"/>
              <w:rPr>
                <w:rFonts w:ascii="Calibri" w:eastAsia="Calibri" w:hAnsi="Calibri" w:cs="Times New Roman"/>
                <w:highlight w:val="yellow"/>
              </w:rPr>
            </w:pPr>
            <w:r w:rsidRPr="00350225">
              <w:rPr>
                <w:rFonts w:ascii="Calibri" w:eastAsia="Calibri" w:hAnsi="Calibri" w:cs="Times New Roman"/>
              </w:rPr>
              <w:t>Rozszerzone wsparcie techniczne o częstsze przeglądy środowiska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1C195" w14:textId="77777777" w:rsidR="0011710B" w:rsidRPr="00EA4E0D" w:rsidRDefault="0011710B" w:rsidP="00F0297B">
            <w:pPr>
              <w:spacing w:after="120"/>
              <w:jc w:val="center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</w:tr>
      <w:tr w:rsidR="0011710B" w:rsidRPr="00024FC9" w14:paraId="7F01F85A" w14:textId="77777777" w:rsidTr="0011710B">
        <w:trPr>
          <w:trHeight w:val="353"/>
          <w:jc w:val="center"/>
        </w:trPr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B4127" w14:textId="77777777" w:rsidR="0011710B" w:rsidRPr="00024FC9" w:rsidRDefault="0011710B" w:rsidP="00F0297B">
            <w:pPr>
              <w:spacing w:after="120"/>
              <w:ind w:left="-108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F178F" w14:textId="77777777" w:rsidR="0011710B" w:rsidRPr="00350225" w:rsidRDefault="0011710B" w:rsidP="0011710B">
            <w:pPr>
              <w:spacing w:after="120"/>
              <w:ind w:left="-68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Liczba zaoferowanych godzin programistycznych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7B11A" w14:textId="77777777" w:rsidR="0011710B" w:rsidRPr="00350225" w:rsidRDefault="0011710B" w:rsidP="00F0297B">
            <w:pPr>
              <w:spacing w:after="12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</w:tr>
      <w:tr w:rsidR="0011710B" w:rsidRPr="00024FC9" w14:paraId="09B02B18" w14:textId="77777777" w:rsidTr="0011710B">
        <w:trPr>
          <w:trHeight w:val="393"/>
          <w:jc w:val="center"/>
        </w:trPr>
        <w:tc>
          <w:tcPr>
            <w:tcW w:w="6114" w:type="dxa"/>
            <w:gridSpan w:val="2"/>
            <w:shd w:val="clear" w:color="auto" w:fill="auto"/>
          </w:tcPr>
          <w:p w14:paraId="09A18098" w14:textId="77777777" w:rsidR="0011710B" w:rsidRPr="00024FC9" w:rsidRDefault="0011710B" w:rsidP="00F0297B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024FC9">
              <w:rPr>
                <w:rFonts w:ascii="Calibri" w:eastAsia="Calibri" w:hAnsi="Calibri" w:cs="Times New Roman"/>
                <w:b/>
              </w:rPr>
              <w:t xml:space="preserve">SUMA: </w:t>
            </w:r>
          </w:p>
        </w:tc>
        <w:tc>
          <w:tcPr>
            <w:tcW w:w="1399" w:type="dxa"/>
            <w:shd w:val="clear" w:color="auto" w:fill="auto"/>
          </w:tcPr>
          <w:p w14:paraId="13CF1047" w14:textId="77777777" w:rsidR="0011710B" w:rsidRPr="00024FC9" w:rsidRDefault="0011710B" w:rsidP="00F0297B">
            <w:pPr>
              <w:tabs>
                <w:tab w:val="decimal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024FC9">
              <w:rPr>
                <w:rFonts w:ascii="Calibri" w:eastAsia="Calibri" w:hAnsi="Calibri" w:cs="Times New Roman"/>
                <w:b/>
              </w:rPr>
              <w:t>100</w:t>
            </w:r>
          </w:p>
        </w:tc>
      </w:tr>
    </w:tbl>
    <w:p w14:paraId="1EF2F3E7" w14:textId="122D74FD" w:rsidR="0011710B" w:rsidRDefault="0011710B" w:rsidP="0011710B">
      <w:pPr>
        <w:pStyle w:val="Akapitzlist"/>
        <w:spacing w:after="200" w:line="276" w:lineRule="auto"/>
        <w:ind w:left="1080"/>
        <w:contextualSpacing/>
        <w:rPr>
          <w:b/>
        </w:rPr>
      </w:pPr>
    </w:p>
    <w:p w14:paraId="2A0CCF0D" w14:textId="77777777" w:rsidR="0011710B" w:rsidRPr="0011710B" w:rsidRDefault="0011710B" w:rsidP="0011710B">
      <w:pPr>
        <w:suppressAutoHyphens/>
        <w:spacing w:after="120" w:line="240" w:lineRule="auto"/>
        <w:ind w:left="993"/>
        <w:jc w:val="both"/>
      </w:pPr>
      <w:r w:rsidRPr="0011710B">
        <w:t>Przy ocenie ofert w kryterium „Cena” (PC) punkty zostaną przyznane w poniższy sposób:</w:t>
      </w:r>
    </w:p>
    <w:p w14:paraId="48700196" w14:textId="77777777" w:rsidR="0011710B" w:rsidRPr="00BC6BE8" w:rsidRDefault="0011710B" w:rsidP="0011710B">
      <w:pPr>
        <w:pStyle w:val="Akapitzlist"/>
        <w:numPr>
          <w:ilvl w:val="0"/>
          <w:numId w:val="37"/>
        </w:numPr>
        <w:spacing w:after="200" w:line="276" w:lineRule="auto"/>
        <w:ind w:left="1418"/>
        <w:contextualSpacing/>
      </w:pPr>
      <w:r w:rsidRPr="00BC6BE8">
        <w:t>Cena – znaczenie 60% (maksymalnie do 60 pkt)</w:t>
      </w:r>
    </w:p>
    <w:p w14:paraId="0BF9A57F" w14:textId="77777777" w:rsidR="0011710B" w:rsidRPr="00BC6BE8" w:rsidRDefault="0011710B" w:rsidP="0011710B">
      <w:pPr>
        <w:pStyle w:val="Akapitzlist"/>
        <w:numPr>
          <w:ilvl w:val="0"/>
          <w:numId w:val="37"/>
        </w:numPr>
        <w:spacing w:after="200" w:line="276" w:lineRule="auto"/>
        <w:ind w:left="1418"/>
        <w:contextualSpacing/>
      </w:pPr>
      <w:r w:rsidRPr="00BC6BE8">
        <w:t xml:space="preserve">Kryterium ceny będzie rozpatrywane na podstawie ceny brutto podanej przez </w:t>
      </w:r>
      <w:r>
        <w:t>w</w:t>
      </w:r>
      <w:r w:rsidRPr="00BC6BE8">
        <w:t>ykonawcę w</w:t>
      </w:r>
      <w:r>
        <w:t> </w:t>
      </w:r>
      <w:r w:rsidRPr="00BC6BE8">
        <w:t>Formularzu Ofertowym.</w:t>
      </w:r>
    </w:p>
    <w:p w14:paraId="034EAFFD" w14:textId="77777777" w:rsidR="0011710B" w:rsidRPr="00BC6BE8" w:rsidRDefault="0011710B" w:rsidP="0011710B">
      <w:pPr>
        <w:pStyle w:val="Akapitzlist"/>
        <w:numPr>
          <w:ilvl w:val="0"/>
          <w:numId w:val="37"/>
        </w:numPr>
        <w:spacing w:after="200" w:line="276" w:lineRule="auto"/>
        <w:ind w:left="1418"/>
        <w:contextualSpacing/>
      </w:pPr>
      <w:r w:rsidRPr="00BC6BE8">
        <w:t>Punkty w kryterium „Cena” będą obliczane na podstawie wzoru:</w:t>
      </w:r>
    </w:p>
    <w:tbl>
      <w:tblPr>
        <w:tblW w:w="0" w:type="auto"/>
        <w:tblInd w:w="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1710B" w:rsidRPr="00CD45BC" w14:paraId="42DD99A5" w14:textId="77777777" w:rsidTr="0011710B">
        <w:trPr>
          <w:trHeight w:val="429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22EE2" w14:textId="77777777" w:rsidR="0011710B" w:rsidRPr="00024FC9" w:rsidRDefault="0011710B" w:rsidP="00F0297B">
            <w:pPr>
              <w:pStyle w:val="Tekstwstpniesformatowany"/>
              <w:spacing w:line="276" w:lineRule="auto"/>
              <w:ind w:left="2835"/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 w:rsidRPr="00024FC9">
              <w:rPr>
                <w:rFonts w:ascii="Calibri" w:hAnsi="Calibri" w:cs="Times New Roman"/>
                <w:sz w:val="22"/>
                <w:szCs w:val="22"/>
                <w:lang w:val="en-US"/>
              </w:rPr>
              <w:t xml:space="preserve">CC </w:t>
            </w:r>
            <w:r w:rsidRPr="00024FC9">
              <w:rPr>
                <w:rFonts w:ascii="Calibri" w:hAnsi="Calibri" w:cs="Times New Roman"/>
                <w:sz w:val="22"/>
                <w:szCs w:val="22"/>
                <w:vertAlign w:val="subscript"/>
                <w:lang w:val="en-US"/>
              </w:rPr>
              <w:t>min</w:t>
            </w:r>
            <w:r w:rsidRPr="00024FC9">
              <w:rPr>
                <w:rFonts w:ascii="Calibri" w:hAnsi="Calibri" w:cs="Times New Roman"/>
                <w:sz w:val="22"/>
                <w:szCs w:val="22"/>
                <w:lang w:val="en-US"/>
              </w:rPr>
              <w:t xml:space="preserve"> </w:t>
            </w:r>
          </w:p>
          <w:p w14:paraId="408D9A3A" w14:textId="62AB56F2" w:rsidR="0011710B" w:rsidRPr="00024FC9" w:rsidRDefault="0011710B" w:rsidP="00F0297B">
            <w:pPr>
              <w:pStyle w:val="Tekstwstpniesformatowany"/>
              <w:tabs>
                <w:tab w:val="left" w:pos="3606"/>
                <w:tab w:val="left" w:pos="4253"/>
              </w:tabs>
              <w:spacing w:line="276" w:lineRule="auto"/>
              <w:ind w:left="1418"/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BC0A20E" wp14:editId="4815A2BD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90804</wp:posOffset>
                      </wp:positionV>
                      <wp:extent cx="1129030" cy="0"/>
                      <wp:effectExtent l="0" t="0" r="13970" b="19050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9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528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115.9pt;margin-top:7.15pt;width:88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jiOwIAAFAEAAAOAAAAZHJzL2Uyb0RvYy54bWysVM2O2jAQvlfqO1i5Q34WKESEVZVAL9sW&#10;abcPYGwnsUhsyzYEtuqhK+2b7b5Xx4Ygtr1UVXNwxhnPN9/MfM789tA2aM+04VJkQTyMAsQEkZSL&#10;Kgu+PawG0wAZiwXFjRQsC47MBLeL9+/mnUpZImvZUKYRgAiTdioLamtVGoaG1KzFZigVE+AspW6x&#10;ha2uQqpxB+htEyZ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"/>
                  </w:pict>
                </mc:Fallback>
              </mc:AlternateContent>
            </w:r>
            <w:r w:rsidRPr="00024FC9">
              <w:rPr>
                <w:rFonts w:ascii="Calibri" w:hAnsi="Calibri" w:cs="Times New Roman"/>
                <w:sz w:val="22"/>
                <w:szCs w:val="22"/>
                <w:lang w:val="en-US"/>
              </w:rPr>
              <w:t>PC =</w:t>
            </w:r>
            <w:r w:rsidRPr="00024FC9">
              <w:rPr>
                <w:rFonts w:ascii="Calibri" w:hAnsi="Calibri" w:cs="Times New Roman"/>
                <w:sz w:val="22"/>
                <w:szCs w:val="22"/>
                <w:lang w:val="en-US"/>
              </w:rPr>
              <w:tab/>
            </w:r>
            <w:r w:rsidRPr="00024FC9">
              <w:rPr>
                <w:rFonts w:ascii="Calibri" w:hAnsi="Calibri" w:cs="Times New Roman"/>
                <w:sz w:val="22"/>
                <w:szCs w:val="22"/>
                <w:lang w:val="en-US"/>
              </w:rPr>
              <w:tab/>
              <w:t xml:space="preserve">x </w:t>
            </w:r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6</w:t>
            </w:r>
            <w:r w:rsidR="001D2404">
              <w:rPr>
                <w:rFonts w:ascii="Calibri" w:hAnsi="Calibri" w:cs="Times New Roman"/>
                <w:sz w:val="22"/>
                <w:szCs w:val="22"/>
                <w:lang w:val="en-US"/>
              </w:rPr>
              <w:t>5</w:t>
            </w:r>
            <w:r w:rsidRPr="00024FC9">
              <w:rPr>
                <w:rFonts w:ascii="Calibri" w:hAnsi="Calibri" w:cs="Times New Roman"/>
                <w:sz w:val="22"/>
                <w:szCs w:val="22"/>
                <w:lang w:val="en-US"/>
              </w:rPr>
              <w:t xml:space="preserve"> </w:t>
            </w:r>
          </w:p>
          <w:p w14:paraId="136272DF" w14:textId="77777777" w:rsidR="0011710B" w:rsidRPr="00024FC9" w:rsidRDefault="0011710B" w:rsidP="00F0297B">
            <w:pPr>
              <w:pStyle w:val="Tekstwstpniesformatowany"/>
              <w:spacing w:after="120" w:line="276" w:lineRule="auto"/>
              <w:ind w:left="2834"/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 w:rsidRPr="00024FC9">
              <w:rPr>
                <w:rFonts w:ascii="Calibri" w:hAnsi="Calibri" w:cs="Times New Roman"/>
                <w:sz w:val="22"/>
                <w:szCs w:val="22"/>
                <w:lang w:val="en-US"/>
              </w:rPr>
              <w:t xml:space="preserve">CC </w:t>
            </w:r>
            <w:r w:rsidRPr="00024FC9">
              <w:rPr>
                <w:rFonts w:ascii="Calibri" w:hAnsi="Calibri" w:cs="Times New Roman"/>
                <w:sz w:val="22"/>
                <w:szCs w:val="22"/>
                <w:vertAlign w:val="subscript"/>
                <w:lang w:val="en-US"/>
              </w:rPr>
              <w:t>of</w:t>
            </w:r>
          </w:p>
        </w:tc>
      </w:tr>
      <w:tr w:rsidR="0011710B" w:rsidRPr="00CD45BC" w14:paraId="4EC8B8FB" w14:textId="77777777" w:rsidTr="0011710B">
        <w:trPr>
          <w:trHeight w:val="457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C3777" w14:textId="77777777" w:rsidR="0011710B" w:rsidRPr="00024FC9" w:rsidRDefault="0011710B" w:rsidP="00F0297B">
            <w:pPr>
              <w:tabs>
                <w:tab w:val="left" w:pos="1701"/>
              </w:tabs>
              <w:spacing w:before="60" w:after="60"/>
              <w:jc w:val="both"/>
              <w:rPr>
                <w:rFonts w:ascii="Calibri" w:hAnsi="Calibri" w:cs="Times New Roman"/>
                <w:bCs/>
                <w:lang w:val="en-US"/>
              </w:rPr>
            </w:pPr>
          </w:p>
        </w:tc>
      </w:tr>
    </w:tbl>
    <w:p w14:paraId="056D4C7B" w14:textId="77777777" w:rsidR="0011710B" w:rsidRPr="00024FC9" w:rsidRDefault="0011710B" w:rsidP="00AE6CF1">
      <w:pPr>
        <w:spacing w:before="60" w:after="60"/>
        <w:ind w:left="1418" w:firstLine="709"/>
        <w:jc w:val="both"/>
        <w:rPr>
          <w:rFonts w:ascii="Calibri" w:hAnsi="Calibri" w:cs="Times New Roman"/>
          <w:bCs/>
          <w:u w:val="single"/>
        </w:rPr>
      </w:pPr>
      <w:r w:rsidRPr="00024FC9">
        <w:rPr>
          <w:rFonts w:ascii="Calibri" w:hAnsi="Calibri" w:cs="Times New Roman"/>
          <w:bCs/>
          <w:u w:val="single"/>
        </w:rPr>
        <w:t>gdzie:</w:t>
      </w:r>
    </w:p>
    <w:p w14:paraId="4D1BAF40" w14:textId="77777777" w:rsidR="0011710B" w:rsidRPr="00024FC9" w:rsidRDefault="0011710B" w:rsidP="00AE6CF1">
      <w:pPr>
        <w:spacing w:before="60" w:after="60"/>
        <w:ind w:left="1418"/>
        <w:jc w:val="both"/>
        <w:rPr>
          <w:rFonts w:ascii="Calibri" w:hAnsi="Calibri" w:cs="Times New Roman"/>
          <w:bCs/>
        </w:rPr>
      </w:pPr>
      <w:r w:rsidRPr="00024FC9">
        <w:rPr>
          <w:rFonts w:ascii="Calibri" w:hAnsi="Calibri" w:cs="Times New Roman"/>
          <w:bCs/>
        </w:rPr>
        <w:lastRenderedPageBreak/>
        <w:t xml:space="preserve">PC – punkty przyznane </w:t>
      </w:r>
      <w:r>
        <w:rPr>
          <w:rFonts w:ascii="Calibri" w:hAnsi="Calibri" w:cs="Times New Roman"/>
          <w:bCs/>
        </w:rPr>
        <w:t>w</w:t>
      </w:r>
      <w:r w:rsidRPr="00024FC9">
        <w:rPr>
          <w:rFonts w:ascii="Calibri" w:hAnsi="Calibri" w:cs="Times New Roman"/>
          <w:bCs/>
        </w:rPr>
        <w:t xml:space="preserve">ykonawcy w ramach kryterium „Cena” </w:t>
      </w:r>
    </w:p>
    <w:p w14:paraId="3A1EF64E" w14:textId="77777777" w:rsidR="0011710B" w:rsidRPr="00024FC9" w:rsidRDefault="0011710B" w:rsidP="00AE6CF1">
      <w:pPr>
        <w:spacing w:before="60" w:after="60"/>
        <w:ind w:left="1418"/>
        <w:jc w:val="both"/>
        <w:rPr>
          <w:rFonts w:ascii="Calibri" w:hAnsi="Calibri" w:cs="Times New Roman"/>
          <w:bCs/>
        </w:rPr>
      </w:pPr>
      <w:r w:rsidRPr="00024FC9">
        <w:rPr>
          <w:rFonts w:ascii="Calibri" w:hAnsi="Calibri" w:cs="Times New Roman"/>
          <w:bCs/>
        </w:rPr>
        <w:t xml:space="preserve">CC </w:t>
      </w:r>
      <w:r w:rsidRPr="00024FC9">
        <w:rPr>
          <w:rFonts w:ascii="Calibri" w:hAnsi="Calibri" w:cs="Times New Roman"/>
          <w:bCs/>
          <w:vertAlign w:val="subscript"/>
        </w:rPr>
        <w:t>min</w:t>
      </w:r>
      <w:r w:rsidRPr="00024FC9">
        <w:rPr>
          <w:rFonts w:ascii="Calibri" w:hAnsi="Calibri" w:cs="Times New Roman"/>
          <w:bCs/>
        </w:rPr>
        <w:t xml:space="preserve"> – najniższa cena brutto spośród badanych ofert</w:t>
      </w:r>
    </w:p>
    <w:p w14:paraId="50DBCFD3" w14:textId="7AF53D08" w:rsidR="0011710B" w:rsidRDefault="0011710B" w:rsidP="00AE6CF1">
      <w:pPr>
        <w:pStyle w:val="Tekstwstpniesformatowany"/>
        <w:spacing w:after="120" w:line="276" w:lineRule="auto"/>
        <w:ind w:left="1418" w:firstLine="426"/>
        <w:rPr>
          <w:rFonts w:ascii="Calibri" w:hAnsi="Calibri" w:cs="Times New Roman"/>
          <w:bCs/>
          <w:sz w:val="22"/>
          <w:szCs w:val="22"/>
        </w:rPr>
      </w:pPr>
      <w:r w:rsidRPr="00024FC9">
        <w:rPr>
          <w:rFonts w:ascii="Calibri" w:hAnsi="Calibri" w:cs="Times New Roman"/>
          <w:bCs/>
          <w:sz w:val="22"/>
          <w:szCs w:val="22"/>
        </w:rPr>
        <w:t xml:space="preserve">CC </w:t>
      </w:r>
      <w:r w:rsidRPr="00024FC9">
        <w:rPr>
          <w:rFonts w:ascii="Calibri" w:hAnsi="Calibri" w:cs="Times New Roman"/>
          <w:bCs/>
          <w:sz w:val="22"/>
          <w:szCs w:val="22"/>
          <w:vertAlign w:val="subscript"/>
        </w:rPr>
        <w:t>of</w:t>
      </w:r>
      <w:r w:rsidRPr="00024FC9">
        <w:rPr>
          <w:rFonts w:ascii="Calibri" w:hAnsi="Calibri" w:cs="Times New Roman"/>
          <w:bCs/>
          <w:sz w:val="22"/>
          <w:szCs w:val="22"/>
        </w:rPr>
        <w:t xml:space="preserve"> – cena brutto badanej ofert</w:t>
      </w:r>
    </w:p>
    <w:p w14:paraId="5AA2A03D" w14:textId="238928B5" w:rsidR="00AE6CF1" w:rsidRDefault="00AE6CF1" w:rsidP="00AE6CF1">
      <w:pPr>
        <w:suppressAutoHyphens/>
        <w:spacing w:after="120" w:line="240" w:lineRule="auto"/>
        <w:ind w:left="993"/>
        <w:jc w:val="both"/>
      </w:pPr>
      <w:r>
        <w:t>Przy ocenie ofert w kryterium „Rozszerzone wsparcie techniczne o częstsze przeglądy środowiska” (PR) punkty zostaną przyznane w poniższy sposób:</w:t>
      </w:r>
    </w:p>
    <w:p w14:paraId="2BEA2AD0" w14:textId="4F40BE53" w:rsidR="00AE6CF1" w:rsidRDefault="00AE6CF1" w:rsidP="00AE6CF1">
      <w:pPr>
        <w:pStyle w:val="Akapitzlist"/>
        <w:numPr>
          <w:ilvl w:val="0"/>
          <w:numId w:val="38"/>
        </w:numPr>
        <w:suppressAutoHyphens/>
        <w:spacing w:after="120"/>
        <w:jc w:val="both"/>
      </w:pPr>
      <w:r>
        <w:t>Przegląd raz na 1 rok – 0 pkt</w:t>
      </w:r>
    </w:p>
    <w:p w14:paraId="2D335E35" w14:textId="3FA52FF6" w:rsidR="00AE6CF1" w:rsidRDefault="00AE6CF1" w:rsidP="00AE6CF1">
      <w:pPr>
        <w:pStyle w:val="Akapitzlist"/>
        <w:numPr>
          <w:ilvl w:val="0"/>
          <w:numId w:val="38"/>
        </w:numPr>
        <w:suppressAutoHyphens/>
        <w:spacing w:after="120"/>
        <w:jc w:val="both"/>
      </w:pPr>
      <w:r>
        <w:t>Przegląd raz na 0,5 roku – 5 pkt</w:t>
      </w:r>
    </w:p>
    <w:p w14:paraId="77E0D23A" w14:textId="08601E35" w:rsidR="00AE6CF1" w:rsidRDefault="00AE6CF1" w:rsidP="00AE6CF1">
      <w:pPr>
        <w:suppressAutoHyphens/>
        <w:spacing w:after="120" w:line="240" w:lineRule="auto"/>
        <w:ind w:left="993"/>
        <w:jc w:val="both"/>
      </w:pPr>
      <w:r>
        <w:t>Przy ocenie ofert w kryterium „Liczba zaoferowanych godzin programistycznych” (GP) punkty zostaną przyznane w poniższy sposób:</w:t>
      </w:r>
    </w:p>
    <w:p w14:paraId="5F136FD7" w14:textId="317205AF" w:rsidR="00AE6CF1" w:rsidRDefault="00AE6CF1" w:rsidP="00AE6CF1">
      <w:pPr>
        <w:pStyle w:val="Akapitzlist"/>
        <w:numPr>
          <w:ilvl w:val="0"/>
          <w:numId w:val="38"/>
        </w:numPr>
        <w:suppressAutoHyphens/>
        <w:spacing w:after="120"/>
        <w:jc w:val="both"/>
      </w:pPr>
      <w:r>
        <w:t>1400 godzin programistycznych – 5 pkt. Za każde dodatkowe 200 godzin programistycznych dodatkowe 5 pkt., maksymalna liczba punktów, jaką może uzyskać Wykonawca w tym kryterium wynosi 30</w:t>
      </w:r>
    </w:p>
    <w:p w14:paraId="7E50DE1E" w14:textId="77777777" w:rsidR="00AE6CF1" w:rsidRDefault="00AE6CF1" w:rsidP="00AE6CF1">
      <w:pPr>
        <w:pStyle w:val="Akapitzlist"/>
        <w:suppressAutoHyphens/>
        <w:spacing w:after="120"/>
        <w:ind w:left="1713"/>
        <w:jc w:val="both"/>
      </w:pPr>
    </w:p>
    <w:p w14:paraId="7B54537A" w14:textId="7F491330" w:rsidR="00AE6CF1" w:rsidRPr="00AE6CF1" w:rsidRDefault="00AE6CF1" w:rsidP="00AE6CF1">
      <w:pPr>
        <w:suppressAutoHyphens/>
        <w:spacing w:after="120" w:line="240" w:lineRule="auto"/>
        <w:ind w:left="993"/>
        <w:jc w:val="both"/>
        <w:rPr>
          <w:b/>
        </w:rPr>
      </w:pPr>
      <w:r w:rsidRPr="00AE6CF1">
        <w:rPr>
          <w:b/>
        </w:rPr>
        <w:t>Sumaryczna liczba punktów zostanie obliczona według wzoru:</w:t>
      </w:r>
    </w:p>
    <w:p w14:paraId="79BDEFC8" w14:textId="77777777" w:rsidR="00AE6CF1" w:rsidRDefault="00AE6CF1" w:rsidP="00AE6CF1">
      <w:pPr>
        <w:suppressAutoHyphens/>
        <w:spacing w:after="120" w:line="240" w:lineRule="auto"/>
        <w:ind w:left="993"/>
        <w:jc w:val="both"/>
      </w:pPr>
      <w:r>
        <w:t>W = PC+PR+PW+PS</w:t>
      </w:r>
    </w:p>
    <w:p w14:paraId="06A4C472" w14:textId="77777777" w:rsidR="00AE6CF1" w:rsidRDefault="00AE6CF1" w:rsidP="00AE6CF1">
      <w:pPr>
        <w:suppressAutoHyphens/>
        <w:spacing w:after="120" w:line="240" w:lineRule="auto"/>
        <w:ind w:left="993"/>
        <w:jc w:val="both"/>
      </w:pPr>
      <w:r>
        <w:t>gdzie:</w:t>
      </w:r>
    </w:p>
    <w:p w14:paraId="7A10F565" w14:textId="77777777" w:rsidR="00AE6CF1" w:rsidRDefault="00AE6CF1" w:rsidP="00AE6CF1">
      <w:pPr>
        <w:suppressAutoHyphens/>
        <w:spacing w:after="120" w:line="240" w:lineRule="auto"/>
        <w:ind w:left="993"/>
        <w:jc w:val="both"/>
      </w:pPr>
      <w:r>
        <w:t xml:space="preserve">W – łączna liczba punktów przyznanych w poszczególnych kryteriach,   </w:t>
      </w:r>
    </w:p>
    <w:p w14:paraId="77A3156E" w14:textId="77777777" w:rsidR="00AE6CF1" w:rsidRDefault="00AE6CF1" w:rsidP="00AE6CF1">
      <w:pPr>
        <w:suppressAutoHyphens/>
        <w:spacing w:after="120" w:line="240" w:lineRule="auto"/>
        <w:ind w:left="993"/>
        <w:jc w:val="both"/>
      </w:pPr>
      <w:r>
        <w:t xml:space="preserve">PC – liczba punktów przyznanych w kryterium „Cena”, </w:t>
      </w:r>
    </w:p>
    <w:p w14:paraId="467A12F9" w14:textId="77777777" w:rsidR="00AE6CF1" w:rsidRDefault="00AE6CF1" w:rsidP="00AE6CF1">
      <w:pPr>
        <w:suppressAutoHyphens/>
        <w:spacing w:after="120" w:line="240" w:lineRule="auto"/>
        <w:ind w:left="993"/>
        <w:jc w:val="both"/>
      </w:pPr>
      <w:r>
        <w:t>PR – liczba punktów przyznanych w kryterium „Rozszerzone wsparcie techniczne o częstsze przeglądy środowiska”,</w:t>
      </w:r>
    </w:p>
    <w:p w14:paraId="290A9DD2" w14:textId="2E3A176C" w:rsidR="00AE6CF1" w:rsidRDefault="00AE6CF1" w:rsidP="00AE6CF1">
      <w:pPr>
        <w:suppressAutoHyphens/>
        <w:spacing w:after="120" w:line="240" w:lineRule="auto"/>
        <w:ind w:left="993"/>
        <w:jc w:val="both"/>
      </w:pPr>
      <w:r>
        <w:t>GP – liczba punktów przyznanych w kryterium „Liczba zaoferowanych godzin programistycznych”.</w:t>
      </w:r>
    </w:p>
    <w:p w14:paraId="4772A416" w14:textId="1841A859" w:rsidR="00AE6CF1" w:rsidRDefault="00AE6CF1" w:rsidP="00AE6CF1">
      <w:pPr>
        <w:suppressAutoHyphens/>
        <w:spacing w:after="120" w:line="240" w:lineRule="auto"/>
        <w:ind w:left="993"/>
        <w:jc w:val="both"/>
      </w:pPr>
      <w:r>
        <w:t>Wszystkie obliczenia dokonywane będą z dokładnością do dwóch miejsc po przecinku.</w:t>
      </w:r>
    </w:p>
    <w:p w14:paraId="140DC779" w14:textId="6DD1E6E0" w:rsidR="00AE6CF1" w:rsidRDefault="00AE6CF1" w:rsidP="00AE6CF1">
      <w:pPr>
        <w:suppressAutoHyphens/>
        <w:spacing w:after="120" w:line="240" w:lineRule="auto"/>
        <w:ind w:left="993"/>
        <w:jc w:val="both"/>
      </w:pPr>
      <w:r>
        <w:t xml:space="preserve">Przy wyborze oferty zamawiający będzie stosować zasadę, że oferta nieodrzucona, zawierająca najwyższą liczbę punktów przyznanych według powyższych kryteriów, jest ofertą najkorzystniejszą. </w:t>
      </w:r>
    </w:p>
    <w:p w14:paraId="3DC15F47" w14:textId="77777777" w:rsidR="00C3046B" w:rsidRPr="00B90909" w:rsidRDefault="00C3046B" w:rsidP="00B90909">
      <w:pPr>
        <w:jc w:val="both"/>
      </w:pPr>
    </w:p>
    <w:p w14:paraId="3E70FA57" w14:textId="77777777" w:rsidR="00C3046B" w:rsidRPr="00C3046B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TERMIN WYKONANIA ZAMÓWIENIA</w:t>
      </w:r>
    </w:p>
    <w:p w14:paraId="0F40A364" w14:textId="5105B244" w:rsidR="00C3046B" w:rsidRPr="0011710B" w:rsidRDefault="00C3046B" w:rsidP="0011710B">
      <w:pPr>
        <w:pStyle w:val="Akapitzlist"/>
        <w:ind w:left="1080"/>
      </w:pPr>
      <w:r w:rsidRPr="0011710B">
        <w:t xml:space="preserve">Wykonawca zobowiązany będzie do świadczenia </w:t>
      </w:r>
      <w:r w:rsidR="00D14FF7" w:rsidRPr="0011710B">
        <w:t>usług/usługi od moment</w:t>
      </w:r>
      <w:r w:rsidR="0011710B">
        <w:t xml:space="preserve">u podpisania umowy przez okres 4 </w:t>
      </w:r>
      <w:r w:rsidR="00D14FF7" w:rsidRPr="0011710B">
        <w:t>lat.</w:t>
      </w:r>
    </w:p>
    <w:p w14:paraId="3DC8E741" w14:textId="77777777" w:rsidR="00C3046B" w:rsidRPr="00EB06C1" w:rsidRDefault="00C3046B" w:rsidP="00C3046B">
      <w:pPr>
        <w:pStyle w:val="Akapitzlist"/>
        <w:ind w:left="709"/>
        <w:jc w:val="both"/>
        <w:rPr>
          <w:rFonts w:asciiTheme="minorHAnsi" w:hAnsiTheme="minorHAnsi"/>
          <w:lang w:val="en-US"/>
        </w:rPr>
      </w:pPr>
    </w:p>
    <w:p w14:paraId="5F5C7DBB" w14:textId="65E275B6" w:rsidR="00C3046B" w:rsidRPr="00C3046B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OPIS SPOSOBU PRZYGOTOWANIA OFERTY</w:t>
      </w:r>
      <w:r w:rsidR="00000426">
        <w:rPr>
          <w:b/>
        </w:rPr>
        <w:t xml:space="preserve"> </w:t>
      </w:r>
    </w:p>
    <w:p w14:paraId="7A5055F5" w14:textId="77777777" w:rsidR="00C3046B" w:rsidRPr="00D56084" w:rsidRDefault="00C3046B" w:rsidP="00C3046B">
      <w:pPr>
        <w:pStyle w:val="Akapitzlist"/>
        <w:numPr>
          <w:ilvl w:val="0"/>
          <w:numId w:val="9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mieć formę pliku w formacie pdf w języku polskim. </w:t>
      </w:r>
    </w:p>
    <w:p w14:paraId="76FE8ED6" w14:textId="77777777" w:rsidR="00C3046B" w:rsidRPr="00D56084" w:rsidRDefault="00C3046B" w:rsidP="00C3046B">
      <w:pPr>
        <w:pStyle w:val="Akapitzlist"/>
        <w:numPr>
          <w:ilvl w:val="0"/>
          <w:numId w:val="9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zawierać: </w:t>
      </w:r>
    </w:p>
    <w:p w14:paraId="1EBAAB3E" w14:textId="77777777" w:rsidR="00C3046B" w:rsidRPr="0069669C" w:rsidRDefault="00C3046B" w:rsidP="00C3046B">
      <w:pPr>
        <w:pStyle w:val="Akapitzlist"/>
        <w:numPr>
          <w:ilvl w:val="0"/>
          <w:numId w:val="10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D56084">
        <w:rPr>
          <w:rFonts w:asciiTheme="minorHAnsi" w:hAnsiTheme="minorHAnsi"/>
        </w:rPr>
        <w:t>mię, nazwisko, firmę i dokładny adres wykonawcy, datę sporządzenia oferty oraz imię i nazwisko osoby uprawnionej do reprezentowania Wykonawcy;</w:t>
      </w:r>
    </w:p>
    <w:p w14:paraId="7A483AF8" w14:textId="5ADEFD7B" w:rsidR="00C3046B" w:rsidRDefault="00C3046B" w:rsidP="00C3046B">
      <w:pPr>
        <w:pStyle w:val="Akapitzlist"/>
        <w:numPr>
          <w:ilvl w:val="0"/>
          <w:numId w:val="10"/>
        </w:numPr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Cenę, za którą Wykonawca zobowiązuje się do wyk</w:t>
      </w:r>
      <w:r w:rsidR="00DE16BA">
        <w:rPr>
          <w:rFonts w:asciiTheme="minorHAnsi" w:hAnsiTheme="minorHAnsi"/>
        </w:rPr>
        <w:t xml:space="preserve">onania pracy </w:t>
      </w:r>
      <w:r w:rsidR="00AE6CF1">
        <w:rPr>
          <w:rFonts w:asciiTheme="minorHAnsi" w:hAnsiTheme="minorHAnsi"/>
        </w:rPr>
        <w:t>zamówienia</w:t>
      </w:r>
      <w:r>
        <w:rPr>
          <w:rFonts w:asciiTheme="minorHAnsi" w:hAnsiTheme="minorHAnsi"/>
        </w:rPr>
        <w:t xml:space="preserve"> z wyszczególnieniem</w:t>
      </w:r>
      <w:r w:rsidR="00701EB8">
        <w:rPr>
          <w:rFonts w:asciiTheme="minorHAnsi" w:hAnsiTheme="minorHAnsi"/>
        </w:rPr>
        <w:t xml:space="preserve"> osobno ceny netto/ brutto dla </w:t>
      </w:r>
      <w:r>
        <w:rPr>
          <w:rFonts w:asciiTheme="minorHAnsi" w:hAnsiTheme="minorHAnsi"/>
        </w:rPr>
        <w:t>:</w:t>
      </w:r>
    </w:p>
    <w:p w14:paraId="4648BD38" w14:textId="3877B1F2" w:rsidR="00AE6CF1" w:rsidRDefault="00867872" w:rsidP="00AE6CF1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Całkowita cena zamówienia</w:t>
      </w:r>
    </w:p>
    <w:p w14:paraId="400B26F1" w14:textId="1209F2A3" w:rsidR="00C3046B" w:rsidRPr="00AE6CF1" w:rsidRDefault="00867872" w:rsidP="00AE6CF1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Cena za </w:t>
      </w:r>
      <w:r w:rsidR="00B75F8A" w:rsidRPr="00AE6CF1">
        <w:rPr>
          <w:rFonts w:asciiTheme="minorHAnsi" w:hAnsiTheme="minorHAnsi"/>
        </w:rPr>
        <w:t>wsparcie dla aplikacji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eGranty</w:t>
      </w:r>
      <w:proofErr w:type="spellEnd"/>
    </w:p>
    <w:p w14:paraId="06E1C64B" w14:textId="01AC91C5" w:rsidR="00C3046B" w:rsidRDefault="00867872" w:rsidP="00AE6CF1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liczba zaoferowanych godzin programistycznych, cena za 1 godzinę programistyczną</w:t>
      </w:r>
    </w:p>
    <w:p w14:paraId="20B5EDC3" w14:textId="763BC735" w:rsidR="00C3046B" w:rsidRDefault="00867872" w:rsidP="00AE6CF1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liczba przeglądów w ciągu roku</w:t>
      </w:r>
    </w:p>
    <w:p w14:paraId="4B54D95C" w14:textId="77777777" w:rsidR="00517368" w:rsidRPr="00517368" w:rsidRDefault="00517368" w:rsidP="00517368">
      <w:pPr>
        <w:pStyle w:val="Akapitzlist"/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</w:p>
    <w:p w14:paraId="7E6F1619" w14:textId="77777777" w:rsidR="00C3046B" w:rsidRPr="00C3046B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DODATKOWE INFORMACJE</w:t>
      </w:r>
    </w:p>
    <w:p w14:paraId="06AFA922" w14:textId="5965A75F" w:rsidR="00C3046B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Termin ważności oferty winien obejmować 90 dni.</w:t>
      </w:r>
    </w:p>
    <w:p w14:paraId="18048344" w14:textId="22B87929" w:rsidR="00C3046B" w:rsidRPr="00867872" w:rsidRDefault="00C3046B" w:rsidP="00867872">
      <w:pPr>
        <w:jc w:val="both"/>
      </w:pPr>
    </w:p>
    <w:p w14:paraId="002C8872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przypadku, gdy realizacja zamówienia będzie wymagała dostępu Wykonawcy do środowiska produkcyjnego Zamawiającego, w którym przetwarzane są dane osobowe, Zamawiający wymaga zawarcia umowy o powierzeniu danych osobowych do przetwarzania, zgodnie z zapisami rozporządzenia o ochronie danych osobowych (RODO).</w:t>
      </w:r>
    </w:p>
    <w:p w14:paraId="477B2E7E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5BB370A3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przypadku realizacji usługi lub jej części w siedzibie Zamawiającego, Wykonawca jest zobowiązany do stosowania się do wewnętrznych przepisów Zamawiającego w zakresie bezpieczeństwa jego siedziby i ruchu osobowego, w tym do przekazania imiennej listy pracowników wyznaczonych do realizacji usługi, zgodnie ze wzorem określonym przez Zamawiającego.</w:t>
      </w:r>
    </w:p>
    <w:p w14:paraId="0DF515C7" w14:textId="77777777" w:rsidR="00C3046B" w:rsidRPr="00D56084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7A8F6B58" w14:textId="77777777" w:rsidR="00EB06C1" w:rsidRDefault="00C3046B" w:rsidP="00C3046B">
      <w:pPr>
        <w:pStyle w:val="Akapitzlist"/>
        <w:ind w:left="709"/>
        <w:jc w:val="both"/>
        <w:rPr>
          <w:rFonts w:asciiTheme="minorHAnsi" w:hAnsiTheme="minorHAnsi"/>
          <w:b/>
        </w:rPr>
      </w:pPr>
      <w:r w:rsidRPr="00997CDF">
        <w:rPr>
          <w:rFonts w:asciiTheme="minorHAnsi" w:hAnsiTheme="minorHAnsi"/>
        </w:rPr>
        <w:t xml:space="preserve">Dodatkowe informacje zostaną udzielone po przesłaniu </w:t>
      </w:r>
      <w:r>
        <w:rPr>
          <w:rFonts w:asciiTheme="minorHAnsi" w:hAnsiTheme="minorHAnsi"/>
        </w:rPr>
        <w:t xml:space="preserve">pytań </w:t>
      </w:r>
      <w:r w:rsidRPr="00997CDF">
        <w:rPr>
          <w:rFonts w:asciiTheme="minorHAnsi" w:hAnsiTheme="minorHAnsi"/>
        </w:rPr>
        <w:t xml:space="preserve">drogą elektroniczną na adres email: </w:t>
      </w:r>
      <w:hyperlink r:id="rId10" w:history="1">
        <w:r w:rsidRPr="00997CDF">
          <w:rPr>
            <w:rFonts w:asciiTheme="minorHAnsi" w:eastAsia="Calibri" w:hAnsiTheme="minorHAnsi"/>
            <w:b/>
          </w:rPr>
          <w:t>kontakt_oferta@msz.gov.pl</w:t>
        </w:r>
      </w:hyperlink>
    </w:p>
    <w:p w14:paraId="474B486D" w14:textId="77777777" w:rsidR="00EB06C1" w:rsidRDefault="00EB06C1" w:rsidP="00C3046B">
      <w:pPr>
        <w:pStyle w:val="Akapitzlist"/>
        <w:ind w:left="709"/>
        <w:jc w:val="both"/>
        <w:rPr>
          <w:rFonts w:asciiTheme="minorHAnsi" w:hAnsiTheme="minorHAnsi"/>
          <w:b/>
        </w:rPr>
      </w:pPr>
    </w:p>
    <w:p w14:paraId="1BDE1C9C" w14:textId="15FC8B00" w:rsidR="00C3046B" w:rsidRDefault="00C3046B" w:rsidP="00EB06C1">
      <w:pPr>
        <w:pStyle w:val="Akapitzlist"/>
        <w:ind w:left="709"/>
        <w:jc w:val="both"/>
      </w:pPr>
      <w:r w:rsidRPr="00D56084">
        <w:rPr>
          <w:rFonts w:asciiTheme="minorHAnsi" w:hAnsiTheme="minorHAnsi"/>
          <w:b/>
        </w:rPr>
        <w:t>Ministerstwo Spraw Zagranicznych zastrzega sobie prawo do negocjacji warunków zawartych w ofertach oraz do nie wybrania żadnej z wpływających ofert.</w:t>
      </w:r>
    </w:p>
    <w:sectPr w:rsidR="00C30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0A1AE6" w16cid:durableId="2639B9FC"/>
  <w16cid:commentId w16cid:paraId="3B765173" w16cid:durableId="2639E963"/>
  <w16cid:commentId w16cid:paraId="12E80A6F" w16cid:durableId="2639F9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7FB"/>
    <w:multiLevelType w:val="hybridMultilevel"/>
    <w:tmpl w:val="2F7404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007585"/>
    <w:multiLevelType w:val="hybridMultilevel"/>
    <w:tmpl w:val="18EEB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A6AF0"/>
    <w:multiLevelType w:val="hybridMultilevel"/>
    <w:tmpl w:val="1C7ACF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2469D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9316C"/>
    <w:multiLevelType w:val="hybridMultilevel"/>
    <w:tmpl w:val="6C6CD1D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44249A"/>
    <w:multiLevelType w:val="hybridMultilevel"/>
    <w:tmpl w:val="D27EAF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6231D"/>
    <w:multiLevelType w:val="hybridMultilevel"/>
    <w:tmpl w:val="85187F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C12"/>
    <w:multiLevelType w:val="hybridMultilevel"/>
    <w:tmpl w:val="62AE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203E5"/>
    <w:multiLevelType w:val="hybridMultilevel"/>
    <w:tmpl w:val="379E0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40796"/>
    <w:multiLevelType w:val="multilevel"/>
    <w:tmpl w:val="EA10ECF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  <w:strike w:val="0"/>
      </w:rPr>
    </w:lvl>
    <w:lvl w:ilvl="4">
      <w:start w:val="1"/>
      <w:numFmt w:val="lowerLetter"/>
      <w:lvlText w:val="%5)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9" w15:restartNumberingAfterBreak="0">
    <w:nsid w:val="266476A6"/>
    <w:multiLevelType w:val="multilevel"/>
    <w:tmpl w:val="A20C1284"/>
    <w:lvl w:ilvl="0">
      <w:start w:val="1"/>
      <w:numFmt w:val="decimal"/>
      <w:pStyle w:val="Nagwek1AV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pStyle w:val="Nagwek3AV"/>
      <w:lvlText w:val="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12101DB"/>
    <w:multiLevelType w:val="hybridMultilevel"/>
    <w:tmpl w:val="A38C9BC2"/>
    <w:lvl w:ilvl="0" w:tplc="2E32888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BF2B45"/>
    <w:multiLevelType w:val="hybridMultilevel"/>
    <w:tmpl w:val="52307C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FE0C94"/>
    <w:multiLevelType w:val="hybridMultilevel"/>
    <w:tmpl w:val="86B2F20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CBD07690">
      <w:start w:val="1"/>
      <w:numFmt w:val="decimal"/>
      <w:lvlText w:val="%2."/>
      <w:lvlJc w:val="left"/>
      <w:pPr>
        <w:ind w:left="249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5C68E9"/>
    <w:multiLevelType w:val="hybridMultilevel"/>
    <w:tmpl w:val="E75E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E21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F7769F5"/>
    <w:multiLevelType w:val="hybridMultilevel"/>
    <w:tmpl w:val="91807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C39C6"/>
    <w:multiLevelType w:val="hybridMultilevel"/>
    <w:tmpl w:val="48D47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C60AA"/>
    <w:multiLevelType w:val="hybridMultilevel"/>
    <w:tmpl w:val="DAC0B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043B"/>
    <w:multiLevelType w:val="hybridMultilevel"/>
    <w:tmpl w:val="0CA2F3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CB64FF"/>
    <w:multiLevelType w:val="hybridMultilevel"/>
    <w:tmpl w:val="CAE8CC84"/>
    <w:lvl w:ilvl="0" w:tplc="BD2494FC">
      <w:start w:val="2"/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04400D2"/>
    <w:multiLevelType w:val="hybridMultilevel"/>
    <w:tmpl w:val="3DDECE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ED6038"/>
    <w:multiLevelType w:val="hybridMultilevel"/>
    <w:tmpl w:val="36164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343DC"/>
    <w:multiLevelType w:val="hybridMultilevel"/>
    <w:tmpl w:val="CD34E922"/>
    <w:lvl w:ilvl="0" w:tplc="6966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098FBDE">
      <w:start w:val="1"/>
      <w:numFmt w:val="bullet"/>
      <w:lvlText w:val="•"/>
      <w:lvlJc w:val="left"/>
      <w:pPr>
        <w:ind w:left="2520" w:hanging="144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6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7" w15:restartNumberingAfterBreak="0">
    <w:nsid w:val="60CF3A79"/>
    <w:multiLevelType w:val="hybridMultilevel"/>
    <w:tmpl w:val="EB3E68F8"/>
    <w:lvl w:ilvl="0" w:tplc="04150019">
      <w:start w:val="1"/>
      <w:numFmt w:val="lowerLetter"/>
      <w:lvlText w:val="%1."/>
      <w:lvlJc w:val="left"/>
      <w:pPr>
        <w:ind w:left="6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8" w15:restartNumberingAfterBreak="0">
    <w:nsid w:val="66EE770E"/>
    <w:multiLevelType w:val="hybridMultilevel"/>
    <w:tmpl w:val="DAC08EBE"/>
    <w:lvl w:ilvl="0" w:tplc="60B20FA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6A38F6"/>
    <w:multiLevelType w:val="hybridMultilevel"/>
    <w:tmpl w:val="F1D409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766624"/>
    <w:multiLevelType w:val="hybridMultilevel"/>
    <w:tmpl w:val="9C8652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2B0A61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B4495"/>
    <w:multiLevelType w:val="hybridMultilevel"/>
    <w:tmpl w:val="AEE62F8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6A31FD7"/>
    <w:multiLevelType w:val="hybridMultilevel"/>
    <w:tmpl w:val="623AC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92E88"/>
    <w:multiLevelType w:val="hybridMultilevel"/>
    <w:tmpl w:val="843A19C8"/>
    <w:lvl w:ilvl="0" w:tplc="5AF6FC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821064"/>
    <w:multiLevelType w:val="hybridMultilevel"/>
    <w:tmpl w:val="18F61416"/>
    <w:lvl w:ilvl="0" w:tplc="FA0068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123E5B"/>
    <w:multiLevelType w:val="hybridMultilevel"/>
    <w:tmpl w:val="45228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8"/>
  </w:num>
  <w:num w:numId="3">
    <w:abstractNumId w:val="36"/>
  </w:num>
  <w:num w:numId="4">
    <w:abstractNumId w:val="19"/>
  </w:num>
  <w:num w:numId="5">
    <w:abstractNumId w:val="10"/>
  </w:num>
  <w:num w:numId="6">
    <w:abstractNumId w:val="33"/>
  </w:num>
  <w:num w:numId="7">
    <w:abstractNumId w:val="34"/>
  </w:num>
  <w:num w:numId="8">
    <w:abstractNumId w:val="0"/>
  </w:num>
  <w:num w:numId="9">
    <w:abstractNumId w:val="20"/>
  </w:num>
  <w:num w:numId="10">
    <w:abstractNumId w:val="35"/>
  </w:num>
  <w:num w:numId="11">
    <w:abstractNumId w:val="15"/>
  </w:num>
  <w:num w:numId="12">
    <w:abstractNumId w:val="23"/>
  </w:num>
  <w:num w:numId="13">
    <w:abstractNumId w:val="24"/>
  </w:num>
  <w:num w:numId="14">
    <w:abstractNumId w:val="1"/>
  </w:num>
  <w:num w:numId="15">
    <w:abstractNumId w:val="11"/>
  </w:num>
  <w:num w:numId="16">
    <w:abstractNumId w:val="13"/>
  </w:num>
  <w:num w:numId="17">
    <w:abstractNumId w:val="17"/>
  </w:num>
  <w:num w:numId="18">
    <w:abstractNumId w:val="7"/>
  </w:num>
  <w:num w:numId="19">
    <w:abstractNumId w:val="22"/>
  </w:num>
  <w:num w:numId="20">
    <w:abstractNumId w:val="29"/>
  </w:num>
  <w:num w:numId="21">
    <w:abstractNumId w:val="9"/>
  </w:num>
  <w:num w:numId="22">
    <w:abstractNumId w:val="2"/>
  </w:num>
  <w:num w:numId="23">
    <w:abstractNumId w:val="37"/>
  </w:num>
  <w:num w:numId="24">
    <w:abstractNumId w:val="30"/>
  </w:num>
  <w:num w:numId="25">
    <w:abstractNumId w:val="9"/>
    <w:lvlOverride w:ilvl="0">
      <w:startOverride w:val="4"/>
    </w:lvlOverride>
    <w:lvlOverride w:ilvl="1">
      <w:startOverride w:val="1"/>
    </w:lvlOverride>
  </w:num>
  <w:num w:numId="26">
    <w:abstractNumId w:val="14"/>
  </w:num>
  <w:num w:numId="27">
    <w:abstractNumId w:val="5"/>
  </w:num>
  <w:num w:numId="28">
    <w:abstractNumId w:val="6"/>
  </w:num>
  <w:num w:numId="29">
    <w:abstractNumId w:val="26"/>
  </w:num>
  <w:num w:numId="30">
    <w:abstractNumId w:val="16"/>
  </w:num>
  <w:num w:numId="31">
    <w:abstractNumId w:val="27"/>
  </w:num>
  <w:num w:numId="32">
    <w:abstractNumId w:val="12"/>
  </w:num>
  <w:num w:numId="33">
    <w:abstractNumId w:val="28"/>
  </w:num>
  <w:num w:numId="34">
    <w:abstractNumId w:val="3"/>
  </w:num>
  <w:num w:numId="35">
    <w:abstractNumId w:val="8"/>
  </w:num>
  <w:num w:numId="36">
    <w:abstractNumId w:val="31"/>
  </w:num>
  <w:num w:numId="37">
    <w:abstractNumId w:val="4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3B"/>
    <w:rsid w:val="00000426"/>
    <w:rsid w:val="0003753B"/>
    <w:rsid w:val="000D09F0"/>
    <w:rsid w:val="0011710B"/>
    <w:rsid w:val="00130D3D"/>
    <w:rsid w:val="00146CD1"/>
    <w:rsid w:val="001C0831"/>
    <w:rsid w:val="001C5052"/>
    <w:rsid w:val="001D2404"/>
    <w:rsid w:val="00206248"/>
    <w:rsid w:val="00224732"/>
    <w:rsid w:val="002314C5"/>
    <w:rsid w:val="00260624"/>
    <w:rsid w:val="002740BE"/>
    <w:rsid w:val="00280675"/>
    <w:rsid w:val="00296D60"/>
    <w:rsid w:val="002C4D89"/>
    <w:rsid w:val="002D5005"/>
    <w:rsid w:val="00342B79"/>
    <w:rsid w:val="00344133"/>
    <w:rsid w:val="00346203"/>
    <w:rsid w:val="003477F1"/>
    <w:rsid w:val="00376AAA"/>
    <w:rsid w:val="0040353C"/>
    <w:rsid w:val="004A160E"/>
    <w:rsid w:val="004F20F7"/>
    <w:rsid w:val="005035D5"/>
    <w:rsid w:val="00517368"/>
    <w:rsid w:val="0052720A"/>
    <w:rsid w:val="00544265"/>
    <w:rsid w:val="005B0D61"/>
    <w:rsid w:val="005D12A0"/>
    <w:rsid w:val="005D58D5"/>
    <w:rsid w:val="005E17AD"/>
    <w:rsid w:val="005E1E67"/>
    <w:rsid w:val="005F5FDA"/>
    <w:rsid w:val="006130BB"/>
    <w:rsid w:val="00652BAE"/>
    <w:rsid w:val="00655002"/>
    <w:rsid w:val="006674E7"/>
    <w:rsid w:val="006B6F58"/>
    <w:rsid w:val="006F7DB9"/>
    <w:rsid w:val="0070097D"/>
    <w:rsid w:val="00701EB8"/>
    <w:rsid w:val="00736BA4"/>
    <w:rsid w:val="00741DB0"/>
    <w:rsid w:val="00744DA9"/>
    <w:rsid w:val="007531C6"/>
    <w:rsid w:val="00765B4A"/>
    <w:rsid w:val="007D5EFA"/>
    <w:rsid w:val="007E7E20"/>
    <w:rsid w:val="00834934"/>
    <w:rsid w:val="00857402"/>
    <w:rsid w:val="00867872"/>
    <w:rsid w:val="00895F14"/>
    <w:rsid w:val="008B75F1"/>
    <w:rsid w:val="008E7449"/>
    <w:rsid w:val="009352E3"/>
    <w:rsid w:val="009358BE"/>
    <w:rsid w:val="009D49DA"/>
    <w:rsid w:val="009F0AEC"/>
    <w:rsid w:val="00A10A20"/>
    <w:rsid w:val="00A418C0"/>
    <w:rsid w:val="00A51160"/>
    <w:rsid w:val="00A74D7D"/>
    <w:rsid w:val="00A83FFF"/>
    <w:rsid w:val="00AB2A99"/>
    <w:rsid w:val="00AE3859"/>
    <w:rsid w:val="00AE6CF1"/>
    <w:rsid w:val="00B15249"/>
    <w:rsid w:val="00B22D9D"/>
    <w:rsid w:val="00B46A34"/>
    <w:rsid w:val="00B75F8A"/>
    <w:rsid w:val="00B90909"/>
    <w:rsid w:val="00BE6360"/>
    <w:rsid w:val="00C1322C"/>
    <w:rsid w:val="00C21551"/>
    <w:rsid w:val="00C3046B"/>
    <w:rsid w:val="00C8186E"/>
    <w:rsid w:val="00D107F9"/>
    <w:rsid w:val="00D14FF7"/>
    <w:rsid w:val="00D42748"/>
    <w:rsid w:val="00D91943"/>
    <w:rsid w:val="00D97C63"/>
    <w:rsid w:val="00DC28FC"/>
    <w:rsid w:val="00DE16BA"/>
    <w:rsid w:val="00E05EFC"/>
    <w:rsid w:val="00E170DC"/>
    <w:rsid w:val="00EB06C1"/>
    <w:rsid w:val="00EC3AA2"/>
    <w:rsid w:val="00EF1C1B"/>
    <w:rsid w:val="00F227C4"/>
    <w:rsid w:val="00F8034E"/>
    <w:rsid w:val="00FA7DBA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8452"/>
  <w15:chartTrackingRefBased/>
  <w15:docId w15:val="{6C56FDC1-B388-41F1-8997-15C61E5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53B"/>
  </w:style>
  <w:style w:type="paragraph" w:styleId="Nagwek1">
    <w:name w:val="heading 1"/>
    <w:basedOn w:val="Normalny"/>
    <w:next w:val="Normalny"/>
    <w:link w:val="Nagwek1Znak"/>
    <w:uiPriority w:val="9"/>
    <w:qFormat/>
    <w:rsid w:val="00296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2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74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96D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6A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,List Paragraph1,Preambuła,HŁ_Bullet1,Preambu?a"/>
    <w:basedOn w:val="Normalny"/>
    <w:link w:val="AkapitzlistZnak"/>
    <w:uiPriority w:val="34"/>
    <w:qFormat/>
    <w:rsid w:val="0003753B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03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53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53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31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1C6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132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20F7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qFormat/>
    <w:locked/>
    <w:rsid w:val="005D58D5"/>
    <w:rPr>
      <w:rFonts w:ascii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6674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kstwstpniesformatowany">
    <w:name w:val="Tekst wstępnie sformatowany"/>
    <w:basedOn w:val="Normalny"/>
    <w:rsid w:val="00296D6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agwek1AV">
    <w:name w:val="Nagłówek 1 AV"/>
    <w:basedOn w:val="Nagwek1"/>
    <w:qFormat/>
    <w:rsid w:val="00296D60"/>
    <w:pPr>
      <w:keepLines w:val="0"/>
      <w:widowControl w:val="0"/>
      <w:numPr>
        <w:numId w:val="21"/>
      </w:numPr>
      <w:tabs>
        <w:tab w:val="num" w:pos="360"/>
        <w:tab w:val="left" w:pos="567"/>
      </w:tabs>
      <w:suppressAutoHyphens/>
      <w:spacing w:after="240" w:line="240" w:lineRule="auto"/>
      <w:ind w:left="0" w:firstLine="0"/>
    </w:pPr>
    <w:rPr>
      <w:rFonts w:eastAsia="Calibri" w:cs="Calibri"/>
      <w:b/>
      <w:color w:val="1A50A2"/>
      <w:szCs w:val="48"/>
      <w:lang w:eastAsia="pl-PL"/>
    </w:rPr>
  </w:style>
  <w:style w:type="paragraph" w:customStyle="1" w:styleId="Nagwek3AV">
    <w:name w:val="Nagłówek 3 AV"/>
    <w:basedOn w:val="Normalny"/>
    <w:link w:val="Nagwek3AVZnak"/>
    <w:qFormat/>
    <w:rsid w:val="00296D60"/>
    <w:pPr>
      <w:keepNext/>
      <w:keepLines/>
      <w:widowControl w:val="0"/>
      <w:numPr>
        <w:ilvl w:val="2"/>
        <w:numId w:val="21"/>
      </w:numPr>
      <w:tabs>
        <w:tab w:val="left" w:pos="567"/>
      </w:tabs>
      <w:suppressAutoHyphens/>
      <w:spacing w:before="240" w:after="240" w:line="240" w:lineRule="auto"/>
      <w:outlineLvl w:val="2"/>
    </w:pPr>
    <w:rPr>
      <w:rFonts w:asciiTheme="majorHAnsi" w:hAnsiTheme="majorHAnsi" w:cs="Calibri Light"/>
      <w:b/>
      <w:color w:val="44546A" w:themeColor="text2"/>
      <w:sz w:val="28"/>
      <w:szCs w:val="36"/>
    </w:rPr>
  </w:style>
  <w:style w:type="character" w:customStyle="1" w:styleId="Nagwek3AVZnak">
    <w:name w:val="Nagłówek 3 AV Znak"/>
    <w:basedOn w:val="Domylnaczcionkaakapitu"/>
    <w:link w:val="Nagwek3AV"/>
    <w:locked/>
    <w:rsid w:val="00296D60"/>
    <w:rPr>
      <w:rFonts w:asciiTheme="majorHAnsi" w:hAnsiTheme="majorHAnsi" w:cs="Calibri Light"/>
      <w:b/>
      <w:color w:val="44546A" w:themeColor="text2"/>
      <w:sz w:val="28"/>
      <w:szCs w:val="36"/>
    </w:rPr>
  </w:style>
  <w:style w:type="character" w:styleId="Pogrubienie">
    <w:name w:val="Strong"/>
    <w:basedOn w:val="Domylnaczcionkaakapitu"/>
    <w:uiPriority w:val="22"/>
    <w:qFormat/>
    <w:rsid w:val="00296D6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96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296D6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6AA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ontakt_oferta@msz.gov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granty.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6327e2fe-0411-4b9d-9fb7-a4e3af9119e1">
      <UserInfo>
        <DisplayName>Kubiaczyk Jacek</DisplayName>
        <AccountId>55</AccountId>
        <AccountType/>
      </UserInfo>
      <UserInfo>
        <DisplayName>Reizer Jerzy</DisplayName>
        <AccountId>39</AccountId>
        <AccountType/>
      </UserInfo>
      <UserInfo>
        <DisplayName>Henne Kamil</DisplayName>
        <AccountId>579</AccountId>
        <AccountType/>
      </UserInfo>
      <UserInfo>
        <DisplayName>Świstak Elżbieta</DisplayName>
        <AccountId>637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0466BE483404B9A07461B753255EB" ma:contentTypeVersion="2" ma:contentTypeDescription="Utwórz nowy dokument." ma:contentTypeScope="" ma:versionID="ea3245905e953ea1a87a2ceae3add7a0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F7A7-8D51-4225-BC70-20BD5981EA1F}">
  <ds:schemaRefs>
    <ds:schemaRef ds:uri="http://schemas.openxmlformats.org/package/2006/metadata/core-properties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F48598-8240-4751-B5A8-AC60B549C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CE322-67F0-444E-B239-8D0AB3EF0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DF1B8-F036-47F8-AE90-265FD535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1971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Kubiaczyk Jacek</dc:creator>
  <cp:keywords/>
  <dc:description/>
  <cp:lastModifiedBy>Prawica Marcin</cp:lastModifiedBy>
  <cp:revision>5</cp:revision>
  <dcterms:created xsi:type="dcterms:W3CDTF">2022-11-08T09:12:00Z</dcterms:created>
  <dcterms:modified xsi:type="dcterms:W3CDTF">2022-11-09T07:17:00Z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0x010100BAE0466BE483404B9A07461B753255EB</vt:lpwstr>
  </property>
</Properties>
</file>