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94CCC" w14:textId="5A881D6E" w:rsidR="008C0E92" w:rsidRPr="004D093B" w:rsidRDefault="008C0E92" w:rsidP="008C0E92">
      <w:pPr>
        <w:jc w:val="right"/>
        <w:rPr>
          <w:rFonts w:ascii="Lato" w:hAnsi="Lato"/>
          <w:b/>
          <w:bCs/>
          <w:color w:val="00B0F0"/>
          <w:sz w:val="28"/>
          <w:szCs w:val="28"/>
        </w:rPr>
      </w:pPr>
    </w:p>
    <w:p w14:paraId="4971E3EF" w14:textId="77777777" w:rsidR="00F3001F" w:rsidRDefault="00F3001F" w:rsidP="008C0E92">
      <w:pPr>
        <w:jc w:val="center"/>
        <w:rPr>
          <w:rFonts w:ascii="Lato" w:hAnsi="Lato"/>
          <w:b/>
          <w:bCs/>
          <w:color w:val="00B0F0"/>
          <w:sz w:val="36"/>
          <w:szCs w:val="36"/>
          <w:u w:val="single"/>
        </w:rPr>
      </w:pPr>
    </w:p>
    <w:p w14:paraId="7CC758A3" w14:textId="0B1F439F" w:rsidR="00AD08C5" w:rsidRPr="004D093B" w:rsidRDefault="00A07E35" w:rsidP="008C0E92">
      <w:pPr>
        <w:jc w:val="center"/>
        <w:rPr>
          <w:rFonts w:ascii="Lato" w:hAnsi="Lato"/>
          <w:b/>
          <w:bCs/>
          <w:color w:val="00B0F0"/>
          <w:sz w:val="36"/>
          <w:szCs w:val="36"/>
          <w:u w:val="single"/>
        </w:rPr>
      </w:pPr>
      <w:r>
        <w:rPr>
          <w:rFonts w:ascii="Lato" w:hAnsi="Lato"/>
          <w:b/>
          <w:bCs/>
          <w:color w:val="00B0F0"/>
          <w:sz w:val="36"/>
          <w:szCs w:val="36"/>
          <w:u w:val="single"/>
        </w:rPr>
        <w:t xml:space="preserve">PROJEKT - </w:t>
      </w:r>
      <w:r w:rsidR="006A7DCE" w:rsidRPr="004D093B">
        <w:rPr>
          <w:rFonts w:ascii="Lato" w:hAnsi="Lato"/>
          <w:b/>
          <w:bCs/>
          <w:color w:val="00B0F0"/>
          <w:sz w:val="36"/>
          <w:szCs w:val="36"/>
          <w:u w:val="single"/>
        </w:rPr>
        <w:t>OBWIESZCZENI</w:t>
      </w:r>
      <w:r w:rsidR="005C6551" w:rsidRPr="004D093B">
        <w:rPr>
          <w:rFonts w:ascii="Lato" w:hAnsi="Lato"/>
          <w:b/>
          <w:bCs/>
          <w:color w:val="00B0F0"/>
          <w:sz w:val="36"/>
          <w:szCs w:val="36"/>
          <w:u w:val="single"/>
        </w:rPr>
        <w:t>E</w:t>
      </w:r>
      <w:r w:rsidR="006A7DCE" w:rsidRPr="004D093B">
        <w:rPr>
          <w:rFonts w:ascii="Lato" w:hAnsi="Lato"/>
          <w:b/>
          <w:bCs/>
          <w:color w:val="00B0F0"/>
          <w:sz w:val="36"/>
          <w:szCs w:val="36"/>
          <w:u w:val="single"/>
        </w:rPr>
        <w:t xml:space="preserve"> REFUNDACYJNE NR </w:t>
      </w:r>
      <w:r w:rsidR="009A0BD2">
        <w:rPr>
          <w:rFonts w:ascii="Lato" w:hAnsi="Lato"/>
          <w:b/>
          <w:bCs/>
          <w:color w:val="00B0F0"/>
          <w:sz w:val="36"/>
          <w:szCs w:val="36"/>
          <w:u w:val="single"/>
        </w:rPr>
        <w:t>84</w:t>
      </w:r>
      <w:r w:rsidR="0056748F" w:rsidRPr="004D093B">
        <w:rPr>
          <w:rFonts w:ascii="Lato" w:hAnsi="Lato"/>
          <w:b/>
          <w:bCs/>
          <w:color w:val="00B0F0"/>
          <w:sz w:val="36"/>
          <w:szCs w:val="36"/>
          <w:u w:val="single"/>
        </w:rPr>
        <w:t xml:space="preserve"> (1 </w:t>
      </w:r>
      <w:r w:rsidR="009A0BD2">
        <w:rPr>
          <w:rFonts w:ascii="Lato" w:hAnsi="Lato"/>
          <w:b/>
          <w:bCs/>
          <w:color w:val="00B0F0"/>
          <w:sz w:val="36"/>
          <w:szCs w:val="36"/>
          <w:u w:val="single"/>
        </w:rPr>
        <w:t>PAŹDZIERNIKA</w:t>
      </w:r>
      <w:r w:rsidR="00FB2364" w:rsidRPr="004D093B">
        <w:rPr>
          <w:rFonts w:ascii="Lato" w:hAnsi="Lato"/>
          <w:b/>
          <w:bCs/>
          <w:color w:val="00B0F0"/>
          <w:sz w:val="36"/>
          <w:szCs w:val="36"/>
          <w:u w:val="single"/>
        </w:rPr>
        <w:t xml:space="preserve"> </w:t>
      </w:r>
      <w:r w:rsidR="0056748F" w:rsidRPr="004D093B">
        <w:rPr>
          <w:rFonts w:ascii="Lato" w:hAnsi="Lato"/>
          <w:b/>
          <w:bCs/>
          <w:color w:val="00B0F0"/>
          <w:sz w:val="36"/>
          <w:szCs w:val="36"/>
          <w:u w:val="single"/>
        </w:rPr>
        <w:t>202</w:t>
      </w:r>
      <w:r w:rsidR="009A0BD2">
        <w:rPr>
          <w:rFonts w:ascii="Lato" w:hAnsi="Lato"/>
          <w:b/>
          <w:bCs/>
          <w:color w:val="00B0F0"/>
          <w:sz w:val="36"/>
          <w:szCs w:val="36"/>
          <w:u w:val="single"/>
        </w:rPr>
        <w:t>6</w:t>
      </w:r>
      <w:r w:rsidR="0056748F" w:rsidRPr="004D093B">
        <w:rPr>
          <w:rFonts w:ascii="Lato" w:hAnsi="Lato"/>
          <w:b/>
          <w:bCs/>
          <w:color w:val="00B0F0"/>
          <w:sz w:val="36"/>
          <w:szCs w:val="36"/>
          <w:u w:val="single"/>
        </w:rPr>
        <w:t xml:space="preserve"> r.)</w:t>
      </w:r>
    </w:p>
    <w:p w14:paraId="407689B5" w14:textId="3576B441" w:rsidR="008C0E92" w:rsidRPr="004D093B" w:rsidRDefault="008C0E92" w:rsidP="008C0E92">
      <w:pPr>
        <w:spacing w:before="360"/>
        <w:jc w:val="center"/>
        <w:rPr>
          <w:rFonts w:ascii="Lato" w:hAnsi="Lato"/>
        </w:rPr>
      </w:pPr>
      <w:bookmarkStart w:id="0" w:name="_Hlk90283803"/>
      <w:r w:rsidRPr="004D093B">
        <w:rPr>
          <w:rFonts w:ascii="Lato" w:hAnsi="Lato"/>
          <w:b/>
          <w:bCs/>
          <w:color w:val="00B0F0"/>
          <w:sz w:val="28"/>
          <w:szCs w:val="28"/>
        </w:rPr>
        <w:t>STATYSTYKI</w:t>
      </w:r>
    </w:p>
    <w:bookmarkEnd w:id="0"/>
    <w:p w14:paraId="15B56F22" w14:textId="4A6723C9" w:rsidR="009A0BD2" w:rsidRPr="00A07E35" w:rsidRDefault="009A0BD2" w:rsidP="009A0BD2">
      <w:pPr>
        <w:spacing w:line="360" w:lineRule="auto"/>
        <w:jc w:val="both"/>
        <w:textAlignment w:val="auto"/>
        <w:rPr>
          <w:rFonts w:ascii="Lato" w:hAnsi="Lato"/>
          <w:color w:val="000000" w:themeColor="text1"/>
          <w:sz w:val="24"/>
          <w:szCs w:val="24"/>
        </w:rPr>
      </w:pPr>
      <w:r w:rsidRPr="00263E48">
        <w:rPr>
          <w:rFonts w:ascii="Lato" w:hAnsi="Lato"/>
          <w:color w:val="000000" w:themeColor="text1"/>
          <w:sz w:val="24"/>
          <w:szCs w:val="24"/>
        </w:rPr>
        <w:t>Prezentowane podsumowanie projektu obwieszczenia refundacyjnego nr 8</w:t>
      </w:r>
      <w:r>
        <w:rPr>
          <w:rFonts w:ascii="Lato" w:hAnsi="Lato"/>
          <w:color w:val="000000" w:themeColor="text1"/>
          <w:sz w:val="24"/>
          <w:szCs w:val="24"/>
        </w:rPr>
        <w:t>4</w:t>
      </w:r>
      <w:r w:rsidRPr="00263E48">
        <w:rPr>
          <w:rFonts w:ascii="Lato" w:hAnsi="Lato"/>
          <w:color w:val="000000" w:themeColor="text1"/>
          <w:sz w:val="24"/>
          <w:szCs w:val="24"/>
        </w:rPr>
        <w:t xml:space="preserve"> nie stanowi jego ostatecznej wersji, bowiem nadal trwają prace </w:t>
      </w:r>
      <w:r w:rsidRPr="00A07E35">
        <w:rPr>
          <w:rFonts w:ascii="Lato" w:hAnsi="Lato"/>
          <w:color w:val="000000" w:themeColor="text1"/>
          <w:sz w:val="24"/>
          <w:szCs w:val="24"/>
        </w:rPr>
        <w:t xml:space="preserve">administracyjne nad ostatecznym wykazem refundowanych leków, środków spożywczych specjalnego przeznaczenia żywieniowego oraz wyrobów medycznych obowiązującym od 1 października 2026 r. </w:t>
      </w:r>
    </w:p>
    <w:p w14:paraId="0EBA0C43" w14:textId="0A53DB1A" w:rsidR="009A0BD2" w:rsidRPr="00263E48" w:rsidRDefault="009A0BD2" w:rsidP="009A0BD2">
      <w:pPr>
        <w:spacing w:line="360" w:lineRule="auto"/>
        <w:jc w:val="both"/>
        <w:textAlignment w:val="auto"/>
        <w:rPr>
          <w:rFonts w:ascii="Lato" w:hAnsi="Lato"/>
          <w:color w:val="000000" w:themeColor="text1"/>
          <w:sz w:val="24"/>
          <w:szCs w:val="24"/>
        </w:rPr>
      </w:pPr>
      <w:r w:rsidRPr="00263E48">
        <w:rPr>
          <w:rFonts w:ascii="Lato" w:hAnsi="Lato"/>
          <w:color w:val="000000" w:themeColor="text1"/>
          <w:sz w:val="24"/>
          <w:szCs w:val="24"/>
        </w:rPr>
        <w:t>Z uwagi na trwające prace formalno-prawne oraz merytoryczne w zakresie opracowania ostatecznych treści programów lekowych, projekt obwieszczenia refundacyjnego nr 8</w:t>
      </w:r>
      <w:r>
        <w:rPr>
          <w:rFonts w:ascii="Lato" w:hAnsi="Lato"/>
          <w:color w:val="000000" w:themeColor="text1"/>
          <w:sz w:val="24"/>
          <w:szCs w:val="24"/>
        </w:rPr>
        <w:t>4</w:t>
      </w:r>
      <w:r w:rsidRPr="00263E48">
        <w:rPr>
          <w:rFonts w:ascii="Lato" w:hAnsi="Lato"/>
          <w:color w:val="000000" w:themeColor="text1"/>
          <w:sz w:val="24"/>
          <w:szCs w:val="24"/>
        </w:rPr>
        <w:t xml:space="preserve"> nie uwzględnia wszystkich nowych terapii, które ujęto w poniższym zestawieniu.</w:t>
      </w:r>
    </w:p>
    <w:p w14:paraId="6B466A0C" w14:textId="77777777" w:rsidR="004D093B" w:rsidRDefault="004D093B">
      <w:pPr>
        <w:suppressAutoHyphens w:val="0"/>
        <w:rPr>
          <w:rFonts w:ascii="Lato" w:hAnsi="Lato"/>
          <w:sz w:val="24"/>
          <w:szCs w:val="24"/>
        </w:rPr>
      </w:pPr>
      <w:r>
        <w:rPr>
          <w:rFonts w:ascii="Lato" w:hAnsi="Lato"/>
          <w:sz w:val="24"/>
          <w:szCs w:val="24"/>
        </w:rPr>
        <w:br w:type="page"/>
      </w:r>
    </w:p>
    <w:p w14:paraId="06A06678" w14:textId="7D136BFD" w:rsidR="00AD08C5" w:rsidRPr="004D093B" w:rsidRDefault="006A7DCE" w:rsidP="005058F2">
      <w:pPr>
        <w:jc w:val="center"/>
        <w:rPr>
          <w:rFonts w:ascii="Lato" w:hAnsi="Lato"/>
          <w:b/>
          <w:bCs/>
          <w:color w:val="00B0F0"/>
          <w:sz w:val="28"/>
          <w:szCs w:val="28"/>
        </w:rPr>
      </w:pPr>
      <w:r w:rsidRPr="004D093B">
        <w:rPr>
          <w:rFonts w:ascii="Lato" w:hAnsi="Lato"/>
          <w:b/>
          <w:bCs/>
          <w:color w:val="00B0F0"/>
          <w:sz w:val="28"/>
          <w:szCs w:val="28"/>
        </w:rPr>
        <w:lastRenderedPageBreak/>
        <w:t>NOWE WSKAZANIA ORAZ ZMIANY W PROGRA</w:t>
      </w:r>
      <w:bookmarkStart w:id="1" w:name="_Hlk95686308"/>
      <w:r w:rsidRPr="004D093B">
        <w:rPr>
          <w:rFonts w:ascii="Lato" w:hAnsi="Lato"/>
          <w:b/>
          <w:bCs/>
          <w:color w:val="00B0F0"/>
          <w:sz w:val="28"/>
          <w:szCs w:val="28"/>
        </w:rPr>
        <w:t>M</w:t>
      </w:r>
      <w:bookmarkEnd w:id="1"/>
      <w:r w:rsidRPr="004D093B">
        <w:rPr>
          <w:rFonts w:ascii="Lato" w:hAnsi="Lato"/>
          <w:b/>
          <w:bCs/>
          <w:color w:val="00B0F0"/>
          <w:sz w:val="28"/>
          <w:szCs w:val="28"/>
        </w:rPr>
        <w:t>ACH LEKOWYCH</w:t>
      </w:r>
      <w:r w:rsidR="0056748F" w:rsidRPr="004D093B">
        <w:rPr>
          <w:rFonts w:ascii="Lato" w:hAnsi="Lato"/>
          <w:b/>
          <w:bCs/>
          <w:color w:val="00B0F0"/>
          <w:sz w:val="28"/>
          <w:szCs w:val="28"/>
        </w:rPr>
        <w:t xml:space="preserve"> i CHEMIOTERAPII</w:t>
      </w:r>
    </w:p>
    <w:tbl>
      <w:tblPr>
        <w:tblW w:w="5000" w:type="pct"/>
        <w:tblCellMar>
          <w:top w:w="113" w:type="dxa"/>
          <w:left w:w="10" w:type="dxa"/>
          <w:bottom w:w="113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599"/>
        <w:gridCol w:w="1466"/>
        <w:gridCol w:w="1909"/>
        <w:gridCol w:w="2996"/>
        <w:gridCol w:w="5550"/>
      </w:tblGrid>
      <w:tr w:rsidR="005058F2" w:rsidRPr="004D093B" w14:paraId="7E2E9B6A" w14:textId="77777777" w:rsidTr="004D093B">
        <w:trPr>
          <w:cantSplit/>
          <w:trHeight w:val="186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94C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C9CE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t>Programy lekowe i chemioterapia</w:t>
            </w:r>
          </w:p>
        </w:tc>
      </w:tr>
      <w:tr w:rsidR="005058F2" w:rsidRPr="004D093B" w14:paraId="1C096482" w14:textId="77777777" w:rsidTr="004D093B">
        <w:trPr>
          <w:cantSplit/>
          <w:trHeight w:val="206"/>
        </w:trPr>
        <w:tc>
          <w:tcPr>
            <w:tcW w:w="5000" w:type="pct"/>
            <w:gridSpan w:val="6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D3F6C" w14:textId="047D7715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t>Nowe wskazania onkologiczne</w:t>
            </w:r>
          </w:p>
        </w:tc>
      </w:tr>
      <w:tr w:rsidR="006D7964" w:rsidRPr="004D093B" w14:paraId="60CDF2D4" w14:textId="77777777" w:rsidTr="00A03985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618D0B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6CB337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leku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4251E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Substancja czynna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0A519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Numer programu lekowego/załącznika chemioterapii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A8893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programu lekowego/ Załącznika chemioterapii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164232" w14:textId="77777777" w:rsidR="005058F2" w:rsidRPr="004D093B" w:rsidRDefault="005058F2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Doprecyzowanie wskazania</w:t>
            </w:r>
          </w:p>
        </w:tc>
      </w:tr>
      <w:tr w:rsidR="00A03985" w:rsidRPr="004D093B" w14:paraId="2F304C7B" w14:textId="77777777" w:rsidTr="00CB1A9C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3EF10" w14:textId="1B0922BB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70B9C" w14:textId="4AF0FC76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Braftovi</w:t>
            </w:r>
            <w:proofErr w:type="spellEnd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Erbitux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52E7F" w14:textId="1A12165B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enkorafenib</w:t>
            </w:r>
            <w:proofErr w:type="spellEnd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 xml:space="preserve">+ </w:t>
            </w: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cetuksymab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59B47" w14:textId="42F0729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B.4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229DCD" w14:textId="1D688996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JELITA GRUBEGO (ICD-10: C18 – C20)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CA559" w14:textId="4E72EF98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dorosłych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zaawansowanym rakiem jelita grubego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mutacj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BRAF V600E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w skojarzeniu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proofErr w:type="spellStart"/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>cetuksymabem</w:t>
            </w:r>
            <w:proofErr w:type="spellEnd"/>
            <w:r w:rsidRPr="003C4E7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(I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I lub kolejne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lini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).</w:t>
            </w:r>
          </w:p>
        </w:tc>
      </w:tr>
      <w:tr w:rsidR="00A03985" w:rsidRPr="004D093B" w14:paraId="41B567A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30FECB" w14:textId="48862EE8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2.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BA0DD" w14:textId="2A5E8B96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472683" w14:textId="081DCC84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pembrolizumab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D3C78" w14:textId="7A3BA151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58902" w14:textId="5CA8978F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WĄTROBOWOKOMÓRKOWEGO (ICD-10: C22.0) LUB RAKA DRÓG ŻÓŁCIOWYCH (ICD-10: C22.1, C23, C24.0, C24.1, C24.8, C24.9)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5DB27" w14:textId="4ACB41F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dorosłych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miejscowo zaawansowanym lub przerzutowym rakiem gruczołowym dróg żółciowych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w skojarzeniu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chemioterapią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linia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).</w:t>
            </w:r>
          </w:p>
        </w:tc>
      </w:tr>
      <w:tr w:rsidR="00A03985" w:rsidRPr="004D093B" w14:paraId="4193F70D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00FFFD" w14:textId="5EC2655A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697AD5" w14:textId="017252ED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Różne nazwy handlowe</w:t>
            </w:r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A02D7" w14:textId="19E4009B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immunoterapie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BB432" w14:textId="5AF7EEC0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B.6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C9D95" w14:textId="748F2E8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PŁUCA (ICD-10: C34) ORAZ MIĘDZYBŁONIAKA OPŁUCNEJ (ICD-10: C45)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6388A" w14:textId="74D42FF3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pacjentów 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chorych na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niedrobnokomórkowego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raka płuca (NDRP)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immunoterapią lub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immunochemioterapią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(stadium uogólnienia), którzy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otrzymali immunoterapię lub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immunochemioterapię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jako element radykalnego leczenia (immunoterapia lub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immunochemioterapia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skojarzona z leczeniem chirurgicznym, leczenie lub immunoterapia konsolidująca po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radiochemioterapii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) i nie potwierdzono progresji choroby do czasu zakończenia leczenia uzupełniającego/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konsolidujacego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oraz stwierdzono nawrót choroby po upływie co najmniej 12 miesięcy od ostatniej dawki immunoterapii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A03985" w:rsidRPr="004D093B" w14:paraId="79F6918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E9E07" w14:textId="62B71D30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4.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16304" w14:textId="0FAC37AC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Verzenios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503638" w14:textId="5CE07077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abemacyklib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CCACC" w14:textId="29475ACD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B.9.FM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3CE6BF" w14:textId="31732E9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PIERSI (ICD-10: C50)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EE83E" w14:textId="77777777" w:rsidR="00A03985" w:rsidRDefault="00A03985" w:rsidP="00A03985">
            <w:pPr>
              <w:spacing w:before="60" w:after="60" w:line="240" w:lineRule="auto"/>
              <w:ind w:left="-35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R</w:t>
            </w: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ozszerzenie wskazania dla </w:t>
            </w:r>
            <w:proofErr w:type="spellStart"/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abemacyklibu</w:t>
            </w:r>
            <w:proofErr w:type="spellEnd"/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w skojarzeniu z hormonoterapią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w 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>leczeni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u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pooperacyjn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ym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>adjuwantow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ym</w:t>
            </w:r>
            <w:proofErr w:type="spellEnd"/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) dorosłych pacjentów we wczesnym stadium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hormonozależnego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HER2-ujemnego </w:t>
            </w:r>
            <w:r w:rsidRPr="002047E0">
              <w:rPr>
                <w:rFonts w:ascii="Lato" w:hAnsi="Lato" w:cstheme="majorHAnsi"/>
                <w:color w:val="000000"/>
                <w:sz w:val="18"/>
                <w:szCs w:val="18"/>
              </w:rPr>
              <w:t>raka piersi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9B27D3">
              <w:rPr>
                <w:rFonts w:ascii="Lato" w:hAnsi="Lato" w:cstheme="majorHAnsi"/>
                <w:color w:val="000000"/>
                <w:sz w:val="18"/>
                <w:szCs w:val="18"/>
              </w:rPr>
              <w:t>wysokim ryzykiem nawrotu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 o populację bez przerzutów do węzłów chłonnych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5F6D2A24" w14:textId="62446499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(W</w:t>
            </w:r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skazanie off-</w:t>
            </w:r>
            <w:proofErr w:type="spellStart"/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label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A03985" w:rsidRPr="004D093B" w14:paraId="59AF2A0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91B34E" w14:textId="25E79F11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5.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8AD20" w14:textId="67F22A76" w:rsidR="00A03985" w:rsidRPr="00A03985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A03985">
              <w:rPr>
                <w:rFonts w:cstheme="majorHAnsi"/>
                <w:b/>
                <w:bCs/>
                <w:sz w:val="18"/>
                <w:szCs w:val="18"/>
              </w:rPr>
              <w:t>+</w:t>
            </w:r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039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aksytynib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F5E120" w14:textId="60401E02" w:rsidR="00A03985" w:rsidRPr="00A03985" w:rsidRDefault="00A03985" w:rsidP="00A03985">
            <w:pPr>
              <w:spacing w:before="60" w:after="60" w:line="240" w:lineRule="auto"/>
              <w:jc w:val="center"/>
              <w:rPr>
                <w:rFonts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</w:t>
            </w:r>
            <w:r w:rsidRPr="00A0398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embrolizumab</w:t>
            </w:r>
            <w:proofErr w:type="spellEnd"/>
            <w:r w:rsidRPr="00A0398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A03985">
              <w:rPr>
                <w:rFonts w:cstheme="majorHAnsi"/>
                <w:i/>
                <w:iCs/>
                <w:sz w:val="18"/>
                <w:szCs w:val="18"/>
              </w:rPr>
              <w:t xml:space="preserve">+ </w:t>
            </w:r>
          </w:p>
          <w:p w14:paraId="673683C8" w14:textId="56CA6DED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A0398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aksytynib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A83B9" w14:textId="2F3E4F00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B.10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C118B" w14:textId="174C0095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95420">
              <w:rPr>
                <w:rFonts w:ascii="Lato" w:hAnsi="Lato" w:cstheme="majorHAnsi"/>
                <w:sz w:val="18"/>
                <w:szCs w:val="18"/>
              </w:rPr>
              <w:t>LECZENIE PACJENTÓW Z RAKIEM NERKI (ICD-10: C64)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49EA53" w14:textId="59BF0EF2" w:rsidR="00A03985" w:rsidRPr="004D093B" w:rsidRDefault="00A03985" w:rsidP="00A03985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Terapia skojarzona z </w:t>
            </w:r>
            <w:proofErr w:type="spellStart"/>
            <w:r w:rsidRPr="00B954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aksytynibem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(katalog chemioterapii) w I linii leczenia raka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nerkowokomórkowego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przypadku dorosłych pacjentów z pośrednim lub niekorzystnym rokowaniem wg skali IMDC. Kolejna opcja terapeutyczna w I linii leczenia. </w:t>
            </w:r>
          </w:p>
        </w:tc>
      </w:tr>
      <w:tr w:rsidR="002245B4" w:rsidRPr="004D093B" w14:paraId="2EAEEA58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A4B85" w14:textId="1CB4F3E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lastRenderedPageBreak/>
              <w:t>6.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4FEC7B" w14:textId="0F7A0860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Darzalex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0093F" w14:textId="57A0173A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daratumumab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DF7235" w14:textId="33A7E96F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B.54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2D1733" w14:textId="4BB3073D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LECZENIE CHORYCH NA SZPICZAKA PLAZMOCYTOWEGO (ICD-10: C90.0)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2986AE" w14:textId="77777777" w:rsidR="002245B4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Le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czenie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 linii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daratumumabem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skojarzeniu z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bortezomibem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lenalidomidem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deksametazonem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DVRd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) dorosłych chorych na uprzednio nieleczonego szpiczaka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plazmocytowego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niekwalifikujących się do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autoHSCT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. </w:t>
            </w:r>
          </w:p>
          <w:p w14:paraId="7CDFBEFD" w14:textId="0A207AAF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208BC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(Choroba rzadka)</w:t>
            </w:r>
          </w:p>
        </w:tc>
      </w:tr>
      <w:tr w:rsidR="002245B4" w:rsidRPr="004D093B" w14:paraId="189EA4B0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6243F4" w14:textId="4DE612C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7.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D5A83A" w14:textId="0F1C4998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trastuzumab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A3A8F1" w14:textId="34C7325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</w:t>
            </w:r>
            <w:r w:rsidRPr="001D7CC2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embrolizuma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trastuzumab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4E05E" w14:textId="58E21342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B.58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70668A" w14:textId="7409AFE7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PRZEŁYKU, POŁĄCZENIA ŻOŁĄDKOWO-PRZEŁYKOWEGO I ŻOŁĄDKA (ICD-10: C15-C16)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AA7A9" w14:textId="32AE2475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dorosłych pacjentów z HER2-dodatnim zaawansowanym lub przerzutowym rakiem gruczołowym żołądka lub połączenia żołądkowo-przełykowego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ekspresją PD-L1 wg skali CPS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≥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1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skojarzeniu z </w:t>
            </w:r>
            <w:proofErr w:type="spellStart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trastuzumabem</w:t>
            </w:r>
            <w:proofErr w:type="spellEnd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 chemioterapią (I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linia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leczenia).</w:t>
            </w:r>
          </w:p>
        </w:tc>
      </w:tr>
      <w:tr w:rsidR="002245B4" w:rsidRPr="004D093B" w14:paraId="2F98167C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186271" w14:textId="3BDDF8E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8.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858A01" w14:textId="5DB979F0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Keytruda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0C1311" w14:textId="2F87D96F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 w:rsidRPr="001D7CC2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pembrolizumab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4450AF" w14:textId="09AD4AB9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B.58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D83DCB" w14:textId="5818550D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PRZEŁYKU, POŁĄCZENIA ŻOŁĄDKOWO-PRZEŁYKOWEGO I ŻOŁĄDKA (ICD-10: C15-C16)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C73DBC" w14:textId="3883B64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dorosłych pacjentów z HER2-ujemnym zaawansowanym lub przerzutowym rakiem gruczołowym żołądka lub połączenia żołądkowo-przełykowego z ekspresją PD-L1 wg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skali CPS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≥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1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w skojarzeniu z chemioterapią (I linia leczenia).</w:t>
            </w:r>
          </w:p>
        </w:tc>
      </w:tr>
      <w:tr w:rsidR="002245B4" w:rsidRPr="004D093B" w14:paraId="6D557C72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A36DEF" w14:textId="0C25381B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9.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BD5054" w14:textId="2FF3AFF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Vyloy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F6C92" w14:textId="32B31E4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zolbetuksymab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516DF" w14:textId="1C9C76F0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B.58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3B5031" w14:textId="398B8811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PRZEŁYKU, POŁĄCZENIA ŻOŁĄDKOWO-PRZEŁYKOWEGO I ŻOŁĄDKA (ICD-10: C15-C16)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01FEC" w14:textId="38EFB477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dorosłych pacjentów z HER2-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ujemnym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miejscowo zaawansowanym </w:t>
            </w:r>
            <w:proofErr w:type="spellStart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nieresekcyjnym</w:t>
            </w:r>
            <w:proofErr w:type="spellEnd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przerzutowym rakiem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gruczołowym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żołądka lub połączenia żołądkowo-przełykowego wykazującym obecność </w:t>
            </w:r>
            <w:proofErr w:type="spellStart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klaudyny</w:t>
            </w:r>
            <w:proofErr w:type="spellEnd"/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(CLDN) 18.2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>skojarzeniu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chemioterapią</w:t>
            </w:r>
            <w:r w:rsidRPr="00D33102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 linia leczenia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).</w:t>
            </w:r>
          </w:p>
        </w:tc>
      </w:tr>
      <w:tr w:rsidR="002245B4" w:rsidRPr="004D093B" w14:paraId="389ECB9F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7B2858" w14:textId="3EA9E6E9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10.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7642E" w14:textId="5EEB0D39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Brukinsa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5AF2A2" w14:textId="7A67354C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zanubrutynib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AF3FC" w14:textId="64748C88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B.79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0F0128" w14:textId="66403B35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PRZEWLEKŁĄ BIAŁACZKĘ LIMFOCYTOWĄ (ICD-10: C91.1)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AC49FA" w14:textId="492C5F7B" w:rsidR="002245B4" w:rsidRPr="004D093B" w:rsidRDefault="002245B4" w:rsidP="002245B4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I linii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zanubruty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nibem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</w:t>
            </w:r>
            <w:proofErr w:type="spellStart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monoterapii</w:t>
            </w:r>
            <w:proofErr w:type="spellEnd"/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populacji FIT </w:t>
            </w:r>
            <w:r w:rsidRPr="003208BC">
              <w:rPr>
                <w:rFonts w:ascii="Lato" w:hAnsi="Lato" w:cstheme="majorHAnsi"/>
                <w:color w:val="000000"/>
                <w:sz w:val="18"/>
                <w:szCs w:val="18"/>
              </w:rPr>
              <w:t>dorosłych chorych na przewlekłą białaczkę limfocytową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 uprzednio nieleczonych.</w:t>
            </w:r>
          </w:p>
        </w:tc>
      </w:tr>
      <w:tr w:rsidR="009A65C6" w:rsidRPr="004D093B" w14:paraId="622DFB89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626961" w14:textId="46B8E72C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11.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1A932" w14:textId="4F07CF65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Opdivo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karboplatyna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gemcytabina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4BFD9" w14:textId="6C499D3A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Niwolumab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karboplatyna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gemcytabina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F0DC1F" w14:textId="521409CD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B.141.FM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96781" w14:textId="63E9D6D7" w:rsidR="009A65C6" w:rsidRPr="003208BC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color w:val="000000"/>
                <w:sz w:val="18"/>
                <w:szCs w:val="18"/>
              </w:rPr>
              <w:t>LECZENIE PACJENTÓW Z RAKIEM UROTELIALNYM (ICD-10: C61, C65, C66, C67, C68)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2175E6" w14:textId="77777777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Umożliwienie zastąpienia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cisplatyny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karboplatyną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w skojarzeniu z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gemcytabiną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oraz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niwolumabem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, u pacjentów, u których stwierdzono nietolerancje leczenia.</w:t>
            </w:r>
          </w:p>
          <w:p w14:paraId="0B449C54" w14:textId="51B4CCC6" w:rsidR="009A65C6" w:rsidRPr="003208BC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(W</w:t>
            </w:r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skazanie off-</w:t>
            </w:r>
            <w:proofErr w:type="spellStart"/>
            <w:r w:rsidRPr="00BA7F6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label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9A65C6" w:rsidRPr="004D093B" w14:paraId="1E325793" w14:textId="77777777" w:rsidTr="00C13E3E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65765" w14:textId="3E896E82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12.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83A638" w14:textId="4657DBDB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Welireg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C74BB" w14:textId="339A4929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belzutifan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67013A" w14:textId="40F57340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B.182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6D900" w14:textId="2353316C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B95420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CHOROBĄ VON HIPPEL-LINDAU (ICD-10: Q85.8)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BC789" w14:textId="77777777" w:rsidR="009A65C6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Pierwsza terapia celowana przeznaczona dla dorosłych pacjentów z VHL w przypadku, gdy</w:t>
            </w:r>
            <w:r>
              <w:t xml:space="preserve"> </w:t>
            </w:r>
            <w:r w:rsidRPr="00B95420">
              <w:rPr>
                <w:rFonts w:ascii="Lato" w:hAnsi="Lato" w:cstheme="majorHAnsi"/>
                <w:color w:val="000000"/>
                <w:sz w:val="18"/>
                <w:szCs w:val="18"/>
              </w:rPr>
              <w:t>leczenie miejscowe zostało uznane za nieodpowiednie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. </w:t>
            </w:r>
          </w:p>
          <w:p w14:paraId="00DFA10E" w14:textId="7842C1A9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B9542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9A65C6" w:rsidRPr="004D093B" w14:paraId="3A8AF5C9" w14:textId="77777777" w:rsidTr="00CB1A9C">
        <w:trPr>
          <w:cantSplit/>
          <w:trHeight w:val="20"/>
        </w:trPr>
        <w:tc>
          <w:tcPr>
            <w:tcW w:w="16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EFE586" w14:textId="4FA3D393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13.</w:t>
            </w:r>
          </w:p>
        </w:tc>
        <w:tc>
          <w:tcPr>
            <w:tcW w:w="57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452537" w14:textId="66EEE1B7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Cabometyx</w:t>
            </w:r>
            <w:proofErr w:type="spellEnd"/>
          </w:p>
        </w:tc>
        <w:tc>
          <w:tcPr>
            <w:tcW w:w="52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17928" w14:textId="755612D4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kabozantynib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1ECFD" w14:textId="021D37B2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C.111</w:t>
            </w:r>
          </w:p>
        </w:tc>
        <w:tc>
          <w:tcPr>
            <w:tcW w:w="107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D90AE" w14:textId="35EE51B3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KABOZANTYNIB</w:t>
            </w:r>
          </w:p>
        </w:tc>
        <w:tc>
          <w:tcPr>
            <w:tcW w:w="198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45D45" w14:textId="12C1160D" w:rsidR="009A65C6" w:rsidRPr="004D093B" w:rsidRDefault="009A65C6" w:rsidP="009A65C6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dorosłych pacjentów z </w:t>
            </w:r>
            <w:proofErr w:type="spellStart"/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>nieresekcyjnymi</w:t>
            </w:r>
            <w:proofErr w:type="spellEnd"/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przerzutowymi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dobrze zróżnicowanymi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guzami neuroendokrynnymi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w przypadkach, kiedy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nie mogą być zastosowane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inne metody. Terapia obejmuje guzy trzustkowe </w:t>
            </w:r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pNET</w:t>
            </w:r>
            <w:proofErr w:type="spellEnd"/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)</w:t>
            </w:r>
            <w:r w:rsidRPr="00AF4A5D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oraz zmiany w lokalizacjach poza trzustkowych (</w:t>
            </w:r>
            <w:proofErr w:type="spellStart"/>
            <w:r w:rsidRPr="00AF4A5D"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epNET</w:t>
            </w:r>
            <w:proofErr w:type="spellEnd"/>
            <w:r>
              <w:rPr>
                <w:rFonts w:ascii="Lato" w:hAnsi="Lato" w:cstheme="majorHAnsi"/>
                <w:bCs/>
                <w:i/>
                <w:iCs/>
                <w:color w:val="000000"/>
                <w:sz w:val="18"/>
                <w:szCs w:val="18"/>
              </w:rPr>
              <w:t>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. </w:t>
            </w:r>
          </w:p>
        </w:tc>
      </w:tr>
    </w:tbl>
    <w:p w14:paraId="7FCF9A29" w14:textId="77777777" w:rsidR="004D093B" w:rsidRDefault="004D093B">
      <w:pPr>
        <w:suppressAutoHyphens w:val="0"/>
      </w:pPr>
      <w:r>
        <w:br w:type="page"/>
      </w:r>
    </w:p>
    <w:tbl>
      <w:tblPr>
        <w:tblW w:w="5000" w:type="pct"/>
        <w:tblCellMar>
          <w:top w:w="113" w:type="dxa"/>
          <w:left w:w="10" w:type="dxa"/>
          <w:bottom w:w="113" w:type="dxa"/>
          <w:right w:w="10" w:type="dxa"/>
        </w:tblCellMar>
        <w:tblLook w:val="0000" w:firstRow="0" w:lastRow="0" w:firstColumn="0" w:lastColumn="0" w:noHBand="0" w:noVBand="0"/>
      </w:tblPr>
      <w:tblGrid>
        <w:gridCol w:w="598"/>
        <w:gridCol w:w="1577"/>
        <w:gridCol w:w="1799"/>
        <w:gridCol w:w="1909"/>
        <w:gridCol w:w="3329"/>
        <w:gridCol w:w="4776"/>
      </w:tblGrid>
      <w:tr w:rsidR="002D6ED9" w:rsidRPr="004D093B" w14:paraId="4C9C4901" w14:textId="77777777" w:rsidTr="004D093B">
        <w:trPr>
          <w:cantSplit/>
          <w:trHeight w:val="183"/>
        </w:trPr>
        <w:tc>
          <w:tcPr>
            <w:tcW w:w="5000" w:type="pct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390A7" w14:textId="5C4E25DC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lastRenderedPageBreak/>
              <w:t>Nowe wskazania nieonkologiczne</w:t>
            </w:r>
          </w:p>
        </w:tc>
      </w:tr>
      <w:tr w:rsidR="002D6ED9" w:rsidRPr="004D093B" w14:paraId="1394CD71" w14:textId="77777777" w:rsidTr="00820D27">
        <w:trPr>
          <w:cantSplit/>
          <w:trHeight w:val="628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A979BE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02159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leku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FC3D6F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Substancja czynna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CD8698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Numer programu lekowego/załącznika chemioterapii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B142B2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programu lekowego/ Załącznika chemioterapii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587975" w14:textId="77777777" w:rsidR="002D6ED9" w:rsidRPr="004D093B" w:rsidRDefault="002D6ED9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Doprecyzowanie wskazania</w:t>
            </w:r>
          </w:p>
        </w:tc>
      </w:tr>
      <w:tr w:rsidR="002D6ED9" w:rsidRPr="004D093B" w14:paraId="7522F87A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D592E" w14:textId="665A3327" w:rsidR="002D6ED9" w:rsidRPr="004D093B" w:rsidRDefault="00C839B8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FB93" w14:textId="4E089060" w:rsidR="002D6ED9" w:rsidRPr="004D093B" w:rsidRDefault="00C839B8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Różne nazwy handlowe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0A0348" w14:textId="342C4481" w:rsidR="002D6ED9" w:rsidRPr="004D093B" w:rsidRDefault="00B71796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bosentan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CA292" w14:textId="68D67EA4" w:rsidR="002D6ED9" w:rsidRPr="00547788" w:rsidRDefault="006F1223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658478" w14:textId="64021156" w:rsidR="002D6ED9" w:rsidRPr="00547788" w:rsidRDefault="00B71796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8568B" w14:textId="5553F945" w:rsidR="00820D27" w:rsidRPr="00547788" w:rsidRDefault="00820D27" w:rsidP="002D6ED9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Dwie</w:t>
            </w:r>
            <w:r w:rsidR="00B7179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nowe subpopulacje pacjentów pediatrycznych leczone w programie:</w:t>
            </w:r>
          </w:p>
          <w:p w14:paraId="67E662E7" w14:textId="03AD9921" w:rsidR="002D6ED9" w:rsidRPr="00547788" w:rsidRDefault="00CB1A9C" w:rsidP="00820D27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dzieci leczone traktem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fontanowskim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="00B7179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(niewydolne </w:t>
            </w:r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krążeniowo) - </w:t>
            </w:r>
            <w:proofErr w:type="spellStart"/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monoterapia</w:t>
            </w:r>
            <w:proofErr w:type="spellEnd"/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skojarzenie (BOS+ SIL) wraz z możliwością kontynuacji po ukończeniu 18 r.ż.</w:t>
            </w:r>
          </w:p>
          <w:p w14:paraId="39DC9E8A" w14:textId="4335C1B6" w:rsidR="005E7AC7" w:rsidRDefault="00CB1A9C" w:rsidP="00820D27">
            <w:pPr>
              <w:pStyle w:val="Akapitzlist"/>
              <w:numPr>
                <w:ilvl w:val="0"/>
                <w:numId w:val="25"/>
              </w:num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dzieci z nadciśnieniem płucnym i z dysplazją oskrzelowo-płucną</w:t>
            </w:r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- </w:t>
            </w:r>
            <w:proofErr w:type="spellStart"/>
            <w:r w:rsidR="00820D27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monoterapia</w:t>
            </w:r>
            <w:proofErr w:type="spellEnd"/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5797C9BB" w14:textId="51D1A5D9" w:rsidR="00820D27" w:rsidRPr="00547788" w:rsidRDefault="00820D27" w:rsidP="005E7AC7">
            <w:pPr>
              <w:pStyle w:val="Akapitzlist"/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547788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820D27" w:rsidRPr="004D093B" w14:paraId="5ED86F3E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9B444" w14:textId="3DD5D8AF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255631" w14:textId="399786CC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Różne nazwy handlowe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86633" w14:textId="6F11F6CB" w:rsidR="00820D27" w:rsidRPr="004D093B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sildenafil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25888C" w14:textId="79D0A322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2A6A" w14:textId="68AC9618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5C0D2" w14:textId="4D98220D" w:rsidR="005E7AC7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Nowa subpopulacja pacjentów pediatrycznych leczonych w programie: </w:t>
            </w:r>
            <w:r w:rsidR="00E05014" w:rsidRPr="00E05014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dzieci leczone traktem </w:t>
            </w:r>
            <w:proofErr w:type="spellStart"/>
            <w:r w:rsidR="00E05014" w:rsidRPr="00E05014">
              <w:rPr>
                <w:rFonts w:ascii="Lato" w:hAnsi="Lato" w:cstheme="majorHAnsi"/>
                <w:color w:val="000000"/>
                <w:sz w:val="18"/>
                <w:szCs w:val="18"/>
              </w:rPr>
              <w:t>fontanowskim</w:t>
            </w:r>
            <w:proofErr w:type="spellEnd"/>
            <w:r w:rsidR="00E05014" w:rsidRPr="00E05014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(niewydolne krążeniowo) -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monoterapia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lub skojarzenie (BOS+ SIL)</w:t>
            </w:r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790C1040" w14:textId="52986501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547788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</w:p>
        </w:tc>
      </w:tr>
      <w:tr w:rsidR="00820D27" w:rsidRPr="004D093B" w14:paraId="5CE97390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6F555" w14:textId="5BC124B2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5E89EF" w14:textId="051B045F" w:rsidR="00820D27" w:rsidRPr="004D093B" w:rsidRDefault="00C839B8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Różne nazwy handlowe</w:t>
            </w:r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DE5750" w14:textId="0131AE19" w:rsidR="00820D27" w:rsidRPr="004D093B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bosentan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sildenafil</w:t>
            </w:r>
            <w:proofErr w:type="spellEnd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86876" w14:textId="60B423DC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5C4CE2" w14:textId="7AA70D2E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D7BF5A" w14:textId="3B67B865" w:rsidR="005E7AC7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Możliwość rozpoczęci</w:t>
            </w:r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leczenia od terapii skojarzonej </w:t>
            </w:r>
            <w:proofErr w:type="spellStart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bosentan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+ </w:t>
            </w:r>
            <w:proofErr w:type="spellStart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sildenafil</w:t>
            </w:r>
            <w:proofErr w:type="spellEnd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w przypadku pacjentów z II lub III klas</w:t>
            </w:r>
            <w:r w:rsidR="005A716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czynnościowa </w:t>
            </w:r>
            <w:r w:rsidR="005A7166"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wg NYHA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lub profilem niskiego lub pośredniego ryzyka</w:t>
            </w:r>
            <w:r w:rsidR="005E7AC7"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</w:p>
          <w:p w14:paraId="0AFE6806" w14:textId="428AD9F1" w:rsidR="00820D27" w:rsidRPr="00547788" w:rsidRDefault="00820D27" w:rsidP="00820D2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(</w:t>
            </w:r>
            <w:r w:rsidRPr="00547788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Choroba rzadka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) </w:t>
            </w:r>
          </w:p>
        </w:tc>
      </w:tr>
      <w:tr w:rsidR="00AE62CE" w:rsidRPr="004D093B" w14:paraId="6D899FDB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A510F3" w14:textId="5459DB61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4.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80F3F" w14:textId="526A4C35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Omvoh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BDBCFA" w14:textId="52FA6957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mirikizumab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79B8A" w14:textId="6BA81182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B.32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E6B302" w14:textId="29B49F70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CHOROBĄ LEŚNIOWSKIEGO – CROHNA (ICD-10: K50)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6E1E34" w14:textId="1155653B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pacjentów z ciężką lub umiarkowaną, czynną postacią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c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h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oroby </w:t>
            </w:r>
            <w:proofErr w:type="spellStart"/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L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eśniowskiego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-C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rohna</w:t>
            </w:r>
            <w:proofErr w:type="spellEnd"/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(wynik 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0B6BE9">
              <w:rPr>
                <w:rFonts w:ascii="Lato" w:hAnsi="Lato" w:cstheme="majorHAnsi"/>
                <w:color w:val="000000"/>
                <w:sz w:val="18"/>
                <w:szCs w:val="18"/>
              </w:rPr>
              <w:t>skali CDAI &gt;220 punktów)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AE62CE" w:rsidRPr="004D093B" w14:paraId="1AF8AB98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7C320" w14:textId="7CF623A8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5.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155C18" w14:textId="58553A1F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Alyftrek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AEAC5" w14:textId="58A3A063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d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euti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w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aftor</w:t>
            </w:r>
            <w:proofErr w:type="spellEnd"/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eza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aftor</w:t>
            </w:r>
            <w:proofErr w:type="spellEnd"/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w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anza</w:t>
            </w:r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k</w:t>
            </w:r>
            <w:r w:rsidRPr="00AF6320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aftor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8D708A" w14:textId="13EC0623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B.112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234A55" w14:textId="54E40DFB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MUKOWISCYDOZĘ (ICD-10: E84)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AADA33" w14:textId="3A112E30" w:rsidR="00AE62CE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pacjentów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w wieku 6 lat i powyżej 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z mukowiscydozą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z 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co najmniej jedn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mutacj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inn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ą</w:t>
            </w:r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niż klasy I genu </w:t>
            </w:r>
            <w:proofErr w:type="spellStart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mukowiscydozowego</w:t>
            </w:r>
            <w:proofErr w:type="spellEnd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>przezbłonowego</w:t>
            </w:r>
            <w:proofErr w:type="spellEnd"/>
            <w:r w:rsidRPr="00AF6320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regulatora przewodnictwa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64E75D71" w14:textId="7F9D7EB1" w:rsidR="00AE62CE" w:rsidRPr="004D093B" w:rsidRDefault="00AE62CE" w:rsidP="00AE62C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F632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(</w:t>
            </w: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</w:t>
            </w:r>
            <w:r w:rsidRPr="00AF632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horoba rzadka)</w:t>
            </w:r>
          </w:p>
        </w:tc>
      </w:tr>
      <w:tr w:rsidR="00F358B7" w:rsidRPr="004D093B" w14:paraId="550257DA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A4F64" w14:textId="12BAFA91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F47AC7" w14:textId="367E7742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  <w:t>Hyrimoz</w:t>
            </w:r>
            <w:proofErr w:type="spellEnd"/>
            <w:r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  <w:t>Yuflyma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172120" w14:textId="2CB1FCB7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 w:themeColor="text1"/>
                <w:sz w:val="18"/>
                <w:szCs w:val="18"/>
              </w:rPr>
              <w:t>adalimumab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E93A1" w14:textId="4338CBE0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B.161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25A82" w14:textId="74F23094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LECZENIE CHORYCH Z ROPNYM ZAPALENIEM APOKRYNOWYCH GRUCZOŁÓW POTOWYCH (HS) (ICD-10: L 73.2)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3EA6AA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 w:themeColor="text1"/>
                <w:sz w:val="18"/>
                <w:szCs w:val="18"/>
              </w:rPr>
            </w:pPr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Leczenie czynnego ropnego zapalenia </w:t>
            </w:r>
            <w:proofErr w:type="spellStart"/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apokrynowych</w:t>
            </w:r>
            <w:proofErr w:type="spellEnd"/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gruczołów potowych (trądzik</w:t>
            </w: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</w:t>
            </w:r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odwrócony, </w:t>
            </w:r>
            <w:proofErr w:type="spellStart"/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acne</w:t>
            </w:r>
            <w:proofErr w:type="spellEnd"/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inversa</w:t>
            </w:r>
            <w:proofErr w:type="spellEnd"/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) o nasileniu umiarkowanym do ciężkiego u dorosłych i młodzieży w wieku od 12 lat z niewystarczającą odpowiedzią na konwencjonalne leczenie układowe HS.</w:t>
            </w:r>
          </w:p>
          <w:p w14:paraId="686710F4" w14:textId="208C75D7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E43FF5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Refundacja w ramach trybu określonego w art. 30a ustawy o refundacji, tj. leków o ugruntowanej skuteczności klinicznej.</w:t>
            </w:r>
          </w:p>
        </w:tc>
      </w:tr>
      <w:tr w:rsidR="00F358B7" w:rsidRPr="004D093B" w14:paraId="128343DD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F545F" w14:textId="59F53692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7.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4CC53" w14:textId="479187C8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Amvuttra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7F8A42" w14:textId="3512D2DB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wutrisyran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E7D46E" w14:textId="2E2FF52D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B.162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D3A42" w14:textId="00DD7C1E" w:rsidR="00F358B7" w:rsidRPr="008F4D28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KARDIOMIOPATIĄ (ICD-10: E85, I42.1)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EF4A4A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Objęcie refundacją leku z grupy terapii wyciszających geny w dziedzicznej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amyloidozie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transtyretynowej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przebiegającej z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kardiomiopatią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w populacji pacjentów powyżej 18 r.ż. </w:t>
            </w:r>
          </w:p>
          <w:p w14:paraId="0940B598" w14:textId="3601C5FC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(Choroba rzadka)</w:t>
            </w:r>
          </w:p>
        </w:tc>
      </w:tr>
      <w:tr w:rsidR="00F358B7" w:rsidRPr="004D093B" w14:paraId="66DC19FB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5553B" w14:textId="1070B985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139EDD" w14:textId="7D153653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FB0D21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Kinpeygo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C2435F" w14:textId="31D20FEE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b</w:t>
            </w:r>
            <w:r w:rsidRPr="00FB0D21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udesonidum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9F9177" w14:textId="62B9E803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B.17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06B108" w14:textId="77777777" w:rsidR="00F358B7" w:rsidRPr="00FB0D21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 PIERWOTNĄ NEFROPATIĄ</w:t>
            </w:r>
          </w:p>
          <w:p w14:paraId="6F9C691B" w14:textId="48C22FA3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proofErr w:type="spellStart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IgA</w:t>
            </w:r>
            <w:proofErr w:type="spellEnd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(ICD-10: N02.8)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7919B5" w14:textId="5CAA4EBD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L</w:t>
            </w: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eczeni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e</w:t>
            </w: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dorosłych pacjentów z pierwotną nefropatią </w:t>
            </w:r>
            <w:proofErr w:type="spellStart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IgA</w:t>
            </w:r>
            <w:proofErr w:type="spellEnd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IgAN</w:t>
            </w:r>
            <w:proofErr w:type="spellEnd"/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) z poziomem białka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FB0D21">
              <w:rPr>
                <w:rFonts w:ascii="Lato" w:hAnsi="Lato" w:cstheme="majorHAnsi"/>
                <w:color w:val="000000"/>
                <w:sz w:val="18"/>
                <w:szCs w:val="18"/>
              </w:rPr>
              <w:t>w moczu ≥1,0 g/dobę (lub stosunkiem stężenia białka do kreatyniny w moczu (UPCR) ≥0,8 g/gram)</w:t>
            </w:r>
          </w:p>
        </w:tc>
      </w:tr>
      <w:tr w:rsidR="00F358B7" w:rsidRPr="004D093B" w14:paraId="1BEDE68E" w14:textId="77777777" w:rsidTr="00CB1A9C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2B3ED" w14:textId="7982D311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4D7712" w14:textId="0C9B904A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DC7CE3"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  <w:t>Agamree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DBD90" w14:textId="46FB2260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DC7CE3">
              <w:rPr>
                <w:rFonts w:ascii="Lato" w:hAnsi="Lato" w:cstheme="majorHAnsi"/>
                <w:i/>
                <w:iCs/>
                <w:color w:val="000000" w:themeColor="text1"/>
                <w:sz w:val="18"/>
                <w:szCs w:val="18"/>
              </w:rPr>
              <w:t>wamorolon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BE16DB" w14:textId="2B629F42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B.180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F855B" w14:textId="01846D6A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LECZENIE CHORYCH Z DYSTROFIĄ MIĘŚNIOWĄ DUCHENNE’A (DMD) (ICD-10: G71.0)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662518" w14:textId="77777777" w:rsidR="00F358B7" w:rsidRPr="00DC7C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 w:themeColor="text1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Leczenie dystrofii mięśniowej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Duchenne'a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(ang.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Duchenne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muscular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dystrophy</w:t>
            </w:r>
            <w:proofErr w:type="spellEnd"/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, DMD) u pacjentów w wieku od 4 lat i bez utraty zdolności chodzenia</w:t>
            </w: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.</w:t>
            </w:r>
          </w:p>
          <w:p w14:paraId="462BDDEF" w14:textId="79A9DC4A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  <w:t>(Choroba rzadka)</w:t>
            </w:r>
          </w:p>
        </w:tc>
      </w:tr>
      <w:tr w:rsidR="00F358B7" w:rsidRPr="004D093B" w14:paraId="63B594E7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EF6ACF" w14:textId="25FFC4E8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C7CE3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1</w:t>
            </w:r>
            <w:r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0.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E15BB7" w14:textId="0474EEA2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E2D0B">
              <w:rPr>
                <w:rFonts w:ascii="Lato" w:hAnsi="Lato" w:cstheme="majorHAnsi"/>
                <w:b/>
                <w:bCs/>
                <w:sz w:val="18"/>
                <w:szCs w:val="18"/>
              </w:rPr>
              <w:t>V</w:t>
            </w:r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oraxaze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8777D" w14:textId="14F3781F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g</w:t>
            </w:r>
            <w:r w:rsidRPr="00BE2D0B">
              <w:rPr>
                <w:rFonts w:ascii="Lato" w:hAnsi="Lato" w:cstheme="majorHAnsi"/>
                <w:i/>
                <w:iCs/>
                <w:sz w:val="18"/>
                <w:szCs w:val="18"/>
              </w:rPr>
              <w:t>lucarpidasum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CC17E" w14:textId="5B540ABC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E2D0B">
              <w:rPr>
                <w:rFonts w:ascii="Lato" w:hAnsi="Lato" w:cstheme="majorHAnsi"/>
                <w:color w:val="000000"/>
                <w:sz w:val="18"/>
                <w:szCs w:val="18"/>
              </w:rPr>
              <w:t>B.181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77B265" w14:textId="422CC775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E2D0B">
              <w:rPr>
                <w:rFonts w:ascii="Lato" w:hAnsi="Lato" w:cstheme="majorHAnsi"/>
                <w:color w:val="000000"/>
                <w:sz w:val="18"/>
                <w:szCs w:val="18"/>
              </w:rPr>
              <w:t>ELIMINACJA TOKSYCZNEGO STĘŻENIA METOTREKSATU W OSOCZU U DOROSŁYCH I DZIECI (ICD-10: T45.1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03D2AA" w14:textId="4AECA254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eastAsiaTheme="minorHAnsi" w:hAnsi="Lato"/>
                <w:sz w:val="18"/>
                <w:szCs w:val="18"/>
              </w:rPr>
              <w:t>L</w:t>
            </w:r>
            <w:r w:rsidRPr="00BE2D0B">
              <w:rPr>
                <w:rFonts w:ascii="Lato" w:eastAsiaTheme="minorHAnsi" w:hAnsi="Lato"/>
                <w:sz w:val="18"/>
                <w:szCs w:val="18"/>
              </w:rPr>
              <w:t xml:space="preserve">eczenie pacjentów otrzymujących chemioterapię dużymi dawkami </w:t>
            </w:r>
            <w:proofErr w:type="spellStart"/>
            <w:r w:rsidRPr="00BE2D0B">
              <w:rPr>
                <w:rFonts w:ascii="Lato" w:eastAsiaTheme="minorHAnsi" w:hAnsi="Lato"/>
                <w:sz w:val="18"/>
                <w:szCs w:val="18"/>
              </w:rPr>
              <w:t>metotreksatu</w:t>
            </w:r>
            <w:proofErr w:type="spellEnd"/>
            <w:r w:rsidRPr="00BE2D0B">
              <w:rPr>
                <w:rFonts w:ascii="Lato" w:eastAsiaTheme="minorHAnsi" w:hAnsi="Lato"/>
                <w:sz w:val="18"/>
                <w:szCs w:val="18"/>
              </w:rPr>
              <w:t xml:space="preserve">, u których w następstwie pogorszenia czynności nerek doszło do opóźnionej eliminacji </w:t>
            </w:r>
            <w:proofErr w:type="spellStart"/>
            <w:r w:rsidRPr="00BE2D0B">
              <w:rPr>
                <w:rFonts w:ascii="Lato" w:eastAsiaTheme="minorHAnsi" w:hAnsi="Lato"/>
                <w:sz w:val="18"/>
                <w:szCs w:val="18"/>
              </w:rPr>
              <w:t>metotreksatu</w:t>
            </w:r>
            <w:proofErr w:type="spellEnd"/>
            <w:r w:rsidRPr="00BE2D0B">
              <w:rPr>
                <w:rFonts w:ascii="Lato" w:eastAsiaTheme="minorHAnsi" w:hAnsi="Lato"/>
                <w:sz w:val="18"/>
                <w:szCs w:val="18"/>
              </w:rPr>
              <w:t xml:space="preserve">, skutkującej zagrożeniem wystąpienia działań toksycznych </w:t>
            </w:r>
            <w:proofErr w:type="spellStart"/>
            <w:r w:rsidRPr="00BE2D0B">
              <w:rPr>
                <w:rFonts w:ascii="Lato" w:eastAsiaTheme="minorHAnsi" w:hAnsi="Lato"/>
                <w:sz w:val="18"/>
                <w:szCs w:val="18"/>
              </w:rPr>
              <w:t>metotreksatu</w:t>
            </w:r>
            <w:proofErr w:type="spellEnd"/>
            <w:r w:rsidRPr="00BE2D0B">
              <w:rPr>
                <w:rFonts w:ascii="Lato" w:eastAsiaTheme="minorHAnsi" w:hAnsi="Lato"/>
                <w:sz w:val="18"/>
                <w:szCs w:val="18"/>
              </w:rPr>
              <w:t>, pomimo zastosowania standardowych środków ratunkowych</w:t>
            </w:r>
            <w:r>
              <w:rPr>
                <w:rFonts w:ascii="Lato" w:eastAsiaTheme="minorHAnsi" w:hAnsi="Lato"/>
                <w:sz w:val="18"/>
                <w:szCs w:val="18"/>
              </w:rPr>
              <w:t>.</w:t>
            </w:r>
          </w:p>
        </w:tc>
      </w:tr>
      <w:tr w:rsidR="00F358B7" w:rsidRPr="004D093B" w14:paraId="609BE8BF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3B69E" w14:textId="53C30896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E1AD09" w14:textId="731C4DA6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Lyvdelzi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7D963" w14:textId="1FDBD10B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seladelpar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B5766" w14:textId="4EEF50A9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B.183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4B2E2" w14:textId="4DF6500A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PIERWOTNYM ZAPALENIEM DRÓG ŻÓŁCIOWYCH (PBC) (ICD-10: K74.3)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F3EE0" w14:textId="7D697801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pacjentów z pierwotnym zapaleniem dróg żółciowych (PBC) z udokumentowaną nieskutecznością lub nietolerancją leczenia kwasem </w:t>
            </w:r>
            <w:proofErr w:type="spellStart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ursodeoksycholowym</w:t>
            </w:r>
            <w:proofErr w:type="spellEnd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(UDCA).</w:t>
            </w:r>
          </w:p>
        </w:tc>
      </w:tr>
      <w:tr w:rsidR="00F358B7" w:rsidRPr="004D093B" w14:paraId="0BDC46AA" w14:textId="77777777" w:rsidTr="00C13E3E">
        <w:trPr>
          <w:cantSplit/>
          <w:trHeight w:val="20"/>
        </w:trPr>
        <w:tc>
          <w:tcPr>
            <w:tcW w:w="21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4C6F64" w14:textId="2ABBCF29" w:rsidR="00F358B7" w:rsidRPr="00E975CF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 w:themeColor="text1"/>
                <w:sz w:val="18"/>
                <w:szCs w:val="18"/>
              </w:rPr>
            </w:pPr>
            <w:r w:rsidRPr="00E975CF">
              <w:rPr>
                <w:rFonts w:ascii="Lato" w:hAnsi="Lato" w:cstheme="majorHAnsi"/>
                <w:color w:val="000000" w:themeColor="text1"/>
                <w:sz w:val="18"/>
                <w:szCs w:val="18"/>
              </w:rPr>
              <w:t>12.</w:t>
            </w:r>
          </w:p>
        </w:tc>
        <w:tc>
          <w:tcPr>
            <w:tcW w:w="56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5A1145" w14:textId="522DBF8A" w:rsidR="00F358B7" w:rsidRPr="00E975CF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t>Iqirvo</w:t>
            </w:r>
            <w:proofErr w:type="spellEnd"/>
          </w:p>
        </w:tc>
        <w:tc>
          <w:tcPr>
            <w:tcW w:w="643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5318D" w14:textId="4019F0AB" w:rsidR="00F358B7" w:rsidRPr="00E975CF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 w:themeColor="text1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sz w:val="18"/>
                <w:szCs w:val="18"/>
              </w:rPr>
              <w:t>elafibranor</w:t>
            </w:r>
            <w:proofErr w:type="spellEnd"/>
          </w:p>
        </w:tc>
        <w:tc>
          <w:tcPr>
            <w:tcW w:w="68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AAB83" w14:textId="3E329A4D" w:rsidR="00F358B7" w:rsidRPr="00E975CF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 w:themeColor="text1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B.183</w:t>
            </w:r>
          </w:p>
        </w:tc>
        <w:tc>
          <w:tcPr>
            <w:tcW w:w="119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72B0C1" w14:textId="36564F12" w:rsidR="00F358B7" w:rsidRPr="00E975CF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 w:themeColor="text1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LECZENIE PACJENTÓW Z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 </w:t>
            </w: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PIERWOTNYM ZAPALENIEM DRÓG ŻÓŁCIOWYCH (PBC) (ICD-10: K74.3)</w:t>
            </w:r>
          </w:p>
        </w:tc>
        <w:tc>
          <w:tcPr>
            <w:tcW w:w="170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F3D919" w14:textId="282429E0" w:rsidR="00F358B7" w:rsidRPr="00E975CF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 w:themeColor="text1"/>
                <w:sz w:val="18"/>
                <w:szCs w:val="18"/>
              </w:rPr>
            </w:pPr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pacjentów z pierwotnym zapaleniem dróg żółciowych (PBC) z udokumentowaną nieskutecznością lub nietolerancją leczenia kwasem </w:t>
            </w:r>
            <w:proofErr w:type="spellStart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>ursodeoksycholowym</w:t>
            </w:r>
            <w:proofErr w:type="spellEnd"/>
            <w:r w:rsidRPr="00AA0D6C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(UDCA).</w:t>
            </w:r>
          </w:p>
        </w:tc>
      </w:tr>
    </w:tbl>
    <w:p w14:paraId="169C5300" w14:textId="77777777" w:rsidR="004D093B" w:rsidRDefault="004D093B">
      <w:pPr>
        <w:suppressAutoHyphens w:val="0"/>
        <w:rPr>
          <w:rFonts w:ascii="Lato" w:hAnsi="Lato"/>
        </w:rPr>
      </w:pPr>
      <w:r>
        <w:rPr>
          <w:rFonts w:ascii="Lato" w:hAnsi="Lato"/>
        </w:rPr>
        <w:br w:type="page"/>
      </w:r>
    </w:p>
    <w:tbl>
      <w:tblPr>
        <w:tblW w:w="5000" w:type="pct"/>
        <w:tblCellMar>
          <w:top w:w="113" w:type="dxa"/>
          <w:left w:w="10" w:type="dxa"/>
          <w:bottom w:w="113" w:type="dxa"/>
          <w:right w:w="10" w:type="dxa"/>
        </w:tblCellMar>
        <w:tblLook w:val="0000" w:firstRow="0" w:lastRow="0" w:firstColumn="0" w:lastColumn="0" w:noHBand="0" w:noVBand="0"/>
      </w:tblPr>
      <w:tblGrid>
        <w:gridCol w:w="641"/>
        <w:gridCol w:w="1645"/>
        <w:gridCol w:w="3519"/>
        <w:gridCol w:w="8183"/>
      </w:tblGrid>
      <w:tr w:rsidR="00A434EB" w:rsidRPr="004D093B" w14:paraId="0B833808" w14:textId="77777777" w:rsidTr="004D093B">
        <w:trPr>
          <w:cantSplit/>
          <w:trHeight w:val="20"/>
        </w:trPr>
        <w:tc>
          <w:tcPr>
            <w:tcW w:w="50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B9EA6" w14:textId="428F8CF7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lastRenderedPageBreak/>
              <w:t>Zmiany w programach lekowych i chemioterapii</w:t>
            </w:r>
          </w:p>
        </w:tc>
      </w:tr>
      <w:tr w:rsidR="00A434EB" w:rsidRPr="004D093B" w14:paraId="2BCC5E80" w14:textId="77777777" w:rsidTr="005E7AC7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385C7" w14:textId="77777777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800381" w14:textId="7E0E9907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Numer programu lekowego lub numeru załącznika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32808" w14:textId="70920D05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Nazwa programu lekowego lub załącznika chemioterapii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38F47" w14:textId="14B18ED3" w:rsidR="00A434EB" w:rsidRPr="004D093B" w:rsidRDefault="00A434EB" w:rsidP="00A434EB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Krótki opis zmian dokonanych w obrębie programu lekowego / załącznika chemioterapii</w:t>
            </w:r>
          </w:p>
        </w:tc>
      </w:tr>
      <w:tr w:rsidR="005E7AC7" w:rsidRPr="004D093B" w14:paraId="50DA02B0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CE7C88" w14:textId="5EDF5782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1.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8C2DB2" w14:textId="0A0C2792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B.6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1D9A8" w14:textId="0F56CAFB" w:rsidR="005E7AC7" w:rsidRPr="002E6B8A" w:rsidRDefault="005E7AC7" w:rsidP="005E7AC7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CHORYCH NA RAKA PŁUCA (ICD-10: C34) ORAZ MIĘDZYBŁONIAKA OPŁUCNEJ (ICD-10: C45)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B5C8D7" w14:textId="382404E1" w:rsidR="005E7AC7" w:rsidRDefault="005E7AC7" w:rsidP="005E7AC7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A974C2">
              <w:rPr>
                <w:rFonts w:ascii="Lato" w:hAnsi="Lato" w:cstheme="majorHAnsi"/>
                <w:sz w:val="18"/>
                <w:szCs w:val="18"/>
              </w:rPr>
              <w:t>Kompleksowa zmiana treści programu lekowego obejmująca wszystkie jego składowe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. Program podzielono na dedykowane moduły leczenia: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niedrobnokomórkowego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raka płuca (NDRP)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, drobnokomórkowego raka płuca (DRP) i </w:t>
            </w:r>
            <w:proofErr w:type="spellStart"/>
            <w:r>
              <w:rPr>
                <w:rFonts w:ascii="Lato" w:hAnsi="Lato" w:cstheme="majorHAnsi"/>
                <w:sz w:val="18"/>
                <w:szCs w:val="18"/>
              </w:rPr>
              <w:t>międzybłoniaka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 xml:space="preserve"> opłucnej. Poprawiono przejrzystość programu pod względem stosowania poszczególnych terapii w różnych stadiach zaawansowania choroby i zaimplementowano zmiany wynikające z aktualnych wytycznych klinicznych m. in.</w:t>
            </w:r>
          </w:p>
          <w:p w14:paraId="4BE6A8C9" w14:textId="77777777" w:rsidR="005E7AC7" w:rsidRDefault="005E7AC7" w:rsidP="005E7AC7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 xml:space="preserve">wprowadzono tzw. „wakacje terapeutyczne” - </w:t>
            </w:r>
            <w:r w:rsidRPr="00483DF0">
              <w:rPr>
                <w:rFonts w:ascii="Lato" w:hAnsi="Lato" w:cstheme="majorHAnsi"/>
                <w:sz w:val="18"/>
                <w:szCs w:val="18"/>
              </w:rPr>
              <w:t xml:space="preserve">ograniczono możliwość stosowania immunoterapii w stadium uogólnienia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niedrobnokomórkowego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raka płuca (NDRP) oraz w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międzybłoniaku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opłucnej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r w:rsidRPr="00483DF0">
              <w:rPr>
                <w:rFonts w:ascii="Lato" w:hAnsi="Lato" w:cstheme="majorHAnsi"/>
                <w:sz w:val="18"/>
                <w:szCs w:val="18"/>
              </w:rPr>
              <w:t>do 2 lat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 jednocześnie umożliwiając wznowienie terapii w przypadku nawrotu choroby;</w:t>
            </w:r>
          </w:p>
          <w:p w14:paraId="6AE60833" w14:textId="77777777" w:rsidR="005E7AC7" w:rsidRDefault="005E7AC7" w:rsidP="005E7AC7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483DF0">
              <w:rPr>
                <w:rFonts w:ascii="Lato" w:hAnsi="Lato" w:cstheme="majorHAnsi"/>
                <w:sz w:val="18"/>
                <w:szCs w:val="18"/>
              </w:rPr>
              <w:t>uporządkowano zapisy</w:t>
            </w:r>
            <w:r>
              <w:rPr>
                <w:rFonts w:ascii="Lato" w:hAnsi="Lato" w:cstheme="majorHAnsi"/>
                <w:sz w:val="18"/>
                <w:szCs w:val="18"/>
              </w:rPr>
              <w:t xml:space="preserve"> kryteriów włączenia</w:t>
            </w:r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dotyczące możliwości leczenia pacjentów z NDRP typu NOS (ang. Not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Otherwise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Specified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–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niedrobnokomórkowy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rak płuca nieokreślony) immunoterapiami,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ozymertynibem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 w skojarzeniu z chemioterapią oraz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sotorasibem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>;</w:t>
            </w:r>
          </w:p>
          <w:p w14:paraId="26ACFCF2" w14:textId="77777777" w:rsidR="00E5130D" w:rsidRDefault="005E7AC7" w:rsidP="00E5130D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483DF0">
              <w:rPr>
                <w:rFonts w:ascii="Lato" w:hAnsi="Lato" w:cstheme="majorHAnsi"/>
                <w:sz w:val="18"/>
                <w:szCs w:val="18"/>
              </w:rPr>
              <w:t xml:space="preserve">zmieniono zapisy w zakresie możliwości włączenia pacjentów ze stopniem zaawansowania IIIB według 9. wersji klasyfikacji TNM (wcześniej stopień zaawansowania obejmował stopień IIIA według 8. wersji klasyfikacji TNM) w kryteriach włączenia m.in. do terapii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atezolizmabem</w:t>
            </w:r>
            <w:proofErr w:type="spellEnd"/>
            <w:r w:rsidRPr="00483DF0">
              <w:rPr>
                <w:rFonts w:ascii="Lato" w:hAnsi="Lato" w:cstheme="majorHAnsi"/>
                <w:sz w:val="18"/>
                <w:szCs w:val="18"/>
              </w:rPr>
              <w:t xml:space="preserve">, </w:t>
            </w:r>
            <w:proofErr w:type="spellStart"/>
            <w:r w:rsidRPr="00483DF0">
              <w:rPr>
                <w:rFonts w:ascii="Lato" w:hAnsi="Lato" w:cstheme="majorHAnsi"/>
                <w:sz w:val="18"/>
                <w:szCs w:val="18"/>
              </w:rPr>
              <w:t>alektynibem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>;</w:t>
            </w:r>
          </w:p>
          <w:p w14:paraId="4BC7F39F" w14:textId="7A4AE7D6" w:rsidR="005E7AC7" w:rsidRPr="00E5130D" w:rsidRDefault="005E7AC7" w:rsidP="00E5130D">
            <w:pPr>
              <w:pStyle w:val="Akapitzlist"/>
              <w:numPr>
                <w:ilvl w:val="0"/>
                <w:numId w:val="28"/>
              </w:num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E5130D">
              <w:rPr>
                <w:rFonts w:ascii="Lato" w:hAnsi="Lato" w:cstheme="majorHAnsi"/>
                <w:sz w:val="18"/>
                <w:szCs w:val="18"/>
              </w:rPr>
              <w:t xml:space="preserve">dodano w kryteriach włączenia dla </w:t>
            </w:r>
            <w:proofErr w:type="spellStart"/>
            <w:r w:rsidRPr="00E5130D">
              <w:rPr>
                <w:rFonts w:ascii="Lato" w:hAnsi="Lato" w:cstheme="majorHAnsi"/>
                <w:sz w:val="18"/>
                <w:szCs w:val="18"/>
              </w:rPr>
              <w:t>alektynibu</w:t>
            </w:r>
            <w:proofErr w:type="spellEnd"/>
            <w:r w:rsidRPr="00E5130D">
              <w:rPr>
                <w:rFonts w:ascii="Lato" w:hAnsi="Lato" w:cstheme="majorHAnsi"/>
                <w:sz w:val="18"/>
                <w:szCs w:val="18"/>
              </w:rPr>
              <w:t xml:space="preserve"> stosowanego w leczeniu radykalnym rozpoznania obejmującego raka wielkokomórkowego oraz NDRP typu NOS.</w:t>
            </w:r>
          </w:p>
        </w:tc>
      </w:tr>
      <w:tr w:rsidR="005E7AC7" w:rsidRPr="004D093B" w14:paraId="571B0832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70F3C" w14:textId="0E1C15AB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2.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038BA" w14:textId="436CB881" w:rsidR="005E7AC7" w:rsidRPr="005B4CDE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B.31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0D1FCD" w14:textId="3CEF0BB9" w:rsidR="005E7AC7" w:rsidRPr="002E6B8A" w:rsidRDefault="005E7AC7" w:rsidP="005E7AC7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TĘTNICZEGO NADCIŚNIENIA PŁUCNEGO (TNP) (ICD-10 I27, I27.0)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89A20F" w14:textId="58DBFFE2" w:rsidR="005E7AC7" w:rsidRPr="004D093B" w:rsidRDefault="005E7AC7" w:rsidP="005E7AC7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Dodatkowo oprócz nowych wskazań uwzględniono w ocenie stanu pacjenta poza klasą czynnościową wg NYHA również skalę ryzyka; zmiany porządkujące.</w:t>
            </w:r>
          </w:p>
        </w:tc>
      </w:tr>
      <w:tr w:rsidR="005E7AC7" w:rsidRPr="004D093B" w14:paraId="67293BB2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CB881F" w14:textId="66E32355" w:rsidR="005E7AC7" w:rsidRPr="004D093B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31F1AA" w14:textId="31A0C592" w:rsidR="005E7AC7" w:rsidRPr="005B4CDE" w:rsidRDefault="005E7AC7" w:rsidP="005E7AC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B.44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10EFE2" w14:textId="7FC82DC1" w:rsidR="005E7AC7" w:rsidRPr="002E6B8A" w:rsidRDefault="005E7AC7" w:rsidP="005E7AC7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CHORYCH Z CIĘŻKĄ POSTACIĄ ASTMY (ICD-10: J45, J82)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903C66" w14:textId="77777777" w:rsidR="005E7AC7" w:rsidRPr="00CC7CC7" w:rsidRDefault="005E7AC7" w:rsidP="005E7AC7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CC7CC7">
              <w:rPr>
                <w:rFonts w:ascii="Lato" w:hAnsi="Lato" w:cstheme="majorHAnsi"/>
                <w:sz w:val="18"/>
                <w:szCs w:val="18"/>
              </w:rPr>
              <w:t>•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ab/>
            </w:r>
            <w:r>
              <w:rPr>
                <w:rFonts w:ascii="Lato" w:hAnsi="Lato" w:cstheme="majorHAnsi"/>
                <w:sz w:val="18"/>
                <w:szCs w:val="18"/>
              </w:rPr>
              <w:t xml:space="preserve">Obniżenie 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 xml:space="preserve">wieku pacjentów do kwalifikacji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mepolizumabem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 xml:space="preserve"> od 12 </w:t>
            </w:r>
            <w:proofErr w:type="gramStart"/>
            <w:r>
              <w:rPr>
                <w:rFonts w:ascii="Lato" w:hAnsi="Lato" w:cstheme="majorHAnsi"/>
                <w:sz w:val="18"/>
                <w:szCs w:val="18"/>
              </w:rPr>
              <w:t xml:space="preserve">lat 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i</w:t>
            </w:r>
            <w:proofErr w:type="gram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dupilumabem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 xml:space="preserve"> od 6 lat;</w:t>
            </w:r>
          </w:p>
          <w:p w14:paraId="6169F57C" w14:textId="77777777" w:rsidR="005E7AC7" w:rsidRPr="00CC7CC7" w:rsidRDefault="005E7AC7" w:rsidP="005E7AC7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CC7CC7">
              <w:rPr>
                <w:rFonts w:ascii="Lato" w:hAnsi="Lato" w:cstheme="majorHAnsi"/>
                <w:sz w:val="18"/>
                <w:szCs w:val="18"/>
              </w:rPr>
              <w:t>•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ab/>
              <w:t xml:space="preserve">Obniżeniu progu eozynofilii dla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mepolizumabu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,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benralizumabu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i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dupilumabu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oraz usunięcie skumulowanej dawki rocznej </w:t>
            </w:r>
            <w:proofErr w:type="spellStart"/>
            <w:r w:rsidRPr="00CC7CC7">
              <w:rPr>
                <w:rFonts w:ascii="Lato" w:hAnsi="Lato" w:cstheme="majorHAnsi"/>
                <w:sz w:val="18"/>
                <w:szCs w:val="18"/>
              </w:rPr>
              <w:t>dGKS</w:t>
            </w:r>
            <w:proofErr w:type="spellEnd"/>
            <w:r w:rsidRPr="00CC7CC7">
              <w:rPr>
                <w:rFonts w:ascii="Lato" w:hAnsi="Lato" w:cstheme="majorHAnsi"/>
                <w:sz w:val="18"/>
                <w:szCs w:val="18"/>
              </w:rPr>
              <w:t>;</w:t>
            </w:r>
          </w:p>
          <w:p w14:paraId="4FCF84DF" w14:textId="38FB8D7C" w:rsidR="005E7AC7" w:rsidRPr="004D093B" w:rsidRDefault="005E7AC7" w:rsidP="005E7AC7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CC7CC7">
              <w:rPr>
                <w:rFonts w:ascii="Lato" w:hAnsi="Lato" w:cstheme="majorHAnsi"/>
                <w:sz w:val="18"/>
                <w:szCs w:val="18"/>
              </w:rPr>
              <w:t>•</w:t>
            </w:r>
            <w:r w:rsidRPr="00CC7CC7">
              <w:rPr>
                <w:rFonts w:ascii="Lato" w:hAnsi="Lato" w:cstheme="majorHAnsi"/>
                <w:sz w:val="18"/>
                <w:szCs w:val="18"/>
              </w:rPr>
              <w:tab/>
              <w:t>Przełączanie terapii („SWITCH</w:t>
            </w:r>
            <w:proofErr w:type="gramStart"/>
            <w:r w:rsidRPr="00CC7CC7">
              <w:rPr>
                <w:rFonts w:ascii="Lato" w:hAnsi="Lato" w:cstheme="majorHAnsi"/>
                <w:sz w:val="18"/>
                <w:szCs w:val="18"/>
              </w:rPr>
              <w:t>”)-</w:t>
            </w:r>
            <w:proofErr w:type="gramEnd"/>
            <w:r w:rsidRPr="00CC7CC7">
              <w:rPr>
                <w:rFonts w:ascii="Lato" w:hAnsi="Lato" w:cstheme="majorHAnsi"/>
                <w:sz w:val="18"/>
                <w:szCs w:val="18"/>
              </w:rPr>
              <w:t xml:space="preserve"> dotyczy wszystkich leków w PL.</w:t>
            </w:r>
          </w:p>
        </w:tc>
      </w:tr>
      <w:tr w:rsidR="00CB1A9C" w:rsidRPr="004D093B" w14:paraId="66D571B6" w14:textId="77777777" w:rsidTr="00CB1A9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113C4" w14:textId="2C334AC7" w:rsidR="00CB1A9C" w:rsidRPr="004D093B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4.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0310C" w14:textId="44B09466" w:rsidR="00CB1A9C" w:rsidRPr="005B4CDE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B.121.FM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469A50" w14:textId="4539EDDD" w:rsidR="00CB1A9C" w:rsidRPr="002E6B8A" w:rsidRDefault="00CB1A9C" w:rsidP="00CB1A9C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color w:val="000000"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AMIFAMPRYDYNĄ PACJENTÓW Z ZESPOŁEM MIASTENICZNYM LAMBERTA-EATONA (ICD-10: G73.1)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9AB9C4" w14:textId="5A6704D6" w:rsidR="00CB1A9C" w:rsidRPr="004D093B" w:rsidRDefault="00CB1A9C" w:rsidP="00CB1A9C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D</w:t>
            </w:r>
            <w:r w:rsidRPr="00C4286A">
              <w:rPr>
                <w:rFonts w:ascii="Lato" w:hAnsi="Lato" w:cstheme="majorHAnsi"/>
                <w:sz w:val="18"/>
                <w:szCs w:val="18"/>
              </w:rPr>
              <w:t>odanie testu 6minutowego chodu i RTG klatki piersiowej przy kwalifikacji i w monitorowaniu</w:t>
            </w:r>
            <w:r>
              <w:rPr>
                <w:rFonts w:ascii="Lato" w:hAnsi="Lato" w:cstheme="majorHAnsi"/>
                <w:sz w:val="18"/>
                <w:szCs w:val="18"/>
              </w:rPr>
              <w:t>.</w:t>
            </w:r>
          </w:p>
        </w:tc>
      </w:tr>
      <w:tr w:rsidR="00CB1A9C" w:rsidRPr="004D093B" w14:paraId="1EC37EE4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55728" w14:textId="134CEAB4" w:rsidR="00CB1A9C" w:rsidRPr="004D093B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5.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FD53BF" w14:textId="3D315F82" w:rsidR="00CB1A9C" w:rsidRPr="005B4CDE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771374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B.141.FM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2CBC3" w14:textId="2A29C8EF" w:rsidR="00CB1A9C" w:rsidRPr="002E6B8A" w:rsidRDefault="00CB1A9C" w:rsidP="00CB1A9C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color w:val="000000"/>
                <w:sz w:val="18"/>
                <w:szCs w:val="18"/>
                <w:lang w:eastAsia="en-US"/>
              </w:rPr>
            </w:pPr>
            <w:r w:rsidRPr="002E6B8A">
              <w:rPr>
                <w:rFonts w:ascii="Lato" w:eastAsia="Calibri" w:hAnsi="Lato" w:cstheme="majorHAnsi"/>
                <w:bCs/>
                <w:color w:val="000000"/>
                <w:sz w:val="18"/>
                <w:szCs w:val="18"/>
                <w:lang w:eastAsia="en-US"/>
              </w:rPr>
              <w:t>B.141.FM LECZENIE PACJENTÓW Z RAKIEM UROTELIALNYM (ICD-10: C61, C65, C66, C67, C68)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FB79B" w14:textId="3C9AF175" w:rsidR="00CB1A9C" w:rsidRPr="004D093B" w:rsidRDefault="00CB1A9C" w:rsidP="009A65C6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Modyfikacja harmonogramu badań diagnostycznych, dostosowana do harmonogramu podawania konkretnych leków onkologicznych.</w:t>
            </w:r>
          </w:p>
        </w:tc>
      </w:tr>
      <w:tr w:rsidR="00CB1A9C" w:rsidRPr="004D093B" w14:paraId="760505AF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E24D49" w14:textId="64C92F59" w:rsidR="00CB1A9C" w:rsidRPr="004D093B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lastRenderedPageBreak/>
              <w:t>6.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BBA35D" w14:textId="219772FA" w:rsidR="00CB1A9C" w:rsidRPr="005B4CDE" w:rsidRDefault="00CB1A9C" w:rsidP="00CB1A9C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B.160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229B0A" w14:textId="77777777" w:rsidR="00CB1A9C" w:rsidRPr="002E6B8A" w:rsidRDefault="00CB1A9C" w:rsidP="00CB1A9C">
            <w:pPr>
              <w:autoSpaceDE w:val="0"/>
              <w:adjustRightInd w:val="0"/>
              <w:spacing w:after="24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PACJENTEK Z CIĘŻKĄ POSTACIĄ OSTEOPOROZY POMENOPAUZALNEJ (ICD-10: M80.0)</w:t>
            </w:r>
          </w:p>
          <w:p w14:paraId="18770952" w14:textId="19293E47" w:rsidR="00CB1A9C" w:rsidRPr="002E6B8A" w:rsidRDefault="00CB1A9C" w:rsidP="00CB1A9C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sz w:val="18"/>
                <w:szCs w:val="18"/>
              </w:rPr>
            </w:pP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D3CDF" w14:textId="2CA2ADA5" w:rsidR="00CB1A9C" w:rsidRPr="003B46BF" w:rsidRDefault="00CB1A9C" w:rsidP="00CB1A9C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Zmiany o charakterze porządkowym i ujednolicającym do aktualnych wytycznych klinicznych.</w:t>
            </w:r>
          </w:p>
        </w:tc>
      </w:tr>
      <w:tr w:rsidR="00337423" w:rsidRPr="004D093B" w14:paraId="51A86B54" w14:textId="77777777" w:rsidTr="00D46CA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93D6F" w14:textId="4FCED698" w:rsidR="00337423" w:rsidRPr="004D093B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sz w:val="18"/>
                <w:szCs w:val="18"/>
              </w:rPr>
              <w:t>7.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76BB58" w14:textId="67033574" w:rsidR="00337423" w:rsidRPr="005B4CDE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33742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B.162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FDE7B9" w14:textId="01268C6B" w:rsidR="00337423" w:rsidRPr="002E6B8A" w:rsidRDefault="00337423" w:rsidP="00337423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eastAsia="Calibri" w:hAnsi="Lato" w:cstheme="majorHAnsi"/>
                <w:bCs/>
                <w:sz w:val="18"/>
                <w:szCs w:val="18"/>
                <w:lang w:eastAsia="en-US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PACJENTÓW Z KARDIOMIOPATIĄ (ICD-10: E85, I42.1)</w:t>
            </w:r>
          </w:p>
        </w:tc>
        <w:tc>
          <w:tcPr>
            <w:tcW w:w="2925" w:type="pct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AF8C5C" w14:textId="54075127" w:rsidR="00337423" w:rsidRPr="004D093B" w:rsidRDefault="00337423" w:rsidP="00337423">
            <w:pPr>
              <w:suppressAutoHyphens w:val="0"/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 w:rsidRPr="00337423">
              <w:rPr>
                <w:rFonts w:ascii="Lato" w:hAnsi="Lato" w:cstheme="majorHAnsi"/>
                <w:sz w:val="18"/>
                <w:szCs w:val="18"/>
              </w:rPr>
              <w:t xml:space="preserve">Wprowadzono zasadę stosowania w ramach programów lekowych dedykowanych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amyloidozie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transtyretynowej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 wyłącznie jednej terapii (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monoterapia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), z uwagi na brak danych klinicznych potwierdzających zasadność, skuteczność i bezpieczeństwo jednoczesnego stosowania więcej niż jednego leku w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amyloidozę</w:t>
            </w:r>
            <w:proofErr w:type="spellEnd"/>
            <w:r w:rsidRPr="00337423">
              <w:rPr>
                <w:rFonts w:ascii="Lato" w:hAnsi="Lato" w:cstheme="majorHAnsi"/>
                <w:sz w:val="18"/>
                <w:szCs w:val="18"/>
              </w:rPr>
              <w:t xml:space="preserve"> </w:t>
            </w:r>
            <w:proofErr w:type="spellStart"/>
            <w:r w:rsidRPr="00337423">
              <w:rPr>
                <w:rFonts w:ascii="Lato" w:hAnsi="Lato" w:cstheme="majorHAnsi"/>
                <w:sz w:val="18"/>
                <w:szCs w:val="18"/>
              </w:rPr>
              <w:t>transtyretynowej</w:t>
            </w:r>
            <w:proofErr w:type="spellEnd"/>
            <w:r>
              <w:rPr>
                <w:rFonts w:ascii="Lato" w:hAnsi="Lato" w:cstheme="majorHAnsi"/>
                <w:sz w:val="18"/>
                <w:szCs w:val="18"/>
              </w:rPr>
              <w:t>.</w:t>
            </w:r>
          </w:p>
        </w:tc>
      </w:tr>
      <w:tr w:rsidR="00337423" w:rsidRPr="004D093B" w14:paraId="386834E7" w14:textId="77777777" w:rsidTr="00D46CA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2240BE" w14:textId="5718DCB1" w:rsidR="00337423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1A823B" w14:textId="05BE9B6D" w:rsidR="00337423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33742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B.170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2D6AC" w14:textId="7C5D5D64" w:rsidR="00337423" w:rsidRPr="002E6B8A" w:rsidRDefault="00337423" w:rsidP="00337423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DOROSŁYCH PACJENTÓW Z POLINEUROPATIĄ W I LUB II STADIUM ZAAWANSOWANIA W PRZEBIEGU DZIEDZICZNEJ AMYLOIDOZY TRANSTYRETYNOWEJ (ICD-10: E85.1)</w:t>
            </w:r>
          </w:p>
        </w:tc>
        <w:tc>
          <w:tcPr>
            <w:tcW w:w="2925" w:type="pct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F231AA" w14:textId="4FBB004C" w:rsidR="00337423" w:rsidRPr="00854A5D" w:rsidRDefault="00337423" w:rsidP="00337423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</w:p>
        </w:tc>
      </w:tr>
      <w:tr w:rsidR="00337423" w:rsidRPr="004D093B" w14:paraId="4AFE6E70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9EF51" w14:textId="0A057C6A" w:rsidR="00337423" w:rsidRPr="00547788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EAD59" w14:textId="7382DB8B" w:rsidR="00337423" w:rsidRPr="005B4CDE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B.171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4D0EA5" w14:textId="7E2D4D5E" w:rsidR="00337423" w:rsidRPr="002E6B8A" w:rsidRDefault="00337423" w:rsidP="00337423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sz w:val="18"/>
                <w:szCs w:val="18"/>
              </w:rPr>
            </w:pPr>
            <w:r w:rsidRPr="002E6B8A">
              <w:rPr>
                <w:rFonts w:ascii="Lato" w:hAnsi="Lato"/>
                <w:bCs/>
                <w:sz w:val="18"/>
                <w:szCs w:val="18"/>
              </w:rPr>
              <w:t>LECZENIE CHORYCH Z CIĘŻKĄ POSTACIĄ ŁYSIENIA PLACKOWATEGO (ICD-10: L63)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E0251" w14:textId="77777777" w:rsidR="00337423" w:rsidRPr="00854A5D" w:rsidRDefault="00337423" w:rsidP="00337423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854A5D">
              <w:rPr>
                <w:rFonts w:ascii="Lato" w:hAnsi="Lato" w:cstheme="majorHAnsi"/>
                <w:sz w:val="18"/>
                <w:szCs w:val="18"/>
              </w:rPr>
              <w:t>Doprecyzowanie zapisów dotyczących kryteriów wyłączenia pacjenta z programu lekowego oraz wprowadzenie zmian porządkowych w zakresie kryteriów oceny skuteczności leczenia.</w:t>
            </w:r>
          </w:p>
          <w:p w14:paraId="76378536" w14:textId="77777777" w:rsidR="00337423" w:rsidRPr="00547788" w:rsidRDefault="00337423" w:rsidP="00337423">
            <w:pPr>
              <w:spacing w:before="60" w:after="60" w:line="240" w:lineRule="auto"/>
              <w:jc w:val="center"/>
              <w:rPr>
                <w:rFonts w:ascii="Lato" w:hAnsi="Lato" w:cstheme="majorHAnsi"/>
                <w:sz w:val="18"/>
                <w:szCs w:val="18"/>
              </w:rPr>
            </w:pPr>
          </w:p>
        </w:tc>
      </w:tr>
      <w:tr w:rsidR="00DE3670" w:rsidRPr="004D093B" w14:paraId="78AAA615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43556" w14:textId="5026AA65" w:rsidR="00DE3670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10.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4EE4FB" w14:textId="2566B7F8" w:rsidR="00DE3670" w:rsidRPr="00DE3670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DE3670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C.49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348A1" w14:textId="70AC71F8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/>
                <w:bCs/>
                <w:sz w:val="18"/>
                <w:szCs w:val="18"/>
              </w:rPr>
            </w:pPr>
            <w:r w:rsidRPr="00700C3A">
              <w:rPr>
                <w:rFonts w:ascii="Lato" w:hAnsi="Lato" w:cstheme="majorHAnsi"/>
                <w:color w:val="000000"/>
                <w:sz w:val="18"/>
                <w:szCs w:val="18"/>
              </w:rPr>
              <w:t>PEMETREKSED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9D1EDF" w14:textId="77777777" w:rsidR="00DE3670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pacjentów 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chorych na </w:t>
            </w:r>
            <w:proofErr w:type="spellStart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niedrobnokomórkowego</w:t>
            </w:r>
            <w:proofErr w:type="spellEnd"/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raka płuca 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nieokreślonego (NDRP NOS - </w:t>
            </w:r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not </w:t>
            </w:r>
            <w:proofErr w:type="spellStart"/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otherwise</w:t>
            </w:r>
            <w:proofErr w:type="spellEnd"/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700C3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specified</w:t>
            </w:r>
            <w:proofErr w:type="spellEnd"/>
            <w:r w:rsidRPr="00700C3A">
              <w:rPr>
                <w:rFonts w:ascii="Lato" w:hAnsi="Lato" w:cstheme="majorHAnsi"/>
                <w:color w:val="000000"/>
                <w:sz w:val="18"/>
                <w:szCs w:val="18"/>
              </w:rPr>
              <w:t>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75F5FAFD" w14:textId="00B61A85" w:rsidR="00DE3670" w:rsidRPr="00854A5D" w:rsidRDefault="00DE3670" w:rsidP="00DE3670">
            <w:pPr>
              <w:suppressAutoHyphens w:val="0"/>
              <w:spacing w:before="60" w:after="6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Rozszerzenie stosowania </w:t>
            </w:r>
            <w:proofErr w:type="spellStart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pemetreksedu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NDRP NOS celem umożliwienia leczenia skojarzonego z terapiami udostępnionymi w programie lekowym B.6 </w:t>
            </w:r>
            <w:r w:rsidRPr="008F4D28">
              <w:rPr>
                <w:rFonts w:ascii="Lato" w:hAnsi="Lato" w:cstheme="majorHAnsi"/>
                <w:color w:val="000000"/>
                <w:sz w:val="18"/>
                <w:szCs w:val="18"/>
              </w:rPr>
              <w:t>LECZENIE CHORYCH NA RAKA PŁUCA (ICD-10: C34) ORAZ MIĘDZYBŁONIAKA OPŁUCNEJ (ICD-10: C45)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DE3670" w:rsidRPr="004D093B" w14:paraId="6B250BB4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F0ABA" w14:textId="7663C39F" w:rsidR="00DE3670" w:rsidRPr="004D093B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11.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1B7AE1" w14:textId="6FE854AF" w:rsidR="00DE3670" w:rsidRPr="005B4CDE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C.86.b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45E694" w14:textId="3F05A55A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i/>
                <w:iCs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sz w:val="18"/>
                <w:szCs w:val="18"/>
              </w:rPr>
              <w:t>TRASTUZUMABUM I.V.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7144" w14:textId="1913CEF2" w:rsidR="00DE3670" w:rsidRPr="00710F56" w:rsidRDefault="00DE3670" w:rsidP="00710F56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sz w:val="18"/>
                <w:szCs w:val="18"/>
              </w:rPr>
              <w:t xml:space="preserve">Rozszerzenie wskazania dla </w:t>
            </w:r>
            <w:proofErr w:type="spellStart"/>
            <w:r w:rsidRPr="00547788">
              <w:rPr>
                <w:rFonts w:ascii="Lato" w:hAnsi="Lato" w:cstheme="majorHAnsi"/>
                <w:sz w:val="18"/>
                <w:szCs w:val="18"/>
              </w:rPr>
              <w:t>trastuzumabu</w:t>
            </w:r>
            <w:proofErr w:type="spellEnd"/>
            <w:r w:rsidRPr="00547788">
              <w:rPr>
                <w:rFonts w:ascii="Lato" w:hAnsi="Lato" w:cstheme="majorHAnsi"/>
                <w:sz w:val="18"/>
                <w:szCs w:val="18"/>
              </w:rPr>
              <w:t xml:space="preserve"> w postaci dożylnej o leczenie </w:t>
            </w: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dorosłych pacjentów z HER2-dodatnim zaawansowanym lub przerzutowym rakiem gruczołowym żołądka lub połączenia żołądkowo-przełykowego z ekspresją PD-L1 wg skali CPS ≥ 1, w skojarzeniu z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pembrolizumabem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 chemioterapią (I linia leczenia).</w:t>
            </w:r>
          </w:p>
        </w:tc>
      </w:tr>
      <w:tr w:rsidR="00DE3670" w:rsidRPr="004D093B" w14:paraId="7F3278A6" w14:textId="77777777" w:rsidTr="00C13E3E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363742" w14:textId="6C54B048" w:rsidR="00DE3670" w:rsidRPr="004D093B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12.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F29A66" w14:textId="07AAB048" w:rsidR="00DE3670" w:rsidRPr="005B4CDE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C.95.a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A0718" w14:textId="3A395D13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i/>
                <w:iCs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sz w:val="18"/>
                <w:szCs w:val="18"/>
              </w:rPr>
              <w:t>CETUXIMAB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F22B0" w14:textId="45B46E1B" w:rsidR="00DE3670" w:rsidRPr="004D093B" w:rsidRDefault="00DE3670" w:rsidP="00DE3670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Rozszerzenie wskazania dla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cetuksymabu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 leczenie dorosłych pacjentów z zaawansowanym rakiem jelita grubego z mutacją BRAF V600E, w skojarzeniu z 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enkorafenibem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(II lub kolejne linie leczenia).</w:t>
            </w:r>
          </w:p>
        </w:tc>
      </w:tr>
      <w:tr w:rsidR="00DE3670" w:rsidRPr="004D093B" w14:paraId="1A92407E" w14:textId="77777777" w:rsidTr="00CB1A9C">
        <w:trPr>
          <w:cantSplit/>
          <w:trHeight w:val="20"/>
        </w:trPr>
        <w:tc>
          <w:tcPr>
            <w:tcW w:w="229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5C4C1A" w14:textId="5DB47C79" w:rsidR="00DE3670" w:rsidRPr="00547788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13.</w:t>
            </w:r>
          </w:p>
        </w:tc>
        <w:tc>
          <w:tcPr>
            <w:tcW w:w="58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06EC3" w14:textId="35F0D13C" w:rsidR="00DE3670" w:rsidRPr="005B4CDE" w:rsidRDefault="00DE3670" w:rsidP="00DE3670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 w:rsidRPr="005B4CDE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C.99</w:t>
            </w:r>
          </w:p>
        </w:tc>
        <w:tc>
          <w:tcPr>
            <w:tcW w:w="12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62F92" w14:textId="7297B2F3" w:rsidR="00DE3670" w:rsidRPr="002E6B8A" w:rsidRDefault="00DE3670" w:rsidP="00DE3670">
            <w:pPr>
              <w:pStyle w:val="Style2"/>
              <w:widowControl/>
              <w:spacing w:before="60" w:after="60" w:line="240" w:lineRule="auto"/>
              <w:jc w:val="center"/>
              <w:rPr>
                <w:rFonts w:ascii="Lato" w:hAnsi="Lato" w:cstheme="majorHAnsi"/>
                <w:bCs/>
                <w:i/>
                <w:iCs/>
                <w:sz w:val="18"/>
                <w:szCs w:val="18"/>
              </w:rPr>
            </w:pPr>
            <w:r w:rsidRPr="002E6B8A">
              <w:rPr>
                <w:rFonts w:ascii="Lato" w:hAnsi="Lato" w:cstheme="majorHAnsi"/>
                <w:bCs/>
                <w:color w:val="000000"/>
                <w:sz w:val="18"/>
                <w:szCs w:val="18"/>
              </w:rPr>
              <w:t>AKSITINIB</w:t>
            </w:r>
          </w:p>
        </w:tc>
        <w:tc>
          <w:tcPr>
            <w:tcW w:w="292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BA9EA" w14:textId="40B91168" w:rsidR="00DE3670" w:rsidRPr="00547788" w:rsidRDefault="00DE3670" w:rsidP="00DE3670">
            <w:pPr>
              <w:suppressAutoHyphens w:val="0"/>
              <w:autoSpaceDE w:val="0"/>
              <w:adjustRightInd w:val="0"/>
              <w:spacing w:before="120" w:after="120" w:line="240" w:lineRule="auto"/>
              <w:jc w:val="center"/>
              <w:textAlignment w:val="auto"/>
              <w:rPr>
                <w:rFonts w:ascii="Lato" w:hAnsi="Lato" w:cstheme="majorHAnsi"/>
                <w:sz w:val="18"/>
                <w:szCs w:val="18"/>
              </w:rPr>
            </w:pPr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Rozszerzenie aktualnego wskazania o terapię skojarzoną z </w:t>
            </w:r>
            <w:proofErr w:type="spellStart"/>
            <w:r w:rsidRPr="00547788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pembrolizumabem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I linii leczenia raka </w:t>
            </w:r>
            <w:proofErr w:type="spellStart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>nerkowokomórkowego</w:t>
            </w:r>
            <w:proofErr w:type="spellEnd"/>
            <w:r w:rsidRPr="00547788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 przypadku dorosłych pacjentów z rokowaniem pośrednim lub niekorzystnym wg skali IMDC.</w:t>
            </w:r>
          </w:p>
        </w:tc>
      </w:tr>
    </w:tbl>
    <w:p w14:paraId="703841AA" w14:textId="41B193DC" w:rsidR="0056748F" w:rsidRPr="004D093B" w:rsidRDefault="00CB1A9C" w:rsidP="00F358B7">
      <w:pPr>
        <w:suppressAutoHyphens w:val="0"/>
        <w:jc w:val="center"/>
        <w:rPr>
          <w:rFonts w:ascii="Lato" w:hAnsi="Lato"/>
          <w:b/>
          <w:bCs/>
          <w:color w:val="00B0F0"/>
          <w:sz w:val="28"/>
          <w:szCs w:val="28"/>
        </w:rPr>
      </w:pPr>
      <w:bookmarkStart w:id="2" w:name="_Hlk90283710"/>
      <w:r>
        <w:rPr>
          <w:rFonts w:ascii="Lato" w:hAnsi="Lato"/>
          <w:b/>
          <w:bCs/>
          <w:color w:val="00B0F0"/>
          <w:sz w:val="28"/>
          <w:szCs w:val="28"/>
        </w:rPr>
        <w:br w:type="page"/>
      </w:r>
      <w:r w:rsidR="0056748F" w:rsidRPr="004D093B">
        <w:rPr>
          <w:rFonts w:ascii="Lato" w:hAnsi="Lato"/>
          <w:b/>
          <w:bCs/>
          <w:color w:val="00B0F0"/>
          <w:sz w:val="28"/>
          <w:szCs w:val="28"/>
        </w:rPr>
        <w:lastRenderedPageBreak/>
        <w:t>NOWE WSKAZANIA ORAZ ZMIANY W REFUNDACJI APTECZNEJ</w:t>
      </w:r>
    </w:p>
    <w:tbl>
      <w:tblPr>
        <w:tblW w:w="5000" w:type="pct"/>
        <w:tblCellMar>
          <w:top w:w="57" w:type="dxa"/>
          <w:left w:w="10" w:type="dxa"/>
          <w:bottom w:w="57" w:type="dxa"/>
          <w:right w:w="10" w:type="dxa"/>
        </w:tblCellMar>
        <w:tblLook w:val="0000" w:firstRow="0" w:lastRow="0" w:firstColumn="0" w:lastColumn="0" w:noHBand="0" w:noVBand="0"/>
      </w:tblPr>
      <w:tblGrid>
        <w:gridCol w:w="691"/>
        <w:gridCol w:w="2412"/>
        <w:gridCol w:w="1838"/>
        <w:gridCol w:w="5399"/>
        <w:gridCol w:w="3648"/>
      </w:tblGrid>
      <w:tr w:rsidR="00AD08C5" w:rsidRPr="004D093B" w14:paraId="2CD1B9F9" w14:textId="77777777" w:rsidTr="004D093B">
        <w:trPr>
          <w:cantSplit/>
          <w:trHeight w:val="549"/>
        </w:trPr>
        <w:tc>
          <w:tcPr>
            <w:tcW w:w="5000" w:type="pct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94C8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bookmarkEnd w:id="2"/>
          <w:p w14:paraId="05E7E891" w14:textId="77777777" w:rsidR="00AD08C5" w:rsidRPr="004D093B" w:rsidRDefault="006A7DCE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t>Apteka</w:t>
            </w:r>
          </w:p>
        </w:tc>
      </w:tr>
      <w:tr w:rsidR="00AD08C5" w:rsidRPr="004D093B" w14:paraId="7C1774EA" w14:textId="77777777" w:rsidTr="004D093B">
        <w:trPr>
          <w:cantSplit/>
          <w:trHeight w:val="328"/>
        </w:trPr>
        <w:tc>
          <w:tcPr>
            <w:tcW w:w="5000" w:type="pct"/>
            <w:gridSpan w:val="5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00B0F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D86140" w14:textId="77777777" w:rsidR="00AD08C5" w:rsidRPr="004D093B" w:rsidRDefault="006A7DCE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FFFFFF"/>
              </w:rPr>
            </w:pPr>
            <w:r w:rsidRPr="004D093B">
              <w:rPr>
                <w:rFonts w:ascii="Lato" w:hAnsi="Lato" w:cstheme="majorHAnsi"/>
                <w:b/>
                <w:bCs/>
                <w:color w:val="FFFFFF"/>
              </w:rPr>
              <w:t>Nowe wskazania refundacyjne</w:t>
            </w:r>
          </w:p>
        </w:tc>
      </w:tr>
      <w:tr w:rsidR="0056748F" w:rsidRPr="004D093B" w14:paraId="7D53B9E1" w14:textId="77777777" w:rsidTr="004D093B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D3CB4" w14:textId="77777777" w:rsidR="00AD08C5" w:rsidRPr="004D093B" w:rsidRDefault="006A7DCE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  <w:t>Lp.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3E9D6E" w14:textId="70C49D87" w:rsidR="00AD08C5" w:rsidRPr="004D093B" w:rsidRDefault="00A118F0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  <w:t xml:space="preserve">Nazwa leku, środka spożywczego specjalnego przeznaczenia lub wyrobu </w:t>
            </w:r>
            <w:r w:rsidRPr="004D093B">
              <w:rPr>
                <w:rFonts w:ascii="Lato" w:hAnsi="Lato" w:cstheme="majorHAnsi"/>
                <w:b/>
                <w:bCs/>
                <w:sz w:val="19"/>
                <w:szCs w:val="19"/>
              </w:rPr>
              <w:t>medycznego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2A6F35" w14:textId="77777777" w:rsidR="00AD08C5" w:rsidRPr="004D093B" w:rsidRDefault="006A7DCE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  <w:t>Substancja czynna</w:t>
            </w:r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933D3" w14:textId="77777777" w:rsidR="00AD08C5" w:rsidRPr="004D093B" w:rsidRDefault="006A7DCE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  <w:t>Wskazanie refundacyjne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7E8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5EAF7" w14:textId="77777777" w:rsidR="00AD08C5" w:rsidRPr="004D093B" w:rsidRDefault="006A7DCE" w:rsidP="007B04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</w:pPr>
            <w:r w:rsidRPr="004D093B">
              <w:rPr>
                <w:rFonts w:ascii="Lato" w:hAnsi="Lato" w:cstheme="majorHAnsi"/>
                <w:b/>
                <w:bCs/>
                <w:color w:val="000000"/>
                <w:sz w:val="19"/>
                <w:szCs w:val="19"/>
              </w:rPr>
              <w:t>Doprecyzowanie wskazania</w:t>
            </w:r>
          </w:p>
        </w:tc>
      </w:tr>
      <w:tr w:rsidR="00C13E3E" w:rsidRPr="004D093B" w14:paraId="3E62A70D" w14:textId="77777777" w:rsidTr="00C13E3E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0ED6C4" w14:textId="318783BA" w:rsidR="00C13E3E" w:rsidRPr="004D093B" w:rsidRDefault="00C13E3E" w:rsidP="00C13E3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1.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51D194" w14:textId="357D8224" w:rsidR="00C13E3E" w:rsidRPr="004D093B" w:rsidRDefault="00C13E3E" w:rsidP="00C13E3E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817287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Alfadiol</w:t>
            </w:r>
            <w:proofErr w:type="spellEnd"/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E1F354" w14:textId="3F0B39D2" w:rsidR="00C13E3E" w:rsidRPr="004D093B" w:rsidRDefault="00C13E3E" w:rsidP="00C13E3E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a</w:t>
            </w:r>
            <w:r w:rsidRPr="00817287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lfacalcidolum</w:t>
            </w:r>
            <w:proofErr w:type="spellEnd"/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0D22F" w14:textId="4B926C2A" w:rsidR="00C13E3E" w:rsidRPr="004D093B" w:rsidRDefault="00C13E3E" w:rsidP="00C13E3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  <w:highlight w:val="yellow"/>
              </w:rPr>
            </w:pPr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>Niedoczynność przytarczyc; osteodystrofia nerkowa; zaburzenia gospodarki wapniowej u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>pacjentów z przewlekłą niewydolnością nerek; hipokalcemia, zwłaszcza u pacjentów ze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schorzeniami prowadzącymi do upośledzenia </w:t>
            </w:r>
            <w:proofErr w:type="spellStart"/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>hydroksylacji</w:t>
            </w:r>
            <w:proofErr w:type="spellEnd"/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witaminy D w nerkach; zespoły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nerczycowe u dzieci po długotrwałym leczeniu </w:t>
            </w:r>
            <w:proofErr w:type="spellStart"/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>glikokortykosteroidami</w:t>
            </w:r>
            <w:proofErr w:type="spellEnd"/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>; osteoporoza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>postmenopauzalna</w:t>
            </w:r>
            <w:proofErr w:type="spellEnd"/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i starcza z jednoczesnym niedoborem witaminy D lub jej czynnych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817287">
              <w:rPr>
                <w:rFonts w:ascii="Lato" w:hAnsi="Lato" w:cstheme="majorHAnsi"/>
                <w:color w:val="000000"/>
                <w:sz w:val="18"/>
                <w:szCs w:val="18"/>
              </w:rPr>
              <w:t>metabolitów; krzywica i osteomalacja oporne na witaminę D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C0182" w14:textId="2CB6009C" w:rsidR="00C13E3E" w:rsidRPr="00D555FA" w:rsidRDefault="00C13E3E" w:rsidP="00C13E3E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F3B75">
              <w:rPr>
                <w:rFonts w:ascii="Lato" w:hAnsi="Lato" w:cstheme="majorHAnsi"/>
                <w:color w:val="000000"/>
                <w:sz w:val="18"/>
                <w:szCs w:val="18"/>
              </w:rPr>
              <w:t>Leczenie zaburzeń gospodarki wapniowo-fosforanowej i chorób metabolicznych kości, w tym związanych z przewlekłą chorobą nerek, niedoborem witaminy D oraz osteoporozą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F358B7" w:rsidRPr="004D093B" w14:paraId="6E8A1919" w14:textId="77777777" w:rsidTr="00CB1A9C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E10016" w14:textId="2E051A24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2.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CD168B" w14:textId="12DB7D3A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Różne nazwy handlowe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E6C870" w14:textId="095FE214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B25AAB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duloksetyna</w:t>
            </w:r>
            <w:proofErr w:type="spellEnd"/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A42092" w14:textId="3E70E219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D555FA">
              <w:rPr>
                <w:rFonts w:ascii="Lato" w:hAnsi="Lato" w:cstheme="majorHAnsi"/>
                <w:color w:val="000000"/>
                <w:sz w:val="18"/>
                <w:szCs w:val="18"/>
              </w:rPr>
              <w:t>Leczenie epizodu depresyjnego lub zaburzeń depresyjnych nawracających u dorosłych (ICD-10 F32, F33)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823724" w14:textId="0B9EA1D7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Z</w:t>
            </w:r>
            <w:r w:rsidRPr="00B25AAB">
              <w:rPr>
                <w:rFonts w:ascii="Lato" w:hAnsi="Lato" w:cstheme="majorHAnsi"/>
                <w:color w:val="000000"/>
                <w:sz w:val="18"/>
                <w:szCs w:val="18"/>
              </w:rPr>
              <w:t>modyfikowano wskazanie z uwagi na jego niespójność pomiędzy częścią opisową a wymienionymi kodami ICD-10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F358B7" w:rsidRPr="004D093B" w14:paraId="0C276518" w14:textId="77777777" w:rsidTr="00CB1A9C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BAF0A7" w14:textId="6F6C393E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3.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AF24A9" w14:textId="5FB376E4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  <w:highlight w:val="yellow"/>
              </w:rPr>
            </w:pPr>
            <w:proofErr w:type="spellStart"/>
            <w:r w:rsidRPr="009A712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D</w:t>
            </w:r>
            <w:r w:rsidRPr="009A7125">
              <w:rPr>
                <w:rFonts w:ascii="Lato" w:hAnsi="Lato" w:cstheme="majorHAnsi"/>
                <w:b/>
                <w:bCs/>
                <w:sz w:val="18"/>
                <w:szCs w:val="18"/>
              </w:rPr>
              <w:t>uphaston</w:t>
            </w:r>
            <w:proofErr w:type="spellEnd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br/>
            </w:r>
            <w:proofErr w:type="spellStart"/>
            <w:r w:rsidRPr="009A712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V</w:t>
            </w:r>
            <w:r w:rsidRPr="009A7125">
              <w:rPr>
                <w:rFonts w:ascii="Lato" w:hAnsi="Lato" w:cstheme="majorHAnsi"/>
                <w:b/>
                <w:bCs/>
                <w:sz w:val="18"/>
                <w:szCs w:val="18"/>
              </w:rPr>
              <w:t>elenta</w:t>
            </w:r>
            <w:proofErr w:type="spellEnd"/>
            <w:r>
              <w:rPr>
                <w:rFonts w:ascii="Lato" w:hAnsi="Lato" w:cstheme="majorHAnsi"/>
                <w:b/>
                <w:bCs/>
                <w:sz w:val="18"/>
                <w:szCs w:val="18"/>
              </w:rPr>
              <w:br/>
            </w:r>
            <w:proofErr w:type="spellStart"/>
            <w:r w:rsidRPr="009A712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V</w:t>
            </w:r>
            <w:r w:rsidRPr="009A7125">
              <w:rPr>
                <w:rFonts w:ascii="Lato" w:hAnsi="Lato" w:cstheme="majorHAnsi"/>
                <w:b/>
                <w:bCs/>
                <w:sz w:val="18"/>
                <w:szCs w:val="18"/>
              </w:rPr>
              <w:t>ivaston</w:t>
            </w:r>
            <w:proofErr w:type="spellEnd"/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1E5A1D" w14:textId="02E4F51B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  <w:highlight w:val="yellow"/>
              </w:rPr>
            </w:pPr>
            <w:proofErr w:type="spellStart"/>
            <w:r w:rsidRPr="009A712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d</w:t>
            </w:r>
            <w:r w:rsidRPr="009A7125">
              <w:rPr>
                <w:rFonts w:ascii="Lato" w:hAnsi="Lato" w:cstheme="majorHAnsi"/>
                <w:i/>
                <w:iCs/>
                <w:sz w:val="18"/>
                <w:szCs w:val="18"/>
              </w:rPr>
              <w:t>ydrogesteron</w:t>
            </w:r>
            <w:proofErr w:type="spellEnd"/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73C189" w14:textId="249BABFB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Niedobory progesteronu: leczenie bolesnego miesiączkowania; leczenie </w:t>
            </w:r>
            <w:proofErr w:type="spellStart"/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>endometriozy</w:t>
            </w:r>
            <w:proofErr w:type="spellEnd"/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>; leczenie wtórnego braku miesiączki; leczenie nieregularnych cykli miesiączkowych; leczenie nieprawidłowych krwawień z macicy; leczenie poronień nawykowych, leczenie bezpłodności związanej z niewydolnością ciałka żółtego; Hormonalna terapia zastępcza.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21853F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Objęcie refundacją nowej substancji czynnej stosowanej przy niedoborach progesteronu oraz w hormonalnej terapii zastępczej.</w:t>
            </w:r>
          </w:p>
          <w:p w14:paraId="41D464AF" w14:textId="380169D3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  <w:highlight w:val="yellow"/>
              </w:rPr>
            </w:pPr>
            <w:r w:rsidRPr="004D77E0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klinicznej.</w:t>
            </w:r>
          </w:p>
        </w:tc>
      </w:tr>
      <w:tr w:rsidR="00F358B7" w:rsidRPr="004D093B" w14:paraId="7D7E91CA" w14:textId="77777777" w:rsidTr="00CB1A9C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480766" w14:textId="28C745B4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4.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50A461" w14:textId="29459661" w:rsidR="00F358B7" w:rsidRPr="0081728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A712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Reseligo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br/>
            </w:r>
            <w:proofErr w:type="spellStart"/>
            <w:r w:rsidRPr="009A712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Xanderla</w:t>
            </w:r>
            <w:proofErr w:type="spellEnd"/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BEEC49" w14:textId="6DA6BFBB" w:rsidR="00F358B7" w:rsidRPr="0081728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9A712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goserelina</w:t>
            </w:r>
            <w:proofErr w:type="spellEnd"/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B9E90" w14:textId="3116677D" w:rsidR="00F358B7" w:rsidRPr="0081728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</w:t>
            </w:r>
            <w:proofErr w:type="spellStart"/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>endometriozy</w:t>
            </w:r>
            <w:proofErr w:type="spellEnd"/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, łagodzenie objawów choroby, w tym </w:t>
            </w:r>
            <w:proofErr w:type="gramStart"/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>bólu,</w:t>
            </w:r>
            <w:proofErr w:type="gramEnd"/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oraz zmniejszenie rozmiarów i liczbę zmian </w:t>
            </w:r>
            <w:proofErr w:type="spellStart"/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>endometrialnych</w:t>
            </w:r>
            <w:proofErr w:type="spellEnd"/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8CF84F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F84049">
              <w:rPr>
                <w:rFonts w:ascii="Lato" w:hAnsi="Lato" w:cstheme="majorHAnsi"/>
                <w:color w:val="000000"/>
                <w:sz w:val="18"/>
                <w:szCs w:val="18"/>
              </w:rPr>
              <w:t>Objęcie refundacją nowego wskazania klinicznego w stosunku do dotychczas ujętej na wykazie substancji czynnej.</w:t>
            </w:r>
          </w:p>
          <w:p w14:paraId="121EB6A2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</w:p>
          <w:p w14:paraId="347EBF53" w14:textId="3F5126B7" w:rsidR="00F358B7" w:rsidRPr="009F3B75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4D77E0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klinicznej.</w:t>
            </w:r>
          </w:p>
        </w:tc>
      </w:tr>
      <w:tr w:rsidR="00F358B7" w:rsidRPr="004D093B" w14:paraId="76066A5E" w14:textId="77777777" w:rsidTr="00C13E3E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FB8FD2" w14:textId="7C573EDB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lastRenderedPageBreak/>
              <w:t>5.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C93116" w14:textId="2747075C" w:rsidR="00F358B7" w:rsidRPr="009F3B75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3755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Hydroxychloroquine</w:t>
            </w:r>
            <w:proofErr w:type="spellEnd"/>
            <w:r w:rsidRPr="003755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3755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Adamed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37558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Hydroquenin</w:t>
            </w:r>
            <w:proofErr w:type="spellEnd"/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6CE741" w14:textId="6AF215D5" w:rsidR="00F358B7" w:rsidRPr="009F3B75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r w:rsidRPr="0037558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hydroksychlorochiny siarczan</w:t>
            </w:r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08B09" w14:textId="5AE04C82" w:rsidR="00F358B7" w:rsidRPr="009F3B75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375585">
              <w:rPr>
                <w:rFonts w:ascii="Lato" w:hAnsi="Lato" w:cstheme="majorHAnsi"/>
                <w:color w:val="000000"/>
                <w:sz w:val="18"/>
                <w:szCs w:val="18"/>
              </w:rPr>
              <w:t>Leczenie u dorosłych pacjentów: reumatoidalne zapalenie stawów, toczeń rumieniowaty układowy, toczeń rumieniowaty krążkowy; Leczenie u dzieci i młodzieży (≥ 6 lat i masie ≥ 31 kg): młodzieńcze idiopatyczne zapalenie stawów (w skojarzeniu z innymi terapiami), toczeń rumieniowaty układowy, toczeń rumieniowaty krążkowy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128F0B" w14:textId="7F747E1F" w:rsidR="00F358B7" w:rsidRPr="009F3B75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375585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klinicznej.</w:t>
            </w:r>
          </w:p>
        </w:tc>
      </w:tr>
      <w:tr w:rsidR="00F358B7" w:rsidRPr="004D093B" w14:paraId="2251D4CD" w14:textId="77777777" w:rsidTr="00C13E3E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0928A0" w14:textId="1342E3C7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6.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685FB6" w14:textId="331758CF" w:rsidR="00F358B7" w:rsidRPr="00AE10D5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A712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Pergoveris</w:t>
            </w:r>
            <w:proofErr w:type="spellEnd"/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C9DF0" w14:textId="21B6C642" w:rsidR="00F358B7" w:rsidRPr="005E1A4A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 w:rsidRPr="009A7125">
              <w:rPr>
                <w:rFonts w:ascii="Lato" w:hAnsi="Lato" w:cstheme="majorHAnsi"/>
                <w:i/>
                <w:iCs/>
                <w:sz w:val="18"/>
                <w:szCs w:val="18"/>
              </w:rPr>
              <w:t>lutropina</w:t>
            </w:r>
            <w:proofErr w:type="spellEnd"/>
            <w:r w:rsidRPr="009A7125">
              <w:rPr>
                <w:rFonts w:ascii="Lato" w:hAnsi="Lato" w:cstheme="majorHAnsi"/>
                <w:i/>
                <w:iCs/>
                <w:sz w:val="18"/>
                <w:szCs w:val="18"/>
              </w:rPr>
              <w:t xml:space="preserve"> alfa + </w:t>
            </w:r>
            <w:proofErr w:type="spellStart"/>
            <w:r w:rsidRPr="009A7125">
              <w:rPr>
                <w:rFonts w:ascii="Lato" w:hAnsi="Lato" w:cstheme="majorHAnsi"/>
                <w:i/>
                <w:iCs/>
                <w:sz w:val="18"/>
                <w:szCs w:val="18"/>
              </w:rPr>
              <w:t>folitropina</w:t>
            </w:r>
            <w:proofErr w:type="spellEnd"/>
            <w:r w:rsidRPr="009A7125">
              <w:rPr>
                <w:rFonts w:ascii="Lato" w:hAnsi="Lato" w:cstheme="majorHAnsi"/>
                <w:i/>
                <w:iCs/>
                <w:sz w:val="18"/>
                <w:szCs w:val="18"/>
              </w:rPr>
              <w:t xml:space="preserve"> alfa</w:t>
            </w:r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B3CB57" w14:textId="7BE08945" w:rsidR="00F358B7" w:rsidRPr="00AE10D5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A7125">
              <w:rPr>
                <w:rFonts w:ascii="Lato" w:hAnsi="Lato" w:cstheme="majorHAnsi"/>
                <w:color w:val="000000"/>
                <w:sz w:val="18"/>
                <w:szCs w:val="18"/>
              </w:rPr>
              <w:t>Stymulacja wzrostu pęcherzyków jajnikowych u pacjentek w wieku poniżej 40 roku życia ze znacznym niedoborem LH i FSH – refundacja do 3 cykli; Pacjenci zakwalifikowani do programu polityki zdrowotnej: leczenie niepłodności obejmujące procedury medycznie wspomaganej prokreacji, w tym zapłodnienie pozaustrojowe prowadzone w ośrodku medycznie wspomaganej prokreacji, na lata 2024-2028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FF1E37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Objęcie refundacją leku zawierającego skojarzenie dwóch gonadotropin stosowanych w technikach wspomaganego rozrodu.</w:t>
            </w:r>
          </w:p>
          <w:p w14:paraId="0F8CA991" w14:textId="29371174" w:rsidR="00F358B7" w:rsidRPr="005E1A4A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4D77E0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klinicznej.</w:t>
            </w:r>
          </w:p>
        </w:tc>
      </w:tr>
      <w:tr w:rsidR="00F358B7" w:rsidRPr="004D093B" w14:paraId="7BD93C60" w14:textId="77777777" w:rsidTr="00C13E3E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C1147" w14:textId="2B4A1724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7.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A55127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3B7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Androtop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,</w:t>
            </w:r>
          </w:p>
          <w:p w14:paraId="570FA3D0" w14:textId="21271FFC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9F3B7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Seltigex</w:t>
            </w:r>
            <w:proofErr w:type="spellEnd"/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C464C" w14:textId="7502BFB7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9F3B75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estosteronum</w:t>
            </w:r>
            <w:proofErr w:type="spellEnd"/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17C06" w14:textId="0581C007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F3B7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testosteronową terapią zastępczą w </w:t>
            </w:r>
            <w:proofErr w:type="spellStart"/>
            <w:r w:rsidRPr="009F3B75">
              <w:rPr>
                <w:rFonts w:ascii="Lato" w:hAnsi="Lato" w:cstheme="majorHAnsi"/>
                <w:color w:val="000000"/>
                <w:sz w:val="18"/>
                <w:szCs w:val="18"/>
              </w:rPr>
              <w:t>hipogonadyzmie</w:t>
            </w:r>
            <w:proofErr w:type="spellEnd"/>
            <w:r w:rsidRPr="009F3B7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męskim u dorosłych pacjentów, gdy niedobór testosteronu jest potwierdzony przez objawy kliniczne i badania biochemiczne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0796C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9F3B7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Testosteronowa terapia zastępcza w </w:t>
            </w:r>
            <w:proofErr w:type="spellStart"/>
            <w:r w:rsidRPr="009F3B75">
              <w:rPr>
                <w:rFonts w:ascii="Lato" w:hAnsi="Lato" w:cstheme="majorHAnsi"/>
                <w:color w:val="000000"/>
                <w:sz w:val="18"/>
                <w:szCs w:val="18"/>
              </w:rPr>
              <w:t>hipogonadyzmie</w:t>
            </w:r>
            <w:proofErr w:type="spellEnd"/>
            <w:r w:rsidRPr="009F3B7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męskim u dorosłych pacjentów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562F9E50" w14:textId="562F1CDE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375585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F358B7" w:rsidRPr="004D093B" w14:paraId="22F7E12A" w14:textId="77777777" w:rsidTr="00C13E3E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A0157" w14:textId="7B79E896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8.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0228FD" w14:textId="68735B6B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53E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Testosterone</w:t>
            </w:r>
            <w:proofErr w:type="spellEnd"/>
            <w:r w:rsidRPr="00B653E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53E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enantate</w:t>
            </w:r>
            <w:proofErr w:type="spellEnd"/>
            <w:r w:rsidRPr="00B653E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EVER Pharma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EB6F90" w14:textId="2C8711DB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estosteroni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enantas</w:t>
            </w:r>
            <w:proofErr w:type="spellEnd"/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23D8AD" w14:textId="54C4CD4F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testosteronową terapią zastępczą w </w:t>
            </w:r>
            <w:proofErr w:type="spellStart"/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hipogonadyzmie</w:t>
            </w:r>
            <w:proofErr w:type="spellEnd"/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męskim u dorosłych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pacjentów, gdy niedobór testosteronu jest potwierdzony przez objawy kliniczne i badania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biochemiczne.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525DF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Testosteronowa terapia zastępcza w </w:t>
            </w:r>
            <w:proofErr w:type="spellStart"/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hipogonadyzmie</w:t>
            </w:r>
            <w:proofErr w:type="spellEnd"/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męskim u dorosłych pacjentów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2C3C5E3C" w14:textId="698A8B24" w:rsidR="00F358B7" w:rsidRPr="00B653E3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375585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F358B7" w:rsidRPr="004D093B" w14:paraId="6AFDE71F" w14:textId="77777777" w:rsidTr="00C13E3E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8A3628" w14:textId="480BC27B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9.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4C9CE3" w14:textId="0308C796" w:rsidR="00F358B7" w:rsidRPr="007610D8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B653E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Omnadren</w:t>
            </w:r>
            <w:proofErr w:type="spellEnd"/>
            <w:r w:rsidRPr="00B653E3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250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2B69C9" w14:textId="02DD815D" w:rsidR="00F358B7" w:rsidRPr="007610D8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estosteroni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propionas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estosteroni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phenylpropionas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estosteroni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isocaproas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+ </w:t>
            </w: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estosteroni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decanoas</w:t>
            </w:r>
            <w:proofErr w:type="spellEnd"/>
            <w:r w:rsidRPr="00B653E3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,</w:t>
            </w:r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861C23" w14:textId="3AA15901" w:rsidR="00F358B7" w:rsidRPr="007610D8" w:rsidRDefault="00A27AA6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testosteronową terapią zastępczą w </w:t>
            </w:r>
            <w:proofErr w:type="spellStart"/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t>hipogonadyzmie</w:t>
            </w:r>
            <w:proofErr w:type="spellEnd"/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męskim u dorosłych pacjentów, gdy niedobór testosteronu jest potwierdzony przez objawy kliniczne i badania biochemiczne</w:t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begin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separate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t>«wskazanie_ref_apteka»</w:t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end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begin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separate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t>«wskazanie_ref_apteka»</w:t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end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begin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separate"/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t>«wskazanie_ref_apteka»</w:t>
            </w:r>
            <w:r w:rsidRPr="00A27AA6">
              <w:rPr>
                <w:rFonts w:ascii="Lato" w:hAnsi="Lato" w:cstheme="majorHAnsi"/>
                <w:color w:val="000000"/>
                <w:sz w:val="18"/>
                <w:szCs w:val="18"/>
              </w:rPr>
              <w:fldChar w:fldCharType="end"/>
            </w:r>
            <w:r w:rsidR="00F358B7"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; Leczenie</w:t>
            </w:r>
            <w:r w:rsidR="00F358B7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="00F358B7"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opóźnionego dojrzewania u mężczyzn; Leczenie zespołów </w:t>
            </w:r>
            <w:proofErr w:type="spellStart"/>
            <w:r w:rsidR="00F358B7"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pokastracyjnych</w:t>
            </w:r>
            <w:proofErr w:type="spellEnd"/>
            <w:r w:rsidR="00F358B7"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u mężczyzn;</w:t>
            </w:r>
            <w:r w:rsidR="00F358B7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</w:t>
            </w:r>
            <w:r w:rsidR="00F358B7"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Leczenie impotencji spowodowanej niedoborem testosteronu u mężczyzn.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DE0A58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stanów związanych z niedoborem testosteronu u mężczyzn, w tym </w:t>
            </w:r>
            <w:proofErr w:type="spellStart"/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>hipogonadyzmu</w:t>
            </w:r>
            <w:proofErr w:type="spellEnd"/>
            <w:r w:rsidRPr="00B653E3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męskiego.</w:t>
            </w:r>
          </w:p>
          <w:p w14:paraId="54F23591" w14:textId="343FB977" w:rsidR="00F358B7" w:rsidRPr="007610D8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375585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  <w:tr w:rsidR="00F358B7" w:rsidRPr="004D093B" w14:paraId="11A64B8B" w14:textId="77777777" w:rsidTr="00C13E3E">
        <w:trPr>
          <w:cantSplit/>
        </w:trPr>
        <w:tc>
          <w:tcPr>
            <w:tcW w:w="24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B87953" w14:textId="3A93DDE2" w:rsidR="00F358B7" w:rsidRPr="004D093B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>
              <w:rPr>
                <w:rFonts w:ascii="Lato" w:hAnsi="Lato" w:cstheme="majorHAnsi"/>
                <w:color w:val="000000"/>
                <w:sz w:val="18"/>
                <w:szCs w:val="18"/>
              </w:rPr>
              <w:lastRenderedPageBreak/>
              <w:t>10.</w:t>
            </w:r>
          </w:p>
        </w:tc>
        <w:tc>
          <w:tcPr>
            <w:tcW w:w="8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AD670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AE10D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Testosterone</w:t>
            </w:r>
            <w:proofErr w:type="spellEnd"/>
            <w:r w:rsidRPr="00AE10D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0D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Undecanoate</w:t>
            </w:r>
            <w:proofErr w:type="spellEnd"/>
            <w:r w:rsidRPr="00AE10D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E10D5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Besins</w:t>
            </w:r>
            <w:proofErr w:type="spellEnd"/>
            <w:r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,</w:t>
            </w:r>
          </w:p>
          <w:p w14:paraId="3A133F4B" w14:textId="19C12FC0" w:rsidR="00F358B7" w:rsidRPr="007610D8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5E1A4A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Testosterone</w:t>
            </w:r>
            <w:proofErr w:type="spellEnd"/>
            <w:r w:rsidRPr="005E1A4A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1A4A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>Undecanoate</w:t>
            </w:r>
            <w:proofErr w:type="spellEnd"/>
            <w:r w:rsidRPr="005E1A4A">
              <w:rPr>
                <w:rFonts w:ascii="Lato" w:hAnsi="Lato" w:cstheme="majorHAnsi"/>
                <w:b/>
                <w:bCs/>
                <w:color w:val="000000"/>
                <w:sz w:val="18"/>
                <w:szCs w:val="18"/>
              </w:rPr>
              <w:t xml:space="preserve"> EVER Pharma</w:t>
            </w:r>
          </w:p>
        </w:tc>
        <w:tc>
          <w:tcPr>
            <w:tcW w:w="65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FE76E" w14:textId="2351A0E8" w:rsidR="00F358B7" w:rsidRPr="007610D8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t</w:t>
            </w:r>
            <w:r w:rsidRPr="005E1A4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estosteroni</w:t>
            </w:r>
            <w:proofErr w:type="spellEnd"/>
            <w:r w:rsidRPr="005E1A4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5E1A4A">
              <w:rPr>
                <w:rFonts w:ascii="Lato" w:hAnsi="Lato" w:cstheme="majorHAnsi"/>
                <w:i/>
                <w:iCs/>
                <w:color w:val="000000"/>
                <w:sz w:val="18"/>
                <w:szCs w:val="18"/>
              </w:rPr>
              <w:t>undecanoas</w:t>
            </w:r>
            <w:proofErr w:type="spellEnd"/>
          </w:p>
        </w:tc>
        <w:tc>
          <w:tcPr>
            <w:tcW w:w="193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0E2FDE" w14:textId="0D96BB0D" w:rsidR="00F358B7" w:rsidRPr="007610D8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AE10D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Leczenie testosteronową terapią zastępczą w </w:t>
            </w:r>
            <w:proofErr w:type="spellStart"/>
            <w:r w:rsidRPr="00AE10D5">
              <w:rPr>
                <w:rFonts w:ascii="Lato" w:hAnsi="Lato" w:cstheme="majorHAnsi"/>
                <w:color w:val="000000"/>
                <w:sz w:val="18"/>
                <w:szCs w:val="18"/>
              </w:rPr>
              <w:t>hipogonadyzmie</w:t>
            </w:r>
            <w:proofErr w:type="spellEnd"/>
            <w:r w:rsidRPr="00AE10D5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męskim u dorosłych pacjentów, gdy niedobór testosteronu jest potwierdzony przez objawy kliniczne i badania biochemiczne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  <w:tc>
          <w:tcPr>
            <w:tcW w:w="130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A23C" w14:textId="77777777" w:rsidR="00F358B7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5E1A4A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Testosteronowa terapia zastępcza w </w:t>
            </w:r>
            <w:proofErr w:type="spellStart"/>
            <w:r w:rsidRPr="005E1A4A">
              <w:rPr>
                <w:rFonts w:ascii="Lato" w:hAnsi="Lato" w:cstheme="majorHAnsi"/>
                <w:color w:val="000000"/>
                <w:sz w:val="18"/>
                <w:szCs w:val="18"/>
              </w:rPr>
              <w:t>hipogonadyzmie</w:t>
            </w:r>
            <w:proofErr w:type="spellEnd"/>
            <w:r w:rsidRPr="005E1A4A">
              <w:rPr>
                <w:rFonts w:ascii="Lato" w:hAnsi="Lato" w:cstheme="majorHAnsi"/>
                <w:color w:val="000000"/>
                <w:sz w:val="18"/>
                <w:szCs w:val="18"/>
              </w:rPr>
              <w:t xml:space="preserve"> męskim u dorosłych pacjentów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  <w:p w14:paraId="624F275F" w14:textId="1666C0B3" w:rsidR="00F358B7" w:rsidRPr="00F658F4" w:rsidRDefault="00F358B7" w:rsidP="00F358B7">
            <w:pPr>
              <w:spacing w:before="60" w:after="60" w:line="240" w:lineRule="auto"/>
              <w:jc w:val="center"/>
              <w:rPr>
                <w:rFonts w:ascii="Lato" w:hAnsi="Lato" w:cstheme="majorHAnsi"/>
                <w:color w:val="000000"/>
                <w:sz w:val="18"/>
                <w:szCs w:val="18"/>
              </w:rPr>
            </w:pPr>
            <w:r w:rsidRPr="00375585">
              <w:rPr>
                <w:rFonts w:ascii="Lato" w:hAnsi="Lato" w:cstheme="majorHAnsi"/>
                <w:color w:val="000000"/>
                <w:sz w:val="18"/>
                <w:szCs w:val="18"/>
              </w:rPr>
              <w:t>Refundacja w ramach trybu określonego w art. 30a ustawy o refundacji, tj. leków o ugruntowanej skuteczności klinicznej</w:t>
            </w:r>
            <w:r>
              <w:rPr>
                <w:rFonts w:ascii="Lato" w:hAnsi="Lato" w:cstheme="majorHAnsi"/>
                <w:color w:val="000000"/>
                <w:sz w:val="18"/>
                <w:szCs w:val="18"/>
              </w:rPr>
              <w:t>.</w:t>
            </w:r>
          </w:p>
        </w:tc>
      </w:tr>
    </w:tbl>
    <w:p w14:paraId="6B996492" w14:textId="0986F7C0" w:rsidR="009D10B8" w:rsidRDefault="009D10B8" w:rsidP="0013043A">
      <w:pPr>
        <w:suppressAutoHyphens w:val="0"/>
        <w:rPr>
          <w:rFonts w:ascii="Lato" w:hAnsi="Lato"/>
          <w:b/>
          <w:bCs/>
          <w:color w:val="00B0F0"/>
        </w:rPr>
      </w:pPr>
    </w:p>
    <w:sectPr w:rsidR="009D10B8" w:rsidSect="005058F2">
      <w:headerReference w:type="first" r:id="rId7"/>
      <w:pgSz w:w="16838" w:h="11906" w:orient="landscape"/>
      <w:pgMar w:top="1417" w:right="1417" w:bottom="1417" w:left="1417" w:header="708" w:footer="708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DA338" w14:textId="77777777" w:rsidR="003E28D1" w:rsidRDefault="003E28D1">
      <w:pPr>
        <w:spacing w:after="0" w:line="240" w:lineRule="auto"/>
      </w:pPr>
      <w:r>
        <w:separator/>
      </w:r>
    </w:p>
  </w:endnote>
  <w:endnote w:type="continuationSeparator" w:id="0">
    <w:p w14:paraId="0B613E99" w14:textId="77777777" w:rsidR="003E28D1" w:rsidRDefault="003E2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D35004" w14:textId="77777777" w:rsidR="003E28D1" w:rsidRDefault="003E28D1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934FADF" w14:textId="77777777" w:rsidR="003E28D1" w:rsidRDefault="003E2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F36CF" w14:textId="4633511D" w:rsidR="005058F2" w:rsidRDefault="00143D0B">
    <w:pPr>
      <w:pStyle w:val="Nagwek"/>
    </w:pPr>
    <w:bookmarkStart w:id="3" w:name="_Hlk74147372"/>
    <w:bookmarkEnd w:id="3"/>
    <w:r>
      <w:rPr>
        <w:noProof/>
        <w:lang w:eastAsia="pl-PL"/>
      </w:rPr>
      <w:drawing>
        <wp:inline distT="0" distB="0" distL="0" distR="0" wp14:anchorId="39BB8D04" wp14:editId="6B1DB73B">
          <wp:extent cx="2381885" cy="1061720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nowakowski\AppData\Local\Microsoft\Windows\INetCache\Content.Word\01_znak_podstawowy_kolor_biale_tlo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81885" cy="1061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3136"/>
    <w:multiLevelType w:val="hybridMultilevel"/>
    <w:tmpl w:val="8764B016"/>
    <w:lvl w:ilvl="0" w:tplc="602CEA8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3163CA"/>
    <w:multiLevelType w:val="hybridMultilevel"/>
    <w:tmpl w:val="0DE0BC64"/>
    <w:lvl w:ilvl="0" w:tplc="CEC4EFEE">
      <w:start w:val="1"/>
      <w:numFmt w:val="bullet"/>
      <w:lvlText w:val="•"/>
      <w:lvlJc w:val="left"/>
      <w:pPr>
        <w:ind w:left="1049" w:firstLine="227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0D2743CD"/>
    <w:multiLevelType w:val="hybridMultilevel"/>
    <w:tmpl w:val="C2FA7544"/>
    <w:lvl w:ilvl="0" w:tplc="04150001">
      <w:start w:val="1"/>
      <w:numFmt w:val="bullet"/>
      <w:lvlText w:val=""/>
      <w:lvlJc w:val="left"/>
      <w:pPr>
        <w:ind w:left="-1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47" w:hanging="360"/>
      </w:pPr>
      <w:rPr>
        <w:rFonts w:ascii="Wingdings" w:hAnsi="Wingdings" w:hint="default"/>
      </w:rPr>
    </w:lvl>
  </w:abstractNum>
  <w:abstractNum w:abstractNumId="3" w15:restartNumberingAfterBreak="0">
    <w:nsid w:val="10D60DA8"/>
    <w:multiLevelType w:val="hybridMultilevel"/>
    <w:tmpl w:val="1784803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FE0EDD"/>
    <w:multiLevelType w:val="hybridMultilevel"/>
    <w:tmpl w:val="AD006D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F2875"/>
    <w:multiLevelType w:val="hybridMultilevel"/>
    <w:tmpl w:val="1EC49BCA"/>
    <w:lvl w:ilvl="0" w:tplc="5A3E6A72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E83431"/>
    <w:multiLevelType w:val="hybridMultilevel"/>
    <w:tmpl w:val="ABB6E3FC"/>
    <w:lvl w:ilvl="0" w:tplc="FC0269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A42910"/>
    <w:multiLevelType w:val="hybridMultilevel"/>
    <w:tmpl w:val="10004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757CAC"/>
    <w:multiLevelType w:val="multilevel"/>
    <w:tmpl w:val="0A84EA68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27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227" w:hanging="227"/>
      </w:pPr>
      <w:rPr>
        <w:rFonts w:hint="default"/>
        <w:b/>
        <w:bCs/>
        <w:i w:val="0"/>
      </w:rPr>
    </w:lvl>
    <w:lvl w:ilvl="3">
      <w:start w:val="1"/>
      <w:numFmt w:val="decimal"/>
      <w:suff w:val="space"/>
      <w:lvlText w:val="%4)"/>
      <w:lvlJc w:val="left"/>
      <w:pPr>
        <w:ind w:left="454" w:hanging="227"/>
      </w:pPr>
      <w:rPr>
        <w:rFonts w:hint="default"/>
        <w:b w:val="0"/>
        <w:bCs w:val="0"/>
      </w:rPr>
    </w:lvl>
    <w:lvl w:ilvl="4">
      <w:start w:val="1"/>
      <w:numFmt w:val="lowerLetter"/>
      <w:suff w:val="space"/>
      <w:lvlText w:val="%5)"/>
      <w:lvlJc w:val="left"/>
      <w:pPr>
        <w:ind w:left="680" w:hanging="226"/>
      </w:pPr>
      <w:rPr>
        <w:rFonts w:hint="default"/>
        <w:b w:val="0"/>
        <w:bCs/>
      </w:rPr>
    </w:lvl>
    <w:lvl w:ilvl="5">
      <w:start w:val="1"/>
      <w:numFmt w:val="bullet"/>
      <w:lvlText w:val=""/>
      <w:lvlJc w:val="left"/>
      <w:pPr>
        <w:ind w:left="907" w:hanging="227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113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6" w:hanging="1440"/>
      </w:pPr>
      <w:rPr>
        <w:rFonts w:hint="default"/>
      </w:rPr>
    </w:lvl>
  </w:abstractNum>
  <w:abstractNum w:abstractNumId="9" w15:restartNumberingAfterBreak="0">
    <w:nsid w:val="1E346ADB"/>
    <w:multiLevelType w:val="multilevel"/>
    <w:tmpl w:val="887C7392"/>
    <w:lvl w:ilvl="0">
      <w:start w:val="1"/>
      <w:numFmt w:val="decimal"/>
      <w:suff w:val="space"/>
      <w:lvlText w:val="%1."/>
      <w:lvlJc w:val="left"/>
      <w:pPr>
        <w:ind w:left="227" w:hanging="227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227" w:hanging="227"/>
      </w:pPr>
      <w:rPr>
        <w:rFonts w:hint="default"/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227" w:hanging="227"/>
      </w:pPr>
      <w:rPr>
        <w:rFonts w:hint="default"/>
        <w:b/>
        <w:bCs/>
        <w:i w:val="0"/>
      </w:rPr>
    </w:lvl>
    <w:lvl w:ilvl="3">
      <w:start w:val="1"/>
      <w:numFmt w:val="decimal"/>
      <w:suff w:val="space"/>
      <w:lvlText w:val="%4)"/>
      <w:lvlJc w:val="left"/>
      <w:pPr>
        <w:ind w:left="454" w:hanging="227"/>
      </w:pPr>
      <w:rPr>
        <w:rFonts w:hint="default"/>
        <w:b w:val="0"/>
        <w:bCs w:val="0"/>
      </w:rPr>
    </w:lvl>
    <w:lvl w:ilvl="4">
      <w:start w:val="1"/>
      <w:numFmt w:val="lowerLetter"/>
      <w:suff w:val="space"/>
      <w:lvlText w:val="%5)"/>
      <w:lvlJc w:val="left"/>
      <w:pPr>
        <w:ind w:left="680" w:hanging="226"/>
      </w:pPr>
      <w:rPr>
        <w:rFonts w:hint="default"/>
      </w:rPr>
    </w:lvl>
    <w:lvl w:ilvl="5">
      <w:start w:val="1"/>
      <w:numFmt w:val="bullet"/>
      <w:lvlText w:val=""/>
      <w:lvlJc w:val="left"/>
      <w:pPr>
        <w:ind w:left="907" w:hanging="227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1134" w:hanging="22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5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26" w:hanging="1440"/>
      </w:pPr>
      <w:rPr>
        <w:rFonts w:hint="default"/>
      </w:rPr>
    </w:lvl>
  </w:abstractNum>
  <w:abstractNum w:abstractNumId="10" w15:restartNumberingAfterBreak="0">
    <w:nsid w:val="26CF102F"/>
    <w:multiLevelType w:val="hybridMultilevel"/>
    <w:tmpl w:val="863AC064"/>
    <w:lvl w:ilvl="0" w:tplc="B368382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F91E53"/>
    <w:multiLevelType w:val="hybridMultilevel"/>
    <w:tmpl w:val="E0781596"/>
    <w:lvl w:ilvl="0" w:tplc="FC0269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4F3043"/>
    <w:multiLevelType w:val="hybridMultilevel"/>
    <w:tmpl w:val="7F041AF0"/>
    <w:lvl w:ilvl="0" w:tplc="07E64A30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30" w:hanging="360"/>
      </w:pPr>
    </w:lvl>
    <w:lvl w:ilvl="2" w:tplc="0415001B" w:tentative="1">
      <w:start w:val="1"/>
      <w:numFmt w:val="lowerRoman"/>
      <w:lvlText w:val="%3."/>
      <w:lvlJc w:val="right"/>
      <w:pPr>
        <w:ind w:left="1850" w:hanging="180"/>
      </w:pPr>
    </w:lvl>
    <w:lvl w:ilvl="3" w:tplc="0415000F" w:tentative="1">
      <w:start w:val="1"/>
      <w:numFmt w:val="decimal"/>
      <w:lvlText w:val="%4."/>
      <w:lvlJc w:val="left"/>
      <w:pPr>
        <w:ind w:left="2570" w:hanging="360"/>
      </w:pPr>
    </w:lvl>
    <w:lvl w:ilvl="4" w:tplc="04150019" w:tentative="1">
      <w:start w:val="1"/>
      <w:numFmt w:val="lowerLetter"/>
      <w:lvlText w:val="%5."/>
      <w:lvlJc w:val="left"/>
      <w:pPr>
        <w:ind w:left="3290" w:hanging="360"/>
      </w:pPr>
    </w:lvl>
    <w:lvl w:ilvl="5" w:tplc="0415001B" w:tentative="1">
      <w:start w:val="1"/>
      <w:numFmt w:val="lowerRoman"/>
      <w:lvlText w:val="%6."/>
      <w:lvlJc w:val="right"/>
      <w:pPr>
        <w:ind w:left="4010" w:hanging="180"/>
      </w:pPr>
    </w:lvl>
    <w:lvl w:ilvl="6" w:tplc="0415000F" w:tentative="1">
      <w:start w:val="1"/>
      <w:numFmt w:val="decimal"/>
      <w:lvlText w:val="%7."/>
      <w:lvlJc w:val="left"/>
      <w:pPr>
        <w:ind w:left="4730" w:hanging="360"/>
      </w:pPr>
    </w:lvl>
    <w:lvl w:ilvl="7" w:tplc="04150019" w:tentative="1">
      <w:start w:val="1"/>
      <w:numFmt w:val="lowerLetter"/>
      <w:lvlText w:val="%8."/>
      <w:lvlJc w:val="left"/>
      <w:pPr>
        <w:ind w:left="5450" w:hanging="360"/>
      </w:pPr>
    </w:lvl>
    <w:lvl w:ilvl="8" w:tplc="0415001B" w:tentative="1">
      <w:start w:val="1"/>
      <w:numFmt w:val="lowerRoman"/>
      <w:lvlText w:val="%9."/>
      <w:lvlJc w:val="right"/>
      <w:pPr>
        <w:ind w:left="6170" w:hanging="180"/>
      </w:pPr>
    </w:lvl>
  </w:abstractNum>
  <w:abstractNum w:abstractNumId="13" w15:restartNumberingAfterBreak="0">
    <w:nsid w:val="393F60CD"/>
    <w:multiLevelType w:val="hybridMultilevel"/>
    <w:tmpl w:val="758009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CE0B82"/>
    <w:multiLevelType w:val="hybridMultilevel"/>
    <w:tmpl w:val="386CF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3C6885"/>
    <w:multiLevelType w:val="hybridMultilevel"/>
    <w:tmpl w:val="0B8ECA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A43569"/>
    <w:multiLevelType w:val="hybridMultilevel"/>
    <w:tmpl w:val="34262254"/>
    <w:lvl w:ilvl="0" w:tplc="042EBB4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340582"/>
    <w:multiLevelType w:val="hybridMultilevel"/>
    <w:tmpl w:val="19703E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0550F8"/>
    <w:multiLevelType w:val="hybridMultilevel"/>
    <w:tmpl w:val="06123F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5F6E8B"/>
    <w:multiLevelType w:val="multilevel"/>
    <w:tmpl w:val="C32AD0A0"/>
    <w:lvl w:ilvl="0">
      <w:start w:val="1"/>
      <w:numFmt w:val="decimal"/>
      <w:suff w:val="space"/>
      <w:lvlText w:val="%1."/>
      <w:lvlJc w:val="left"/>
      <w:pPr>
        <w:ind w:left="227" w:hanging="227"/>
      </w:pPr>
      <w:rPr>
        <w:b/>
      </w:rPr>
    </w:lvl>
    <w:lvl w:ilvl="1">
      <w:start w:val="1"/>
      <w:numFmt w:val="decimal"/>
      <w:suff w:val="space"/>
      <w:lvlText w:val="%1.%2."/>
      <w:lvlJc w:val="left"/>
      <w:pPr>
        <w:ind w:left="227" w:hanging="227"/>
      </w:pPr>
      <w:rPr>
        <w:b/>
        <w:bCs/>
      </w:rPr>
    </w:lvl>
    <w:lvl w:ilvl="2">
      <w:start w:val="1"/>
      <w:numFmt w:val="decimal"/>
      <w:suff w:val="space"/>
      <w:lvlText w:val="%1.%2.%3."/>
      <w:lvlJc w:val="left"/>
      <w:pPr>
        <w:ind w:left="227" w:hanging="227"/>
      </w:pPr>
      <w:rPr>
        <w:b/>
        <w:bCs/>
        <w:i w:val="0"/>
      </w:rPr>
    </w:lvl>
    <w:lvl w:ilvl="3">
      <w:start w:val="1"/>
      <w:numFmt w:val="decimal"/>
      <w:suff w:val="space"/>
      <w:lvlText w:val="%4)"/>
      <w:lvlJc w:val="left"/>
      <w:pPr>
        <w:ind w:left="454" w:hanging="227"/>
      </w:pPr>
      <w:rPr>
        <w:b w:val="0"/>
        <w:bCs/>
        <w:strike w:val="0"/>
      </w:rPr>
    </w:lvl>
    <w:lvl w:ilvl="4">
      <w:start w:val="1"/>
      <w:numFmt w:val="lowerLetter"/>
      <w:suff w:val="space"/>
      <w:lvlText w:val="%5)"/>
      <w:lvlJc w:val="left"/>
      <w:pPr>
        <w:ind w:left="680" w:hanging="226"/>
      </w:pPr>
    </w:lvl>
    <w:lvl w:ilvl="5">
      <w:start w:val="1"/>
      <w:numFmt w:val="bullet"/>
      <w:lvlText w:val=""/>
      <w:lvlJc w:val="left"/>
      <w:pPr>
        <w:ind w:left="907" w:hanging="227"/>
      </w:pPr>
      <w:rPr>
        <w:rFonts w:ascii="Symbol" w:hAnsi="Symbol" w:hint="default"/>
      </w:rPr>
    </w:lvl>
    <w:lvl w:ilvl="6">
      <w:start w:val="1"/>
      <w:numFmt w:val="lowerRoman"/>
      <w:lvlText w:val="%7."/>
      <w:lvlJc w:val="left"/>
      <w:pPr>
        <w:ind w:left="1134" w:hanging="227"/>
      </w:pPr>
    </w:lvl>
    <w:lvl w:ilvl="7">
      <w:start w:val="1"/>
      <w:numFmt w:val="decimal"/>
      <w:lvlText w:val="%1.%2.%3.%4.%5.%6.%7.%8."/>
      <w:lvlJc w:val="left"/>
      <w:pPr>
        <w:ind w:left="3950" w:hanging="1224"/>
      </w:pPr>
    </w:lvl>
    <w:lvl w:ilvl="8">
      <w:start w:val="1"/>
      <w:numFmt w:val="decimal"/>
      <w:lvlText w:val="%1.%2.%3.%4.%5.%6.%7.%8.%9."/>
      <w:lvlJc w:val="left"/>
      <w:pPr>
        <w:ind w:left="4526" w:hanging="1440"/>
      </w:pPr>
    </w:lvl>
  </w:abstractNum>
  <w:abstractNum w:abstractNumId="20" w15:restartNumberingAfterBreak="0">
    <w:nsid w:val="4EBA728E"/>
    <w:multiLevelType w:val="hybridMultilevel"/>
    <w:tmpl w:val="1748AC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072792B"/>
    <w:multiLevelType w:val="hybridMultilevel"/>
    <w:tmpl w:val="75AA86A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54493A"/>
    <w:multiLevelType w:val="hybridMultilevel"/>
    <w:tmpl w:val="911C4334"/>
    <w:lvl w:ilvl="0" w:tplc="B83C8D8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B03E5C"/>
    <w:multiLevelType w:val="hybridMultilevel"/>
    <w:tmpl w:val="FF32B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FF5C7F"/>
    <w:multiLevelType w:val="hybridMultilevel"/>
    <w:tmpl w:val="5AF27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7A37F3"/>
    <w:multiLevelType w:val="hybridMultilevel"/>
    <w:tmpl w:val="8764B016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3F0D0B"/>
    <w:multiLevelType w:val="hybridMultilevel"/>
    <w:tmpl w:val="3A2E6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594C8D"/>
    <w:multiLevelType w:val="hybridMultilevel"/>
    <w:tmpl w:val="10004B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324C5B"/>
    <w:multiLevelType w:val="hybridMultilevel"/>
    <w:tmpl w:val="01F6A7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2068946">
    <w:abstractNumId w:val="7"/>
  </w:num>
  <w:num w:numId="2" w16cid:durableId="983047750">
    <w:abstractNumId w:val="5"/>
  </w:num>
  <w:num w:numId="3" w16cid:durableId="912206815">
    <w:abstractNumId w:val="8"/>
  </w:num>
  <w:num w:numId="4" w16cid:durableId="191924158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262071">
    <w:abstractNumId w:val="27"/>
  </w:num>
  <w:num w:numId="6" w16cid:durableId="1164782895">
    <w:abstractNumId w:val="6"/>
  </w:num>
  <w:num w:numId="7" w16cid:durableId="1764568987">
    <w:abstractNumId w:val="11"/>
  </w:num>
  <w:num w:numId="8" w16cid:durableId="1605840971">
    <w:abstractNumId w:val="12"/>
  </w:num>
  <w:num w:numId="9" w16cid:durableId="969629549">
    <w:abstractNumId w:val="24"/>
  </w:num>
  <w:num w:numId="10" w16cid:durableId="1576276737">
    <w:abstractNumId w:val="2"/>
  </w:num>
  <w:num w:numId="11" w16cid:durableId="409036424">
    <w:abstractNumId w:val="28"/>
  </w:num>
  <w:num w:numId="12" w16cid:durableId="1526747669">
    <w:abstractNumId w:val="4"/>
  </w:num>
  <w:num w:numId="13" w16cid:durableId="1746950255">
    <w:abstractNumId w:val="13"/>
  </w:num>
  <w:num w:numId="14" w16cid:durableId="329715522">
    <w:abstractNumId w:val="15"/>
  </w:num>
  <w:num w:numId="15" w16cid:durableId="1837842867">
    <w:abstractNumId w:val="14"/>
  </w:num>
  <w:num w:numId="16" w16cid:durableId="1970238000">
    <w:abstractNumId w:val="26"/>
  </w:num>
  <w:num w:numId="17" w16cid:durableId="485172914">
    <w:abstractNumId w:val="19"/>
  </w:num>
  <w:num w:numId="18" w16cid:durableId="338780148">
    <w:abstractNumId w:val="9"/>
  </w:num>
  <w:num w:numId="19" w16cid:durableId="1977641737">
    <w:abstractNumId w:val="2"/>
  </w:num>
  <w:num w:numId="20" w16cid:durableId="1099830501">
    <w:abstractNumId w:val="1"/>
  </w:num>
  <w:num w:numId="21" w16cid:durableId="1796680411">
    <w:abstractNumId w:val="21"/>
  </w:num>
  <w:num w:numId="22" w16cid:durableId="1157845039">
    <w:abstractNumId w:val="20"/>
  </w:num>
  <w:num w:numId="23" w16cid:durableId="1318220489">
    <w:abstractNumId w:val="17"/>
  </w:num>
  <w:num w:numId="24" w16cid:durableId="791442922">
    <w:abstractNumId w:val="23"/>
  </w:num>
  <w:num w:numId="25" w16cid:durableId="945818636">
    <w:abstractNumId w:val="10"/>
  </w:num>
  <w:num w:numId="26" w16cid:durableId="1997799690">
    <w:abstractNumId w:val="16"/>
  </w:num>
  <w:num w:numId="27" w16cid:durableId="1334383298">
    <w:abstractNumId w:val="22"/>
  </w:num>
  <w:num w:numId="28" w16cid:durableId="1776055627">
    <w:abstractNumId w:val="3"/>
  </w:num>
  <w:num w:numId="29" w16cid:durableId="997459662">
    <w:abstractNumId w:val="0"/>
  </w:num>
  <w:num w:numId="30" w16cid:durableId="650329675">
    <w:abstractNumId w:val="25"/>
  </w:num>
  <w:num w:numId="31" w16cid:durableId="58327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8C5"/>
    <w:rsid w:val="00006AE8"/>
    <w:rsid w:val="00031E9F"/>
    <w:rsid w:val="00033ED5"/>
    <w:rsid w:val="0004009C"/>
    <w:rsid w:val="0005011B"/>
    <w:rsid w:val="00052E44"/>
    <w:rsid w:val="000702E4"/>
    <w:rsid w:val="00070A13"/>
    <w:rsid w:val="00070A89"/>
    <w:rsid w:val="0008118E"/>
    <w:rsid w:val="00086074"/>
    <w:rsid w:val="0009112E"/>
    <w:rsid w:val="00097B17"/>
    <w:rsid w:val="000A4576"/>
    <w:rsid w:val="000A688D"/>
    <w:rsid w:val="000A6B96"/>
    <w:rsid w:val="000B21F0"/>
    <w:rsid w:val="000B32C4"/>
    <w:rsid w:val="000B7075"/>
    <w:rsid w:val="000D02C0"/>
    <w:rsid w:val="000D2FED"/>
    <w:rsid w:val="000E3BBE"/>
    <w:rsid w:val="000E649C"/>
    <w:rsid w:val="000F077F"/>
    <w:rsid w:val="000F3ED2"/>
    <w:rsid w:val="000F5E24"/>
    <w:rsid w:val="001030B2"/>
    <w:rsid w:val="001204EA"/>
    <w:rsid w:val="0013043A"/>
    <w:rsid w:val="0014120D"/>
    <w:rsid w:val="00143D0B"/>
    <w:rsid w:val="00144B55"/>
    <w:rsid w:val="00155C8E"/>
    <w:rsid w:val="00161605"/>
    <w:rsid w:val="00170D7F"/>
    <w:rsid w:val="00172790"/>
    <w:rsid w:val="00173D8E"/>
    <w:rsid w:val="00180F5C"/>
    <w:rsid w:val="00186CB7"/>
    <w:rsid w:val="00190358"/>
    <w:rsid w:val="001933DE"/>
    <w:rsid w:val="00194CB4"/>
    <w:rsid w:val="00197FA2"/>
    <w:rsid w:val="001A1A5B"/>
    <w:rsid w:val="001A7E82"/>
    <w:rsid w:val="001B0859"/>
    <w:rsid w:val="001B354B"/>
    <w:rsid w:val="001B440C"/>
    <w:rsid w:val="001B7475"/>
    <w:rsid w:val="001D6485"/>
    <w:rsid w:val="001E2320"/>
    <w:rsid w:val="001E610A"/>
    <w:rsid w:val="001E721F"/>
    <w:rsid w:val="00205C55"/>
    <w:rsid w:val="00206C0B"/>
    <w:rsid w:val="00221A2A"/>
    <w:rsid w:val="002245B4"/>
    <w:rsid w:val="002270E2"/>
    <w:rsid w:val="00230BB7"/>
    <w:rsid w:val="00245AE5"/>
    <w:rsid w:val="0024697E"/>
    <w:rsid w:val="00255E53"/>
    <w:rsid w:val="00275115"/>
    <w:rsid w:val="00280311"/>
    <w:rsid w:val="00281BE7"/>
    <w:rsid w:val="00286651"/>
    <w:rsid w:val="00287196"/>
    <w:rsid w:val="0029287B"/>
    <w:rsid w:val="0029403F"/>
    <w:rsid w:val="002C0340"/>
    <w:rsid w:val="002C19DE"/>
    <w:rsid w:val="002D55B8"/>
    <w:rsid w:val="002D6ED9"/>
    <w:rsid w:val="002E46AC"/>
    <w:rsid w:val="002E6B8A"/>
    <w:rsid w:val="002F0FB2"/>
    <w:rsid w:val="002F61E3"/>
    <w:rsid w:val="003051DF"/>
    <w:rsid w:val="0031104C"/>
    <w:rsid w:val="003130CA"/>
    <w:rsid w:val="00326537"/>
    <w:rsid w:val="003357D9"/>
    <w:rsid w:val="00337423"/>
    <w:rsid w:val="00337B00"/>
    <w:rsid w:val="00355899"/>
    <w:rsid w:val="00356E75"/>
    <w:rsid w:val="0035733E"/>
    <w:rsid w:val="00374DBE"/>
    <w:rsid w:val="0037704D"/>
    <w:rsid w:val="0037714E"/>
    <w:rsid w:val="003841AB"/>
    <w:rsid w:val="003935E8"/>
    <w:rsid w:val="003975D4"/>
    <w:rsid w:val="003A0F16"/>
    <w:rsid w:val="003A5B7D"/>
    <w:rsid w:val="003A6433"/>
    <w:rsid w:val="003B46BF"/>
    <w:rsid w:val="003D2AE2"/>
    <w:rsid w:val="003D71C6"/>
    <w:rsid w:val="003E28D1"/>
    <w:rsid w:val="003F072E"/>
    <w:rsid w:val="00404F9B"/>
    <w:rsid w:val="00411C64"/>
    <w:rsid w:val="004156E6"/>
    <w:rsid w:val="00415707"/>
    <w:rsid w:val="00416F70"/>
    <w:rsid w:val="0041703B"/>
    <w:rsid w:val="004403B4"/>
    <w:rsid w:val="00446466"/>
    <w:rsid w:val="00447CE9"/>
    <w:rsid w:val="00453B55"/>
    <w:rsid w:val="00457779"/>
    <w:rsid w:val="00466FE8"/>
    <w:rsid w:val="004744CD"/>
    <w:rsid w:val="0048011A"/>
    <w:rsid w:val="004850DC"/>
    <w:rsid w:val="00490715"/>
    <w:rsid w:val="00491267"/>
    <w:rsid w:val="00491300"/>
    <w:rsid w:val="00492285"/>
    <w:rsid w:val="004A2F20"/>
    <w:rsid w:val="004A2F45"/>
    <w:rsid w:val="004A5135"/>
    <w:rsid w:val="004B2F38"/>
    <w:rsid w:val="004C04BB"/>
    <w:rsid w:val="004C35E7"/>
    <w:rsid w:val="004D093B"/>
    <w:rsid w:val="004D2191"/>
    <w:rsid w:val="004D7DDC"/>
    <w:rsid w:val="004E4723"/>
    <w:rsid w:val="004F3FEF"/>
    <w:rsid w:val="005058F2"/>
    <w:rsid w:val="00512C38"/>
    <w:rsid w:val="00512C7C"/>
    <w:rsid w:val="005130EF"/>
    <w:rsid w:val="005143E4"/>
    <w:rsid w:val="005208ED"/>
    <w:rsid w:val="00547788"/>
    <w:rsid w:val="0055182D"/>
    <w:rsid w:val="00553AE5"/>
    <w:rsid w:val="0056748F"/>
    <w:rsid w:val="00574D83"/>
    <w:rsid w:val="00582743"/>
    <w:rsid w:val="005871C9"/>
    <w:rsid w:val="005A7166"/>
    <w:rsid w:val="005B06B3"/>
    <w:rsid w:val="005B4CDE"/>
    <w:rsid w:val="005B598A"/>
    <w:rsid w:val="005C1959"/>
    <w:rsid w:val="005C499F"/>
    <w:rsid w:val="005C608D"/>
    <w:rsid w:val="005C6551"/>
    <w:rsid w:val="005D269A"/>
    <w:rsid w:val="005D3140"/>
    <w:rsid w:val="005D5D31"/>
    <w:rsid w:val="005E4CF5"/>
    <w:rsid w:val="005E7898"/>
    <w:rsid w:val="005E7AC7"/>
    <w:rsid w:val="005F70FE"/>
    <w:rsid w:val="006008CD"/>
    <w:rsid w:val="00633806"/>
    <w:rsid w:val="00633883"/>
    <w:rsid w:val="00634434"/>
    <w:rsid w:val="0064109C"/>
    <w:rsid w:val="0064487F"/>
    <w:rsid w:val="006648F3"/>
    <w:rsid w:val="00670C14"/>
    <w:rsid w:val="0068046C"/>
    <w:rsid w:val="00680B0E"/>
    <w:rsid w:val="00687B5F"/>
    <w:rsid w:val="00687E5A"/>
    <w:rsid w:val="006905E7"/>
    <w:rsid w:val="006967BC"/>
    <w:rsid w:val="006A03EB"/>
    <w:rsid w:val="006A533F"/>
    <w:rsid w:val="006A7DCE"/>
    <w:rsid w:val="006B1374"/>
    <w:rsid w:val="006C1B62"/>
    <w:rsid w:val="006C452F"/>
    <w:rsid w:val="006C4ED5"/>
    <w:rsid w:val="006D079B"/>
    <w:rsid w:val="006D183E"/>
    <w:rsid w:val="006D336E"/>
    <w:rsid w:val="006D54B7"/>
    <w:rsid w:val="006D7964"/>
    <w:rsid w:val="006F1223"/>
    <w:rsid w:val="006F498A"/>
    <w:rsid w:val="006F5BEB"/>
    <w:rsid w:val="00710F56"/>
    <w:rsid w:val="007135A8"/>
    <w:rsid w:val="007156F6"/>
    <w:rsid w:val="00715B91"/>
    <w:rsid w:val="00723514"/>
    <w:rsid w:val="007321D8"/>
    <w:rsid w:val="00733AF9"/>
    <w:rsid w:val="00734732"/>
    <w:rsid w:val="00740ABA"/>
    <w:rsid w:val="0074295D"/>
    <w:rsid w:val="00755E27"/>
    <w:rsid w:val="0078723A"/>
    <w:rsid w:val="007A4FB5"/>
    <w:rsid w:val="007B043E"/>
    <w:rsid w:val="007C4332"/>
    <w:rsid w:val="007C4C95"/>
    <w:rsid w:val="007D0493"/>
    <w:rsid w:val="007D1551"/>
    <w:rsid w:val="007D273D"/>
    <w:rsid w:val="007D58BF"/>
    <w:rsid w:val="007D6A3A"/>
    <w:rsid w:val="007D6B6F"/>
    <w:rsid w:val="007D74E2"/>
    <w:rsid w:val="007F016E"/>
    <w:rsid w:val="008008F6"/>
    <w:rsid w:val="008017A7"/>
    <w:rsid w:val="00820D27"/>
    <w:rsid w:val="00823875"/>
    <w:rsid w:val="00827817"/>
    <w:rsid w:val="00827986"/>
    <w:rsid w:val="008279BD"/>
    <w:rsid w:val="0084154E"/>
    <w:rsid w:val="00843352"/>
    <w:rsid w:val="00844624"/>
    <w:rsid w:val="008462C0"/>
    <w:rsid w:val="0087118E"/>
    <w:rsid w:val="008771C8"/>
    <w:rsid w:val="00882DCA"/>
    <w:rsid w:val="0088727A"/>
    <w:rsid w:val="00896D35"/>
    <w:rsid w:val="008B00C4"/>
    <w:rsid w:val="008B43B0"/>
    <w:rsid w:val="008C0493"/>
    <w:rsid w:val="008C0E92"/>
    <w:rsid w:val="008D0752"/>
    <w:rsid w:val="008D45C3"/>
    <w:rsid w:val="008E18D7"/>
    <w:rsid w:val="008E33C7"/>
    <w:rsid w:val="008F1D35"/>
    <w:rsid w:val="009066C7"/>
    <w:rsid w:val="00912260"/>
    <w:rsid w:val="0092216D"/>
    <w:rsid w:val="00933339"/>
    <w:rsid w:val="00953B84"/>
    <w:rsid w:val="009611E9"/>
    <w:rsid w:val="00982754"/>
    <w:rsid w:val="009943F4"/>
    <w:rsid w:val="00995FDD"/>
    <w:rsid w:val="00996389"/>
    <w:rsid w:val="009A0BD2"/>
    <w:rsid w:val="009A2234"/>
    <w:rsid w:val="009A65C6"/>
    <w:rsid w:val="009A6D46"/>
    <w:rsid w:val="009B2F99"/>
    <w:rsid w:val="009B7A4D"/>
    <w:rsid w:val="009C573D"/>
    <w:rsid w:val="009D10B8"/>
    <w:rsid w:val="009D185F"/>
    <w:rsid w:val="009D43CC"/>
    <w:rsid w:val="009E2331"/>
    <w:rsid w:val="009F413F"/>
    <w:rsid w:val="009F550A"/>
    <w:rsid w:val="009F7497"/>
    <w:rsid w:val="00A01F60"/>
    <w:rsid w:val="00A03985"/>
    <w:rsid w:val="00A05890"/>
    <w:rsid w:val="00A07E35"/>
    <w:rsid w:val="00A118F0"/>
    <w:rsid w:val="00A159DA"/>
    <w:rsid w:val="00A22494"/>
    <w:rsid w:val="00A22A7B"/>
    <w:rsid w:val="00A242D8"/>
    <w:rsid w:val="00A27AA6"/>
    <w:rsid w:val="00A434EB"/>
    <w:rsid w:val="00A4489E"/>
    <w:rsid w:val="00A5351C"/>
    <w:rsid w:val="00A54C06"/>
    <w:rsid w:val="00A633F0"/>
    <w:rsid w:val="00A6481E"/>
    <w:rsid w:val="00A66140"/>
    <w:rsid w:val="00A66626"/>
    <w:rsid w:val="00A7064A"/>
    <w:rsid w:val="00A7345A"/>
    <w:rsid w:val="00A75027"/>
    <w:rsid w:val="00A90397"/>
    <w:rsid w:val="00A90CB0"/>
    <w:rsid w:val="00A9216A"/>
    <w:rsid w:val="00A9374D"/>
    <w:rsid w:val="00A94461"/>
    <w:rsid w:val="00A960EA"/>
    <w:rsid w:val="00AA2D1D"/>
    <w:rsid w:val="00AA4608"/>
    <w:rsid w:val="00AA6179"/>
    <w:rsid w:val="00AB1089"/>
    <w:rsid w:val="00AB1235"/>
    <w:rsid w:val="00AB2D5E"/>
    <w:rsid w:val="00AC0511"/>
    <w:rsid w:val="00AD08C5"/>
    <w:rsid w:val="00AE069A"/>
    <w:rsid w:val="00AE62CE"/>
    <w:rsid w:val="00AF1EBC"/>
    <w:rsid w:val="00AF4A5D"/>
    <w:rsid w:val="00B1467F"/>
    <w:rsid w:val="00B25AAB"/>
    <w:rsid w:val="00B31928"/>
    <w:rsid w:val="00B326A9"/>
    <w:rsid w:val="00B326AF"/>
    <w:rsid w:val="00B45ED3"/>
    <w:rsid w:val="00B543E9"/>
    <w:rsid w:val="00B57127"/>
    <w:rsid w:val="00B71796"/>
    <w:rsid w:val="00B76B2B"/>
    <w:rsid w:val="00B8251D"/>
    <w:rsid w:val="00B94288"/>
    <w:rsid w:val="00B9538B"/>
    <w:rsid w:val="00B95420"/>
    <w:rsid w:val="00BA15A9"/>
    <w:rsid w:val="00BB30C0"/>
    <w:rsid w:val="00BC376D"/>
    <w:rsid w:val="00BD18E8"/>
    <w:rsid w:val="00BD20BC"/>
    <w:rsid w:val="00C13E3E"/>
    <w:rsid w:val="00C15673"/>
    <w:rsid w:val="00C15E6F"/>
    <w:rsid w:val="00C210A9"/>
    <w:rsid w:val="00C22821"/>
    <w:rsid w:val="00C243BF"/>
    <w:rsid w:val="00C25F63"/>
    <w:rsid w:val="00C276AE"/>
    <w:rsid w:val="00C33F30"/>
    <w:rsid w:val="00C34F0F"/>
    <w:rsid w:val="00C4237C"/>
    <w:rsid w:val="00C55C85"/>
    <w:rsid w:val="00C60868"/>
    <w:rsid w:val="00C6097A"/>
    <w:rsid w:val="00C64DAA"/>
    <w:rsid w:val="00C65204"/>
    <w:rsid w:val="00C70530"/>
    <w:rsid w:val="00C77217"/>
    <w:rsid w:val="00C816A5"/>
    <w:rsid w:val="00C839B8"/>
    <w:rsid w:val="00C83BE1"/>
    <w:rsid w:val="00C97315"/>
    <w:rsid w:val="00CA1AD2"/>
    <w:rsid w:val="00CA2878"/>
    <w:rsid w:val="00CA7D06"/>
    <w:rsid w:val="00CB1A9C"/>
    <w:rsid w:val="00CB2E2B"/>
    <w:rsid w:val="00CB3D33"/>
    <w:rsid w:val="00CC0463"/>
    <w:rsid w:val="00CC7F58"/>
    <w:rsid w:val="00CD47C3"/>
    <w:rsid w:val="00CE099F"/>
    <w:rsid w:val="00CE73E2"/>
    <w:rsid w:val="00CF402D"/>
    <w:rsid w:val="00CF5E4F"/>
    <w:rsid w:val="00CF7674"/>
    <w:rsid w:val="00D17D3E"/>
    <w:rsid w:val="00D21F75"/>
    <w:rsid w:val="00D27500"/>
    <w:rsid w:val="00D44A5D"/>
    <w:rsid w:val="00D510E8"/>
    <w:rsid w:val="00D554A2"/>
    <w:rsid w:val="00D555FA"/>
    <w:rsid w:val="00D5628B"/>
    <w:rsid w:val="00D629FF"/>
    <w:rsid w:val="00D63F4F"/>
    <w:rsid w:val="00D6426A"/>
    <w:rsid w:val="00D66456"/>
    <w:rsid w:val="00D71D40"/>
    <w:rsid w:val="00D77CD0"/>
    <w:rsid w:val="00D9306F"/>
    <w:rsid w:val="00DB0B88"/>
    <w:rsid w:val="00DD18C6"/>
    <w:rsid w:val="00DD6D00"/>
    <w:rsid w:val="00DE00F0"/>
    <w:rsid w:val="00DE1894"/>
    <w:rsid w:val="00DE3670"/>
    <w:rsid w:val="00DE5079"/>
    <w:rsid w:val="00DF6B3A"/>
    <w:rsid w:val="00E05014"/>
    <w:rsid w:val="00E10271"/>
    <w:rsid w:val="00E34DF7"/>
    <w:rsid w:val="00E35DF6"/>
    <w:rsid w:val="00E50D44"/>
    <w:rsid w:val="00E5130D"/>
    <w:rsid w:val="00E52765"/>
    <w:rsid w:val="00E64133"/>
    <w:rsid w:val="00E66456"/>
    <w:rsid w:val="00E738D5"/>
    <w:rsid w:val="00E8288D"/>
    <w:rsid w:val="00E8348C"/>
    <w:rsid w:val="00E900DE"/>
    <w:rsid w:val="00E91E64"/>
    <w:rsid w:val="00E975CF"/>
    <w:rsid w:val="00EA326D"/>
    <w:rsid w:val="00EB1B3E"/>
    <w:rsid w:val="00EB5A68"/>
    <w:rsid w:val="00EB77EA"/>
    <w:rsid w:val="00EC0C4F"/>
    <w:rsid w:val="00EC2B8F"/>
    <w:rsid w:val="00EC74BA"/>
    <w:rsid w:val="00ED15F0"/>
    <w:rsid w:val="00EE4384"/>
    <w:rsid w:val="00EE4BD7"/>
    <w:rsid w:val="00EF3551"/>
    <w:rsid w:val="00F017D6"/>
    <w:rsid w:val="00F12CF6"/>
    <w:rsid w:val="00F147FC"/>
    <w:rsid w:val="00F15BD4"/>
    <w:rsid w:val="00F3001F"/>
    <w:rsid w:val="00F31A79"/>
    <w:rsid w:val="00F358B7"/>
    <w:rsid w:val="00F373EA"/>
    <w:rsid w:val="00F42214"/>
    <w:rsid w:val="00F5061B"/>
    <w:rsid w:val="00F61A7D"/>
    <w:rsid w:val="00F63AA8"/>
    <w:rsid w:val="00F63DAF"/>
    <w:rsid w:val="00F67CA2"/>
    <w:rsid w:val="00F859A8"/>
    <w:rsid w:val="00F9203E"/>
    <w:rsid w:val="00F957B7"/>
    <w:rsid w:val="00FA53DF"/>
    <w:rsid w:val="00FB2364"/>
    <w:rsid w:val="00FB30AC"/>
    <w:rsid w:val="00FB3B6F"/>
    <w:rsid w:val="00FC712D"/>
    <w:rsid w:val="00FD39E3"/>
    <w:rsid w:val="00FD48BC"/>
    <w:rsid w:val="00FE1242"/>
    <w:rsid w:val="00FE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11808D"/>
  <w15:docId w15:val="{9907FBD6-CEC2-42E2-A88E-10EDFCF32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46466"/>
    <w:pPr>
      <w:suppressAutoHyphens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Bullet1,Styl moj,aotm_załączniki,Akapit z listą11,Table Legend,Dot pt,F5 List Paragraph,List Paragraph1,No Spacing1,List Paragraph Char Char Char,Indicator Text,Colorful List - Accent 11,Numbered Para 1,Bullet 1,Bullet Points,MAIN CONTENT"/>
    <w:basedOn w:val="Normalny"/>
    <w:link w:val="AkapitzlistZnak"/>
    <w:uiPriority w:val="34"/>
    <w:qFormat/>
    <w:rsid w:val="008C0E9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C0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0E92"/>
  </w:style>
  <w:style w:type="paragraph" w:styleId="Stopka">
    <w:name w:val="footer"/>
    <w:basedOn w:val="Normalny"/>
    <w:link w:val="StopkaZnak"/>
    <w:uiPriority w:val="99"/>
    <w:unhideWhenUsed/>
    <w:rsid w:val="008C0E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0E92"/>
  </w:style>
  <w:style w:type="paragraph" w:customStyle="1" w:styleId="Style2">
    <w:name w:val="Style2"/>
    <w:basedOn w:val="Normalny"/>
    <w:uiPriority w:val="99"/>
    <w:rsid w:val="00230BB7"/>
    <w:pPr>
      <w:widowControl w:val="0"/>
      <w:suppressAutoHyphens w:val="0"/>
      <w:autoSpaceDE w:val="0"/>
      <w:adjustRightInd w:val="0"/>
      <w:spacing w:after="0" w:line="331" w:lineRule="exact"/>
      <w:jc w:val="both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19">
    <w:name w:val="Font Style19"/>
    <w:basedOn w:val="Domylnaczcionkaakapitu"/>
    <w:uiPriority w:val="99"/>
    <w:rsid w:val="00230BB7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20">
    <w:name w:val="Font Style20"/>
    <w:basedOn w:val="Domylnaczcionkaakapitu"/>
    <w:uiPriority w:val="99"/>
    <w:rsid w:val="00230BB7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6C1B62"/>
    <w:pPr>
      <w:suppressAutoHyphens w:val="0"/>
      <w:autoSpaceDN/>
      <w:spacing w:before="100" w:beforeAutospacing="1" w:after="100" w:afterAutospacing="1" w:line="240" w:lineRule="auto"/>
      <w:textAlignment w:val="auto"/>
    </w:pPr>
    <w:rPr>
      <w:rFonts w:ascii="Times New Roman" w:eastAsiaTheme="minorEastAsia" w:hAnsi="Times New Roman"/>
      <w:sz w:val="24"/>
      <w:szCs w:val="24"/>
      <w:lang w:val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1E9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1E9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1E9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1E9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1E9F"/>
    <w:rPr>
      <w:b/>
      <w:bCs/>
      <w:sz w:val="20"/>
      <w:szCs w:val="20"/>
    </w:rPr>
  </w:style>
  <w:style w:type="character" w:customStyle="1" w:styleId="AkapitzlistZnak">
    <w:name w:val="Akapit z listą Znak"/>
    <w:aliases w:val="Bullet1 Znak,Styl moj Znak,aotm_załączniki Znak,Akapit z listą11 Znak,Table Legend Znak,Dot pt Znak,F5 List Paragraph Znak,List Paragraph1 Znak,No Spacing1 Znak,List Paragraph Char Char Char Znak,Indicator Text Znak,Bullet 1 Znak"/>
    <w:basedOn w:val="Domylnaczcionkaakapitu"/>
    <w:link w:val="Akapitzlist"/>
    <w:uiPriority w:val="99"/>
    <w:qFormat/>
    <w:rsid w:val="001933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84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10</Pages>
  <Words>2831</Words>
  <Characters>16986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Oczkowski Mateusz</dc:creator>
  <dc:description/>
  <cp:lastModifiedBy>Tobiaszewski Paweł</cp:lastModifiedBy>
  <cp:revision>3</cp:revision>
  <dcterms:created xsi:type="dcterms:W3CDTF">2026-09-15T14:33:00Z</dcterms:created>
  <dcterms:modified xsi:type="dcterms:W3CDTF">2026-09-15T14:47:00Z</dcterms:modified>
</cp:coreProperties>
</file>