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69B7" w14:textId="55429C3D" w:rsidR="00CB5AD5" w:rsidRPr="00D46C37" w:rsidRDefault="19FE692C" w:rsidP="3A8D30C2">
      <w:pPr>
        <w:pStyle w:val="NormalnyWeb"/>
        <w:spacing w:before="0" w:beforeAutospacing="0" w:after="0" w:afterAutospacing="0" w:line="184" w:lineRule="atLeast"/>
        <w:rPr>
          <w:rFonts w:ascii="Barlow" w:hAnsi="Barlow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3A8D30C2">
        <w:rPr>
          <w:rFonts w:ascii="Barlow" w:hAnsi="Barlow" w:cs="Arial"/>
          <w:b/>
          <w:bCs/>
          <w:color w:val="000000" w:themeColor="text1"/>
          <w:sz w:val="22"/>
          <w:szCs w:val="22"/>
        </w:rPr>
        <w:t>Szczegółowy opis przedmiotu zamówienia</w:t>
      </w:r>
    </w:p>
    <w:p w14:paraId="71750A24" w14:textId="74C87086" w:rsidR="3A8D30C2" w:rsidRDefault="3A8D30C2" w:rsidP="3A8D30C2">
      <w:pPr>
        <w:pStyle w:val="NormalnyWeb"/>
        <w:spacing w:before="0" w:beforeAutospacing="0" w:after="0" w:afterAutospacing="0" w:line="184" w:lineRule="atLeast"/>
        <w:rPr>
          <w:rFonts w:ascii="Barlow" w:hAnsi="Barlow" w:cs="Arial"/>
          <w:b/>
          <w:bCs/>
          <w:color w:val="000000" w:themeColor="text1"/>
          <w:sz w:val="22"/>
          <w:szCs w:val="22"/>
        </w:rPr>
      </w:pPr>
    </w:p>
    <w:p w14:paraId="1F81E92D" w14:textId="01B15C0A" w:rsidR="3E737AC3" w:rsidRDefault="3E737AC3" w:rsidP="3A8D30C2">
      <w:pPr>
        <w:pStyle w:val="NormalnyWeb"/>
        <w:spacing w:before="0" w:beforeAutospacing="0" w:after="0" w:afterAutospacing="0" w:line="184" w:lineRule="atLeast"/>
        <w:rPr>
          <w:rFonts w:ascii="Barlow" w:hAnsi="Barlow" w:cs="Arial"/>
          <w:b/>
          <w:bCs/>
          <w:color w:val="000000" w:themeColor="text1"/>
          <w:sz w:val="22"/>
          <w:szCs w:val="22"/>
        </w:rPr>
      </w:pPr>
      <w:r w:rsidRPr="3A8D30C2">
        <w:rPr>
          <w:rFonts w:ascii="Barlow" w:hAnsi="Barlow" w:cs="Arial"/>
          <w:b/>
          <w:bCs/>
          <w:color w:val="000000" w:themeColor="text1"/>
          <w:sz w:val="22"/>
          <w:szCs w:val="22"/>
        </w:rPr>
        <w:t>Oprogramowanie antywirusowe musi spełniać co najmniej następujące wymagania:</w:t>
      </w:r>
    </w:p>
    <w:p w14:paraId="363A4FE6" w14:textId="77777777" w:rsidR="00CB5AD5" w:rsidRPr="00D46C37" w:rsidRDefault="00CB5AD5" w:rsidP="00CB5AD5">
      <w:pPr>
        <w:pStyle w:val="NormalnyWeb"/>
        <w:spacing w:before="0" w:beforeAutospacing="0" w:after="0" w:afterAutospacing="0" w:line="184" w:lineRule="atLeast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 </w:t>
      </w:r>
    </w:p>
    <w:p w14:paraId="44004532" w14:textId="0396AC8B" w:rsidR="00D46C37" w:rsidRDefault="00CB5AD5" w:rsidP="00D46C37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 xml:space="preserve">Agent musi obsługiwać funkcjonalności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Next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Generation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EPP (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Endpoint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Protection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Platform) oraz EDR (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Endpoint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Detection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and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Response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) w jednym autonomicznym agenci</w:t>
      </w:r>
      <w:r w:rsidR="00755FC6" w:rsidRPr="00D46C37">
        <w:rPr>
          <w:rFonts w:ascii="Barlow" w:hAnsi="Barlow" w:cs="Arial"/>
          <w:color w:val="000000"/>
          <w:sz w:val="22"/>
          <w:szCs w:val="22"/>
        </w:rPr>
        <w:t>e, który do realizacji swoich funkcjonalności nie potrzebuje łączności z chmurą lub konsolą zarządzającą.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 Wymagane jest wsparcie dla systemów operacyjnych Windows,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macOS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D46C37">
        <w:rPr>
          <w:rFonts w:ascii="Barlow" w:hAnsi="Barlow" w:cs="Arial"/>
          <w:color w:val="000000"/>
          <w:sz w:val="22"/>
          <w:szCs w:val="22"/>
        </w:rPr>
        <w:t>Linux.</w:t>
      </w:r>
    </w:p>
    <w:p w14:paraId="0A7E9FC7" w14:textId="4665F8CF" w:rsidR="00D46C37" w:rsidRDefault="00CB5AD5" w:rsidP="00D46C37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Rozwiązanie musi być w stanie identyfikować zaawansowane zagrożenia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,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takie jak ataki bez plik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>o</w:t>
      </w:r>
      <w:r w:rsidRPr="00D46C37">
        <w:rPr>
          <w:rFonts w:ascii="Barlow" w:hAnsi="Barlow" w:cs="Arial"/>
          <w:color w:val="000000"/>
          <w:sz w:val="22"/>
          <w:szCs w:val="22"/>
        </w:rPr>
        <w:t>w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>e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, 0-day 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malware</w:t>
      </w:r>
      <w:proofErr w:type="spellEnd"/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 czy wykorzystywanie podatności posiadanego software/hardware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 bez korzystania z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silników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reputacji lub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silników detekcji opartej o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D46C37">
        <w:rPr>
          <w:rFonts w:ascii="Barlow" w:hAnsi="Barlow" w:cs="Arial"/>
          <w:color w:val="000000"/>
          <w:sz w:val="22"/>
          <w:szCs w:val="22"/>
        </w:rPr>
        <w:t>sygnatur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y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. Przez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silnik 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reputacyjny</w:t>
      </w:r>
      <w:proofErr w:type="spellEnd"/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Pr="00D46C37">
        <w:rPr>
          <w:rFonts w:ascii="Barlow" w:hAnsi="Barlow" w:cs="Arial"/>
          <w:color w:val="000000"/>
          <w:sz w:val="22"/>
          <w:szCs w:val="22"/>
        </w:rPr>
        <w:t>rozumiemy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 identyfikację zagrożeń z wykorzystaniem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następujących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element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ów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reputacji: adresy IP, DNS, URL, skróty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/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hashe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. Rozwiązanie musi wykorzystywać 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statyczne oraz dynamiczne AI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do identyfikacji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zagrożeń, również tych które nie są wcześniej znane.</w:t>
      </w:r>
    </w:p>
    <w:p w14:paraId="38A68BB1" w14:textId="77777777" w:rsidR="00D46C37" w:rsidRDefault="00CB5AD5" w:rsidP="00D46C37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Agent musi być w pełni autonomiczny, co oznacza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 że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jego działanie i funkcjonalność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nie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może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być zależn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a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od serwera zarządzania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,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chmury ani ŻADNYCH zasobów zewnętrznych od agenta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.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W</w:t>
      </w:r>
      <w:r w:rsidRPr="00D46C37">
        <w:rPr>
          <w:rFonts w:ascii="Barlow" w:hAnsi="Barlow" w:cs="Arial"/>
          <w:color w:val="000000"/>
          <w:sz w:val="22"/>
          <w:szCs w:val="22"/>
        </w:rPr>
        <w:t>ykrywa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nie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i reagowa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nie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na zaawansowane zagrożenia (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0-day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,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bezplikowe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, oparte na pamięci RAM ,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Exploity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0-Day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,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ransomware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, 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cryptominers</w:t>
      </w:r>
      <w:proofErr w:type="spellEnd"/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, 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lateral</w:t>
      </w:r>
      <w:proofErr w:type="spellEnd"/>
      <w:r w:rsidR="00BB500C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="00BB500C" w:rsidRPr="00D46C37">
        <w:rPr>
          <w:rFonts w:ascii="Barlow" w:hAnsi="Barlow" w:cs="Arial"/>
          <w:color w:val="000000"/>
          <w:sz w:val="22"/>
          <w:szCs w:val="22"/>
        </w:rPr>
        <w:t>movement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, APT)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musi być możliwe w czasie rzeczywistym , nie może zależeć od stanu sieciowego stacji (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 xml:space="preserve">agent musi realizować te same </w:t>
      </w:r>
      <w:r w:rsidR="00BB500C" w:rsidRPr="00D46C37">
        <w:rPr>
          <w:rFonts w:ascii="Barlow" w:hAnsi="Barlow" w:cs="Arial"/>
          <w:color w:val="000000"/>
          <w:sz w:val="22"/>
          <w:szCs w:val="22"/>
        </w:rPr>
        <w:t>funkcjonalności w trybie online i offline) oraz nie może wymagać innego rodzaju zewnętrznych zasobów.</w:t>
      </w:r>
    </w:p>
    <w:p w14:paraId="52058AA4" w14:textId="77777777" w:rsidR="00D46C37" w:rsidRDefault="00BB500C" w:rsidP="00D46C37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Moduły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 xml:space="preserve"> EPP / EDR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oferowane w rozwiązaniu 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mus</w:t>
      </w:r>
      <w:r w:rsidRPr="00D46C37">
        <w:rPr>
          <w:rFonts w:ascii="Barlow" w:hAnsi="Barlow" w:cs="Arial"/>
          <w:color w:val="000000"/>
          <w:sz w:val="22"/>
          <w:szCs w:val="22"/>
        </w:rPr>
        <w:t>zą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automatycznie 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reagować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na pojawiające się zagrożenia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, łagodząc zagrożenia w czasie zbliżonym do rzeczywistego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 xml:space="preserve">, w 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autonomiczn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>y sposób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 xml:space="preserve">, z następującymi opcjami 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>odpowiedzi na zagrożenie, definiowane przez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255E30" w:rsidRPr="00D46C37">
        <w:rPr>
          <w:rFonts w:ascii="Barlow" w:hAnsi="Barlow" w:cs="Arial"/>
          <w:color w:val="000000"/>
          <w:sz w:val="22"/>
          <w:szCs w:val="22"/>
        </w:rPr>
        <w:t>politykę bezpieczeństwa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:</w:t>
      </w:r>
    </w:p>
    <w:p w14:paraId="3AB552D9" w14:textId="01F9DC3F" w:rsidR="00D46C37" w:rsidRDefault="00CB5AD5" w:rsidP="00D46C37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 xml:space="preserve">Ostrzeżenie: </w:t>
      </w:r>
      <w:r w:rsidR="00EA3579" w:rsidRPr="00D46C37">
        <w:rPr>
          <w:rFonts w:ascii="Barlow" w:hAnsi="Barlow" w:cs="Arial"/>
          <w:color w:val="000000"/>
          <w:sz w:val="22"/>
          <w:szCs w:val="22"/>
        </w:rPr>
        <w:t xml:space="preserve">taka notyfikacja </w:t>
      </w:r>
      <w:r w:rsidRPr="00D46C37">
        <w:rPr>
          <w:rFonts w:ascii="Barlow" w:hAnsi="Barlow" w:cs="Arial"/>
          <w:color w:val="000000"/>
          <w:sz w:val="22"/>
          <w:szCs w:val="22"/>
        </w:rPr>
        <w:t>musi być stał</w:t>
      </w:r>
      <w:r w:rsidR="00EA3579" w:rsidRPr="00D46C37">
        <w:rPr>
          <w:rFonts w:ascii="Barlow" w:hAnsi="Barlow" w:cs="Arial"/>
          <w:color w:val="000000"/>
          <w:sz w:val="22"/>
          <w:szCs w:val="22"/>
        </w:rPr>
        <w:t>a</w:t>
      </w:r>
      <w:r w:rsidRPr="00D46C37">
        <w:rPr>
          <w:rFonts w:ascii="Barlow" w:hAnsi="Barlow" w:cs="Arial"/>
          <w:color w:val="000000"/>
          <w:sz w:val="22"/>
          <w:szCs w:val="22"/>
        </w:rPr>
        <w:t>, nawet jeśli polityka nie jest w trybie ochrony</w:t>
      </w:r>
      <w:r w:rsidR="00842897">
        <w:rPr>
          <w:rFonts w:ascii="Barlow" w:hAnsi="Barlow" w:cs="Arial"/>
          <w:color w:val="000000"/>
          <w:sz w:val="22"/>
          <w:szCs w:val="22"/>
        </w:rPr>
        <w:t>;</w:t>
      </w:r>
    </w:p>
    <w:p w14:paraId="41AF0AB4" w14:textId="21A24D49" w:rsidR="00D46C37" w:rsidRDefault="00CB5AD5" w:rsidP="00D46C37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Zabij</w:t>
      </w:r>
      <w:r w:rsidR="00EA3579" w:rsidRPr="00D46C37">
        <w:rPr>
          <w:rFonts w:ascii="Barlow" w:hAnsi="Barlow" w:cs="Arial"/>
          <w:color w:val="000000"/>
          <w:sz w:val="22"/>
          <w:szCs w:val="22"/>
        </w:rPr>
        <w:t xml:space="preserve"> proces</w:t>
      </w:r>
      <w:r w:rsidRPr="00D46C37">
        <w:rPr>
          <w:rFonts w:ascii="Barlow" w:hAnsi="Barlow" w:cs="Arial"/>
          <w:color w:val="000000"/>
          <w:sz w:val="22"/>
          <w:szCs w:val="22"/>
        </w:rPr>
        <w:t>: 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Zatrzymuje procesy. Aktywna zawartość w dokumentach, plikach wykonywalnych i procesach podrzędnych jest zatrzymywana. Agent</w:t>
      </w:r>
      <w:r w:rsid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włącza funkcję </w:t>
      </w:r>
      <w:r w:rsidR="00EA3579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zabicia procesu 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dla procesów, które działają wbrew normalnemu zachowaniu </w:t>
      </w:r>
      <w:r w:rsidR="00EA3579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stacji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końcowe</w:t>
      </w:r>
      <w:r w:rsidR="00EA3579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j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lub nie pasują do działań aplikacji, w której ukrywa się proces.</w:t>
      </w:r>
    </w:p>
    <w:p w14:paraId="2D36EC94" w14:textId="77777777" w:rsidR="00D46C37" w:rsidRDefault="00CB5AD5" w:rsidP="00CB5AD5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Kwarantanna: zatrzymuje procesy, szyfruje plik wykonywalny i przenosi go na ograniczoną ścieżkę. Jeśli zagrożenie</w:t>
      </w:r>
      <w:r w:rsidR="00EA3579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jest znane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, agent automatycznie je </w:t>
      </w:r>
      <w:r w:rsidR="00EA3579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unieszkodliwia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, zanim będzie można je wykonać.</w:t>
      </w:r>
    </w:p>
    <w:p w14:paraId="3D395442" w14:textId="77777777" w:rsidR="00D46C37" w:rsidRDefault="00CB5AD5" w:rsidP="00CB5AD5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Odłącz się od sieci: (lub </w:t>
      </w:r>
      <w:r w:rsidR="00255E30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kwarantan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na sieciowa lub izolacja sieciowa) Agent musi komunikować się tylko z konsolą zarządzającą. </w:t>
      </w:r>
      <w:r w:rsidR="008C2D20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Stacja końcowa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nie może komunikować się z innymi </w:t>
      </w:r>
      <w:r w:rsidR="008C2D20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elementami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w sieci. Wszystkie działania na konsoli zarządzania muszą działać niezależnie od stanu izolacji sieci agenta.</w:t>
      </w:r>
    </w:p>
    <w:p w14:paraId="1D9B5BAD" w14:textId="77777777" w:rsidR="00D46C37" w:rsidRDefault="00EA3579" w:rsidP="00CB5AD5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 xml:space="preserve">Funkcja 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Napraw</w:t>
      </w:r>
      <w:r w:rsidRPr="00D46C37">
        <w:rPr>
          <w:rFonts w:ascii="Barlow" w:hAnsi="Barlow" w:cs="Arial"/>
          <w:color w:val="000000"/>
          <w:sz w:val="22"/>
          <w:szCs w:val="22"/>
        </w:rPr>
        <w:t>y (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Remediate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)</w:t>
      </w:r>
      <w:r w:rsidR="00CB5AD5" w:rsidRPr="00D46C37">
        <w:rPr>
          <w:rFonts w:ascii="Barlow" w:hAnsi="Barlow" w:cs="Arial"/>
          <w:color w:val="000000"/>
          <w:sz w:val="22"/>
          <w:szCs w:val="22"/>
        </w:rPr>
        <w:t>: 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Zatrzymuje procesy, poddaje kwarantannie pliki binarne, usuwa połączone biblioteki, usuwa pliki źródłowe i przywraca konfigurację systemu operacyjnego, aplikacji i ustawień użytkownika do stanu sprzed rozpoczęcia ataku.</w:t>
      </w:r>
    </w:p>
    <w:p w14:paraId="59AB9E25" w14:textId="77777777" w:rsidR="00D46C37" w:rsidRDefault="00EA3579" w:rsidP="00CB5AD5">
      <w:pPr>
        <w:pStyle w:val="NormalnyWeb"/>
        <w:numPr>
          <w:ilvl w:val="0"/>
          <w:numId w:val="2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Rollback</w:t>
      </w:r>
      <w:proofErr w:type="spellEnd"/>
      <w:r w:rsidR="00CB5AD5" w:rsidRPr="00D46C37">
        <w:rPr>
          <w:rFonts w:ascii="Barlow" w:hAnsi="Barlow" w:cs="Arial"/>
          <w:color w:val="000000"/>
          <w:sz w:val="22"/>
          <w:szCs w:val="22"/>
        </w:rPr>
        <w:t>: 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przywraca 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stan stacji końcowej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do 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stanu z momentu utworzenia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migawki VSS</w:t>
      </w:r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(Volume </w:t>
      </w:r>
      <w:proofErr w:type="spellStart"/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Shadow</w:t>
      </w:r>
      <w:proofErr w:type="spellEnd"/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</w:t>
      </w:r>
      <w:proofErr w:type="spellStart"/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Copy</w:t>
      </w:r>
      <w:proofErr w:type="spellEnd"/>
      <w:r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)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, cofając zmiany wprowadzone przez </w:t>
      </w:r>
      <w:r w:rsidR="008C2D20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złośliwy 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proces i skojarzone z nim zasoby. Agent powinien autonomicznie i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w czasie 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zbliżonym do 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rzeczywist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ego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przywrócić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dane z 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chronionego hosta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w przypadku 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ataku z wykorzystaniem 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szkodliwego oprogramowania</w:t>
      </w:r>
      <w:r w:rsidR="00030EAA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typu </w:t>
      </w:r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 xml:space="preserve"> </w:t>
      </w:r>
      <w:proofErr w:type="spellStart"/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ransomware</w:t>
      </w:r>
      <w:proofErr w:type="spellEnd"/>
      <w:r w:rsidR="00CB5AD5" w:rsidRPr="00D46C37">
        <w:rPr>
          <w:rFonts w:ascii="Barlow" w:hAnsi="Barlow" w:cs="Arial"/>
          <w:color w:val="262626"/>
          <w:sz w:val="22"/>
          <w:szCs w:val="22"/>
          <w:shd w:val="clear" w:color="auto" w:fill="FFFFFF"/>
        </w:rPr>
        <w:t> .</w:t>
      </w:r>
    </w:p>
    <w:p w14:paraId="60344D2E" w14:textId="77777777" w:rsidR="00D46C3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 xml:space="preserve">Rozwiązanie EPP / EDR musi 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>wspierać następujące modele wdrożenia :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SaaS (agent-&gt; usługa SaaS w chmurze) lub 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wdrożenie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lokalne (urządzenie wirtualne) lub 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>wdrożenie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hybrydowe.</w:t>
      </w:r>
    </w:p>
    <w:p w14:paraId="34DDB383" w14:textId="77777777" w:rsidR="00D46C3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Rozwiązanie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Pr="00D46C37">
        <w:rPr>
          <w:rFonts w:ascii="Barlow" w:hAnsi="Barlow" w:cs="Arial"/>
          <w:color w:val="000000"/>
          <w:sz w:val="22"/>
          <w:szCs w:val="22"/>
        </w:rPr>
        <w:t>musi obsługiwać następujące mechanizmy wykrywania złośliwego oprogramowania :</w:t>
      </w:r>
    </w:p>
    <w:p w14:paraId="44D6614A" w14:textId="77777777" w:rsidR="00D46C37" w:rsidRPr="00D46C37" w:rsidRDefault="00CB5AD5" w:rsidP="00CB5AD5">
      <w:pPr>
        <w:pStyle w:val="NormalnyWeb"/>
        <w:numPr>
          <w:ilvl w:val="0"/>
          <w:numId w:val="3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lastRenderedPageBreak/>
        <w:t>Przed wykonaniem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 (</w:t>
      </w:r>
      <w:proofErr w:type="spellStart"/>
      <w:r w:rsidR="00030EAA" w:rsidRPr="00D46C37">
        <w:rPr>
          <w:rFonts w:ascii="Barlow" w:hAnsi="Barlow" w:cs="Arial"/>
          <w:color w:val="000000"/>
          <w:sz w:val="22"/>
          <w:szCs w:val="22"/>
        </w:rPr>
        <w:t>Pre-Execution</w:t>
      </w:r>
      <w:proofErr w:type="spellEnd"/>
      <w:r w:rsidR="00030EAA" w:rsidRPr="00D46C37">
        <w:rPr>
          <w:rFonts w:ascii="Barlow" w:hAnsi="Barlow" w:cs="Arial"/>
          <w:color w:val="000000"/>
          <w:sz w:val="22"/>
          <w:szCs w:val="22"/>
        </w:rPr>
        <w:t>)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: identyfikacja złośliwego oprogramowania na podstawie plików za pośrednictwem 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>silnika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reputacji. 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Funkcja nie wymaga aktualizacji baz danych sygnatur oraz </w:t>
      </w:r>
      <w:proofErr w:type="spellStart"/>
      <w:r w:rsidR="00030EAA" w:rsidRPr="00D46C37">
        <w:rPr>
          <w:rFonts w:ascii="Barlow" w:hAnsi="Barlow" w:cs="Arial"/>
          <w:color w:val="000000"/>
          <w:sz w:val="22"/>
          <w:szCs w:val="22"/>
        </w:rPr>
        <w:t>aktualziacji</w:t>
      </w:r>
      <w:proofErr w:type="spellEnd"/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 plikó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w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sygnatur</w:t>
      </w:r>
      <w:r w:rsidR="00030EAA" w:rsidRPr="00D46C37">
        <w:rPr>
          <w:rFonts w:ascii="Barlow" w:hAnsi="Barlow" w:cs="Arial"/>
          <w:color w:val="000000"/>
          <w:sz w:val="22"/>
          <w:szCs w:val="22"/>
        </w:rPr>
        <w:t xml:space="preserve"> do realizacji swoich zadać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. Dopuszcza się aby działanie tej f</w:t>
      </w:r>
      <w:r w:rsidRPr="00D46C37">
        <w:rPr>
          <w:rFonts w:ascii="Barlow" w:hAnsi="Barlow" w:cs="Arial"/>
          <w:color w:val="000000"/>
          <w:sz w:val="22"/>
          <w:szCs w:val="22"/>
        </w:rPr>
        <w:t>un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kcjonalności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było zależne od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c</w:t>
      </w:r>
      <w:r w:rsidRPr="00D46C37">
        <w:rPr>
          <w:rFonts w:ascii="Barlow" w:hAnsi="Barlow" w:cs="Arial"/>
          <w:color w:val="000000"/>
          <w:sz w:val="22"/>
          <w:szCs w:val="22"/>
        </w:rPr>
        <w:t>hmur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y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lub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serwera zarządzającego – 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dlatego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skanowanie całego dysku tym silnikiem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powinno odbywać się TYLKO podczas początkowej instalacji i nie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może być wymagane aby zapewnić poprawne działanie </w:t>
      </w:r>
      <w:r w:rsidRPr="00D46C37">
        <w:rPr>
          <w:rFonts w:ascii="Barlow" w:hAnsi="Barlow" w:cs="Arial"/>
          <w:color w:val="000000"/>
          <w:sz w:val="22"/>
          <w:szCs w:val="22"/>
        </w:rPr>
        <w:t>wszystkich funkcji bezpieczeństwa.</w:t>
      </w:r>
    </w:p>
    <w:p w14:paraId="69907555" w14:textId="77777777" w:rsidR="00D46C37" w:rsidRDefault="00CB5AD5" w:rsidP="00CB5AD5">
      <w:pPr>
        <w:pStyle w:val="NormalnyWeb"/>
        <w:numPr>
          <w:ilvl w:val="0"/>
          <w:numId w:val="3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Przed wykonaniem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(</w:t>
      </w:r>
      <w:proofErr w:type="spellStart"/>
      <w:r w:rsidR="007F78FF" w:rsidRPr="00D46C37">
        <w:rPr>
          <w:rFonts w:ascii="Barlow" w:hAnsi="Barlow" w:cs="Arial"/>
          <w:color w:val="000000"/>
          <w:sz w:val="22"/>
          <w:szCs w:val="22"/>
        </w:rPr>
        <w:t>Pre-Execution</w:t>
      </w:r>
      <w:proofErr w:type="spellEnd"/>
      <w:r w:rsidR="007F78FF" w:rsidRPr="00D46C37">
        <w:rPr>
          <w:rFonts w:ascii="Barlow" w:hAnsi="Barlow" w:cs="Arial"/>
          <w:color w:val="000000"/>
          <w:sz w:val="22"/>
          <w:szCs w:val="22"/>
        </w:rPr>
        <w:t>)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: rozwiązanie musi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potrafić identyfikować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nieznane szkodliwe oprogramowanie oparte na plikach na podstawie analizy statycznego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z wykorzystaniem algorytmów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 uczenia maszynowego. Taka analiza musi odbywać się autonomicznie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na stacji końcowej,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bez zewnętrznych zależności lub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zewnętrznego </w:t>
      </w:r>
      <w:r w:rsidRPr="00D46C37">
        <w:rPr>
          <w:rFonts w:ascii="Barlow" w:hAnsi="Barlow" w:cs="Arial"/>
          <w:color w:val="000000"/>
          <w:sz w:val="22"/>
          <w:szCs w:val="22"/>
        </w:rPr>
        <w:t>przetwarzania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. Funkcjonalność nie może wymagać do działania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uwzględnienia znanych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I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o</w:t>
      </w:r>
      <w:r w:rsidRPr="00D46C37">
        <w:rPr>
          <w:rFonts w:ascii="Barlow" w:hAnsi="Barlow" w:cs="Arial"/>
          <w:color w:val="000000"/>
          <w:sz w:val="22"/>
          <w:szCs w:val="22"/>
        </w:rPr>
        <w:t>C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(DNS, IP, URL, HASH),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a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detekcja tego typu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musi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działać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w czasie rzeczywistym podczas dostępu do systemu operacyjnego lub danego pliku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.</w:t>
      </w:r>
    </w:p>
    <w:p w14:paraId="347C2BCA" w14:textId="11A7DEAC" w:rsidR="00CB5AD5" w:rsidRPr="00626789" w:rsidRDefault="00CB5AD5" w:rsidP="00CB5AD5">
      <w:pPr>
        <w:pStyle w:val="NormalnyWeb"/>
        <w:numPr>
          <w:ilvl w:val="0"/>
          <w:numId w:val="3"/>
        </w:numPr>
        <w:spacing w:before="0" w:beforeAutospacing="0" w:after="0" w:afterAutospacing="0" w:line="184" w:lineRule="atLeast"/>
        <w:ind w:left="851" w:hanging="425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W czasie wykonywania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(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Run-Time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)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: agent musi identyfikować i reagować na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ataki z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wykorzystaniem </w:t>
      </w:r>
      <w:r w:rsidRPr="00D46C37">
        <w:rPr>
          <w:rFonts w:ascii="Barlow" w:hAnsi="Barlow" w:cs="Arial"/>
          <w:color w:val="000000"/>
          <w:sz w:val="22"/>
          <w:szCs w:val="22"/>
        </w:rPr>
        <w:t>wyrafinowan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ych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technik </w:t>
      </w:r>
      <w:r w:rsidR="008C2D20" w:rsidRPr="00D46C37">
        <w:rPr>
          <w:rFonts w:ascii="Barlow" w:hAnsi="Barlow" w:cs="Arial"/>
          <w:color w:val="000000"/>
          <w:sz w:val="22"/>
          <w:szCs w:val="22"/>
        </w:rPr>
        <w:t>hackerskich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(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ataki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bez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plikowe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,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podatności 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proofErr w:type="spellStart"/>
      <w:r w:rsidR="007F78FF" w:rsidRPr="00D46C37">
        <w:rPr>
          <w:rFonts w:ascii="Barlow" w:hAnsi="Barlow" w:cs="Arial"/>
          <w:color w:val="000000"/>
          <w:sz w:val="22"/>
          <w:szCs w:val="22"/>
        </w:rPr>
        <w:t>malware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0-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day,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złośliwe 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skrypt, </w:t>
      </w:r>
      <w:proofErr w:type="spellStart"/>
      <w:r w:rsidR="007F78FF" w:rsidRPr="00D46C37">
        <w:rPr>
          <w:rFonts w:ascii="Barlow" w:hAnsi="Barlow" w:cs="Arial"/>
          <w:color w:val="000000"/>
          <w:sz w:val="22"/>
          <w:szCs w:val="22"/>
        </w:rPr>
        <w:t>lateral</w:t>
      </w:r>
      <w:proofErr w:type="spellEnd"/>
      <w:r w:rsidR="007F78FF" w:rsidRPr="00D46C3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="007F78FF" w:rsidRPr="00D46C37">
        <w:rPr>
          <w:rFonts w:ascii="Barlow" w:hAnsi="Barlow" w:cs="Arial"/>
          <w:color w:val="000000"/>
          <w:sz w:val="22"/>
          <w:szCs w:val="22"/>
        </w:rPr>
        <w:t>movement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, oprogramowanie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ransomware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 xml:space="preserve">, 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trojany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, 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APT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 itp.)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Identyfikacja tych zagrożeń nie może wymagać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zewnętrznych zależności, interwencji człowieka lub analizy danych 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poza chronioną stacją końcową</w:t>
      </w:r>
      <w:r w:rsidRPr="00D46C37">
        <w:rPr>
          <w:rFonts w:ascii="Barlow" w:hAnsi="Barlow" w:cs="Arial"/>
          <w:color w:val="000000"/>
          <w:sz w:val="22"/>
          <w:szCs w:val="22"/>
        </w:rPr>
        <w:t>. </w:t>
      </w:r>
      <w:r w:rsidR="007F78FF" w:rsidRPr="00D46C37">
        <w:rPr>
          <w:rFonts w:ascii="Barlow" w:hAnsi="Barlow" w:cs="Arial"/>
          <w:color w:val="000000"/>
          <w:sz w:val="22"/>
          <w:szCs w:val="22"/>
        </w:rPr>
        <w:t>Funkcjonalność musi być realizowana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w czasie </w:t>
      </w:r>
      <w:r w:rsidR="003D4F3F" w:rsidRPr="00D46C37">
        <w:rPr>
          <w:rFonts w:ascii="Barlow" w:hAnsi="Barlow" w:cs="Arial"/>
          <w:color w:val="000000"/>
          <w:sz w:val="22"/>
          <w:szCs w:val="22"/>
        </w:rPr>
        <w:t xml:space="preserve">zbliżonym do </w:t>
      </w:r>
      <w:r w:rsidRPr="00D46C37">
        <w:rPr>
          <w:rFonts w:ascii="Barlow" w:hAnsi="Barlow" w:cs="Arial"/>
          <w:color w:val="000000"/>
          <w:sz w:val="22"/>
          <w:szCs w:val="22"/>
        </w:rPr>
        <w:t>rzeczywist</w:t>
      </w:r>
      <w:r w:rsidR="003D4F3F" w:rsidRPr="00D46C37">
        <w:rPr>
          <w:rFonts w:ascii="Barlow" w:hAnsi="Barlow" w:cs="Arial"/>
          <w:color w:val="000000"/>
          <w:sz w:val="22"/>
          <w:szCs w:val="22"/>
        </w:rPr>
        <w:t>ego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poprzez </w:t>
      </w:r>
      <w:r w:rsidR="003D4F3F" w:rsidRPr="00D46C37">
        <w:rPr>
          <w:rFonts w:ascii="Barlow" w:hAnsi="Barlow" w:cs="Arial"/>
          <w:color w:val="000000"/>
          <w:sz w:val="22"/>
          <w:szCs w:val="22"/>
        </w:rPr>
        <w:t>wykorzystanie algorytmów</w:t>
      </w:r>
      <w:r w:rsidRPr="00D46C37">
        <w:rPr>
          <w:rFonts w:ascii="Barlow" w:hAnsi="Barlow" w:cs="Arial"/>
          <w:color w:val="000000"/>
          <w:sz w:val="22"/>
          <w:szCs w:val="22"/>
        </w:rPr>
        <w:t xml:space="preserve"> sztucznej inteligencji.</w:t>
      </w:r>
      <w:r w:rsidR="00626789">
        <w:rPr>
          <w:rFonts w:ascii="Barlow" w:hAnsi="Barlow"/>
          <w:color w:val="000000"/>
          <w:sz w:val="22"/>
          <w:szCs w:val="22"/>
        </w:rPr>
        <w:t xml:space="preserve"> </w:t>
      </w:r>
      <w:r w:rsidRPr="00626789">
        <w:rPr>
          <w:rFonts w:ascii="Barlow" w:hAnsi="Barlow" w:cs="Arial"/>
          <w:color w:val="000000"/>
          <w:sz w:val="22"/>
          <w:szCs w:val="22"/>
        </w:rPr>
        <w:t>Znan</w:t>
      </w:r>
      <w:r w:rsidR="003D4F3F" w:rsidRPr="00626789">
        <w:rPr>
          <w:rFonts w:ascii="Barlow" w:hAnsi="Barlow" w:cs="Arial"/>
          <w:color w:val="000000"/>
          <w:sz w:val="22"/>
          <w:szCs w:val="22"/>
        </w:rPr>
        <w:t>e</w:t>
      </w:r>
      <w:r w:rsidRPr="00626789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626789">
        <w:rPr>
          <w:rFonts w:ascii="Barlow" w:hAnsi="Barlow" w:cs="Arial"/>
          <w:color w:val="000000"/>
          <w:sz w:val="22"/>
          <w:szCs w:val="22"/>
        </w:rPr>
        <w:t>I</w:t>
      </w:r>
      <w:r w:rsidR="003D4F3F" w:rsidRPr="00626789">
        <w:rPr>
          <w:rFonts w:ascii="Barlow" w:hAnsi="Barlow" w:cs="Arial"/>
          <w:color w:val="000000"/>
          <w:sz w:val="22"/>
          <w:szCs w:val="22"/>
        </w:rPr>
        <w:t>o</w:t>
      </w:r>
      <w:r w:rsidRPr="00626789">
        <w:rPr>
          <w:rFonts w:ascii="Barlow" w:hAnsi="Barlow" w:cs="Arial"/>
          <w:color w:val="000000"/>
          <w:sz w:val="22"/>
          <w:szCs w:val="22"/>
        </w:rPr>
        <w:t>C</w:t>
      </w:r>
      <w:proofErr w:type="spellEnd"/>
      <w:r w:rsidRPr="00626789">
        <w:rPr>
          <w:rFonts w:ascii="Barlow" w:hAnsi="Barlow" w:cs="Arial"/>
          <w:color w:val="000000"/>
          <w:sz w:val="22"/>
          <w:szCs w:val="22"/>
        </w:rPr>
        <w:t xml:space="preserve"> (DNS, IP, URL, HASH) </w:t>
      </w:r>
      <w:r w:rsidR="003D4F3F" w:rsidRPr="00626789">
        <w:rPr>
          <w:rFonts w:ascii="Barlow" w:hAnsi="Barlow" w:cs="Arial"/>
          <w:color w:val="000000"/>
          <w:sz w:val="22"/>
          <w:szCs w:val="22"/>
        </w:rPr>
        <w:t xml:space="preserve">nie </w:t>
      </w:r>
      <w:r w:rsidR="008C2D20" w:rsidRPr="00626789">
        <w:rPr>
          <w:rFonts w:ascii="Barlow" w:hAnsi="Barlow" w:cs="Arial"/>
          <w:color w:val="000000"/>
          <w:sz w:val="22"/>
          <w:szCs w:val="22"/>
        </w:rPr>
        <w:t>mogą</w:t>
      </w:r>
      <w:r w:rsidR="003D4F3F" w:rsidRPr="00626789">
        <w:rPr>
          <w:rFonts w:ascii="Barlow" w:hAnsi="Barlow" w:cs="Arial"/>
          <w:color w:val="000000"/>
          <w:sz w:val="22"/>
          <w:szCs w:val="22"/>
        </w:rPr>
        <w:t xml:space="preserve"> być wymagane jako środek </w:t>
      </w:r>
      <w:r w:rsidRPr="00626789">
        <w:rPr>
          <w:rFonts w:ascii="Barlow" w:hAnsi="Barlow" w:cs="Arial"/>
          <w:color w:val="000000"/>
          <w:sz w:val="22"/>
          <w:szCs w:val="22"/>
        </w:rPr>
        <w:t xml:space="preserve">identyfikacji </w:t>
      </w:r>
      <w:r w:rsidR="003D4F3F" w:rsidRPr="00626789">
        <w:rPr>
          <w:rFonts w:ascii="Barlow" w:hAnsi="Barlow" w:cs="Arial"/>
          <w:color w:val="000000"/>
          <w:sz w:val="22"/>
          <w:szCs w:val="22"/>
        </w:rPr>
        <w:t>zagrożenia.</w:t>
      </w:r>
    </w:p>
    <w:p w14:paraId="04A709C6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Rozwiązanie musi zapewniać silny mechanizm „</w:t>
      </w:r>
      <w:proofErr w:type="spellStart"/>
      <w:r w:rsidRPr="00D46C37">
        <w:rPr>
          <w:rFonts w:ascii="Barlow" w:hAnsi="Barlow" w:cs="Arial"/>
          <w:color w:val="000000"/>
          <w:sz w:val="22"/>
          <w:szCs w:val="22"/>
        </w:rPr>
        <w:t>Anti-Tamper</w:t>
      </w:r>
      <w:proofErr w:type="spellEnd"/>
      <w:r w:rsidRPr="00D46C37">
        <w:rPr>
          <w:rFonts w:ascii="Barlow" w:hAnsi="Barlow" w:cs="Arial"/>
          <w:color w:val="000000"/>
          <w:sz w:val="22"/>
          <w:szCs w:val="22"/>
        </w:rPr>
        <w:t>”</w:t>
      </w:r>
      <w:r w:rsidR="003D4F3F" w:rsidRPr="00D46C37">
        <w:rPr>
          <w:rFonts w:ascii="Barlow" w:hAnsi="Barlow" w:cs="Arial"/>
          <w:color w:val="000000"/>
          <w:sz w:val="22"/>
          <w:szCs w:val="22"/>
        </w:rPr>
        <w:t xml:space="preserve">, czyli mechanizmy ochrony przed manipulacja oprogramowaniem przez </w:t>
      </w:r>
      <w:proofErr w:type="spellStart"/>
      <w:r w:rsidR="003D4F3F" w:rsidRPr="00D46C37">
        <w:rPr>
          <w:rFonts w:ascii="Barlow" w:hAnsi="Barlow" w:cs="Arial"/>
          <w:color w:val="000000"/>
          <w:sz w:val="22"/>
          <w:szCs w:val="22"/>
        </w:rPr>
        <w:t>malware</w:t>
      </w:r>
      <w:proofErr w:type="spellEnd"/>
      <w:r w:rsidR="003D4F3F" w:rsidRPr="00D46C37">
        <w:rPr>
          <w:rFonts w:ascii="Barlow" w:hAnsi="Barlow" w:cs="Arial"/>
          <w:color w:val="000000"/>
          <w:sz w:val="22"/>
          <w:szCs w:val="22"/>
        </w:rPr>
        <w:t xml:space="preserve"> lub użytkownika końcowego</w:t>
      </w:r>
      <w:r w:rsidRPr="00D46C37">
        <w:rPr>
          <w:rFonts w:ascii="Barlow" w:hAnsi="Barlow" w:cs="Arial"/>
          <w:color w:val="000000"/>
          <w:sz w:val="22"/>
          <w:szCs w:val="22"/>
        </w:rPr>
        <w:t>. Taki mechanizm musi być chroniony unikalnym hasłem dla każdego komputera końcowego.</w:t>
      </w:r>
      <w:r w:rsidR="00924C87">
        <w:rPr>
          <w:rFonts w:ascii="Barlow" w:hAnsi="Barlow"/>
          <w:color w:val="000000"/>
          <w:sz w:val="22"/>
          <w:szCs w:val="22"/>
        </w:rPr>
        <w:t xml:space="preserve"> </w:t>
      </w:r>
      <w:r w:rsidRPr="00924C87">
        <w:rPr>
          <w:rFonts w:ascii="Barlow" w:hAnsi="Barlow" w:cs="Arial"/>
          <w:color w:val="000000"/>
          <w:sz w:val="22"/>
          <w:szCs w:val="22"/>
        </w:rPr>
        <w:t>Stan WŁ.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/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WYŁ. Ochrony przed manipulacją powinien być opcją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konfigurowalną w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polity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ce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bezpieczeństwa.</w:t>
      </w:r>
    </w:p>
    <w:p w14:paraId="724110AA" w14:textId="70162940" w:rsidR="00924C87" w:rsidRPr="00924C87" w:rsidRDefault="003D4F3F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Polityka bezpieczeństwa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powin</w:t>
      </w:r>
      <w:r w:rsidR="008C2D20" w:rsidRPr="00924C87">
        <w:rPr>
          <w:rFonts w:ascii="Barlow" w:hAnsi="Barlow" w:cs="Arial"/>
          <w:color w:val="000000"/>
          <w:sz w:val="22"/>
          <w:szCs w:val="22"/>
        </w:rPr>
        <w:t>na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zapewniać opcję włączenia lub wyłączenia </w:t>
      </w:r>
      <w:r w:rsidRPr="00924C87">
        <w:rPr>
          <w:rFonts w:ascii="Barlow" w:hAnsi="Barlow" w:cs="Arial"/>
          <w:color w:val="000000"/>
          <w:sz w:val="22"/>
          <w:szCs w:val="22"/>
        </w:rPr>
        <w:t>poszczególnych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silników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detekcyjnych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lu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b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według typu silnika (silniki przed wykonaniem 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uruchomieniem).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Opcja ta nie jest wymagana dla silnika reputacji.</w:t>
      </w:r>
    </w:p>
    <w:p w14:paraId="681A919F" w14:textId="4852A44A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powinno zawierać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otwarty interfejs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API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 który umożliwia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i</w:t>
      </w:r>
      <w:r w:rsidRPr="00924C87">
        <w:rPr>
          <w:rFonts w:ascii="Barlow" w:hAnsi="Barlow" w:cs="Arial"/>
          <w:color w:val="000000"/>
          <w:sz w:val="22"/>
          <w:szCs w:val="22"/>
        </w:rPr>
        <w:t>ntegracj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e z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innymi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rozwiązaniami</w:t>
      </w:r>
      <w:r w:rsidRPr="00924C87">
        <w:rPr>
          <w:rFonts w:ascii="Barlow" w:hAnsi="Barlow" w:cs="Arial"/>
          <w:color w:val="000000"/>
          <w:sz w:val="22"/>
          <w:szCs w:val="22"/>
        </w:rPr>
        <w:t>, monitorowani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e środowiska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oraz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automatyzacj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e niektórych z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procesów</w:t>
      </w:r>
      <w:r w:rsidRPr="00924C87">
        <w:rPr>
          <w:rFonts w:ascii="Barlow" w:hAnsi="Barlow" w:cs="Arial"/>
          <w:color w:val="000000"/>
          <w:sz w:val="22"/>
          <w:szCs w:val="22"/>
        </w:rPr>
        <w:t>. 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Dokumentacja interfejsu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API powinn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być natywnie dostępn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z poziomu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konsoli zarządzania.</w:t>
      </w:r>
    </w:p>
    <w:p w14:paraId="748DAA19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musi obsługiwać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architekturę typu </w:t>
      </w:r>
      <w:r w:rsidRPr="00924C87">
        <w:rPr>
          <w:rFonts w:ascii="Barlow" w:hAnsi="Barlow" w:cs="Arial"/>
          <w:color w:val="000000"/>
          <w:sz w:val="22"/>
          <w:szCs w:val="22"/>
        </w:rPr>
        <w:t>Multi-Site lub Multi-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Tenancy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, aby całkowicie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odseparować utworzone w systemie instancję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i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zapewnić odpowiedni dostęp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administracyjny do 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 xml:space="preserve">konkretnej lokacji utworzonej zgodnie z modelem </w:t>
      </w:r>
      <w:r w:rsidRPr="00924C87">
        <w:rPr>
          <w:rFonts w:ascii="Barlow" w:hAnsi="Barlow" w:cs="Arial"/>
          <w:color w:val="000000"/>
          <w:sz w:val="22"/>
          <w:szCs w:val="22"/>
        </w:rPr>
        <w:t>Multi-Site.</w:t>
      </w:r>
    </w:p>
    <w:p w14:paraId="2B9701ED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musi obsługiwać uwierzytelnianie SSO 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 xml:space="preserve">- </w:t>
      </w:r>
      <w:r w:rsidRPr="00924C87">
        <w:rPr>
          <w:rFonts w:ascii="Barlow" w:hAnsi="Barlow" w:cs="Arial"/>
          <w:color w:val="000000"/>
          <w:sz w:val="22"/>
          <w:szCs w:val="22"/>
        </w:rPr>
        <w:t>SAMLv2.</w:t>
      </w:r>
    </w:p>
    <w:p w14:paraId="6550C85A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Rozwiązanie musi obsługiwać uwierzytelnianie dwu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składnikowe (2FA)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 celu uzyskania dostępu administracyjnego za pomocą aplikacji Google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Authenticator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lub Nano.</w:t>
      </w:r>
    </w:p>
    <w:p w14:paraId="1928803E" w14:textId="28A53C8E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musi obsługiwać następujące formaty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syslog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: CEF, CEF2, RFC-5424, STIX 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924C87">
        <w:rPr>
          <w:rFonts w:ascii="Barlow" w:hAnsi="Barlow" w:cs="Arial"/>
          <w:color w:val="000000"/>
          <w:sz w:val="22"/>
          <w:szCs w:val="22"/>
        </w:rPr>
        <w:t>IOC. 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Rozwiązanie p</w:t>
      </w:r>
      <w:r w:rsidRPr="00924C87">
        <w:rPr>
          <w:rFonts w:ascii="Barlow" w:hAnsi="Barlow" w:cs="Arial"/>
          <w:color w:val="000000"/>
          <w:sz w:val="22"/>
          <w:szCs w:val="22"/>
        </w:rPr>
        <w:t>owin</w:t>
      </w:r>
      <w:r w:rsidR="003D4F3F" w:rsidRPr="00924C87">
        <w:rPr>
          <w:rFonts w:ascii="Barlow" w:hAnsi="Barlow" w:cs="Arial"/>
          <w:color w:val="000000"/>
          <w:sz w:val="22"/>
          <w:szCs w:val="22"/>
        </w:rPr>
        <w:t>no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obsługiwać certyfikaty SSL i X.509 do szyfrowania i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uwierzytelniania transportu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syslog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5CB634B0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Rozwiązanie musi zapewniać możliwość wysyłania wiadomości tekstowych do użytkownika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 xml:space="preserve"> stacji końcowej, bezpośrednio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z konsoli zarządzania, nawet 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kiedy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a</w:t>
      </w:r>
      <w:r w:rsidRPr="00924C87">
        <w:rPr>
          <w:rFonts w:ascii="Barlow" w:hAnsi="Barlow" w:cs="Arial"/>
          <w:color w:val="000000"/>
          <w:sz w:val="22"/>
          <w:szCs w:val="22"/>
        </w:rPr>
        <w:t>gen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t pracujący na stacji, znajduje się w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w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trybie izolacji sieci / kwarantanny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 xml:space="preserve"> sieciowej</w:t>
      </w:r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58EBBBFC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musi 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umożliwiać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zintegrowane z usługą Active Directory, aby możliwe było automatyczne przypisywanie agent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ów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do grup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,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 celu powiązania 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 xml:space="preserve">ich z </w:t>
      </w:r>
      <w:r w:rsidRPr="00924C87">
        <w:rPr>
          <w:rFonts w:ascii="Barlow" w:hAnsi="Barlow" w:cs="Arial"/>
          <w:color w:val="000000"/>
          <w:sz w:val="22"/>
          <w:szCs w:val="22"/>
        </w:rPr>
        <w:t>zasad</w:t>
      </w:r>
      <w:r w:rsidR="002A4258" w:rsidRPr="00924C87">
        <w:rPr>
          <w:rFonts w:ascii="Barlow" w:hAnsi="Barlow" w:cs="Arial"/>
          <w:color w:val="000000"/>
          <w:sz w:val="22"/>
          <w:szCs w:val="22"/>
        </w:rPr>
        <w:t>ami AD</w:t>
      </w:r>
      <w:r w:rsidRPr="00924C87">
        <w:rPr>
          <w:rFonts w:ascii="Barlow" w:hAnsi="Barlow" w:cs="Arial"/>
          <w:color w:val="000000"/>
          <w:sz w:val="22"/>
          <w:szCs w:val="22"/>
        </w:rPr>
        <w:t>. Konsola zarządzania NIE powinna łączyć się z usługą Active Directory bezpośrednio za pośrednictwem programu ADFS ani żadnej innej metody uzyskiwania atrybutów usługi Device i User AD. Serwer zarządzania rozwiązaniem nie powinien mieć żadnych zależności od stanu usługi AD.</w:t>
      </w:r>
    </w:p>
    <w:p w14:paraId="6038B7D6" w14:textId="77777777" w:rsidR="00924C87" w:rsidRDefault="00910F5C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lastRenderedPageBreak/>
        <w:t xml:space="preserve">Rozwiązanie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musi zawierać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dashboard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pokazujący wszystkie komputery,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oraz możliwość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 xml:space="preserve"> ich filtrowania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na podstawie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atrybut</w:t>
      </w:r>
      <w:r w:rsidRPr="00924C87">
        <w:rPr>
          <w:rFonts w:ascii="Barlow" w:hAnsi="Barlow" w:cs="Arial"/>
          <w:color w:val="000000"/>
          <w:sz w:val="22"/>
          <w:szCs w:val="22"/>
        </w:rPr>
        <w:t>ów takich jak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: OS, </w:t>
      </w:r>
      <w:r w:rsidRPr="00924C87">
        <w:rPr>
          <w:rFonts w:ascii="Barlow" w:hAnsi="Barlow" w:cs="Arial"/>
          <w:color w:val="000000"/>
          <w:sz w:val="22"/>
          <w:szCs w:val="22"/>
        </w:rPr>
        <w:t>t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yp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stacji końcowej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, </w:t>
      </w:r>
      <w:r w:rsidRPr="00924C87">
        <w:rPr>
          <w:rFonts w:ascii="Barlow" w:hAnsi="Barlow" w:cs="Arial"/>
          <w:color w:val="000000"/>
          <w:sz w:val="22"/>
          <w:szCs w:val="22"/>
        </w:rPr>
        <w:t>wersja agenta, występujące podatności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, atrybut</w:t>
      </w:r>
      <w:r w:rsidRPr="00924C87">
        <w:rPr>
          <w:rFonts w:ascii="Barlow" w:hAnsi="Barlow" w:cs="Arial"/>
          <w:color w:val="000000"/>
          <w:sz w:val="22"/>
          <w:szCs w:val="22"/>
        </w:rPr>
        <w:t>y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AD, informacyjn</w:t>
      </w:r>
      <w:r w:rsidRPr="00924C87">
        <w:rPr>
          <w:rFonts w:ascii="Barlow" w:hAnsi="Barlow" w:cs="Arial"/>
          <w:color w:val="000000"/>
          <w:sz w:val="22"/>
          <w:szCs w:val="22"/>
        </w:rPr>
        <w:t>e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telemetryczne, </w:t>
      </w:r>
      <w:r w:rsidRPr="00924C87">
        <w:rPr>
          <w:rFonts w:ascii="Barlow" w:hAnsi="Barlow" w:cs="Arial"/>
          <w:color w:val="000000"/>
          <w:sz w:val="22"/>
          <w:szCs w:val="22"/>
        </w:rPr>
        <w:t>adresacja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IP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,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charakterystyki hardware, </w:t>
      </w:r>
      <w:r w:rsidRPr="00924C87">
        <w:rPr>
          <w:rFonts w:ascii="Barlow" w:hAnsi="Barlow" w:cs="Arial"/>
          <w:color w:val="000000"/>
          <w:sz w:val="22"/>
          <w:szCs w:val="22"/>
        </w:rPr>
        <w:t>ilości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CPU, adres</w:t>
      </w:r>
      <w:r w:rsidRPr="00924C87">
        <w:rPr>
          <w:rFonts w:ascii="Barlow" w:hAnsi="Barlow" w:cs="Arial"/>
          <w:color w:val="000000"/>
          <w:sz w:val="22"/>
          <w:szCs w:val="22"/>
        </w:rPr>
        <w:t>y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Mac, interfejsy, nazwa hosta,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nazwa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grup</w:t>
      </w:r>
      <w:r w:rsidRPr="00924C87">
        <w:rPr>
          <w:rFonts w:ascii="Barlow" w:hAnsi="Barlow" w:cs="Arial"/>
          <w:color w:val="000000"/>
          <w:sz w:val="22"/>
          <w:szCs w:val="22"/>
        </w:rPr>
        <w:t>y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, domena)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. Lista powinna być dostępna 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do p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rzeglądania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 celu inwentaryzacji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 xml:space="preserve"> hostów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, stosowania akcji d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la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podzbioru </w:t>
      </w:r>
      <w:r w:rsidRPr="00924C87">
        <w:rPr>
          <w:rFonts w:ascii="Barlow" w:hAnsi="Barlow" w:cs="Arial"/>
          <w:color w:val="000000"/>
          <w:sz w:val="22"/>
          <w:szCs w:val="22"/>
        </w:rPr>
        <w:t>stacji końcowych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lub mapowania </w:t>
      </w:r>
      <w:r w:rsidRPr="00924C87">
        <w:rPr>
          <w:rFonts w:ascii="Barlow" w:hAnsi="Barlow" w:cs="Arial"/>
          <w:color w:val="000000"/>
          <w:sz w:val="22"/>
          <w:szCs w:val="22"/>
        </w:rPr>
        <w:t>stacji końcowych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do grup. Musi zapewniać opcję </w:t>
      </w:r>
      <w:r w:rsidRPr="00924C87">
        <w:rPr>
          <w:rFonts w:ascii="Barlow" w:hAnsi="Barlow" w:cs="Arial"/>
          <w:color w:val="000000"/>
          <w:sz w:val="22"/>
          <w:szCs w:val="22"/>
        </w:rPr>
        <w:t>wyświetlenia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szczegółów </w:t>
      </w:r>
      <w:r w:rsidRPr="00924C87">
        <w:rPr>
          <w:rFonts w:ascii="Barlow" w:hAnsi="Barlow" w:cs="Arial"/>
          <w:color w:val="000000"/>
          <w:sz w:val="22"/>
          <w:szCs w:val="22"/>
        </w:rPr>
        <w:t>stacji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, takie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jak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aspekty telemetrii, stan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stacji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, aplikacje 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oraz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zapewniać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następujące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opcje działania: Odłącz</w:t>
      </w:r>
      <w:r w:rsidRPr="00924C87">
        <w:rPr>
          <w:rFonts w:ascii="Barlow" w:hAnsi="Barlow" w:cs="Arial"/>
          <w:color w:val="000000"/>
          <w:sz w:val="22"/>
          <w:szCs w:val="22"/>
        </w:rPr>
        <w:t>/ Połącz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się od sieci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(kwarantanna sieciowa,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Uruchom ponownie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OS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, Zamknij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system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, Wyślij wiadomość do użytkownika, Odinstaluj </w:t>
      </w:r>
      <w:r w:rsidRPr="00924C87">
        <w:rPr>
          <w:rFonts w:ascii="Barlow" w:hAnsi="Barlow" w:cs="Arial"/>
          <w:color w:val="000000"/>
          <w:sz w:val="22"/>
          <w:szCs w:val="22"/>
        </w:rPr>
        <w:t>agenta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, Wyświetl zagrożenia.</w:t>
      </w:r>
    </w:p>
    <w:p w14:paraId="60818230" w14:textId="6610C928" w:rsidR="00924C87" w:rsidRDefault="00910F5C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Polityka ochrony stacji musi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umożliwiać odpowiedź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na wykryte zagrożenie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w oparciu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o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kwalifikację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zdarzenia (zagrożenie </w:t>
      </w:r>
      <w:r w:rsidRPr="00924C87">
        <w:rPr>
          <w:rFonts w:ascii="Barlow" w:hAnsi="Barlow" w:cs="Arial"/>
          <w:color w:val="000000"/>
          <w:sz w:val="22"/>
          <w:szCs w:val="22"/>
        </w:rPr>
        <w:t>[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Malicious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Threat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]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czy </w:t>
      </w:r>
      <w:r w:rsidRPr="00924C87">
        <w:rPr>
          <w:rFonts w:ascii="Barlow" w:hAnsi="Barlow" w:cs="Arial"/>
          <w:color w:val="000000"/>
          <w:sz w:val="22"/>
          <w:szCs w:val="22"/>
        </w:rPr>
        <w:t>podejrzane działanie [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Suspicious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Threat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>]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). </w:t>
      </w:r>
      <w:r w:rsidRPr="00924C87">
        <w:rPr>
          <w:rFonts w:ascii="Barlow" w:hAnsi="Barlow" w:cs="Arial"/>
          <w:color w:val="000000"/>
          <w:sz w:val="22"/>
          <w:szCs w:val="22"/>
        </w:rPr>
        <w:t>Odpowiedź na zagrożenie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powinna umożliwiać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wybranie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opcje 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alert-</w:t>
      </w:r>
      <w:proofErr w:type="spellStart"/>
      <w:r w:rsidR="0001417E" w:rsidRPr="00924C87">
        <w:rPr>
          <w:rFonts w:ascii="Barlow" w:hAnsi="Barlow" w:cs="Arial"/>
          <w:color w:val="000000"/>
          <w:sz w:val="22"/>
          <w:szCs w:val="22"/>
        </w:rPr>
        <w:t>only</w:t>
      </w:r>
      <w:proofErr w:type="spellEnd"/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lub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opcje aktywnej o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chrony w oparciu o klasyfikację 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zagrożenia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. 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Aktywna o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dpowiedź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 na zagrożenie, powinna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być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wykonywana przez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autonomiczne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go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agenta, nawet jeśli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 chroniona stacja nie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jest podłączon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do sieci.</w:t>
      </w:r>
    </w:p>
    <w:p w14:paraId="1573AAC2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EPP / EDR musi mieć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zapewniać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funkcjonalność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lokalnego </w:t>
      </w:r>
      <w:proofErr w:type="spellStart"/>
      <w:r w:rsidR="004E6D8C" w:rsidRPr="00924C87">
        <w:rPr>
          <w:rFonts w:ascii="Barlow" w:hAnsi="Barlow" w:cs="Arial"/>
          <w:color w:val="000000"/>
          <w:sz w:val="22"/>
          <w:szCs w:val="22"/>
        </w:rPr>
        <w:t>firewalla</w:t>
      </w:r>
      <w:proofErr w:type="spellEnd"/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dla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chronionej stacji końcowej. Ochrona firewall musi umożliwiać realizację unikalnych polityk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dla każdej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chronionej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grupy 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>hostów</w:t>
      </w:r>
      <w:r w:rsidRPr="00924C87">
        <w:rPr>
          <w:rFonts w:ascii="Barlow" w:hAnsi="Barlow" w:cs="Arial"/>
          <w:color w:val="000000"/>
          <w:sz w:val="22"/>
          <w:szCs w:val="22"/>
        </w:rPr>
        <w:t>. </w:t>
      </w:r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Reguły </w:t>
      </w:r>
      <w:proofErr w:type="spellStart"/>
      <w:r w:rsidR="004E6D8C" w:rsidRPr="00924C87">
        <w:rPr>
          <w:rFonts w:ascii="Barlow" w:hAnsi="Barlow" w:cs="Arial"/>
          <w:color w:val="000000"/>
          <w:sz w:val="22"/>
          <w:szCs w:val="22"/>
        </w:rPr>
        <w:t>firewalla</w:t>
      </w:r>
      <w:proofErr w:type="spellEnd"/>
      <w:r w:rsidR="004E6D8C" w:rsidRPr="00924C87">
        <w:rPr>
          <w:rFonts w:ascii="Barlow" w:hAnsi="Barlow" w:cs="Arial"/>
          <w:color w:val="000000"/>
          <w:sz w:val="22"/>
          <w:szCs w:val="22"/>
        </w:rPr>
        <w:t xml:space="preserve"> powinny umożliwiać uwzględnienie następujących parametrów: </w:t>
      </w:r>
      <w:r w:rsidRPr="00924C87">
        <w:rPr>
          <w:rFonts w:ascii="Barlow" w:hAnsi="Barlow" w:cs="Arial"/>
          <w:color w:val="000000"/>
          <w:sz w:val="22"/>
          <w:szCs w:val="22"/>
        </w:rPr>
        <w:t>FQDN , IP, CIDR. 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Funkcjonalność musi </w:t>
      </w:r>
      <w:r w:rsidRPr="00924C87">
        <w:rPr>
          <w:rFonts w:ascii="Barlow" w:hAnsi="Barlow" w:cs="Arial"/>
          <w:color w:val="000000"/>
          <w:sz w:val="22"/>
          <w:szCs w:val="22"/>
        </w:rPr>
        <w:t>być obsługiwan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a dla następujących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syste</w:t>
      </w:r>
      <w:r w:rsidR="0001417E" w:rsidRPr="00924C87">
        <w:rPr>
          <w:rFonts w:ascii="Barlow" w:hAnsi="Barlow" w:cs="Arial"/>
          <w:color w:val="000000"/>
          <w:sz w:val="22"/>
          <w:szCs w:val="22"/>
        </w:rPr>
        <w:t>mów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 operacyjnych: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Windows, Linux i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MacOS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0B15E93E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EPP / EDR musi mieć funkcjonalność kontroli urządzeń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które próbują uzyskać dostęp do chronionej stacji. Kontrola urządzeń musi umożliwiać realizację unikalnych polityk dla każdej chronionej grupy hostów</w:t>
      </w:r>
      <w:r w:rsidRPr="00924C87">
        <w:rPr>
          <w:rFonts w:ascii="Barlow" w:hAnsi="Barlow" w:cs="Arial"/>
          <w:color w:val="000000"/>
          <w:sz w:val="22"/>
          <w:szCs w:val="22"/>
        </w:rPr>
        <w:t>. Wymagana jest obsługa 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kontroli urządzeń dla następujących interfejsów: </w:t>
      </w:r>
      <w:r w:rsidRPr="00924C87">
        <w:rPr>
          <w:rFonts w:ascii="Barlow" w:hAnsi="Barlow" w:cs="Arial"/>
          <w:color w:val="000000"/>
          <w:sz w:val="22"/>
          <w:szCs w:val="22"/>
        </w:rPr>
        <w:t>USB i Blue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t</w:t>
      </w:r>
      <w:r w:rsidRPr="00924C87">
        <w:rPr>
          <w:rFonts w:ascii="Barlow" w:hAnsi="Barlow" w:cs="Arial"/>
          <w:color w:val="000000"/>
          <w:sz w:val="22"/>
          <w:szCs w:val="22"/>
        </w:rPr>
        <w:t>ooth .</w:t>
      </w:r>
    </w:p>
    <w:p w14:paraId="1E0CB4C0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Rozwiązanie EPP / EDR musi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zarządzać podatnościami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aplikacji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zainstalowanych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na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chronionym hoście </w:t>
      </w:r>
      <w:r w:rsidRPr="00924C87">
        <w:rPr>
          <w:rFonts w:ascii="Barlow" w:hAnsi="Barlow" w:cs="Arial"/>
          <w:color w:val="000000"/>
          <w:sz w:val="22"/>
          <w:szCs w:val="22"/>
        </w:rPr>
        <w:t>i dostarczać informacj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i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z </w:t>
      </w:r>
      <w:r w:rsidRPr="00924C87">
        <w:rPr>
          <w:rFonts w:ascii="Barlow" w:hAnsi="Barlow" w:cs="Arial"/>
          <w:color w:val="000000"/>
          <w:sz w:val="22"/>
          <w:szCs w:val="22"/>
        </w:rPr>
        <w:t>CVE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 związanych z wykrytą podatnością</w:t>
      </w:r>
      <w:r w:rsidRPr="00924C87">
        <w:rPr>
          <w:rFonts w:ascii="Barlow" w:hAnsi="Barlow" w:cs="Arial"/>
          <w:color w:val="000000"/>
          <w:sz w:val="22"/>
          <w:szCs w:val="22"/>
        </w:rPr>
        <w:t>. </w:t>
      </w:r>
    </w:p>
    <w:p w14:paraId="15ECBAA9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Przechowywanie danych EDR musi trwać co najmniej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14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dni w modelu opartym na chmurze SaaS.</w:t>
      </w:r>
    </w:p>
    <w:p w14:paraId="18D4D695" w14:textId="2D01FEDD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Funkcjonalność EDR musi mieć możliwość automatycznego i autonomicznego wykonywania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wstępnego indeksowania i wstępnego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korelowania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zdarzeń,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w momencie ich wystąpienia w chronionym środowisku. Indeksowanie powinno odbywać się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 czasie rzeczywisty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m, a proces ten powinien odbywać się na chronionej stacji</w:t>
      </w:r>
      <w:r w:rsidRPr="00924C87">
        <w:rPr>
          <w:rFonts w:ascii="Barlow" w:hAnsi="Barlow" w:cs="Arial"/>
          <w:color w:val="000000"/>
          <w:sz w:val="22"/>
          <w:szCs w:val="22"/>
        </w:rPr>
        <w:t>, a nie w chmurze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. Powiązane ze sobą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zdarzenia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powinny posiadać </w:t>
      </w:r>
      <w:r w:rsidRPr="00924C87">
        <w:rPr>
          <w:rFonts w:ascii="Barlow" w:hAnsi="Barlow" w:cs="Arial"/>
          <w:color w:val="000000"/>
          <w:sz w:val="22"/>
          <w:szCs w:val="22"/>
        </w:rPr>
        <w:t>unikalny identyfikator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, który pomoże zidentyfikować grupę eventów które są ze sobą powiązane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. Zapytanie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zawierające tego typu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identyfikator powinno zwrócić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informację o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wszystkich zdarze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niach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(IP, DNS, PLIKI,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REJESTRY</w:t>
      </w:r>
      <w:r w:rsidRPr="00924C87">
        <w:rPr>
          <w:rFonts w:ascii="Barlow" w:hAnsi="Barlow" w:cs="Arial"/>
          <w:color w:val="000000"/>
          <w:sz w:val="22"/>
          <w:szCs w:val="22"/>
        </w:rPr>
        <w:t>, PROCES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Y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, URL itp. )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>s</w:t>
      </w:r>
      <w:r w:rsidRPr="00924C87">
        <w:rPr>
          <w:rFonts w:ascii="Barlow" w:hAnsi="Barlow" w:cs="Arial"/>
          <w:color w:val="000000"/>
          <w:sz w:val="22"/>
          <w:szCs w:val="22"/>
        </w:rPr>
        <w:t>kładających się na daną sytuację,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 niezależnie od tego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czy jest ona związana ze złośliwym oprogramowaniem, czy nie. Ponadto </w:t>
      </w:r>
      <w:proofErr w:type="spellStart"/>
      <w:r w:rsidR="00236FE4" w:rsidRPr="00924C87">
        <w:rPr>
          <w:rFonts w:ascii="Barlow" w:hAnsi="Barlow" w:cs="Arial"/>
          <w:color w:val="000000"/>
          <w:sz w:val="22"/>
          <w:szCs w:val="22"/>
        </w:rPr>
        <w:t>dashboard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EDR powinien zawierać eksplorator „drzewa procesów” do graficznej wizualizacji i analizy </w:t>
      </w:r>
      <w:r w:rsidR="00236FE4" w:rsidRPr="00924C87">
        <w:rPr>
          <w:rFonts w:ascii="Barlow" w:hAnsi="Barlow" w:cs="Arial"/>
          <w:color w:val="000000"/>
          <w:sz w:val="22"/>
          <w:szCs w:val="22"/>
        </w:rPr>
        <w:t xml:space="preserve">procesów które składały się na dane zdarzenie. </w:t>
      </w:r>
    </w:p>
    <w:p w14:paraId="1D08E007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EDR musi być zintegrowany z pojedynczym Autonomicznym Agentem EPP / EDR.</w:t>
      </w:r>
    </w:p>
    <w:p w14:paraId="63422E44" w14:textId="77777777" w:rsidR="00924C87" w:rsidRDefault="001C6B14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Realizacja modułu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EDR musi być zgodn</w:t>
      </w:r>
      <w:r w:rsidRPr="00924C87">
        <w:rPr>
          <w:rFonts w:ascii="Barlow" w:hAnsi="Barlow" w:cs="Arial"/>
          <w:color w:val="000000"/>
          <w:sz w:val="22"/>
          <w:szCs w:val="22"/>
        </w:rPr>
        <w:t>a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 xml:space="preserve"> z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rozporządzeniem </w:t>
      </w:r>
      <w:r w:rsidR="00CB5AD5" w:rsidRPr="00924C87">
        <w:rPr>
          <w:rFonts w:ascii="Barlow" w:hAnsi="Barlow" w:cs="Arial"/>
          <w:color w:val="000000"/>
          <w:sz w:val="22"/>
          <w:szCs w:val="22"/>
        </w:rPr>
        <w:t>RODO.</w:t>
      </w:r>
    </w:p>
    <w:p w14:paraId="320BECA1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EDR musi obsługiwać </w:t>
      </w:r>
      <w:proofErr w:type="spellStart"/>
      <w:r w:rsidR="001C6B14" w:rsidRPr="00924C87">
        <w:rPr>
          <w:rFonts w:ascii="Barlow" w:hAnsi="Barlow" w:cs="Arial"/>
          <w:color w:val="000000"/>
          <w:sz w:val="22"/>
          <w:szCs w:val="22"/>
        </w:rPr>
        <w:t>coustomowe</w:t>
      </w:r>
      <w:proofErr w:type="spellEnd"/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 reguły detekcyjne</w:t>
      </w:r>
      <w:r w:rsidRPr="00924C87">
        <w:rPr>
          <w:rFonts w:ascii="Barlow" w:hAnsi="Barlow" w:cs="Arial"/>
          <w:color w:val="000000"/>
          <w:sz w:val="22"/>
          <w:szCs w:val="22"/>
        </w:rPr>
        <w:t> . 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Ta funkcjonalność ma u</w:t>
      </w:r>
      <w:r w:rsidRPr="00924C87">
        <w:rPr>
          <w:rFonts w:ascii="Barlow" w:hAnsi="Barlow" w:cs="Arial"/>
          <w:color w:val="000000"/>
          <w:sz w:val="22"/>
          <w:szCs w:val="22"/>
        </w:rPr>
        <w:t>możliwi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ć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analitykowi przekształcenia zapytań (EDR / XDR) w automatyczne reguły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detekcyjne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, które wyzwalają alerty i automatyczne odpowiedzi, gdy reguły wykryją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tego typu zachowanie stacji końcowej</w:t>
      </w:r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541BD9AB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EDR musi być natywnie zintegrowany z komponentem EPP w jednym autonomicznym agencie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. </w:t>
      </w:r>
    </w:p>
    <w:p w14:paraId="38BCA313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EDR musi obsługiwać systemy operacyjne Windows, </w:t>
      </w:r>
      <w:proofErr w:type="spellStart"/>
      <w:r w:rsidRPr="00924C87">
        <w:rPr>
          <w:rFonts w:ascii="Barlow" w:hAnsi="Barlow" w:cs="Arial"/>
          <w:color w:val="000000"/>
          <w:sz w:val="22"/>
          <w:szCs w:val="22"/>
        </w:rPr>
        <w:t>MacOS</w:t>
      </w:r>
      <w:proofErr w:type="spellEnd"/>
      <w:r w:rsidRPr="00924C87">
        <w:rPr>
          <w:rFonts w:ascii="Barlow" w:hAnsi="Barlow" w:cs="Arial"/>
          <w:color w:val="000000"/>
          <w:sz w:val="22"/>
          <w:szCs w:val="22"/>
        </w:rPr>
        <w:t xml:space="preserve"> i Linux.</w:t>
      </w:r>
    </w:p>
    <w:p w14:paraId="3AE9FED7" w14:textId="77777777" w:rsidR="00924C87" w:rsidRDefault="00CB5AD5" w:rsidP="00CB5AD5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>EDR musi zapewniać przeglądarkę drzewa procesów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, w celu uproszczenia i automatyzacji analizy</w:t>
      </w:r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26A6AD22" w14:textId="77777777" w:rsidR="00924C87" w:rsidRDefault="00CB5AD5" w:rsidP="001C6B14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t xml:space="preserve">EDR musi automatycznie indeksować i korelować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zdarzenia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 pod unikalnym identyfikatorem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, który jednoznacznie wskazuje konkretne drzewo procesów</w:t>
      </w:r>
      <w:r w:rsidRPr="00924C87">
        <w:rPr>
          <w:rFonts w:ascii="Barlow" w:hAnsi="Barlow" w:cs="Arial"/>
          <w:color w:val="000000"/>
          <w:sz w:val="22"/>
          <w:szCs w:val="22"/>
        </w:rPr>
        <w:t>.</w:t>
      </w:r>
    </w:p>
    <w:p w14:paraId="65D8C8F8" w14:textId="7770BD7A" w:rsidR="00CB5AD5" w:rsidRPr="00924C87" w:rsidRDefault="00CB5AD5" w:rsidP="001C6B14">
      <w:pPr>
        <w:pStyle w:val="NormalnyWeb"/>
        <w:numPr>
          <w:ilvl w:val="0"/>
          <w:numId w:val="1"/>
        </w:numPr>
        <w:spacing w:before="0" w:beforeAutospacing="0" w:after="0" w:afterAutospacing="0" w:line="184" w:lineRule="atLeast"/>
        <w:ind w:left="426" w:hanging="426"/>
        <w:jc w:val="both"/>
        <w:rPr>
          <w:rFonts w:ascii="Barlow" w:hAnsi="Barlow"/>
          <w:color w:val="000000"/>
          <w:sz w:val="22"/>
          <w:szCs w:val="22"/>
        </w:rPr>
      </w:pPr>
      <w:r w:rsidRPr="00924C87">
        <w:rPr>
          <w:rFonts w:ascii="Barlow" w:hAnsi="Barlow" w:cs="Arial"/>
          <w:color w:val="000000"/>
          <w:sz w:val="22"/>
          <w:szCs w:val="22"/>
        </w:rPr>
        <w:lastRenderedPageBreak/>
        <w:t xml:space="preserve">Rozwiązanie EPP / EDR musi zapewniać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funkcjonalność Full Remote Shell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, aby administrator mógł wykonywać polecenia na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stacji końcowej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, nawet gdy jest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ona </w:t>
      </w:r>
      <w:r w:rsidRPr="00924C87">
        <w:rPr>
          <w:rFonts w:ascii="Barlow" w:hAnsi="Barlow" w:cs="Arial"/>
          <w:color w:val="000000"/>
          <w:sz w:val="22"/>
          <w:szCs w:val="22"/>
        </w:rPr>
        <w:t>w stanie izolacji sieci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owej.</w:t>
      </w:r>
      <w:r w:rsidR="003B7024">
        <w:rPr>
          <w:rFonts w:ascii="Barlow" w:hAnsi="Barlow" w:cs="Arial"/>
          <w:color w:val="000000"/>
          <w:sz w:val="22"/>
          <w:szCs w:val="22"/>
        </w:rPr>
        <w:t xml:space="preserve"> </w:t>
      </w:r>
      <w:r w:rsidRPr="00924C87">
        <w:rPr>
          <w:rFonts w:ascii="Barlow" w:hAnsi="Barlow" w:cs="Arial"/>
          <w:color w:val="000000"/>
          <w:sz w:val="22"/>
          <w:szCs w:val="22"/>
        </w:rPr>
        <w:t>Dodatkowo rozwiązanie musi zapisać transkrypcję 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zestawionej </w:t>
      </w:r>
      <w:r w:rsidRPr="00924C87">
        <w:rPr>
          <w:rFonts w:ascii="Barlow" w:hAnsi="Barlow" w:cs="Arial"/>
          <w:color w:val="000000"/>
          <w:sz w:val="22"/>
          <w:szCs w:val="22"/>
        </w:rPr>
        <w:t xml:space="preserve">sesji . Taka transkrypcja musi być chroniona hasłem, a dostęp do powłoki zdalnej powinien wymuszać na Administratorze uwierzytelnianie 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>dwuskładnikowe (2FA)</w:t>
      </w:r>
      <w:r w:rsidRPr="00924C87">
        <w:rPr>
          <w:rFonts w:ascii="Barlow" w:hAnsi="Barlow" w:cs="Arial"/>
          <w:color w:val="000000"/>
          <w:sz w:val="22"/>
          <w:szCs w:val="22"/>
        </w:rPr>
        <w:t> w celu udzielenia dostępu. 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Funkcjonalność ta powinna być możliwa do włączenia / wyłączenia w </w:t>
      </w:r>
      <w:r w:rsidR="003B7024">
        <w:rPr>
          <w:rFonts w:ascii="Barlow" w:hAnsi="Barlow" w:cs="Arial"/>
          <w:color w:val="000000"/>
          <w:sz w:val="22"/>
          <w:szCs w:val="22"/>
        </w:rPr>
        <w:t> 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polityce bezpieczeństwa </w:t>
      </w:r>
      <w:r w:rsidR="00BA7D52" w:rsidRPr="00924C87">
        <w:rPr>
          <w:rFonts w:ascii="Barlow" w:hAnsi="Barlow" w:cs="Arial"/>
          <w:color w:val="000000"/>
          <w:sz w:val="22"/>
          <w:szCs w:val="22"/>
        </w:rPr>
        <w:t>rozwiązania</w:t>
      </w:r>
      <w:r w:rsidR="001C6B14" w:rsidRPr="00924C87">
        <w:rPr>
          <w:rFonts w:ascii="Barlow" w:hAnsi="Barlow" w:cs="Arial"/>
          <w:color w:val="000000"/>
          <w:sz w:val="22"/>
          <w:szCs w:val="22"/>
        </w:rPr>
        <w:t xml:space="preserve">. </w:t>
      </w:r>
    </w:p>
    <w:p w14:paraId="48A2C40F" w14:textId="77777777" w:rsidR="00CB5AD5" w:rsidRPr="00D46C37" w:rsidRDefault="00CB5AD5" w:rsidP="00CB5AD5">
      <w:pPr>
        <w:pStyle w:val="NormalnyWeb"/>
        <w:spacing w:before="0" w:beforeAutospacing="0" w:after="0" w:afterAutospacing="0" w:line="184" w:lineRule="atLeast"/>
        <w:rPr>
          <w:rFonts w:ascii="Barlow" w:hAnsi="Barlow"/>
          <w:color w:val="000000"/>
          <w:sz w:val="22"/>
          <w:szCs w:val="22"/>
        </w:rPr>
      </w:pPr>
      <w:r w:rsidRPr="00D46C37">
        <w:rPr>
          <w:rFonts w:ascii="Barlow" w:hAnsi="Barlow" w:cs="Arial"/>
          <w:color w:val="000000"/>
          <w:sz w:val="22"/>
          <w:szCs w:val="22"/>
        </w:rPr>
        <w:t> </w:t>
      </w:r>
    </w:p>
    <w:p w14:paraId="727AD7E8" w14:textId="77777777" w:rsidR="00373F52" w:rsidRPr="00D46C37" w:rsidRDefault="00373F52">
      <w:pPr>
        <w:rPr>
          <w:rFonts w:ascii="Barlow" w:hAnsi="Barlow"/>
        </w:rPr>
      </w:pPr>
    </w:p>
    <w:sectPr w:rsidR="00373F52" w:rsidRPr="00D46C37" w:rsidSect="0084289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46D59" w14:textId="77777777" w:rsidR="004F5E8C" w:rsidRDefault="004F5E8C" w:rsidP="00D4478E">
      <w:pPr>
        <w:spacing w:after="0" w:line="240" w:lineRule="auto"/>
      </w:pPr>
      <w:r>
        <w:separator/>
      </w:r>
    </w:p>
  </w:endnote>
  <w:endnote w:type="continuationSeparator" w:id="0">
    <w:p w14:paraId="515EFEA3" w14:textId="77777777" w:rsidR="004F5E8C" w:rsidRDefault="004F5E8C" w:rsidP="00D4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84D68" w14:textId="77777777" w:rsidR="004F5E8C" w:rsidRDefault="004F5E8C" w:rsidP="00D4478E">
      <w:pPr>
        <w:spacing w:after="0" w:line="240" w:lineRule="auto"/>
      </w:pPr>
      <w:r>
        <w:separator/>
      </w:r>
    </w:p>
  </w:footnote>
  <w:footnote w:type="continuationSeparator" w:id="0">
    <w:p w14:paraId="58BB496D" w14:textId="77777777" w:rsidR="004F5E8C" w:rsidRDefault="004F5E8C" w:rsidP="00D44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005D" w14:textId="6D25F950" w:rsidR="00842897" w:rsidRDefault="00842897">
    <w:pPr>
      <w:pStyle w:val="Nagwek"/>
    </w:pPr>
  </w:p>
  <w:p w14:paraId="706BA417" w14:textId="77777777" w:rsidR="00842897" w:rsidRDefault="008428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4E25" w14:textId="743BA436" w:rsidR="00842897" w:rsidRPr="00842897" w:rsidRDefault="00842897" w:rsidP="00842897">
    <w:pPr>
      <w:pStyle w:val="Nagwek"/>
      <w:jc w:val="right"/>
      <w:rPr>
        <w:rFonts w:ascii="Barlow" w:hAnsi="Barlow"/>
      </w:rPr>
    </w:pPr>
    <w:r w:rsidRPr="00842897">
      <w:rPr>
        <w:rFonts w:ascii="Barlow" w:hAnsi="Barlow"/>
      </w:rPr>
      <w:t>Załącznik nr 1 do SWZ: KR-260-4/23/ZBA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A7C1B"/>
    <w:multiLevelType w:val="hybridMultilevel"/>
    <w:tmpl w:val="CC6E35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EF6C85"/>
    <w:multiLevelType w:val="hybridMultilevel"/>
    <w:tmpl w:val="FBD26A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DC7635E"/>
    <w:multiLevelType w:val="hybridMultilevel"/>
    <w:tmpl w:val="CE9A5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D5"/>
    <w:rsid w:val="0001417E"/>
    <w:rsid w:val="00030EAA"/>
    <w:rsid w:val="001C6B14"/>
    <w:rsid w:val="00236FE4"/>
    <w:rsid w:val="00255E30"/>
    <w:rsid w:val="002A4258"/>
    <w:rsid w:val="00373F52"/>
    <w:rsid w:val="003B7024"/>
    <w:rsid w:val="003D4F3F"/>
    <w:rsid w:val="004230A2"/>
    <w:rsid w:val="004733AF"/>
    <w:rsid w:val="004E6D8C"/>
    <w:rsid w:val="004F5E8C"/>
    <w:rsid w:val="00523971"/>
    <w:rsid w:val="006077EA"/>
    <w:rsid w:val="00626789"/>
    <w:rsid w:val="00755FC6"/>
    <w:rsid w:val="007F78FF"/>
    <w:rsid w:val="00842897"/>
    <w:rsid w:val="008B701E"/>
    <w:rsid w:val="008C2D20"/>
    <w:rsid w:val="00910F5C"/>
    <w:rsid w:val="00924C87"/>
    <w:rsid w:val="00931030"/>
    <w:rsid w:val="00BA7D52"/>
    <w:rsid w:val="00BB500C"/>
    <w:rsid w:val="00CB5AD5"/>
    <w:rsid w:val="00D4478E"/>
    <w:rsid w:val="00D46C37"/>
    <w:rsid w:val="00D61624"/>
    <w:rsid w:val="00E63B44"/>
    <w:rsid w:val="00EA3579"/>
    <w:rsid w:val="19FE692C"/>
    <w:rsid w:val="3A8D30C2"/>
    <w:rsid w:val="3E737AC3"/>
    <w:rsid w:val="63E4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30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78E"/>
  </w:style>
  <w:style w:type="paragraph" w:styleId="Stopka">
    <w:name w:val="footer"/>
    <w:basedOn w:val="Normalny"/>
    <w:link w:val="StopkaZnak"/>
    <w:uiPriority w:val="99"/>
    <w:unhideWhenUsed/>
    <w:rsid w:val="00D4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76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1701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2023-07-19T08:37:00Z</dcterms:created>
  <dcterms:modified xsi:type="dcterms:W3CDTF">2023-07-19T14:14:00Z</dcterms:modified>
</cp:coreProperties>
</file>