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47580" w14:textId="655FC8B8" w:rsidR="00690B7E" w:rsidRPr="00690B7E" w:rsidRDefault="00690B7E" w:rsidP="00690B7E">
      <w:pPr>
        <w:spacing w:after="20" w:line="300" w:lineRule="auto"/>
        <w:jc w:val="right"/>
      </w:pPr>
      <w:r w:rsidRPr="00690B7E">
        <w:t>27 sierpnia 2026 r.</w:t>
      </w:r>
    </w:p>
    <w:p w14:paraId="4B4689F6" w14:textId="77777777" w:rsidR="00690B7E" w:rsidRDefault="00690B7E">
      <w:pPr>
        <w:spacing w:after="20" w:line="300" w:lineRule="auto"/>
        <w:jc w:val="center"/>
        <w:rPr>
          <w:b/>
          <w:bCs/>
        </w:rPr>
      </w:pPr>
    </w:p>
    <w:p w14:paraId="4F5A9E7F" w14:textId="62EA22D1" w:rsidR="008E174B" w:rsidRDefault="00E2227D">
      <w:pPr>
        <w:spacing w:after="20" w:line="300" w:lineRule="auto"/>
        <w:jc w:val="center"/>
      </w:pPr>
      <w:r>
        <w:rPr>
          <w:b/>
          <w:bCs/>
        </w:rPr>
        <w:t>OPINIA</w:t>
      </w:r>
    </w:p>
    <w:p w14:paraId="627F5709" w14:textId="77777777" w:rsidR="008E174B" w:rsidRDefault="00E2227D">
      <w:pPr>
        <w:spacing w:after="220" w:line="300" w:lineRule="auto"/>
        <w:jc w:val="center"/>
      </w:pPr>
      <w:r>
        <w:t>w sprawie rządowego projektu ustawy o zmianie ustawy – Kodeks karny (projekt z 15 września 2025 r.), mającego na celu wykonanie zobowiązań wynikających z Międzynarodowej konwencji w sprawie ochrony wszystkich osób przed wymuszonym zaginięciem (2006) oraz Konwencji w sprawie zakazu stosowania tortur (1984)</w:t>
      </w:r>
    </w:p>
    <w:p w14:paraId="658A68EA" w14:textId="77777777" w:rsidR="00690B7E" w:rsidRDefault="00690B7E">
      <w:pPr>
        <w:keepNext/>
        <w:spacing w:before="220" w:after="80" w:line="340" w:lineRule="auto"/>
        <w:rPr>
          <w:i/>
          <w:iCs/>
        </w:rPr>
      </w:pPr>
    </w:p>
    <w:p w14:paraId="4A3AD97F" w14:textId="485E525C" w:rsidR="008E174B" w:rsidRDefault="00E2227D">
      <w:pPr>
        <w:keepNext/>
        <w:spacing w:before="220" w:after="80" w:line="340" w:lineRule="auto"/>
      </w:pPr>
      <w:r>
        <w:rPr>
          <w:b/>
          <w:bCs/>
        </w:rPr>
        <w:t>I. Uwagi wprowadzające</w:t>
      </w:r>
    </w:p>
    <w:p w14:paraId="4EB6C630" w14:textId="77777777" w:rsidR="008E174B" w:rsidRDefault="00E2227D">
      <w:pPr>
        <w:spacing w:after="150" w:line="360" w:lineRule="auto"/>
        <w:ind w:firstLine="397"/>
        <w:jc w:val="both"/>
      </w:pPr>
      <w:r>
        <w:t>1. Przedmiotem opinii jest rządowy projekt ustawy o zmianie ustawy – Kodeks karny (projekt z 15 września 2025 r.; dalej: „projekt”), którego celem jest wykonanie zobowiązań ciążących na Rzeczypospolitej Polskiej z tytułu dwóch umów międzynarodowych: Międzynarodowej konwencji w sprawie ochrony wszystkich osób przed wymuszonym zaginięciem, przyjętej w Nowym Jorku 20 grudnia 2006 r. (dalej: „Konwencja o zaginięciach”), oraz Konwencji w sprawie zakazu stosowania tortur oraz innego okrutnego, nieludzkiego lub poniżającego traktowania albo karania z 10 grudnia 1984 r. (Dz.U. z 1989 r. Nr 63, poz. 378; dalej: „Konwencja o zakazie tortur” lub „CAT”). Projekt przewiduje w szczególności: dodanie definicji legalnej tortur (art. 115 § 23a k.k.), utworzenie odrębnego, powszechnego typu stosowania tortur (art. 162a k.k.), utworzenie typu wymuszonego zaginięcia (art. 189b k.k.), a nadto zastąpienie znamienia „szczególnego udręczenia” znamieniem „stosowania tortur” w art. 105 pkt 2, art. 189 § 3 i art. 252 § 2 k.k. oraz skreślenie tego znamienia w art. 118a § 2 pkt 2 k.k. Odrębna propozycja Ministerstwa Rozwoju i Technologii dotyczy penalizacji obrotu środkami służącymi do torturowania.</w:t>
      </w:r>
    </w:p>
    <w:p w14:paraId="54DDEC3D" w14:textId="77777777" w:rsidR="008E174B" w:rsidRDefault="00E2227D">
      <w:pPr>
        <w:spacing w:after="150" w:line="360" w:lineRule="auto"/>
        <w:ind w:firstLine="397"/>
        <w:jc w:val="both"/>
      </w:pPr>
      <w:r>
        <w:t xml:space="preserve">2. Komisja Kodyfikacyjna Prawa Karnego (dalej: „Komisja”) ocenia projekt w części dotyczącej tortur </w:t>
      </w:r>
      <w:r>
        <w:rPr>
          <w:b/>
          <w:bCs/>
        </w:rPr>
        <w:t>negatywnie</w:t>
      </w:r>
      <w:r>
        <w:t xml:space="preserve">, uznając projektowane rozwiązania za zbędne, kolidujące z obowiązującymi typami czynów zabronionych, prowadzące do zawężenia dotychczasowej kryminalizacji oraz obarczone poważnymi wadami określoności. W części dotyczącej wymuszonego zaginięcia Komisja uznaje wprowadzenie nowego typu za co do zasady potrzebne, lecz projektowane jego ujęcie – za wymagające zasadniczego przeredagowania. Propozycję Ministerstwa Rozwoju i Technologii Komisja ocenia jako komplementarną (wdraża unijny reżim handlowy) i niebudzącą zastrzeżeń kolizyjnych. </w:t>
      </w:r>
      <w:r>
        <w:lastRenderedPageBreak/>
        <w:t xml:space="preserve">Poniższe uwagi prowadzone są na płaszczyźnie norm, z odróżnieniem twierdzeń </w:t>
      </w:r>
      <w:r>
        <w:rPr>
          <w:i/>
          <w:iCs/>
        </w:rPr>
        <w:t>de lege lata</w:t>
      </w:r>
      <w:r>
        <w:t xml:space="preserve"> od postulatów </w:t>
      </w:r>
      <w:r>
        <w:rPr>
          <w:i/>
          <w:iCs/>
        </w:rPr>
        <w:t>de lege ferenda</w:t>
      </w:r>
      <w:r>
        <w:t>.</w:t>
      </w:r>
    </w:p>
    <w:p w14:paraId="60BCC0F7" w14:textId="77777777" w:rsidR="008E174B" w:rsidRDefault="00E2227D">
      <w:pPr>
        <w:spacing w:after="150" w:line="360" w:lineRule="auto"/>
        <w:ind w:firstLine="397"/>
        <w:jc w:val="both"/>
      </w:pPr>
      <w:r>
        <w:t>3. Komisja wypowiadała się już co do samego postulatu pełnej kryminalizacji i odrębnej typizacji czynów polegających na stosowaniu tortur.</w:t>
      </w:r>
      <w:r>
        <w:rPr>
          <w:rStyle w:val="Odwoanieprzypisudolnego"/>
        </w:rPr>
        <w:footnoteReference w:id="1"/>
      </w:r>
      <w:r>
        <w:t xml:space="preserve"> W opinii tej postulat ów uznano za co do zasady zasadny, lecz z dwoma istotnymi zastrzeżeniami. Po pierwsze, wskazano, że jeżeli miałoby dojść do odrębnej typizacji, właściwsze jest posłużenie się definicją legalną tortur w słowniczku ustawowym </w:t>
      </w:r>
      <w:r>
        <w:rPr>
          <w:b/>
          <w:bCs/>
        </w:rPr>
        <w:t>równoważną definicji z art. 1 ust. 1 Konwencji</w:t>
      </w:r>
      <w:r>
        <w:t xml:space="preserve"> oraz zwięzłymi przepisami odsyłającymi, aniżeli budowanie rozbudowanego, samodzielnego przepisu typizującego. Po drugie, zaznaczono, że wątpliwości co do zupełności krajowej kryminalizacji dotyczą przede wszystkim wąskiego wycinka – aktów tortur popełnianych przez osobę inną niż funkcjonariusz publiczny, występującą w charakterze urzędowym, działającą na jego polecenie albo za jego wyraźną lub milczącą zgodą.</w:t>
      </w:r>
    </w:p>
    <w:p w14:paraId="4443B7A5" w14:textId="3A4C79C1" w:rsidR="008E174B" w:rsidRDefault="00E2227D">
      <w:pPr>
        <w:spacing w:after="150" w:line="360" w:lineRule="auto"/>
        <w:ind w:firstLine="397"/>
        <w:jc w:val="both"/>
      </w:pPr>
      <w:r>
        <w:t xml:space="preserve">Oceniany projekt odbiega od obu tych założeń. Zaproponowana definicja tortur </w:t>
      </w:r>
      <w:r>
        <w:rPr>
          <w:b/>
          <w:bCs/>
        </w:rPr>
        <w:t>nie jest równoważna</w:t>
      </w:r>
      <w:r>
        <w:t xml:space="preserve"> definicji konwencyjnej – jest od niej zarazem uboższa i szersza (pkt II) – a projektowany art. 162a k.k. czyni z tortur przestępstwo powszechne, oderwane od </w:t>
      </w:r>
      <w:proofErr w:type="spellStart"/>
      <w:r w:rsidR="007C422C">
        <w:t>nexus</w:t>
      </w:r>
      <w:proofErr w:type="spellEnd"/>
      <w:r w:rsidR="007C422C">
        <w:t xml:space="preserve"> państwa</w:t>
      </w:r>
      <w:r>
        <w:t xml:space="preserve">, na którym opiera się Konwencja. Niniejsza opinia nie kwestionuje zatem samych zobowiązań międzynarodowych ani wcześniejszego stanowiska Komisji; wykazuje natomiast, że </w:t>
      </w:r>
      <w:r>
        <w:rPr>
          <w:b/>
          <w:bCs/>
        </w:rPr>
        <w:t>przyjęty w projekcie sposób ich wykonania jest wadliwy</w:t>
      </w:r>
      <w:r>
        <w:t>, oraz wskazuje rozwiązania alternatywne (pkt VI).</w:t>
      </w:r>
    </w:p>
    <w:p w14:paraId="74E90EB4" w14:textId="77777777" w:rsidR="008E174B" w:rsidRDefault="00E2227D">
      <w:pPr>
        <w:keepNext/>
        <w:spacing w:before="220" w:after="80" w:line="340" w:lineRule="auto"/>
      </w:pPr>
      <w:r>
        <w:rPr>
          <w:b/>
          <w:bCs/>
        </w:rPr>
        <w:t>II. Projektowana definicja tortur (art. 115 § 23a k.k.)</w:t>
      </w:r>
    </w:p>
    <w:p w14:paraId="2BE60075" w14:textId="77777777" w:rsidR="008E174B" w:rsidRDefault="00E2227D">
      <w:pPr>
        <w:spacing w:after="150" w:line="360" w:lineRule="auto"/>
        <w:ind w:firstLine="397"/>
        <w:jc w:val="both"/>
      </w:pPr>
      <w:r>
        <w:t>4. Zgodnie z art. 1 ust. 1 Konwencji torturami jest umyślne zadanie osobie ostrego bólu lub cierpienia (fizycznego bądź psychicznego) w jednym z wymienionych celów (uzyskanie informacji lub wyznania, ukaranie, zastraszenie lub wywarcie nacisku, cel dyskryminacyjny), gdy dolegliwość ta jest powodowana przez funkcjonariusza państwowego lub inną osobę występującą w charakterze urzędowym albo za ich zgodą; określenie to nie obejmuje dolegliwości wynikających jedynie ze zgodnych z prawem sankcji.</w:t>
      </w:r>
      <w:r>
        <w:rPr>
          <w:rStyle w:val="Odwoanieprzypisudolnego"/>
        </w:rPr>
        <w:footnoteReference w:id="2"/>
      </w:r>
      <w:r>
        <w:t xml:space="preserve"> Zestawienie tej definicji z projektowanym art. 115 § 23a k.k. prowadzi do </w:t>
      </w:r>
      <w:r>
        <w:lastRenderedPageBreak/>
        <w:t xml:space="preserve">wniosku, że definicja projektowana ma charakter </w:t>
      </w:r>
      <w:r>
        <w:rPr>
          <w:b/>
          <w:bCs/>
        </w:rPr>
        <w:t>hybrydowy</w:t>
      </w:r>
      <w:r>
        <w:t xml:space="preserve"> i nie odwzorowuje wiernie żadnego z międzynarodowych wzorców.</w:t>
      </w:r>
    </w:p>
    <w:p w14:paraId="31AC6617" w14:textId="3502299F" w:rsidR="008E174B" w:rsidRDefault="00E2227D">
      <w:pPr>
        <w:spacing w:after="150" w:line="360" w:lineRule="auto"/>
        <w:ind w:firstLine="397"/>
        <w:jc w:val="both"/>
      </w:pPr>
      <w:r>
        <w:t xml:space="preserve">Względem art. 1 CAT definicja projektowana jest </w:t>
      </w:r>
      <w:r>
        <w:rPr>
          <w:b/>
          <w:bCs/>
        </w:rPr>
        <w:t>uboższa</w:t>
      </w:r>
      <w:r>
        <w:t xml:space="preserve">: pomija paradygmatyczny cel uzyskania informacji lub </w:t>
      </w:r>
      <w:r w:rsidR="007C422C">
        <w:t>zeznania</w:t>
      </w:r>
      <w:r>
        <w:t xml:space="preserve"> (będący trzonem art. 246 k.k.), pomija kwalifikację podmiotu (</w:t>
      </w:r>
      <w:proofErr w:type="spellStart"/>
      <w:r>
        <w:t>nexus</w:t>
      </w:r>
      <w:proofErr w:type="spellEnd"/>
      <w:r>
        <w:t xml:space="preserve"> </w:t>
      </w:r>
      <w:r w:rsidR="007C422C">
        <w:t>państwa</w:t>
      </w:r>
      <w:r>
        <w:t xml:space="preserve">) oraz klauzulę wyłączającą dolegliwości wynikające z legalnych sankcji. Zarazem jest </w:t>
      </w:r>
      <w:r>
        <w:rPr>
          <w:b/>
          <w:bCs/>
        </w:rPr>
        <w:t>szersza</w:t>
      </w:r>
      <w:r>
        <w:t xml:space="preserve">: dodaje cel „poniżenia” (nieobecny w katalogu konwencyjnym, właściwy raczej pojęciu traktowania poniżającego) i czyni sprawcą każdego. Skoro projektodawca zamierzał recypować standard konwencyjny, definicja jest w tym zakresie </w:t>
      </w:r>
      <w:r>
        <w:rPr>
          <w:b/>
          <w:bCs/>
        </w:rPr>
        <w:t>niekompletna</w:t>
      </w:r>
      <w:r>
        <w:t>, a jej samodzielne rozszerzenia rodzą skutki systemowe omówione niżej.</w:t>
      </w:r>
    </w:p>
    <w:p w14:paraId="3DD5552D" w14:textId="4AF6ABD4" w:rsidR="008E174B" w:rsidRDefault="00E2227D">
      <w:pPr>
        <w:spacing w:after="150" w:line="360" w:lineRule="auto"/>
        <w:ind w:firstLine="397"/>
        <w:jc w:val="both"/>
      </w:pPr>
      <w:r>
        <w:t xml:space="preserve">Oba międzynarodowe wzorce definicyjne różnią się przy tym między sobą (art. 1 CAT wymaga </w:t>
      </w:r>
      <w:proofErr w:type="spellStart"/>
      <w:r>
        <w:t>nexusu</w:t>
      </w:r>
      <w:proofErr w:type="spellEnd"/>
      <w:r>
        <w:t xml:space="preserve"> państwowego i celu; art. 7 ust. 2 lit. e Statutu MTK – nie), a piśmiennictwo obce ujmuje tortury i wymuszone zaginięcie przede wszystkim jako zbrodnie prawa międzynarodowego, nie zaś przez pryzmat krajowej techniki typizacyjnej.</w:t>
      </w:r>
      <w:r>
        <w:rPr>
          <w:rStyle w:val="Odwoanieprzypisudolnego"/>
        </w:rPr>
        <w:footnoteReference w:id="3"/>
      </w:r>
      <w:r>
        <w:t xml:space="preserve"> Wśród państw, które zdecydowały się na odrębny typ tortur, wskazuje się m.in. Francję, Niemcy, Wielką Brytanię i Rumunię</w:t>
      </w:r>
      <w:r w:rsidR="007C422C">
        <w:t xml:space="preserve">. </w:t>
      </w:r>
      <w:r>
        <w:t>Doświadczenia te potwierdzają zarazem, że wybór między techniką „rozproszoną” a odrębną typizacją jest decyzją modelową, którą należy podejmować z poszanowaniem spójności krajowej siatki pojęć – czego projekt nie czyni.</w:t>
      </w:r>
    </w:p>
    <w:p w14:paraId="3C316A80" w14:textId="77777777" w:rsidR="008E174B" w:rsidRDefault="00E2227D">
      <w:pPr>
        <w:spacing w:after="150" w:line="360" w:lineRule="auto"/>
        <w:ind w:firstLine="397"/>
        <w:jc w:val="both"/>
      </w:pPr>
      <w:r>
        <w:t xml:space="preserve">5. Niejasny jest zwrot „w jakimkolwiek innym celu o charakterze dyskryminacyjnym”. Nie wiadomo, czy chodzi o to, by tortury zmierzały do pozbawienia praw określonej grupy, czy o to, że ofiarami są osoby przynależne do określonych grup, a celem jest ich dyskryminacja (co nawiązywałoby do przepisów o przemocy lub znieważeniu grup wrażliwych). Termin „charakter dyskryminacyjny” nie występuje w Kodeksie karnym; zaczerpnięto go wprost z Konwencji, lecz w oderwaniu od jej otoczenia normatywnego. W rezultacie pojęcie uchodzące za nieostre („tortury”) definiuje się przy pomocy pojęcia jeszcze bardziej nieostrego („cel o charakterze dyskryminacyjnym”), którego zakresu – wobec braku w Kodeksie definicji dyskryminacji – nie sposób pewnie ustalić. Nie wiadomo w szczególności, czy chodzi </w:t>
      </w:r>
      <w:r>
        <w:lastRenderedPageBreak/>
        <w:t>wyłącznie o kategorie ujęte w Kodeksie jako grupy szczególnie chronione (rasa, narodowość, przynależność wyznaniowa itp.), czy o jakiekolwiek zróżnicowanie.</w:t>
      </w:r>
    </w:p>
    <w:p w14:paraId="4ECF9175" w14:textId="77777777" w:rsidR="008E174B" w:rsidRDefault="00E2227D">
      <w:pPr>
        <w:spacing w:after="150" w:line="360" w:lineRule="auto"/>
        <w:ind w:firstLine="397"/>
        <w:jc w:val="both"/>
      </w:pPr>
      <w:r>
        <w:t>Osobnego zastrzeżenia wymaga dodany w definicji cel „poniżenia”, właściwy raczej pojęciu traktowania poniżającego niż tortur. Naruszenia godności i czci są już przedmiotem ochrony na gruncie art. 212 i 216 k.k. oraz przepisów o ochronie dóbr osobistych. Włączenie „poniżenia” do definicji tortur zaciera granicę między torturami a innym poniżającym traktowaniem – granicę, którą prawo międzynarodowe i orzecznictwo strasburskie starannie utrzymują – i dodatkowo poszerza i tak już nadmiernie pojemny zakres projektowanego typu.</w:t>
      </w:r>
    </w:p>
    <w:p w14:paraId="0C0C10FF" w14:textId="77777777" w:rsidR="008E174B" w:rsidRDefault="00E2227D">
      <w:pPr>
        <w:spacing w:after="150" w:line="360" w:lineRule="auto"/>
        <w:ind w:firstLine="397"/>
        <w:jc w:val="both"/>
      </w:pPr>
      <w:r>
        <w:t xml:space="preserve">6. Zastrzeżenia budzi rozróżnienie „znacznego bólu” i „znacznego cierpienia fizycznego”, którego uzasadnienie projektu w ogóle nie wyjaśnia. W języku ogólnym i w wiedzy potocznej ból jest </w:t>
      </w:r>
      <w:r>
        <w:rPr>
          <w:b/>
          <w:bCs/>
        </w:rPr>
        <w:t>doznaniem zmysłowym</w:t>
      </w:r>
      <w:r>
        <w:t xml:space="preserve"> ściśle powiązanym z reakcją organizmu, a więc z cierpieniem fizycznym; stanowi typową postać (podzbiór) cierpienia fizycznego. Wyodrębnianie obu kategorii jako rozłącznych postaci tortur jest więc źródłem nieusuwalnych wątpliwości: skoro cierpienie fizyczne obejmuje ból, „znaczne cierpienie fizyczne” nie może być względem „znacznego bólu” kategorią równorzędną i rozłączną.</w:t>
      </w:r>
      <w:r>
        <w:rPr>
          <w:rStyle w:val="Odwoanieprzypisudolnego"/>
        </w:rPr>
        <w:footnoteReference w:id="4"/>
      </w:r>
      <w:r>
        <w:t xml:space="preserve"> Jeszcze poważniejsze trudności wywoła „znaczne cierpienie psychiczne”: jest ono trudne do oddzielenia od cierpienia fizycznego, a zarazem nieodróżnialne od skutków znęcania się, interpretowanego w orzecznictwie szeroko. Samo kryterium „znaczności” jest przy tym na tyle nieostre, że nie pozwala pewnie oddzielić zachowań karalnych od niekaralnych, a niekiedy nawet legalnych od bezprawnych.</w:t>
      </w:r>
    </w:p>
    <w:p w14:paraId="45F4B1CC" w14:textId="77777777" w:rsidR="008E174B" w:rsidRDefault="00E2227D">
      <w:pPr>
        <w:spacing w:after="150" w:line="360" w:lineRule="auto"/>
        <w:ind w:firstLine="397"/>
        <w:jc w:val="both"/>
      </w:pPr>
      <w:r>
        <w:t>Znamię „znacznego cierpienia psychicznego” wejdzie nadto w niejasny stosunek do przestępstwa znęcania się, które w orzecznictwie od dawna obejmuje powodowanie cierpień psychicznych rozmaitymi zachowaniami. Powstanie zatem kolejne, konkurencyjne wobec znęcania określenie tego samego w istocie desygnatu, co – zamiast porządkować siatkę pojęć – rozchwieje ustaloną wykładnię i utrudni jednolite orzekanie, zwłaszcza przy równoczesnym istnieniu art. 207 i art. 247 k.k.</w:t>
      </w:r>
    </w:p>
    <w:p w14:paraId="5755AA90" w14:textId="77777777" w:rsidR="008E174B" w:rsidRDefault="00E2227D">
      <w:pPr>
        <w:spacing w:after="150" w:line="360" w:lineRule="auto"/>
        <w:ind w:firstLine="397"/>
        <w:jc w:val="both"/>
      </w:pPr>
      <w:r>
        <w:t xml:space="preserve">7. Trzeba wreszcie podkreślić, że wprowadzenie definicji legalnej w art. 115 § 23a k.k. ma </w:t>
      </w:r>
      <w:r>
        <w:rPr>
          <w:b/>
          <w:bCs/>
        </w:rPr>
        <w:t>inne znaczenie normatywne</w:t>
      </w:r>
      <w:r>
        <w:t xml:space="preserve"> niż odesłanie do definicji tortur zawartej w akcie prawa międzynarodowego – stosują się bowiem wówczas odmienne reguły wykładni. </w:t>
      </w:r>
      <w:r>
        <w:lastRenderedPageBreak/>
        <w:t>Definicja krajowa, oderwana od kontekstu i orzecznictwa konwencyjnego, nie zapewni tej samej treści, którą projektodawca zamierzał recypować. Skoro zaś projekt zakłada zarazem utworzenie odrębnego typu z art. 162a k.k. (którego znamiona sprowadzają się w istocie do „stosowania tortur”), to termin „tortury” staje się znamieniem kluczowym – a wprowadzona definicja, zamiast usuwać nieostrość, mnoży określenia jeszcze bardziej nieostre.</w:t>
      </w:r>
    </w:p>
    <w:p w14:paraId="0C7D2CC9" w14:textId="77777777" w:rsidR="008E174B" w:rsidRDefault="00E2227D">
      <w:pPr>
        <w:keepNext/>
        <w:spacing w:before="220" w:after="80" w:line="340" w:lineRule="auto"/>
      </w:pPr>
      <w:r>
        <w:rPr>
          <w:b/>
          <w:bCs/>
        </w:rPr>
        <w:t>III. Zastąpienie znamienia „szczególnego udręczenia” znamieniem „tortur”</w:t>
      </w:r>
    </w:p>
    <w:p w14:paraId="392BBFA9" w14:textId="77777777" w:rsidR="008E174B" w:rsidRDefault="00E2227D">
      <w:pPr>
        <w:spacing w:after="150" w:line="360" w:lineRule="auto"/>
        <w:ind w:firstLine="397"/>
        <w:jc w:val="both"/>
      </w:pPr>
      <w:r>
        <w:t>8. Podstawową wadą projektu jest zastąpienie utrwalonego w Kodeksie karnym znamienia „szczególnego udręczenia” znamieniem „stosowania tortur”. W judykaturze i doktrynie szczególne udręczenie rozumie się dwojako: jako okoliczności pozbawienia wolności powodujące u pokrzywdzonego dodatkowe cierpienia wykraczające ponad miarę dolegliwości związanych z samym faktem utraty wolności, oraz jako sam sposób działania polegający na zadaniu pokrzywdzonemu takich dodatkowych cierpień fizycznych lub psychicznych.</w:t>
      </w:r>
      <w:r>
        <w:rPr>
          <w:rStyle w:val="Odwoanieprzypisudolnego"/>
        </w:rPr>
        <w:footnoteReference w:id="5"/>
      </w:r>
      <w:r>
        <w:t xml:space="preserve"> Pozbawienie wolności jest przy tym przestępstwem trwałym, wobec czego cierpienie z niego wynikające ma charakter ciągły, a znamię kwalifikujące odnosi się do nadwyżki dolegliwości ponad ten stan.</w:t>
      </w:r>
    </w:p>
    <w:p w14:paraId="5E64896A" w14:textId="77777777" w:rsidR="008E174B" w:rsidRDefault="00E2227D">
      <w:pPr>
        <w:spacing w:after="150" w:line="360" w:lineRule="auto"/>
        <w:ind w:firstLine="397"/>
        <w:jc w:val="both"/>
      </w:pPr>
      <w:r>
        <w:t xml:space="preserve">9. Tak rozumiane „szczególne udręczenie” ma zakres </w:t>
      </w:r>
      <w:r>
        <w:rPr>
          <w:b/>
          <w:bCs/>
        </w:rPr>
        <w:t>szerszy</w:t>
      </w:r>
      <w:r>
        <w:t xml:space="preserve"> niż projektowane „tortury”, wobec czego wszędzie tam, gdzie dokonano zamiany (art. 189 § 3, art. 252 § 2, a pośrednio art. 105 pkt 2 oraz art. 118a k.k.), dochodzi do </w:t>
      </w:r>
      <w:r>
        <w:rPr>
          <w:b/>
          <w:bCs/>
        </w:rPr>
        <w:t>paradoksalnego zawężenia kryminalizacji</w:t>
      </w:r>
      <w:r>
        <w:t xml:space="preserve">. Wynika to z trzech powodów. Po pierwsze, „tortury” w rozumieniu definicji wymagają działania w jednym z określonych </w:t>
      </w:r>
      <w:r>
        <w:rPr>
          <w:b/>
          <w:bCs/>
        </w:rPr>
        <w:t>celów</w:t>
      </w:r>
      <w:r>
        <w:t xml:space="preserve">, podczas gdy szczególne udręczenie </w:t>
      </w:r>
      <w:r>
        <w:rPr>
          <w:b/>
          <w:bCs/>
        </w:rPr>
        <w:t>celu nie wymaga</w:t>
      </w:r>
      <w:r>
        <w:t xml:space="preserve">; bywa ono zadawane z zemsty albo dla zaspokojenia (satysfakcji) sprawcy działającego bez szczególnego celu – takie wypadki po zamianie znamienia wypadłyby poza zakres typów kwalifikowanych. Po drugie, szczególne udręczenie może wynikać </w:t>
      </w:r>
      <w:r>
        <w:rPr>
          <w:b/>
          <w:bCs/>
        </w:rPr>
        <w:t>ze statusu pokrzywdzonego</w:t>
      </w:r>
      <w:r>
        <w:t xml:space="preserve"> i łączyć się nie z celowym zadawaniem bólu, lecz z samym określonym oddziaływaniem na osobę o szczególnej wrażliwości – np. z pozbawieniem wolności osoby chorej lub niepełnosprawnej, albo z oddziaływaniem na osobę, dla której świadomość niemożności sprawowania opieki nad </w:t>
      </w:r>
      <w:r>
        <w:lastRenderedPageBreak/>
        <w:t>dziećmi jest źródłem szczególnego udręczenia psychicznego. Żadnej z tych sytuacji projektowana definicja tortur nie obejmuje.</w:t>
      </w:r>
    </w:p>
    <w:p w14:paraId="51F88B3D" w14:textId="77777777" w:rsidR="008E174B" w:rsidRDefault="00E2227D">
      <w:pPr>
        <w:spacing w:after="150" w:line="360" w:lineRule="auto"/>
        <w:ind w:firstLine="397"/>
        <w:jc w:val="both"/>
      </w:pPr>
      <w:r>
        <w:t>Zawężenie to ma szczególnie poważne następstwa na gruncie art. 105 pkt 2 k.k. Zastąpienie „szczególnego udręczenia” „stosowaniem tortur” zawęża krąg czynów wyłączonych spod przedawnienia (pozbawienia wolności łączonego dotąd „ze szczególnym udręczeniem”, popełnionego przez funkcjonariusza publicznego). W rezultacie część poważnych czynów funkcjonariuszy – dotychczas nieulegających przedawnieniu – ponownie zaczęłaby ulegać przedawnieniu, co jest skutkiem wprost przeciwnym do deklarowanego celu wzmocnienia ochrony i trudnym do zaakceptowania.</w:t>
      </w:r>
    </w:p>
    <w:p w14:paraId="470273EF" w14:textId="77777777" w:rsidR="008E174B" w:rsidRDefault="00E2227D">
      <w:pPr>
        <w:spacing w:after="150" w:line="360" w:lineRule="auto"/>
        <w:ind w:firstLine="397"/>
        <w:jc w:val="both"/>
      </w:pPr>
      <w:r>
        <w:t>10. Po trzecie, tezę o węższym zakresie „tortur” potwierdza analiza języka ogólnego. „Udręczenie” jest terminem nadrzędnym, oznaczającym stan cierpienia neutralny co do metody i celu, obejmujący także cierpienie niezwiązane z działaniem oprawcy (mówi się o udręczeniu chorobą, oczekiwaniem, sumieniem). „Tortury” to natomiast termin wyspecjalizowany – słownikowo „zadawanie komuś bólu okrutnymi metodami, zwykle w celu wymuszenia zeznań” – zakładający sprawcę zadającego, okrutną metodę oraz zwykle cel. Dodanie kwantyfikatora „szczególne” podnosi jedynie stopień dolegliwości udręczenia, nie dokładając ograniczeń metody ani celu. „Szczególne udręczenie” denotuje zatem szerszy zbiór sytuacji niż „tortury” – i to zbieżnie na poziomie języka ogólnego oraz wykładni dogmatycznej.</w:t>
      </w:r>
    </w:p>
    <w:p w14:paraId="44266A52" w14:textId="77777777" w:rsidR="008E174B" w:rsidRDefault="00E2227D">
      <w:pPr>
        <w:spacing w:after="150" w:line="360" w:lineRule="auto"/>
        <w:ind w:firstLine="397"/>
        <w:jc w:val="both"/>
      </w:pPr>
      <w:r>
        <w:t xml:space="preserve">11. Zamiana znamienia jest nietrafna także dlatego, że wprowadza do Kodeksu </w:t>
      </w:r>
      <w:r>
        <w:rPr>
          <w:b/>
          <w:bCs/>
        </w:rPr>
        <w:t>kolejne krzyżujące się pojęcie</w:t>
      </w:r>
      <w:r>
        <w:t xml:space="preserve"> obok znanego już „szczególnego okrucieństwa” (art. 148 § 2 pkt 1, art. 197 § 4, art. 207 § 2, art. 247 § 2, art. 352 § 2 k.k.). Tortury i szczególne okrucieństwo to pojęcia odrębne, operujące na różnych osiach: tortury – na osi </w:t>
      </w:r>
      <w:r>
        <w:rPr>
          <w:b/>
          <w:bCs/>
        </w:rPr>
        <w:t>celu</w:t>
      </w:r>
      <w:r>
        <w:t xml:space="preserve"> (kierunkowość) i bezwzględnego progu dolegliwości, jako proponowany samodzielny typ; szczególne okrucieństwo – na osi </w:t>
      </w:r>
      <w:r>
        <w:rPr>
          <w:b/>
          <w:bCs/>
        </w:rPr>
        <w:t>sposobu</w:t>
      </w:r>
      <w:r>
        <w:t xml:space="preserve"> działania i relatywnej nadwyżki cierpień zbędnych dla realizacji typu podstawowego, jako znamię kwalifikujące.</w:t>
      </w:r>
      <w:r>
        <w:rPr>
          <w:rStyle w:val="Odwoanieprzypisudolnego"/>
        </w:rPr>
        <w:footnoteReference w:id="6"/>
      </w:r>
      <w:r>
        <w:t xml:space="preserve"> Dodanie równoległej definicji „tortur”, opisującej po części ten sam desygnat (dodatkowe, znaczne cierpienie), mnoży zatem krzyżujące się znamiona i wymusza – wbrew intencji projektu </w:t>
      </w:r>
      <w:r>
        <w:lastRenderedPageBreak/>
        <w:t>– każdorazowe drobiazgowe rozgraniczanie „tortur”, „szczególnego udręczenia”, „szczególnego okrucieństwa” i „znęcania”.</w:t>
      </w:r>
    </w:p>
    <w:p w14:paraId="10C9A51B" w14:textId="77777777" w:rsidR="008E174B" w:rsidRDefault="00E2227D">
      <w:pPr>
        <w:spacing w:after="150" w:line="360" w:lineRule="auto"/>
        <w:ind w:firstLine="397"/>
        <w:jc w:val="both"/>
      </w:pPr>
      <w:r>
        <w:t>Relacja obu pojęć nie jest przy tym stosunkiem tożsamości ani wykluczania, lecz krzyżowania. Torturowanie bywa w orzecznictwie wskazywane jako przykład szczególnego okrucieństwa, jednak nie każde tortury są szczególnym okrucieństwem (np. wymuszenie informacji bez „nadwyżki” cierpień ponad konieczną dla przymuszenia), a nie każde szczególne okrucieństwo jest torturami (np. zabójstwo ze szczególnym okrucieństwem z pobudek osobistych, bez żadnego z celów katalogowych definicji). Wprowadzenie „tortur” jako trzeciego – obok „szczególnego udręczenia” i „szczególnego okrucieństwa” – pojęcia opisującego zbliżony desygnat pomnaża pola sporne i obniża czytelność ustawy, wbrew deklarowanemu w uzasadnieniu celowi ich precyzyjniejszego rozgraniczenia.</w:t>
      </w:r>
    </w:p>
    <w:p w14:paraId="22CFC411" w14:textId="77777777" w:rsidR="008E174B" w:rsidRDefault="00E2227D">
      <w:pPr>
        <w:spacing w:after="150" w:line="360" w:lineRule="auto"/>
        <w:ind w:firstLine="397"/>
        <w:jc w:val="both"/>
      </w:pPr>
      <w:r>
        <w:t xml:space="preserve">Relację tę trzeba prześledzić dokładniej, skoro Kodeks posługuje się już dwoma utrwalonymi w orzecznictwie i komentarzach pojęciami, a projekt dodaje trzecie. </w:t>
      </w:r>
      <w:r>
        <w:rPr>
          <w:b/>
          <w:bCs/>
        </w:rPr>
        <w:t>Szczególne udręczenie</w:t>
      </w:r>
      <w:r>
        <w:t xml:space="preserve"> (art. 189 § 3, art. 252 § 2 k.k.) rozumie się jako dodatkowe cierpienia fizyczne lub psychiczne wynikające z okoliczności towarzyszących pozbawieniu wolności, przekraczające miarę dolegliwości nieodłącznie związanych z samym pozbawieniem wolności i niemożnością jej odzyskania; miarą jest tu więc nadwyżka względem „zwykłego” pozbawienia wolności, oceniana z uwzględnieniem właściwości pokrzywdzonego – wieku, stanu zdrowia, wrażliwości.</w:t>
      </w:r>
      <w:r>
        <w:rPr>
          <w:rStyle w:val="Odwoanieprzypisudolnego"/>
        </w:rPr>
        <w:footnoteReference w:id="7"/>
      </w:r>
    </w:p>
    <w:p w14:paraId="17A1900D" w14:textId="77777777" w:rsidR="008E174B" w:rsidRDefault="00E2227D">
      <w:pPr>
        <w:spacing w:after="150" w:line="360" w:lineRule="auto"/>
        <w:ind w:firstLine="397"/>
        <w:jc w:val="both"/>
      </w:pPr>
      <w:r>
        <w:rPr>
          <w:b/>
          <w:bCs/>
        </w:rPr>
        <w:t>Szczególne okrucieństwo</w:t>
      </w:r>
      <w:r>
        <w:t xml:space="preserve"> (art. 148 § 2 pkt 1, art. 197 § 4, art. 207 § 2, art. 247 § 2, art. 352 § 2 k.k.) ujmuje się natomiast jako sposób postępowania sprawcy polegający na zastosowaniu drastycznych, brutalnych metod, przysparzających ofierze cierpień „ponad potrzebę” realizacji typu podstawowego (spowodowania śmierci, doprowadzenia do obcowania płciowego), a więc cierpień zbędnych z punktu widzenia osiągnięcia skutku; jest to znamię ocenne i stopniowalne, wiązane z rodzajem i sposobem działania oraz z nastawieniem sprawcy.</w:t>
      </w:r>
      <w:r>
        <w:rPr>
          <w:rStyle w:val="Odwoanieprzypisudolnego"/>
        </w:rPr>
        <w:footnoteReference w:id="8"/>
      </w:r>
    </w:p>
    <w:p w14:paraId="2C200E54" w14:textId="77777777" w:rsidR="008E174B" w:rsidRDefault="00E2227D">
      <w:pPr>
        <w:spacing w:after="150" w:line="360" w:lineRule="auto"/>
        <w:ind w:firstLine="397"/>
        <w:jc w:val="both"/>
      </w:pPr>
      <w:r>
        <w:lastRenderedPageBreak/>
        <w:t xml:space="preserve">Zestawienie to prowadzi do trzech wniosków. Po pierwsze, każde z tych pojęć mierzy „nadwyżkę” dolegliwości </w:t>
      </w:r>
      <w:r>
        <w:rPr>
          <w:b/>
          <w:bCs/>
        </w:rPr>
        <w:t>na innej osi</w:t>
      </w:r>
      <w:r>
        <w:t xml:space="preserve">: szczególne udręczenie – względem dolegliwości pozbawienia wolności; szczególne okrucieństwo – względem tego, co konieczne dla realizacji typu podstawowego, z akcentem na sposób i nastawienie sprawcy; projektowane tortury – względem bezwzględnego progu „znaczności”, ale za to z wymogiem szczególnego </w:t>
      </w:r>
      <w:r>
        <w:rPr>
          <w:b/>
          <w:bCs/>
        </w:rPr>
        <w:t>celu</w:t>
      </w:r>
      <w:r>
        <w:t xml:space="preserve">, którego dwa pozostałe pojęcia nie stawiają. Po drugie – co szczególnie istotne – orzecznictwo i komentarze definiują „szczególne okrucieństwo” </w:t>
      </w:r>
      <w:r>
        <w:rPr>
          <w:b/>
          <w:bCs/>
        </w:rPr>
        <w:t>m.in. przez odwołanie do „torturowania”</w:t>
      </w:r>
      <w:r>
        <w:t xml:space="preserve">, „maltretowania” i „męczenia”; „tortury” są zatem w prawie polskim od dawna funkcjonalnie ujmowane jako jedna z </w:t>
      </w:r>
      <w:r>
        <w:rPr>
          <w:b/>
          <w:bCs/>
        </w:rPr>
        <w:t>postaci</w:t>
      </w:r>
      <w:r>
        <w:t xml:space="preserve"> szczególnego okrucieństwa.</w:t>
      </w:r>
      <w:r>
        <w:rPr>
          <w:rStyle w:val="Odwoanieprzypisudolnego"/>
        </w:rPr>
        <w:footnoteReference w:id="9"/>
      </w:r>
      <w:r>
        <w:t xml:space="preserve"> Wprowadzenie odrębnej, celowo </w:t>
      </w:r>
      <w:r>
        <w:rPr>
          <w:b/>
          <w:bCs/>
        </w:rPr>
        <w:t>zawężonej</w:t>
      </w:r>
      <w:r>
        <w:t xml:space="preserve"> definicji tortur zrywa z tym utrwalonym rozumieniem i rodzi błędne koło: samodzielny typ z art. 162a k.k. odsyłałby do definicji węższej niż pojęcie, które w orzecznictwie tortury dotąd ilustrują.</w:t>
      </w:r>
    </w:p>
    <w:p w14:paraId="64D26A8E" w14:textId="77777777" w:rsidR="008E174B" w:rsidRDefault="00E2227D">
      <w:pPr>
        <w:spacing w:after="150" w:line="360" w:lineRule="auto"/>
        <w:ind w:firstLine="397"/>
        <w:jc w:val="both"/>
      </w:pPr>
      <w:r>
        <w:t xml:space="preserve">Po trzecie, zastąpienie „szczególnego udręczenia” „stosowaniem tortur” wyłącznie w art. 189 § 3, art. 252 § 2 i art. 105 pkt 2 k.k., przy pozostawieniu „szczególnego okrucieństwa” w art. 148 § 2 pkt 1, art. 197 § 4, art. 207 § 2, art. 247 § 2 i art. 352 § 2 k.k., prowadzi do stanu, w którym to samo w istocie zjawisko – kwalifikowana dolegliwość zadawana pokrzywdzonemu – opisane jest w Kodeksie </w:t>
      </w:r>
      <w:r>
        <w:rPr>
          <w:b/>
          <w:bCs/>
        </w:rPr>
        <w:t>trzema</w:t>
      </w:r>
      <w:r>
        <w:t xml:space="preserve"> różnymi pojęciami o odmiennych rdzeniach znaczeniowych, przy czym w dwóch typach karalność zależałaby od </w:t>
      </w:r>
      <w:r>
        <w:rPr>
          <w:b/>
          <w:bCs/>
        </w:rPr>
        <w:t>celu</w:t>
      </w:r>
      <w:r>
        <w:t xml:space="preserve"> sprawcy (tortury), a w pięciu – od </w:t>
      </w:r>
      <w:r>
        <w:rPr>
          <w:b/>
          <w:bCs/>
        </w:rPr>
        <w:t>sposobu i nastawienia</w:t>
      </w:r>
      <w:r>
        <w:t xml:space="preserve"> (okrucieństwo). Ta rozbieżność aksjologiczna, w obrębie tej samej kategorii dolegliwości, jest trudna do uzasadnienia i pogłębia – zamiast usuwać – niespójność, którą projekt deklarował wyeliminować. Właśnie dlatego Komisja proponuje utrzymanie „szczególnego udręczenia” i jedynie jego doprecyzowanie w słowniczku (pkt IX), a nie wprowadzanie konkurencyjnego pojęcia „tortur”.</w:t>
      </w:r>
    </w:p>
    <w:p w14:paraId="774EB2B5" w14:textId="77777777" w:rsidR="008E174B" w:rsidRDefault="00E2227D">
      <w:pPr>
        <w:keepNext/>
        <w:spacing w:before="220" w:after="80" w:line="340" w:lineRule="auto"/>
      </w:pPr>
      <w:r>
        <w:rPr>
          <w:b/>
          <w:bCs/>
        </w:rPr>
        <w:t>IV. Powszechny typ stosowania tortur (art. 162a k.k.)</w:t>
      </w:r>
    </w:p>
    <w:p w14:paraId="212AC3E4" w14:textId="77777777" w:rsidR="008E174B" w:rsidRDefault="00E2227D">
      <w:pPr>
        <w:spacing w:after="150" w:line="360" w:lineRule="auto"/>
        <w:ind w:firstLine="397"/>
        <w:jc w:val="both"/>
      </w:pPr>
      <w:r>
        <w:t xml:space="preserve">12. Zasadnicze zastrzeżenia budzi projektowany art. 162a § 1 k.k. („Kto stosuje tortury, podlega karze pozbawienia wolności od lat 3 do 20”). „Stosowanie tortur” </w:t>
      </w:r>
      <w:r>
        <w:lastRenderedPageBreak/>
        <w:t>oznacza w istocie każde działanie lub zaniechanie powodujące znaczny ból albo znaczne cierpienie (fizyczne lub psychiczne) w jednym z celów wskazanych w art. 115 § 23a k.k. Znamiona typu są więc skrajnie pojemne i obejmują zachowania bardzo różnego rodzaju, przy czym – co istotne – nie muszą polegać na stosowaniu przemocy. Rodzi to nierozwiązywalny problem relacji nowego typu do istniejących typów, które już dziś penalizują tego rodzaju oddziaływania: znęcania się (art. 207, art. 247 k.k.), naruszenia nietykalności cielesnej (art. 217 k.k.), spowodowania uszczerbku na zdrowiu (art. 156, 157 k.k.), a także zmuszania (art. 191 k.k.).</w:t>
      </w:r>
    </w:p>
    <w:p w14:paraId="00A9B84E" w14:textId="77777777" w:rsidR="008E174B" w:rsidRDefault="00E2227D">
      <w:pPr>
        <w:spacing w:after="150" w:line="360" w:lineRule="auto"/>
        <w:ind w:firstLine="397"/>
        <w:jc w:val="both"/>
      </w:pPr>
      <w:r>
        <w:t xml:space="preserve">13. Relacja ta prowadzi do </w:t>
      </w:r>
      <w:r>
        <w:rPr>
          <w:b/>
          <w:bCs/>
        </w:rPr>
        <w:t>paradoksu typów uprzywilejowanych</w:t>
      </w:r>
      <w:r>
        <w:t>. Skoro projektowana zbrodnia z art. 162a § 1 k.k. zagrożona jest karą od 3 do 20 lat, to szereg typów obejmujących realny, cięższy skutek okaże się względem niej łagodniejszy: naruszenie czynności narządu ciała lub rozstrój zdrowia (art. 157 § 1 k.k.) jest występkiem zagrożonym karą od 3 miesięcy do 5 lat, znęcanie się (art. 207 § 1 k.k.) – od 3 miesięcy do 5 lat, a nawet znęcanie się ze szczególnym okrucieństwem (art. 207 § 2 k.k.) – od roku do 10 lat. Powstałby zatem stan, w którym samo „stosowanie tortur” (mogące nie pozostawić trwałego śladu) byłoby zagrożone surowiej niż spowodowanie średniego uszczerbku na zdrowiu albo znęcanie się ze szczególnym okrucieństwem, a spowodowanie ciężkiego uszczerbku na zdrowiu (art. 156 § 1 k.k., kara od 3 do 20 lat) zrównane byłoby z samym zadaniem bólu. Jest to sprzeczne z aksjologią i logiką zagrożeń karnych Kodeksu.</w:t>
      </w:r>
    </w:p>
    <w:p w14:paraId="0A103DD7" w14:textId="77777777" w:rsidR="008E174B" w:rsidRDefault="00E2227D">
      <w:pPr>
        <w:spacing w:after="150" w:line="360" w:lineRule="auto"/>
        <w:ind w:firstLine="397"/>
        <w:jc w:val="both"/>
      </w:pPr>
      <w:r>
        <w:t xml:space="preserve">Szczególnie wyrazisty jest stosunek art. 162a § 1 k.k. do art. 246 k.k. Funkcjonariusz publiczny, który stosuje przemoc w celu uzyskania zeznań, wypełnia znamiona art. 246 k.k. (kara od roku do 10 lat), a zarazem – po wejściu w życie projektu – znamiona „stosowania tortur” (kara od 3 do 20 lat). Reguły wyłączania wielości ocen prowadziłyby zapewne do potraktowania art. 246 k.k. jako lex </w:t>
      </w:r>
      <w:proofErr w:type="spellStart"/>
      <w:r>
        <w:t>specialis</w:t>
      </w:r>
      <w:proofErr w:type="spellEnd"/>
      <w:r>
        <w:t xml:space="preserve">, a więc do zastosowania przepisu </w:t>
      </w:r>
      <w:r>
        <w:rPr>
          <w:b/>
          <w:bCs/>
        </w:rPr>
        <w:t>łagodniejszego</w:t>
      </w:r>
      <w:r>
        <w:t xml:space="preserve"> wobec zachowania, które jest wręcz modelowym przykładem tortur w rozumieniu Konwencji. Tego rodzaju odwrócenie proporcji dobitnie ukazuje wadliwość projektowanej konstrukcji.</w:t>
      </w:r>
    </w:p>
    <w:p w14:paraId="2C2108BF" w14:textId="77777777" w:rsidR="008E174B" w:rsidRDefault="00E2227D">
      <w:pPr>
        <w:spacing w:after="150" w:line="360" w:lineRule="auto"/>
        <w:ind w:firstLine="397"/>
        <w:jc w:val="both"/>
      </w:pPr>
      <w:r>
        <w:t xml:space="preserve">14. Definicja nie zakłada przy tym dłuższego czasu oddziaływania – torturą staje się także czyn </w:t>
      </w:r>
      <w:r>
        <w:rPr>
          <w:b/>
          <w:bCs/>
        </w:rPr>
        <w:t>jednorazowy</w:t>
      </w:r>
      <w:r>
        <w:t xml:space="preserve">, co kłóci się z potocznym rozumieniem tortur jako oddziaływania rozciągniętego w czasie. W konsekwencji jednorazowe uderzenie zadane „w celu ukarania” lub „zmuszenia” innej osoby stawałoby się zbrodnią z art. 162a k.k., a przemoc powodująca znaczny ból, stosowana po to, by zmusić pokrzywdzonego do </w:t>
      </w:r>
      <w:r>
        <w:lastRenderedPageBreak/>
        <w:t>wydania mienia, przestawałaby być rozbojem (art. 280 § 1 k.k., kara od 2 do 15 lat), a stawała się surowiej zagrożoną zbrodnią tortur. Cele wymienione w definicji (ukaranie, zmuszenie, zastraszenie) są zaś ujmowane w Kodeksie w zupełnie inny sposób i z innymi zagrożeniami; projektowany typ pozostaje z tą siatką bez związku.</w:t>
      </w:r>
    </w:p>
    <w:p w14:paraId="0A5949BD" w14:textId="77777777" w:rsidR="008E174B" w:rsidRDefault="00E2227D">
      <w:pPr>
        <w:spacing w:after="150" w:line="360" w:lineRule="auto"/>
        <w:ind w:firstLine="397"/>
        <w:jc w:val="both"/>
      </w:pPr>
      <w:r>
        <w:t xml:space="preserve">15. Wskazane paradoksy wynikają w znacznej mierze z uczynienia tortur </w:t>
      </w:r>
      <w:r>
        <w:rPr>
          <w:b/>
          <w:bCs/>
        </w:rPr>
        <w:t>przestępstwem powszechnym</w:t>
      </w:r>
      <w:r>
        <w:t>, wbrew Konwencji, która wyższy stopień naganności wiąże właśnie z tym, że tortury stosuje państwo – przez swoich funkcjonariuszy albo przez osoby pozostające pod ich kontrolą, za których zachowania funkcjonariusze odpowiadają. Tylko w takim układzie surowsza kara jest uzasadniona.</w:t>
      </w:r>
      <w:r>
        <w:rPr>
          <w:rStyle w:val="Odwoanieprzypisudolnego"/>
        </w:rPr>
        <w:footnoteReference w:id="10"/>
      </w:r>
      <w:r>
        <w:t xml:space="preserve"> Trzeba przy tym zauważyć, że trudno wskazać realne pole, w którym projektowana definicja tortur – tam, gdzie nie chodzi o funkcjonariuszy (a i wtedy istnieją przepisy szczególne) – nie znajdowałaby już pokrycia w obowiązującej karalności. Zachowania naruszające godność, cześć i nietykalność cielesną lub powodujące uszczerbek na zdrowiu są karalne; ogólnym typem obejmującym także powodowanie cierpień psychicznych jest znęcanie się (występujące również jako znęcanie przez funkcjonariusza, w szczególności nad osobą pozbawioną wolności – art. 247 k.k.); zachowania osób działających na polecenie funkcjonariusza lub we współdziałaniu z nim objęte są zaś ogólnymi formami współdziałania, z odpowiedzialnością tzw. </w:t>
      </w:r>
      <w:proofErr w:type="spellStart"/>
      <w:r>
        <w:t>ekstraneusa</w:t>
      </w:r>
      <w:proofErr w:type="spellEnd"/>
      <w:r>
        <w:t xml:space="preserve"> włącznie (art. 18, art. 21 § 2 k.k.). Wobec tego trudno wskazać potrzebę wprowadzenia odrębnego, powszechnego typu stosowania tortur.</w:t>
      </w:r>
    </w:p>
    <w:p w14:paraId="1E6E984A" w14:textId="0D75D212" w:rsidR="008E174B" w:rsidRDefault="00E2227D">
      <w:pPr>
        <w:spacing w:after="150" w:line="360" w:lineRule="auto"/>
        <w:ind w:firstLine="397"/>
        <w:jc w:val="both"/>
      </w:pPr>
      <w:r>
        <w:t xml:space="preserve">Komisja dostrzega, że w piśmiennictwie wskazuje się na pewne luki obowiązującej regulacji: art. 247 k.k. chroni jedynie osobę „prawnie pozbawioną wolności” i operuje znamieniem „znęcania”, </w:t>
      </w:r>
      <w:r w:rsidR="007C422C">
        <w:t xml:space="preserve">szerszym </w:t>
      </w:r>
      <w:r>
        <w:t>niż konwencyjne „tortury”, art. 246 k.k. zaś wymaga celu dowodowego oraz kwalifikowanego kręgu sprawców.</w:t>
      </w:r>
      <w:r>
        <w:rPr>
          <w:rStyle w:val="Odwoanieprzypisudolnego"/>
        </w:rPr>
        <w:footnoteReference w:id="11"/>
      </w:r>
      <w:r>
        <w:t xml:space="preserve"> Są to jednak luki wąskie i punktowe, które – jeżeli uznać ich usunięcie za konieczne – należy zamknąć przez celową korektę art. 246 lub 247 k.k. albo przez rozwiązania zaproponowane w pkt IX (w tym projektowany art. 207a k.k.), nie zaś przez konkurencyjny typ powszechny (art. 162a k.k.), generujący opisane kolizje i paradoksy. Argument z pewności prawa i waloru </w:t>
      </w:r>
      <w:r>
        <w:lastRenderedPageBreak/>
        <w:t>symbolicznego, przemawiający za wyraźnym ujęciem „tortur”, nie przeważa nad kosztem spójności systemu.</w:t>
      </w:r>
    </w:p>
    <w:p w14:paraId="13D508B1" w14:textId="77777777" w:rsidR="008E174B" w:rsidRDefault="00E2227D">
      <w:pPr>
        <w:keepNext/>
        <w:spacing w:before="220" w:after="80" w:line="340" w:lineRule="auto"/>
      </w:pPr>
      <w:r>
        <w:rPr>
          <w:b/>
          <w:bCs/>
        </w:rPr>
        <w:t>V. Powtarzające się klauzule „należytej kontroli”</w:t>
      </w:r>
    </w:p>
    <w:p w14:paraId="6EBB3A2A" w14:textId="77777777" w:rsidR="008E174B" w:rsidRDefault="00E2227D">
      <w:pPr>
        <w:spacing w:after="150" w:line="360" w:lineRule="auto"/>
        <w:ind w:firstLine="397"/>
        <w:jc w:val="both"/>
      </w:pPr>
      <w:r>
        <w:t xml:space="preserve">16. Powtarzającą się w projekcie klauzulę (art. 162a § 2 oraz art. 189b § 3 k.k.) – „kto, nie dopełniając obowiązku należytej kontroli, dopuszcza do popełnienia czynu (…) przez osobę pozostającą pod jego faktyczną władzą lub kontrolą” – należy ocenić jako </w:t>
      </w:r>
      <w:r>
        <w:rPr>
          <w:b/>
          <w:bCs/>
        </w:rPr>
        <w:t>zbędną, a wręcz szkodliwą</w:t>
      </w:r>
      <w:r>
        <w:t xml:space="preserve">. Część ogólna Kodeksu zawiera już ogólną podstawę odpowiedzialności za dopuszczenie do popełnienia czynu zabronionego przez inną osobę: zgodnie z art. 18 § 3 </w:t>
      </w:r>
      <w:proofErr w:type="spellStart"/>
      <w:r>
        <w:t>zd</w:t>
      </w:r>
      <w:proofErr w:type="spellEnd"/>
      <w:r>
        <w:t>. 2 k.k. za pomocnictwo odpowiada także ten, kto wbrew prawnemu, szczególnemu obowiązkowi niedopuszczenia do popełnienia czynu zabronionego swoim zaniechaniem ułatwia innej osobie jego popełnienie; karę wymierza się w granicach zagrożenia przewidzianego za sprawstwo (art. 19 § 1 k.k.).</w:t>
      </w:r>
      <w:r>
        <w:rPr>
          <w:rStyle w:val="Odwoanieprzypisudolnego"/>
        </w:rPr>
        <w:footnoteReference w:id="12"/>
      </w:r>
      <w:r>
        <w:t xml:space="preserve"> Projektowana klauzula nie tylko powiela tę regulację, lecz – co gorsza – </w:t>
      </w:r>
      <w:r>
        <w:rPr>
          <w:b/>
          <w:bCs/>
        </w:rPr>
        <w:t>zawęża</w:t>
      </w:r>
      <w:r>
        <w:t xml:space="preserve"> ją, dodając warunek pozostawania sprawcy „pod faktyczną władzą lub kontrolą”, którego art. 18 § 3 k.k. nie stawia. Paradoksalnie zatem nowy przepis przewidywałby </w:t>
      </w:r>
      <w:r>
        <w:rPr>
          <w:b/>
          <w:bCs/>
        </w:rPr>
        <w:t>węższy</w:t>
      </w:r>
      <w:r>
        <w:t xml:space="preserve"> zakres odpowiedzialności niż prawo obowiązujące, obwarowując ją dodatkowymi warunkami.</w:t>
      </w:r>
    </w:p>
    <w:p w14:paraId="1FB346DF" w14:textId="77777777" w:rsidR="008E174B" w:rsidRDefault="00E2227D">
      <w:pPr>
        <w:keepNext/>
        <w:spacing w:before="220" w:after="80" w:line="340" w:lineRule="auto"/>
      </w:pPr>
      <w:r>
        <w:rPr>
          <w:b/>
          <w:bCs/>
        </w:rPr>
        <w:t>VI. Typ wymuszonego zaginięcia (art. 189b k.k.)</w:t>
      </w:r>
    </w:p>
    <w:p w14:paraId="3BB2A092" w14:textId="11AE2D9E" w:rsidR="008E174B" w:rsidRDefault="00E2227D">
      <w:pPr>
        <w:spacing w:after="150" w:line="360" w:lineRule="auto"/>
        <w:ind w:firstLine="397"/>
        <w:jc w:val="both"/>
      </w:pPr>
      <w:r>
        <w:t xml:space="preserve">17. Istota wymuszonego zaginięcia polega na tym, że dochodzi do – choćby krótkotrwałego – pozbawienia wolności innej osoby przez funkcjonariusza publicznego albo za upoważnieniem lub przyzwoleniem państwa, po którym następuje odmowa udzielenia informacji o osobie pozbawionej wolności lub przekazanie informacji nieprawdziwych, co powoduje, że osoba ta znajduje się poza ochroną prawa, a inne osoby nie mogą objąć jej taką ochroną. Poza kontekstem zbrodni przeciwko ludzkości (art. 118a § 2 pkt 6 k.k.) prawo polskie nie penalizuje autonomicznie samego zatajenia faktu pozbawienia wolności; w tym zakresie wprowadzenie nowego typu jest </w:t>
      </w:r>
      <w:r>
        <w:rPr>
          <w:b/>
          <w:bCs/>
        </w:rPr>
        <w:t>potrzebne</w:t>
      </w:r>
      <w:r>
        <w:t>.</w:t>
      </w:r>
    </w:p>
    <w:p w14:paraId="4EC6C66C" w14:textId="6218C077" w:rsidR="008E174B" w:rsidRDefault="00E2227D">
      <w:pPr>
        <w:spacing w:after="150" w:line="360" w:lineRule="auto"/>
        <w:ind w:firstLine="397"/>
        <w:jc w:val="both"/>
      </w:pPr>
      <w:r>
        <w:t xml:space="preserve">Warto odnotować, że klasyczne wymuszone zaginięcia Europejski Trybunał Praw Człowieka kwalifikuje odrębnie – pod art. 2, 3 i 5 EKPC (linia spraw czeczeńskich oraz cypryjsko-tureckich) – podczas gdy sprawy „graniczne” rozstrzygane są pod kątem </w:t>
      </w:r>
      <w:r>
        <w:lastRenderedPageBreak/>
        <w:t>zakazu zbiorowego wydalania (art. 4 Protokołu nr 4) i zasady non-</w:t>
      </w:r>
      <w:proofErr w:type="spellStart"/>
      <w:r>
        <w:t>refoulement</w:t>
      </w:r>
      <w:proofErr w:type="spellEnd"/>
      <w:r>
        <w:t>. Rozgraniczenie to potwierdza, że projektowany typ powinien wyraźnie eksponować element pozbawienia wolności oraz zatajenia informacji przez czynnik publiczny – co najlepiej realizuje ujęcie urzędnicze zaproponowane niżej.</w:t>
      </w:r>
    </w:p>
    <w:p w14:paraId="3AB6FEB7" w14:textId="77777777" w:rsidR="008E174B" w:rsidRDefault="00E2227D">
      <w:pPr>
        <w:spacing w:after="150" w:line="360" w:lineRule="auto"/>
        <w:ind w:firstLine="397"/>
        <w:jc w:val="both"/>
      </w:pPr>
      <w:r>
        <w:t>Konwencja rozróżnia przy tym dwa poziomy obowiązków: art. 4 nakazuje kryminalizację samego wymuszonego zaginięcia (art. 2), natomiast art. 22 nakazuje objąć „sankcją” – niekoniecznie karną – brak rejestracji pozbawienia wolności oraz odmowę udzielenia informacji. Projektowany art. 189b zmierza do realizacji obu warstw jednocześnie, co dodatkowo przemawia za czytelnym ujęciem czynności wykonawczej (zatajenie albo przekazanie informacji nieprawdziwych) oraz za powiązaniem odpowiedzialności z funkcją publiczną, na której spoczywa obowiązek rejestracji i udzielenia informacji.</w:t>
      </w:r>
    </w:p>
    <w:p w14:paraId="19569863" w14:textId="77777777" w:rsidR="008E174B" w:rsidRDefault="00E2227D">
      <w:pPr>
        <w:spacing w:after="150" w:line="360" w:lineRule="auto"/>
        <w:ind w:firstLine="397"/>
        <w:jc w:val="both"/>
      </w:pPr>
      <w:r>
        <w:t xml:space="preserve">18. Projektowane ujęcie art. 189b k.k. jest jednak wadliwe. Po pierwsze, budzi wątpliwości jego relacja do art. 231 § 1 k.k.: skoro projektowany typ nie wiąże odpowiedzialności ze szczególną funkcją sprawcy, może być traktowany jako lex </w:t>
      </w:r>
      <w:proofErr w:type="spellStart"/>
      <w:r>
        <w:t>specialis</w:t>
      </w:r>
      <w:proofErr w:type="spellEnd"/>
      <w:r>
        <w:t xml:space="preserve"> w tym sensie, że funkcjonariusz publiczny dopuszczający się takiego czynu odpowie łagodniej – z art. 231 k.k. Tymczasem istota wymuszonego zaginięcia polega właśnie na tym, że dopuszcza się go funkcjonariusz, działając w wykonaniu lub we wsparciu polityki państwa; uzasadnia to ujęcie tego czynu jako </w:t>
      </w:r>
      <w:r>
        <w:rPr>
          <w:b/>
          <w:bCs/>
        </w:rPr>
        <w:t>kwalifikowanego typu przestępstwa urzędniczego</w:t>
      </w:r>
      <w:r>
        <w:t xml:space="preserve">. Po drugie, końcowa część § 1 („(…) lub istotnych okoliczności dotyczących pozbawienia wolności, przez co uniemożliwia jej korzystanie z ochrony prawnej”) jest niejasna: nie wiadomo, do której czynności wykonawczej się odnosi (zatajenia czy zaprzeczenia) ani kogo dotyczy zaimek „jej” – osoby uprawnionej do informacji czy osoby pozbawionej wolności. Po trzecie, projekt pomija </w:t>
      </w:r>
      <w:r>
        <w:rPr>
          <w:b/>
          <w:bCs/>
        </w:rPr>
        <w:t>element publicznoprawny</w:t>
      </w:r>
      <w:r>
        <w:t>, ujmując sprawcę jedynie jako „obowiązanego do udzielenia informacji osobie uprawnionej”, co zakres typu nadmiernie zawęża, mimo że Konwencja takiej formuły nie przewiduje.</w:t>
      </w:r>
    </w:p>
    <w:p w14:paraId="2A20C2A4" w14:textId="77777777" w:rsidR="008E174B" w:rsidRDefault="00E2227D">
      <w:pPr>
        <w:spacing w:after="150" w:line="360" w:lineRule="auto"/>
        <w:ind w:firstLine="397"/>
        <w:jc w:val="both"/>
      </w:pPr>
      <w:r>
        <w:t>19. Komisja proponuje syntetyczne ujęcie tego czynu jako przestępstwa urzędniczego, o następującym brzmieniu:</w:t>
      </w:r>
    </w:p>
    <w:p w14:paraId="45D7DBA7" w14:textId="77777777" w:rsidR="008E174B" w:rsidRDefault="00E2227D">
      <w:pPr>
        <w:spacing w:after="140" w:line="320" w:lineRule="auto"/>
        <w:ind w:left="567" w:right="283"/>
        <w:jc w:val="both"/>
      </w:pPr>
      <w:r>
        <w:rPr>
          <w:i/>
          <w:iCs/>
          <w:sz w:val="22"/>
          <w:szCs w:val="22"/>
        </w:rPr>
        <w:t>„Art. 189b § 1. Funkcjonariusz publiczny, który zataja lub przekazuje nieprawdziwe informacje dotyczące okoliczności pozbawienia wolności innej osoby, w szczególności jej tożsamości lub miejsca jej pobytu, przez co utrudnia lub uniemożliwia objęcie tej osoby ochroną prawną, podlega karze (…).</w:t>
      </w:r>
    </w:p>
    <w:p w14:paraId="051279DA" w14:textId="77777777" w:rsidR="008E174B" w:rsidRDefault="00E2227D">
      <w:pPr>
        <w:spacing w:after="140" w:line="320" w:lineRule="auto"/>
        <w:ind w:left="567" w:right="283"/>
        <w:jc w:val="both"/>
      </w:pPr>
      <w:r>
        <w:rPr>
          <w:i/>
          <w:iCs/>
          <w:sz w:val="22"/>
          <w:szCs w:val="22"/>
        </w:rPr>
        <w:lastRenderedPageBreak/>
        <w:t>§ 2. Tej samej karze podlega ten, kto dopuszcza się czynu określonego w § 1, działając z upoważnienia lub za zgodą funkcjonariusza publicznego.”</w:t>
      </w:r>
    </w:p>
    <w:p w14:paraId="30D94E0D" w14:textId="77777777" w:rsidR="008E174B" w:rsidRDefault="00E2227D">
      <w:pPr>
        <w:spacing w:after="150" w:line="360" w:lineRule="auto"/>
        <w:ind w:firstLine="397"/>
        <w:jc w:val="both"/>
      </w:pPr>
      <w:r>
        <w:t xml:space="preserve">Ujęcie to obejmuje zarówno zatajenie, jak i przekazanie nieprawdziwych informacji (odmowa udzielenia posiadanych informacji jest bowiem tożsama z zatajeniem, a niezgodne z prawdą zaprzeczanie – z przekazaniem informacji nieprawdziwej), obejmuje okoliczności pozbawienia wolności (tożsamość, sposób i miejsce pobytu, dalsze losy osoby), a nadto – nieco szerzej niż Konwencja, ze względu na trudności dowodowe – penalizuje także </w:t>
      </w:r>
      <w:r>
        <w:rPr>
          <w:b/>
          <w:bCs/>
        </w:rPr>
        <w:t>utrudnianie</w:t>
      </w:r>
      <w:r>
        <w:t xml:space="preserve"> objęcia ochroną prawną, na wzór przestępstw przeciwko wymiarowi sprawiedliwości. Rozszerzenie z § 2 realizuje wymóg objęcia odpowiedzialnością osób działających za przyzwoleniem funkcjonariusza.</w:t>
      </w:r>
    </w:p>
    <w:p w14:paraId="493B649B" w14:textId="77777777" w:rsidR="007C422C" w:rsidRDefault="00E2227D" w:rsidP="007C422C">
      <w:pPr>
        <w:spacing w:after="60" w:line="360" w:lineRule="auto"/>
        <w:ind w:firstLine="340"/>
        <w:jc w:val="both"/>
      </w:pPr>
      <w:r>
        <w:t xml:space="preserve">20. Komisja zwraca uwagę, że tak ujęta karalność obejmie również tzw. </w:t>
      </w:r>
      <w:proofErr w:type="spellStart"/>
      <w:r>
        <w:t>push-backi</w:t>
      </w:r>
      <w:proofErr w:type="spellEnd"/>
      <w:r>
        <w:t xml:space="preserve"> realizowane na pograniczu polsko-białoruskim. </w:t>
      </w:r>
      <w:r w:rsidR="007C422C">
        <w:t>Zgodnie z art. 2 Konwencji wymuszone zaginięcie oznacza:</w:t>
      </w:r>
    </w:p>
    <w:p w14:paraId="068F5C8A" w14:textId="77777777" w:rsidR="007C422C" w:rsidRDefault="007C422C" w:rsidP="007C422C">
      <w:pPr>
        <w:spacing w:after="140" w:line="320" w:lineRule="auto"/>
        <w:ind w:left="460" w:right="340"/>
        <w:jc w:val="both"/>
      </w:pPr>
      <w:r>
        <w:rPr>
          <w:i/>
          <w:iCs/>
          <w:sz w:val="22"/>
          <w:szCs w:val="22"/>
        </w:rPr>
        <w:t>„zatrzymanie, aresztowanie, uprowadzenie lub jakąkolwiek inną formę pozbawienia osoby wolności, dokonane przez przedstawicieli Państwa albo przez osoby lub grupy osób działające z upoważnieniem, pomocą lub milczącą zgodą Państwa, po którym następuje odmowa przyznania faktu pozbawienia wolności lub ukrywanie losów bądź miejsca pobytu takiej osoby, co powoduje, że znajduje się ona poza ochroną prawa”.</w:t>
      </w:r>
    </w:p>
    <w:p w14:paraId="44DDBF86" w14:textId="77777777" w:rsidR="007C422C" w:rsidRDefault="007C422C" w:rsidP="007C422C">
      <w:pPr>
        <w:spacing w:after="160" w:line="360" w:lineRule="auto"/>
        <w:ind w:firstLine="340"/>
        <w:jc w:val="both"/>
      </w:pPr>
      <w:r>
        <w:t xml:space="preserve">Z definicji wyprowadza się trzy kumulatywne elementy: (a) </w:t>
      </w:r>
      <w:r>
        <w:rPr>
          <w:b/>
          <w:bCs/>
        </w:rPr>
        <w:t>pozbawienie wolności</w:t>
      </w:r>
      <w:r>
        <w:t xml:space="preserve"> (w jakiejkolwiek formie), (b) </w:t>
      </w:r>
      <w:r>
        <w:rPr>
          <w:b/>
          <w:bCs/>
        </w:rPr>
        <w:t>udział przedstawicieli Państwa</w:t>
      </w:r>
      <w:r>
        <w:t xml:space="preserve"> — choćby przez milczącą zgodę (</w:t>
      </w:r>
      <w:proofErr w:type="spellStart"/>
      <w:r>
        <w:rPr>
          <w:i/>
          <w:iCs/>
        </w:rPr>
        <w:t>acquiescence</w:t>
      </w:r>
      <w:proofErr w:type="spellEnd"/>
      <w:r>
        <w:t xml:space="preserve">), oraz (c) </w:t>
      </w:r>
      <w:r>
        <w:rPr>
          <w:b/>
          <w:bCs/>
        </w:rPr>
        <w:t>odmowa przyznania faktu pozbawienia wolności albo ukrywanie losu/miejsca pobytu</w:t>
      </w:r>
      <w:r>
        <w:t xml:space="preserve">, co stawia osobę </w:t>
      </w:r>
      <w:r>
        <w:rPr>
          <w:b/>
          <w:bCs/>
        </w:rPr>
        <w:t>poza ochroną prawa</w:t>
      </w:r>
      <w:r>
        <w:t>.</w:t>
      </w:r>
      <w:r>
        <w:rPr>
          <w:rStyle w:val="Odwoanieprzypisudolnego"/>
        </w:rPr>
        <w:footnoteReference w:id="13"/>
      </w:r>
    </w:p>
    <w:p w14:paraId="0A0943A9" w14:textId="2C877019" w:rsidR="007C422C" w:rsidRDefault="007C422C" w:rsidP="007C422C">
      <w:pPr>
        <w:spacing w:after="160" w:line="360" w:lineRule="auto"/>
        <w:ind w:firstLine="340"/>
        <w:jc w:val="both"/>
      </w:pPr>
      <w:r>
        <w:t xml:space="preserve">Dla oceny </w:t>
      </w:r>
      <w:proofErr w:type="spellStart"/>
      <w:r>
        <w:t>push-backów</w:t>
      </w:r>
      <w:proofErr w:type="spellEnd"/>
      <w:r>
        <w:t xml:space="preserve"> istotne są trzy ustalenia interpretacyjne. Po pierwsze, </w:t>
      </w:r>
      <w:r>
        <w:rPr>
          <w:b/>
          <w:bCs/>
        </w:rPr>
        <w:t>czas trwania jest nieistotny</w:t>
      </w:r>
      <w:r>
        <w:t>, o ile spełnione są elementy definicji — Konwencja obejmuje również „krótkotrwałe” wymuszone zaginięcia (</w:t>
      </w:r>
      <w:proofErr w:type="spellStart"/>
      <w:r>
        <w:rPr>
          <w:i/>
          <w:iCs/>
        </w:rPr>
        <w:t>short</w:t>
      </w:r>
      <w:proofErr w:type="spellEnd"/>
      <w:r>
        <w:rPr>
          <w:i/>
          <w:iCs/>
        </w:rPr>
        <w:t xml:space="preserve">-term </w:t>
      </w:r>
      <w:proofErr w:type="spellStart"/>
      <w:r>
        <w:rPr>
          <w:i/>
          <w:iCs/>
        </w:rPr>
        <w:t>enforced</w:t>
      </w:r>
      <w:proofErr w:type="spellEnd"/>
      <w:r>
        <w:rPr>
          <w:i/>
          <w:iCs/>
        </w:rPr>
        <w:t xml:space="preserve"> </w:t>
      </w:r>
      <w:proofErr w:type="spellStart"/>
      <w:r>
        <w:rPr>
          <w:i/>
          <w:iCs/>
        </w:rPr>
        <w:t>disappearances</w:t>
      </w:r>
      <w:proofErr w:type="spellEnd"/>
      <w:r>
        <w:t xml:space="preserve">). Po drugie, sprawcą może być każdy funkcjonariusz działający lub tolerowany przez Państwo; nie jest wymagane działanie w ramach „rozległego lub systematycznego ataku” — to odróżnia zaginięcie z art. 2 Konwencji od zbrodni przeciwko ludzkości z art. 5 Konwencji i art. 7 ust. 1 lit. i Statutu MTK. Po trzecie, obowiązek </w:t>
      </w:r>
      <w:r>
        <w:rPr>
          <w:b/>
          <w:bCs/>
        </w:rPr>
        <w:t>kryminalizacji</w:t>
      </w:r>
      <w:r>
        <w:t xml:space="preserve"> </w:t>
      </w:r>
      <w:r>
        <w:lastRenderedPageBreak/>
        <w:t xml:space="preserve">zaginięcia jako odrębnego przestępstwa wynika z art. 4 Konwencji, a obowiązek objęcia </w:t>
      </w:r>
      <w:r>
        <w:rPr>
          <w:b/>
          <w:bCs/>
        </w:rPr>
        <w:t>sankcją</w:t>
      </w:r>
      <w:r>
        <w:t xml:space="preserve"> (niekoniecznie karną) zaniechania rejestracji i odmowy informacji — z art. 22.</w:t>
      </w:r>
    </w:p>
    <w:p w14:paraId="52AD3987" w14:textId="77777777" w:rsidR="007C422C" w:rsidRDefault="007C422C" w:rsidP="007C422C">
      <w:pPr>
        <w:spacing w:after="160" w:line="360" w:lineRule="auto"/>
        <w:ind w:firstLine="340"/>
        <w:jc w:val="both"/>
      </w:pPr>
      <w:r>
        <w:t xml:space="preserve">Konwencja zakazuje tajnej detencji (art. 17 ust. 1) i nakłada obowiązek prowadzenia </w:t>
      </w:r>
      <w:r>
        <w:rPr>
          <w:b/>
          <w:bCs/>
        </w:rPr>
        <w:t>urzędowych rejestrów osób pozbawionych wolności</w:t>
      </w:r>
      <w:r>
        <w:t xml:space="preserve"> zawierających m.in. tożsamość osoby, datę, godzinę i miejsce pozbawienia wolności oraz organ, który go dokonał (art. 17 ust. 3). Art. 18 gwarantuje osobom o uzasadnionym interesie dostęp do informacji o losie i miejscu pobytu. Art. 22 nakazuje objąć sankcją: (b) </w:t>
      </w:r>
      <w:r>
        <w:rPr>
          <w:b/>
          <w:bCs/>
        </w:rPr>
        <w:t>brak rejestracji pozbawienia wolności</w:t>
      </w:r>
      <w:r>
        <w:t xml:space="preserve"> oraz (c) </w:t>
      </w:r>
      <w:r>
        <w:rPr>
          <w:b/>
          <w:bCs/>
        </w:rPr>
        <w:t>odmowę udzielenia informacji</w:t>
      </w:r>
      <w:r>
        <w:t xml:space="preserve"> o pozbawieniu wolności lub podanie informacji nieprawdziwych.</w:t>
      </w:r>
      <w:r>
        <w:rPr>
          <w:rStyle w:val="Odwoanieprzypisudolnego"/>
        </w:rPr>
        <w:footnoteReference w:id="14"/>
      </w:r>
    </w:p>
    <w:p w14:paraId="1B9428DC" w14:textId="2690C11A" w:rsidR="008E174B" w:rsidRDefault="007C422C" w:rsidP="007C422C">
      <w:pPr>
        <w:spacing w:after="160" w:line="360" w:lineRule="auto"/>
        <w:ind w:firstLine="340"/>
        <w:jc w:val="both"/>
      </w:pPr>
      <w:r>
        <w:t xml:space="preserve">Komitet ds. Wymuszonych Zaginięć w Komentarzu Ogólnym nr 1 (2023) o wymuszonych zaginięciach w kontekście migracji uznał wprost, że </w:t>
      </w:r>
      <w:proofErr w:type="spellStart"/>
      <w:r>
        <w:rPr>
          <w:b/>
          <w:bCs/>
        </w:rPr>
        <w:t>push-backi</w:t>
      </w:r>
      <w:proofErr w:type="spellEnd"/>
      <w:r>
        <w:rPr>
          <w:b/>
          <w:bCs/>
        </w:rPr>
        <w:t xml:space="preserve"> oraz pozbawianie migrantów wolności bez odpowiednich rejestrów są niezgodne ze zobowiązaniami wynikającymi z Konwencji</w:t>
      </w:r>
      <w:r>
        <w:t xml:space="preserve"> i zwiększają ryzyko zaginięć.</w:t>
      </w:r>
      <w:r>
        <w:rPr>
          <w:rStyle w:val="Odwoanieprzypisudolnego"/>
        </w:rPr>
        <w:footnoteReference w:id="15"/>
      </w:r>
      <w:r>
        <w:t xml:space="preserve"> Stanowisko to potwierdza, że migracyjny kontekst nie wyłącza stosowania Konwencji, a niezarejestrowane zawrócenie może realizować znamiona zaginięcia. </w:t>
      </w:r>
      <w:r w:rsidR="00E2227D">
        <w:t xml:space="preserve">Dochodzi tam bowiem do zatrzymywania osób </w:t>
      </w:r>
      <w:r w:rsidR="00E2227D">
        <w:rPr>
          <w:b/>
          <w:bCs/>
        </w:rPr>
        <w:t>bez rejestrowania</w:t>
      </w:r>
      <w:r w:rsidR="00E2227D">
        <w:t xml:space="preserve"> tych zatrzymań, a tym samym do zatajania informacji o tym, jakie osoby zostały pozbawione wolności i co się z nimi dzieje. Jest to konsekwencja świadoma i systemowo spójna z celem Konwencji o zaginięciach.</w:t>
      </w:r>
      <w:r w:rsidR="00E2227D">
        <w:rPr>
          <w:rStyle w:val="Odwoanieprzypisudolnego"/>
        </w:rPr>
        <w:footnoteReference w:id="16"/>
      </w:r>
      <w:r>
        <w:t>.</w:t>
      </w:r>
      <w:r w:rsidR="00E2227D">
        <w:t xml:space="preserve"> </w:t>
      </w:r>
      <w:r>
        <w:t>J</w:t>
      </w:r>
      <w:r w:rsidR="00E2227D">
        <w:t>est to dodatkowy argument za ujęciem typu jako przestępstwa urzędniczego, ostro rysującego element publicznoprawny.</w:t>
      </w:r>
    </w:p>
    <w:p w14:paraId="1DF03520" w14:textId="77777777" w:rsidR="008E174B" w:rsidRDefault="00E2227D">
      <w:pPr>
        <w:spacing w:after="150" w:line="360" w:lineRule="auto"/>
        <w:ind w:firstLine="397"/>
        <w:jc w:val="both"/>
      </w:pPr>
      <w:r>
        <w:t xml:space="preserve">21. Za zbędny należy uznać projektowany typ nieumyślny (art. 189b § 4 k.k.). Konwencja nie wymaga penalizacji nieumyślności; odniesienie nieumyślności do znamion o charakterze czysto formalnym, przy zagrożeniu karą do lat 3, jest nietrafne, zwłaszcza wobec art. 231 k.k. Gdyby zaś przepis miał obejmować osoby prywatne, trudno wskazać, na jakiej podstawie ciążyłby na nich obowiązek udzielania informacji o </w:t>
      </w:r>
      <w:r>
        <w:lastRenderedPageBreak/>
        <w:t>osobach pozbawionych wolności; konstrukcja taka zbliżałaby się do nałożenia powszechnego obowiązku denuncjacji przestępstwa pozbawienia wolności, wykraczając poza granice karalnego niezawiadomienia (art. 240 k.k.). Analogicznie – z uwagi na art. 18 § 3 k.k. – zbędny jest projektowany § 3 (odpowiedzialność „przełożonego”).</w:t>
      </w:r>
    </w:p>
    <w:p w14:paraId="2332BEC1" w14:textId="77777777" w:rsidR="008E174B" w:rsidRDefault="00E2227D">
      <w:pPr>
        <w:keepNext/>
        <w:spacing w:before="220" w:after="80" w:line="340" w:lineRule="auto"/>
      </w:pPr>
      <w:r>
        <w:rPr>
          <w:b/>
          <w:bCs/>
        </w:rPr>
        <w:t>VII. Niekonsekwencje w zakresie projektowanych sankcji</w:t>
      </w:r>
    </w:p>
    <w:p w14:paraId="6CCCB971" w14:textId="77777777" w:rsidR="008E174B" w:rsidRDefault="00E2227D">
      <w:pPr>
        <w:spacing w:after="150" w:line="360" w:lineRule="auto"/>
        <w:ind w:firstLine="397"/>
        <w:jc w:val="both"/>
      </w:pPr>
      <w:r>
        <w:t>22. Projektowane zagrożenia karne pozostają w licznych, trudnych do zaakceptowania niekonsekwencjach względem sankcji już przewidzianych w Kodeksie. Zbrodnia z art. 162a § 1 k.k. (kara od 3 do 20 lat) zostaje zrównana z art. 156 § 1 k.k. (spowodowanie ciężkiego uszczerbku na zdrowiu, kara od 3 do 20 lat) oraz z art. 189a § 1 k.k. (handel ludźmi, kara od 3 do 20 lat) – a więc z czynami o najwyższym ciężarze, powodującymi trwały, poważny skutek. Tymczasem „stosowanie tortur” może polegać na jednorazowym zadaniu bólu, który nie pozostawia żadnego trwałego następstwa. Co więcej, projektowana zbrodnia byłaby zagrożona surowiej niż zgwałcenie (art. 197 § 1 k.k., kara od 2 do 15 lat) oraz niż rozbój (art. 280 § 1 k.k., kara od 2 do 15 lat). Prowadziłoby to do trudnego do przyjęcia wniosku, że jednorazowe uderzenie zadane „w celu ukarania” jest czynem poważniejszym niż zgwałcenie, a przemoc zmierzająca do wydania mienia – poważniejszym niż rozbój.</w:t>
      </w:r>
    </w:p>
    <w:p w14:paraId="04F32143" w14:textId="77777777" w:rsidR="008E174B" w:rsidRDefault="00E2227D">
      <w:pPr>
        <w:spacing w:after="150" w:line="360" w:lineRule="auto"/>
        <w:ind w:firstLine="397"/>
        <w:jc w:val="both"/>
      </w:pPr>
      <w:r>
        <w:t xml:space="preserve">23. Jeszcze wyraźniejsza niekonsekwencja ujawnia się w zestawieniu art. 162a § 1 k.k. z typami penalizującymi tortury w ich postaci najbardziej typowej. Wymuszanie zeznań przez funkcjonariusza publicznego (art. 246 k.k.) zagrożone jest karą od roku do 10 lat; znęcanie się nad osobą pozbawioną wolności ze szczególnym okrucieństwem (art. 247 § 2 k.k.) oraz znęcanie ze szczególnym okrucieństwem (art. 207 § 2 k.k.) – również karą od roku do 10 lat. Powstałby zatem stan, w którym </w:t>
      </w:r>
      <w:r>
        <w:rPr>
          <w:b/>
          <w:bCs/>
        </w:rPr>
        <w:t>modelowe</w:t>
      </w:r>
      <w:r>
        <w:t xml:space="preserve"> akty tortur (funkcjonariusz wymuszający wyznanie, okrutne znęcanie się nad osobą pozbawioną wolności) byłyby zagrożone </w:t>
      </w:r>
      <w:r>
        <w:rPr>
          <w:b/>
          <w:bCs/>
        </w:rPr>
        <w:t>łagodniej</w:t>
      </w:r>
      <w:r>
        <w:t xml:space="preserve"> – karą od roku do 10 lat – niż powszechne „stosowanie tortur” (kara od 3 do 20 lat). Reguły wyłączania wielości ocen prowadziłyby przy tym do stosowania owych przepisów szczególnych jako łagodniejszych, co czyni projektowaną zbrodnię wewnętrznie sprzeczną z jej własnym celem.</w:t>
      </w:r>
    </w:p>
    <w:p w14:paraId="7E4FA888" w14:textId="77777777" w:rsidR="008E174B" w:rsidRDefault="00E2227D">
      <w:pPr>
        <w:spacing w:after="150" w:line="360" w:lineRule="auto"/>
        <w:ind w:firstLine="397"/>
        <w:jc w:val="both"/>
      </w:pPr>
      <w:r>
        <w:t xml:space="preserve">24. Niekonsekwentne są także sankcje w części dotyczącej wymuszonego zaginięcia. Projektowany art. 189b § 1 k.k. (kara od roku do 10 lat) zagraża surowiej niż art. 231 § 1 k.k. (kara do lat 3), mimo że – jak wskazano w pkt 18 – to właśnie funkcjonariusz jest typowym sprawcą zaginięcia; gdyby art. 231 k.k. potraktować jako lex </w:t>
      </w:r>
      <w:proofErr w:type="spellStart"/>
      <w:r>
        <w:t>specialis</w:t>
      </w:r>
      <w:proofErr w:type="spellEnd"/>
      <w:r>
        <w:t xml:space="preserve">, </w:t>
      </w:r>
      <w:r>
        <w:lastRenderedPageBreak/>
        <w:t xml:space="preserve">funkcjonariusz odpowiadałby </w:t>
      </w:r>
      <w:r>
        <w:rPr>
          <w:b/>
          <w:bCs/>
        </w:rPr>
        <w:t>łagodniej</w:t>
      </w:r>
      <w:r>
        <w:t xml:space="preserve"> niż osoba prywatna, co odwraca założoną przez Konwencję hierarchię naganności. Z kolei projektowany typ nieumyślny (art. 189b § 4 k.k., kara do lat 3), odniesiony do znamion czysto formalnych, byłby zagrożony surowiej niż nieumyślne nadużycie władzy wyrządzające istotną szkodę (art. 231 § 3 k.k., kara do lat 2).</w:t>
      </w:r>
    </w:p>
    <w:p w14:paraId="51015527" w14:textId="77777777" w:rsidR="008E174B" w:rsidRDefault="00E2227D">
      <w:pPr>
        <w:spacing w:after="150" w:line="360" w:lineRule="auto"/>
        <w:ind w:firstLine="397"/>
        <w:jc w:val="both"/>
      </w:pPr>
      <w:r>
        <w:t xml:space="preserve">25. Wreszcie klauzule odpowiedzialności „przełożonego” (art. 162a § 2, art. 189b § 3 k.k.) przewidują karę taką samą jak za czyn podstawowy. Tymczasem niedopełnienie obowiązku nadzoru jest na gruncie części ogólnej pomocnictwem przez zaniechanie (art. 18 § 3 </w:t>
      </w:r>
      <w:proofErr w:type="spellStart"/>
      <w:r>
        <w:t>zd</w:t>
      </w:r>
      <w:proofErr w:type="spellEnd"/>
      <w:r>
        <w:t>. 2 k.k.), przy którym sąd może zastosować nadzwyczajne złagodzenie kary (art. 19 § 2 k.k.). Projektowane klauzule odbierają tę możliwość, zrównując dopuszczającego z bezpośrednim sprawcą – surowiej i sztywniej, niż czynią to reguły ogólne. Dodać należy, że projektowana zbrodnia powszechna z art. 162a § 1 k.k. (kara od 3 do 20 lat) sytuuje się tuż poniżej tortur jako zbrodni przeciwko ludzkości i zbrodni wojennej (art. 118a § 2 i art. 123 § 2 k.k. – kara od 5 do 25 lat), mimo że te ostatnie wymagają działania w ramach masowego lub systematycznego zamachu; proporcja między pojedynczym czynem a zbrodnią o charakterze systemowym ulega w ten sposób nadmiernemu spłaszczeniu.</w:t>
      </w:r>
    </w:p>
    <w:p w14:paraId="3B2C9ACD" w14:textId="77777777" w:rsidR="008E174B" w:rsidRDefault="00E2227D">
      <w:pPr>
        <w:keepNext/>
        <w:spacing w:before="220" w:after="80" w:line="340" w:lineRule="auto"/>
      </w:pPr>
      <w:r>
        <w:rPr>
          <w:b/>
          <w:bCs/>
        </w:rPr>
        <w:t>VIII. Rozważenie argumentów przeciwnych</w:t>
      </w:r>
    </w:p>
    <w:p w14:paraId="393B77F3" w14:textId="77777777" w:rsidR="008E174B" w:rsidRDefault="00E2227D">
      <w:pPr>
        <w:spacing w:after="150" w:line="360" w:lineRule="auto"/>
        <w:ind w:firstLine="397"/>
        <w:jc w:val="both"/>
      </w:pPr>
      <w:r>
        <w:t xml:space="preserve">26. Rzetelność wymaga rozważenia argumentów przemawiających za rozwiązaniami projektu. Najsilniejszy z nich odwołuje się do konsekwentnych zaleceń Komitetu Przeciwko Torturom, by wprowadzić przestępstwo tortur jako odrębny i szczególny typ obejmujący wszystkie czyny z art. 1 Konwencji, oraz do waloru symbolicznego i gwarancyjnego takiej regulacji – czytelnego sygnału, że państwo nie toleruje tortur, i ułatwienia wykazania pełnej zgodności z art. 4 CAT wobec organów monitorujących. Za powszechnym ujęciem typu może zaś przemawiać model prawa karnego międzynarodowego, który – inaczej niż CAT – rezygnuje z </w:t>
      </w:r>
      <w:proofErr w:type="spellStart"/>
      <w:r>
        <w:t>nexusu</w:t>
      </w:r>
      <w:proofErr w:type="spellEnd"/>
      <w:r>
        <w:t xml:space="preserve"> państwowego (art. 7 ust. 2 lit. e Statutu MTK; orzecznictwo międzynarodowych trybunałów karnych).</w:t>
      </w:r>
    </w:p>
    <w:p w14:paraId="39757813" w14:textId="77777777" w:rsidR="008E174B" w:rsidRDefault="00E2227D">
      <w:pPr>
        <w:spacing w:after="150" w:line="360" w:lineRule="auto"/>
        <w:ind w:firstLine="397"/>
        <w:jc w:val="both"/>
      </w:pPr>
      <w:r>
        <w:t xml:space="preserve">27. Argumenty te Komisja przyjmuje w części diagnostycznej, lecz </w:t>
      </w:r>
      <w:proofErr w:type="gramStart"/>
      <w:r>
        <w:t>nie co</w:t>
      </w:r>
      <w:proofErr w:type="gramEnd"/>
      <w:r>
        <w:t xml:space="preserve"> do środka zaradczego. Zalecenie odrębnej typizacji odnosi się do definicji </w:t>
      </w:r>
      <w:r>
        <w:rPr>
          <w:b/>
          <w:bCs/>
        </w:rPr>
        <w:t>równoważnej</w:t>
      </w:r>
      <w:r>
        <w:t xml:space="preserve"> art. 1 Konwencji; tymczasem projekt posługuje się definicją nierównoważną (pkt II) oraz typem powszechnym oderwanym od elementu publicznoprawnego, co rodzi kolizje i zawężenia niweczące sam walor „pełnej” kryminalizacji. Walor symboliczny i </w:t>
      </w:r>
      <w:r>
        <w:lastRenderedPageBreak/>
        <w:t xml:space="preserve">gwarancyjny osiągnąć zaś można środkami mniej inwazyjnymi – wskazaną w pkt IX klauzulą słowniczkową oraz kwalifikowanym typem urzędniczym – bez destrukcji spójności Kodeksu. Rezygnacja z </w:t>
      </w:r>
      <w:proofErr w:type="spellStart"/>
      <w:r>
        <w:t>nexusu</w:t>
      </w:r>
      <w:proofErr w:type="spellEnd"/>
      <w:r>
        <w:t>, obroniona na gruncie prawa karnego międzynarodowego (gdzie tortury są zbrodnią przeciwko ludzkości), nie przystaje do krajowej siatki typów, w której powszechne zadawanie znacznego bólu jest już karalne na innych podstawach. Argumenty przeciwne nie podważają zatem negatywnej oceny projektu.</w:t>
      </w:r>
    </w:p>
    <w:p w14:paraId="6A8C3FBA" w14:textId="77777777" w:rsidR="008E174B" w:rsidRDefault="00E2227D">
      <w:pPr>
        <w:keepNext/>
        <w:spacing w:before="220" w:after="80" w:line="340" w:lineRule="auto"/>
      </w:pPr>
      <w:r>
        <w:rPr>
          <w:b/>
          <w:bCs/>
        </w:rPr>
        <w:t>IX. Konkluzje i propozycje Komisji</w:t>
      </w:r>
    </w:p>
    <w:p w14:paraId="21759FB5" w14:textId="77777777" w:rsidR="008E174B" w:rsidRDefault="00E2227D">
      <w:pPr>
        <w:spacing w:after="150" w:line="360" w:lineRule="auto"/>
        <w:ind w:firstLine="397"/>
        <w:jc w:val="both"/>
      </w:pPr>
      <w:r>
        <w:t xml:space="preserve">28. W świetle powyższego Komisja ocenia projekt w części dotyczącej tortur </w:t>
      </w:r>
      <w:r>
        <w:rPr>
          <w:b/>
          <w:bCs/>
        </w:rPr>
        <w:t>negatywnie</w:t>
      </w:r>
      <w:r>
        <w:t>, a w części dotyczącej wymuszonego zaginięcia – jako słuszny co do idei, lecz wymagający zasadniczego przeredagowania. Propozycje projektu dotyczące tortur prowadzą do wewnętrznych sprzeczności Kodeksu (typy uprzywilejowane, kolizje z rozbojem, znęcaniem i uszczerbkiem na zdrowiu), do zawężenia dotychczasowej kryminalizacji (zastąpienie „szczególnego udręczenia” węższym pojęciem „tortur”) oraz do mnożenia pojęć nieostrych. Konkretnie Komisja proponuje, co następuje.</w:t>
      </w:r>
    </w:p>
    <w:p w14:paraId="387CB420" w14:textId="77777777" w:rsidR="008E174B" w:rsidRDefault="00E2227D">
      <w:pPr>
        <w:spacing w:after="150" w:line="360" w:lineRule="auto"/>
        <w:ind w:firstLine="397"/>
        <w:jc w:val="both"/>
      </w:pPr>
      <w:r>
        <w:t>a) Odstąpić od wprowadzenia definicji tortur (art. 115 § 23a k.k.) oraz odrębnego, powszechnego typu ich stosowania (art. 162a k.k.), a także od zastąpienia znamienia „szczególnego udręczenia” znamieniem „stosowania tortur” w art. 105 pkt 2, art. 189 § 3 i art. 252 § 2 k.k. Obowiązujące prawo zapewnia – z zastrzeżeniami wskazanymi w pkt 15 – wykonanie Konwencji o zakazie tortur.</w:t>
      </w:r>
    </w:p>
    <w:p w14:paraId="23171382" w14:textId="77777777" w:rsidR="008E174B" w:rsidRDefault="00E2227D">
      <w:pPr>
        <w:spacing w:after="150" w:line="360" w:lineRule="auto"/>
        <w:ind w:firstLine="397"/>
        <w:jc w:val="both"/>
      </w:pPr>
      <w:r>
        <w:t>b) Jeżeli mimo to uznano by za celowe wyraźne uwidocznienie „tortur” w ustawie – zgodnie z kierunkiem wskazanym we wcześniejszej opinii Komisji – należałoby to uczynić nie przez konkurencyjny typ powszechny, lecz przez dodanie w słowniczku ustawowym przepisu wyjaśniającego, że pojęcie szczególnego udręczenia obejmuje także stosowanie tortur w rozumieniu Konwencji, np.:</w:t>
      </w:r>
    </w:p>
    <w:p w14:paraId="47541A93" w14:textId="2A0C6A60" w:rsidR="008E174B" w:rsidRDefault="00E2227D">
      <w:pPr>
        <w:spacing w:after="140" w:line="320" w:lineRule="auto"/>
        <w:ind w:left="567" w:right="283"/>
        <w:jc w:val="both"/>
      </w:pPr>
      <w:r>
        <w:rPr>
          <w:i/>
          <w:iCs/>
          <w:sz w:val="22"/>
          <w:szCs w:val="22"/>
        </w:rPr>
        <w:t xml:space="preserve">„Przez szczególne udręczenie </w:t>
      </w:r>
      <w:r w:rsidR="007C422C">
        <w:rPr>
          <w:i/>
          <w:iCs/>
          <w:sz w:val="22"/>
          <w:szCs w:val="22"/>
        </w:rPr>
        <w:t xml:space="preserve">lub szczególne okrucieństwo </w:t>
      </w:r>
      <w:r>
        <w:rPr>
          <w:i/>
          <w:iCs/>
          <w:sz w:val="22"/>
          <w:szCs w:val="22"/>
        </w:rPr>
        <w:t>rozumie się także działanie lub zaniechanie polegające na stosowaniu tortur w rozumieniu Konwencji w sprawie zakazu stosowania tortur oraz innego okrutnego, nieludzkiego lub poniżającego traktowania albo karania.”</w:t>
      </w:r>
    </w:p>
    <w:p w14:paraId="008C43A9" w14:textId="437C5855" w:rsidR="008E174B" w:rsidRDefault="00E2227D">
      <w:pPr>
        <w:spacing w:after="150" w:line="360" w:lineRule="auto"/>
        <w:ind w:firstLine="397"/>
        <w:jc w:val="both"/>
      </w:pPr>
      <w:r>
        <w:t>Rozwiązanie to zachowuje szerszy zakres znaczeniowy „szczególnego udręczenia”</w:t>
      </w:r>
      <w:r w:rsidR="007C422C">
        <w:t xml:space="preserve"> oraz „szczególnego okrucieństwa”</w:t>
      </w:r>
      <w:r>
        <w:t xml:space="preserve">, a zarazem czyni zadość postulatowi wyraźnego ujęcia </w:t>
      </w:r>
      <w:r>
        <w:lastRenderedPageBreak/>
        <w:t>tortur, bez naruszania spójności systemu i bez tworzenia konkurencyjnej definicji legalnej.</w:t>
      </w:r>
    </w:p>
    <w:p w14:paraId="200C5E19" w14:textId="77777777" w:rsidR="008E174B" w:rsidRDefault="00E2227D">
      <w:pPr>
        <w:spacing w:after="150" w:line="360" w:lineRule="auto"/>
        <w:ind w:firstLine="397"/>
        <w:jc w:val="both"/>
      </w:pPr>
      <w:r>
        <w:t xml:space="preserve">c) W nawiązaniu do postulatu sformułowanego w pierwszej opinii Komisji – w której jako obszar wątpliwy wskazano przede wszystkim akty tortur popełniane przez osobę inną niż funkcjonariusz publiczny, występującą w charakterze urzędowym albo działającą na jego polecenie lub za jego wyraźną lub milczącą zgodą – </w:t>
      </w:r>
      <w:r>
        <w:rPr>
          <w:b/>
          <w:bCs/>
        </w:rPr>
        <w:t>ewentualnie</w:t>
      </w:r>
      <w:r>
        <w:t xml:space="preserve"> można rozważyć dodanie zwięzłego przepisu typizującego, zamykającego tę właśnie lukę, bez tworzenia powszechnego typu tortur ani odrębnej definicji legalnej. Przepis taki, np. art. 207a k.k., mógłby otrzymać brzmienie:</w:t>
      </w:r>
    </w:p>
    <w:p w14:paraId="1582A54D" w14:textId="77777777" w:rsidR="008E174B" w:rsidRDefault="00E2227D">
      <w:pPr>
        <w:spacing w:after="140" w:line="320" w:lineRule="auto"/>
        <w:ind w:left="567" w:right="283"/>
        <w:jc w:val="both"/>
      </w:pPr>
      <w:r>
        <w:rPr>
          <w:i/>
          <w:iCs/>
          <w:sz w:val="22"/>
          <w:szCs w:val="22"/>
        </w:rPr>
        <w:t>„Art. 207a § 1. Kto dopuszcza się czynu zabronionego z art. 207 § 2, działając z upoważnienia lub za zgodą funkcjonariusza publicznego, podlega karze pozbawienia wolności od lat 2 do 12.</w:t>
      </w:r>
    </w:p>
    <w:p w14:paraId="500C2D23" w14:textId="77777777" w:rsidR="008E174B" w:rsidRDefault="00E2227D">
      <w:pPr>
        <w:spacing w:after="140" w:line="320" w:lineRule="auto"/>
        <w:ind w:left="567" w:right="283"/>
        <w:jc w:val="both"/>
      </w:pPr>
      <w:r>
        <w:rPr>
          <w:i/>
          <w:iCs/>
          <w:sz w:val="22"/>
          <w:szCs w:val="22"/>
        </w:rPr>
        <w:t>§ 2. Tej samej karze podlega funkcjonariusz publiczny, który wbrew obowiązkowi dopuszcza do popełnienia czynu określonego w § 1.”</w:t>
      </w:r>
    </w:p>
    <w:p w14:paraId="7F81FCE2" w14:textId="77777777" w:rsidR="007C422C" w:rsidRDefault="00E2227D">
      <w:pPr>
        <w:spacing w:after="150" w:line="360" w:lineRule="auto"/>
        <w:ind w:firstLine="397"/>
        <w:jc w:val="both"/>
      </w:pPr>
      <w:r>
        <w:t xml:space="preserve">Rozwiązanie to – oparte na istniejącym typie znęcania się ze szczególnym okrucieństwem (art. 207 § 2 k.k.) oraz na odpowiedzialności funkcjonariusza dopuszczającego – realizuje cel Konwencji o zakazie tortur w sposób oszczędny i spójny z systematyką Kodeksu. Obejmuje ono zarówno sprawcę działającego za przyzwoleniem władzy publicznej (co odpowiada wątpliwości podniesionej w pierwszej opinii Komisji), jak i funkcjonariusza, który wbrew obowiązkowi do takiego czynu dopuszcza. </w:t>
      </w:r>
    </w:p>
    <w:p w14:paraId="7E2C75B5" w14:textId="51BDF58D" w:rsidR="008E174B" w:rsidRPr="007C422C" w:rsidRDefault="00E2227D">
      <w:pPr>
        <w:spacing w:after="150" w:line="360" w:lineRule="auto"/>
        <w:ind w:firstLine="397"/>
        <w:jc w:val="both"/>
        <w:rPr>
          <w:b/>
          <w:bCs/>
        </w:rPr>
      </w:pPr>
      <w:r w:rsidRPr="007C422C">
        <w:rPr>
          <w:b/>
          <w:bCs/>
        </w:rPr>
        <w:t>Wariantowo – zwłaszcza gdyby sprawcą był sam funkcjonariusz – ten sam cel można osiągnąć przez wprowadzenie do art. 231 k.k. typu kwalifikowanego, polegającego na dopuszczeniu się czynu z art. 231 § 1–3 k.k. ze szczególnym okrucieństwem (szczególnym udręczeniem).</w:t>
      </w:r>
    </w:p>
    <w:p w14:paraId="0AACAF1F" w14:textId="77777777" w:rsidR="008E174B" w:rsidRDefault="00E2227D">
      <w:pPr>
        <w:spacing w:after="150" w:line="360" w:lineRule="auto"/>
        <w:ind w:firstLine="397"/>
        <w:jc w:val="both"/>
      </w:pPr>
      <w:r>
        <w:t>d) Utrzymać – lecz gruntownie przeredagować – typ wymuszonego zaginięcia, ujmując go jako przestępstwo urzędnicze według brzmienia zaproponowanego w pkt 19, z rozszerzeniem odpowiedzialności na osoby działające z upoważnienia lub za zgodą funkcjonariusza publicznego oraz z penalizacją zarówno uniemożliwienia, jak i utrudnienia objęcia ochroną prawną.</w:t>
      </w:r>
    </w:p>
    <w:p w14:paraId="1DC6F03C" w14:textId="77777777" w:rsidR="008E174B" w:rsidRDefault="00E2227D">
      <w:pPr>
        <w:spacing w:after="150" w:line="360" w:lineRule="auto"/>
        <w:ind w:firstLine="397"/>
        <w:jc w:val="both"/>
      </w:pPr>
      <w:r>
        <w:t>e) Usunąć z projektu powielające się klauzule „należytej kontroli” (art. 162a § 2, art. 189b § 3 k.k.) oraz typ nieumyślny (art. 189b § 4 k.k.); sytuacje te objęte są już ogólnymi regułami części ogólnej Kodeksu, w szczególności art. 18 § 3 i art. 21 § 2 k.k.</w:t>
      </w:r>
    </w:p>
    <w:p w14:paraId="73FAFB92" w14:textId="77777777" w:rsidR="008E174B" w:rsidRDefault="00E2227D">
      <w:pPr>
        <w:spacing w:after="150" w:line="360" w:lineRule="auto"/>
        <w:ind w:firstLine="397"/>
        <w:jc w:val="both"/>
      </w:pPr>
      <w:r>
        <w:lastRenderedPageBreak/>
        <w:t>f) Propozycję Ministerstwa Rozwoju i Technologii (penalizacja obrotu środkami służącymi do torturowania) Komisja ocenia jako komplementarną i niebudzącą zastrzeżeń kolizyjnych.</w:t>
      </w:r>
    </w:p>
    <w:p w14:paraId="7E91FEB4" w14:textId="77777777" w:rsidR="008E174B" w:rsidRDefault="00E2227D">
      <w:pPr>
        <w:spacing w:after="150" w:line="360" w:lineRule="auto"/>
        <w:ind w:firstLine="397"/>
        <w:jc w:val="both"/>
      </w:pPr>
      <w:r>
        <w:t xml:space="preserve">29. Reasumując, w obecnym kształcie propozycje projektu dotyczące tortur należy ocenić </w:t>
      </w:r>
      <w:r>
        <w:rPr>
          <w:b/>
          <w:bCs/>
        </w:rPr>
        <w:t>negatywnie</w:t>
      </w:r>
      <w:r>
        <w:t>, jako prowadzące do zawężenia kryminalizacji, kolizji z obowiązującymi typami oraz do mnożenia pojęć nieostrych; propozycję dotyczącą wymuszonego zaginięcia – jako słuszną co do idei, lecz wymagającą przeredagowania w kierunku wskazanym w niniejszej opinii. Realizacja zobowiązań wynikających z obu Konwencji jest osiągalna środkami mniej inwazyjnymi i spójnymi z dotychczasową systematyką Kodeksu karnego.</w:t>
      </w:r>
    </w:p>
    <w:p w14:paraId="41E54A88" w14:textId="77777777" w:rsidR="008E174B" w:rsidRDefault="00E2227D">
      <w:pPr>
        <w:spacing w:after="150" w:line="360" w:lineRule="auto"/>
        <w:ind w:firstLine="397"/>
        <w:jc w:val="both"/>
      </w:pPr>
      <w:r>
        <w:t>Na koniec Komisja zwraca uwagę na kwestię intertemporalną. Zastąpienie „szczególnego udręczenia” węższym pojęciem „tortur” w art. 105 pkt 2 k.k. zawęża krąg czynów wyłączonych spod przedawnienia, a zmiany znamion typów kwalifikowanych (art. 189 § 3, art. 252 § 2 k.k.) wpływają na zakres karalności. Wbrew założeniu uzasadnienia projekt nie jest zatem wolny od następstw międzyczasowych i wymagałby rozważenia reguł z art. 4 k.k. Okoliczność ta stanowi dodatkowy argument przeciwko wprowadzaniu ocenianych zmian w projektowanym kształcie.</w:t>
      </w:r>
    </w:p>
    <w:p w14:paraId="14692916" w14:textId="02D9C1B0" w:rsidR="008E174B" w:rsidRDefault="00E2227D">
      <w:pPr>
        <w:spacing w:before="340" w:line="300" w:lineRule="auto"/>
        <w:jc w:val="right"/>
      </w:pPr>
      <w:r>
        <w:rPr>
          <w:sz w:val="22"/>
          <w:szCs w:val="22"/>
        </w:rPr>
        <w:t xml:space="preserve">opr. </w:t>
      </w:r>
      <w:r w:rsidR="007C422C">
        <w:rPr>
          <w:sz w:val="22"/>
          <w:szCs w:val="22"/>
        </w:rPr>
        <w:t>Włodzimierz Wróbel</w:t>
      </w:r>
    </w:p>
    <w:sectPr w:rsidR="008E174B">
      <w:footerReference w:type="default" r:id="rId7"/>
      <w:pgSz w:w="11906" w:h="16838"/>
      <w:pgMar w:top="1418" w:right="1701"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6975C" w14:textId="77777777" w:rsidR="0047682A" w:rsidRDefault="0047682A">
      <w:r>
        <w:separator/>
      </w:r>
    </w:p>
  </w:endnote>
  <w:endnote w:type="continuationSeparator" w:id="0">
    <w:p w14:paraId="03814F22" w14:textId="77777777" w:rsidR="0047682A" w:rsidRDefault="00476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620058"/>
      <w:docPartObj>
        <w:docPartGallery w:val="Page Numbers (Bottom of Page)"/>
        <w:docPartUnique/>
      </w:docPartObj>
    </w:sdtPr>
    <w:sdtContent>
      <w:p w14:paraId="6125E50E" w14:textId="5356CA58" w:rsidR="007C422C" w:rsidRDefault="007C422C">
        <w:pPr>
          <w:pStyle w:val="Stopka"/>
          <w:jc w:val="right"/>
        </w:pPr>
        <w:r>
          <w:fldChar w:fldCharType="begin"/>
        </w:r>
        <w:r>
          <w:instrText>PAGE   \* MERGEFORMAT</w:instrText>
        </w:r>
        <w:r>
          <w:fldChar w:fldCharType="separate"/>
        </w:r>
        <w:r>
          <w:t>2</w:t>
        </w:r>
        <w:r>
          <w:fldChar w:fldCharType="end"/>
        </w:r>
      </w:p>
    </w:sdtContent>
  </w:sdt>
  <w:p w14:paraId="53DE148B" w14:textId="77777777" w:rsidR="007C422C" w:rsidRDefault="007C422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00656" w14:textId="77777777" w:rsidR="0047682A" w:rsidRDefault="0047682A">
      <w:r>
        <w:separator/>
      </w:r>
    </w:p>
  </w:footnote>
  <w:footnote w:type="continuationSeparator" w:id="0">
    <w:p w14:paraId="2F3698A1" w14:textId="77777777" w:rsidR="0047682A" w:rsidRDefault="0047682A">
      <w:r>
        <w:continuationSeparator/>
      </w:r>
    </w:p>
  </w:footnote>
  <w:footnote w:id="1">
    <w:p w14:paraId="1F56DC1B" w14:textId="77777777" w:rsidR="008E174B" w:rsidRDefault="00E2227D">
      <w:pPr>
        <w:pStyle w:val="Tekstprzypisudolnego"/>
      </w:pPr>
      <w:r>
        <w:rPr>
          <w:rStyle w:val="Odwoanieprzypisudolnego"/>
        </w:rPr>
        <w:footnoteRef/>
      </w:r>
      <w:r>
        <w:t xml:space="preserve"> Opinia Komisji Kodyfikacyjnej Prawa Karnego w sprawie postulatu pełnej kryminalizacji i osobnej typizacji czynów polegających na stosowaniu tortur (projekt opinii przygotował prof. dr hab. Jarosław Majewski). Postulat ten zgłaszał systematycznie Rzecznik Praw Obywatelskich (m.in. pismo do Ministra Sprawiedliwości z 20.06.2024 r., znak KMP.570.3.2018.JJ).</w:t>
      </w:r>
    </w:p>
  </w:footnote>
  <w:footnote w:id="2">
    <w:p w14:paraId="6246AD88" w14:textId="77777777" w:rsidR="008E174B" w:rsidRDefault="00E2227D">
      <w:pPr>
        <w:pStyle w:val="Tekstprzypisudolnego"/>
      </w:pPr>
      <w:r>
        <w:rPr>
          <w:rStyle w:val="Odwoanieprzypisudolnego"/>
        </w:rPr>
        <w:footnoteRef/>
      </w:r>
      <w:r>
        <w:t xml:space="preserve"> Art. 1 ust. 1 CAT (Dz.U. z 1989 r. Nr 63, poz. 378); art. 40 Konstytucji RP. Doktryna wyodrębnia cztery elementy konstytutywne: znaczny (ostry) ból/cierpienie, umyślność, cel oraz kwalifikowany podmiot (nexus państwowy) – zob. </w:t>
      </w:r>
      <w:r w:rsidRPr="007C422C">
        <w:rPr>
          <w:lang w:val="en-US"/>
        </w:rPr>
        <w:t xml:space="preserve">M. Nowak, E. McArthur, The United Nations Convention Against Torture. </w:t>
      </w:r>
      <w:r>
        <w:t>A Commentary, Oxford 2008, s. 75; M. Czechowska, Czy aktualnie obowiązujące przepisy kodeksu karnego chronią przed stosowaniem tortur?, Państwo i Prawo 2022, nr 2, s. 141–155.</w:t>
      </w:r>
    </w:p>
  </w:footnote>
  <w:footnote w:id="3">
    <w:p w14:paraId="4C7C1D50" w14:textId="77777777" w:rsidR="008E174B" w:rsidRDefault="00E2227D">
      <w:pPr>
        <w:pStyle w:val="Tekstprzypisudolnego"/>
      </w:pPr>
      <w:r>
        <w:rPr>
          <w:rStyle w:val="Odwoanieprzypisudolnego"/>
        </w:rPr>
        <w:footnoteRef/>
      </w:r>
      <w:r w:rsidRPr="007C422C">
        <w:rPr>
          <w:lang w:val="en-US"/>
        </w:rPr>
        <w:t xml:space="preserve"> Zob. B. Kuschnik, Der Gesamttatbestand des Verbrechens gegen die Menschlichkeit, Duncker &amp; Humblot, Berlin 2009 (rozdz. 5 – „Verbrechen gegen die Freiheit”); G. Werle, F. Jeßberger, Völkerstrafrecht, 5. Aufl., Mohr Siebeck, Tübingen 2020; K. Ambos, Treatise on International Criminal Law, t. II; G. Mettraux, Crimes against Humanity. </w:t>
      </w:r>
      <w:r>
        <w:t>Definicję z art. 1 CAT jako jedyną wiążącą definicję traktatową analizują M. Nowak, E. McArthur, op. cit.</w:t>
      </w:r>
    </w:p>
  </w:footnote>
  <w:footnote w:id="4">
    <w:p w14:paraId="737C021B" w14:textId="77777777" w:rsidR="008E174B" w:rsidRDefault="00E2227D">
      <w:pPr>
        <w:pStyle w:val="Tekstprzypisudolnego"/>
      </w:pPr>
      <w:r>
        <w:rPr>
          <w:rStyle w:val="Odwoanieprzypisudolnego"/>
        </w:rPr>
        <w:footnoteRef/>
      </w:r>
      <w:r>
        <w:t xml:space="preserve"> Zob. definicje słownikowe: Słownik języka polskiego PWN (hasła „ból”, „cierpienie”, „tortury”) oraz Wielki słownik języka polskiego PAN (hasło „udręczyć”). „Cierpienie” bywa glosowane jako „wielki ból fizyczny lub psychiczny”, co dodatkowo czyni zwrot „znaczne cierpienie” po części nadmiarowym (znaczny wielki-ból).</w:t>
      </w:r>
    </w:p>
  </w:footnote>
  <w:footnote w:id="5">
    <w:p w14:paraId="7769C15D" w14:textId="77777777" w:rsidR="008E174B" w:rsidRDefault="00E2227D">
      <w:pPr>
        <w:pStyle w:val="Tekstprzypisudolnego"/>
      </w:pPr>
      <w:r>
        <w:rPr>
          <w:rStyle w:val="Odwoanieprzypisudolnego"/>
        </w:rPr>
        <w:footnoteRef/>
      </w:r>
      <w:r>
        <w:t xml:space="preserve"> Zob. M. Królikowski, R. Zawłocki (red.), Kodeks karny. Część szczególna. Komentarz do artykułów 117–221, Legalis 2023, art. 189, tezy 22 i 32 i powołane tam orzecznictwo; A. Wąsek (red.), Kodeks karny. Część szczególna. Komentarz, t. II, Warszawa 2010, uwagi do art. 189 (pozbawienie wolności jako przestępstwo trwałe); M. Mozgawa (red.), Prawnokarne aspekty wolności, Kraków 2006.</w:t>
      </w:r>
    </w:p>
  </w:footnote>
  <w:footnote w:id="6">
    <w:p w14:paraId="2F2BFADB" w14:textId="77777777" w:rsidR="008E174B" w:rsidRDefault="00E2227D">
      <w:pPr>
        <w:pStyle w:val="Tekstprzypisudolnego"/>
      </w:pPr>
      <w:r>
        <w:rPr>
          <w:rStyle w:val="Odwoanieprzypisudolnego"/>
        </w:rPr>
        <w:footnoteRef/>
      </w:r>
      <w:r>
        <w:t xml:space="preserve"> Szczególne okrucieństwo ujmuje się w orzecznictwie jako zadanie cierpień „ponad potrzebę i ponad wszelkie dające się zrozumieć odruchy”, wiązane z rodzajem i sposobem działania, nie zaś ze skutkiem – zob. wyrok SA w Krakowie z 12.09.2002 r., II AKa 220/02; wyrok SA w Katowicach z 11.07.2002 r., II AKa 215/02; wcześniej wyrok SN z 28.05.1979 r., II KR 125/79; M. Mozgawa [w:] Kodeks karny. Komentarz aktualizowany, LEX/el. 2025, art. 207.</w:t>
      </w:r>
    </w:p>
  </w:footnote>
  <w:footnote w:id="7">
    <w:p w14:paraId="454376F4" w14:textId="77777777" w:rsidR="008E174B" w:rsidRDefault="00E2227D">
      <w:pPr>
        <w:pStyle w:val="Tekstprzypisudolnego"/>
      </w:pPr>
      <w:r>
        <w:rPr>
          <w:rStyle w:val="Odwoanieprzypisudolnego"/>
        </w:rPr>
        <w:footnoteRef/>
      </w:r>
      <w:r>
        <w:t xml:space="preserve"> Post. SN z 11.06.2002 r., II KKN 258/00, OSNKW 2002, nr 9–10, poz. 70; wyr. SA w Białymstoku z 20.10.2003 r., II AKa 131/03, OSA 2004, nr 8, poz. 60, oraz z 15.01.2014 r., II AKa 202/13; A. Wąsek (red.), Kodeks karny. Część szczególna. Komentarz, t. II, Warszawa 2010, uwagi do art. 189; A. Grześkowiak, K. Wiak (red.), Kodeks karny. Komentarz, Warszawa 2015. Zob. też Z. Niemczyk, Przestępstwo brania i przetrzymywania zakładnika…, Kwartalnik KSSiP 2015, nr 2, s. 5–20.</w:t>
      </w:r>
    </w:p>
  </w:footnote>
  <w:footnote w:id="8">
    <w:p w14:paraId="48374ED9" w14:textId="77777777" w:rsidR="008E174B" w:rsidRDefault="00E2227D">
      <w:pPr>
        <w:pStyle w:val="Tekstprzypisudolnego"/>
      </w:pPr>
      <w:r>
        <w:rPr>
          <w:rStyle w:val="Odwoanieprzypisudolnego"/>
        </w:rPr>
        <w:footnoteRef/>
      </w:r>
      <w:r>
        <w:t xml:space="preserve"> System Prawa Karnego, t. 10 (red. J. Warylewski), Warszawa 2016 (V. Konarska-Wrzosek, M. Szewczyk); J. Giezek (red.), Kodeks karny. Część szczególna. Komentarz (uwagi do art. 148, z powołaniem wyr. SA w Lublinie – „torturowanie, maltretowanie, męczenie”); R.A. Stefański, Kodeks karny. Komentarz, Warszawa 2015; J. Warylewski, Przestępstwa przeciwko wolności seksualnej i obyczajności. Rozdział XXV. Komentarz, Warszawa 2001; monograficznie A. Staszak, Przemoc, szczególne udręczenie i szczególne okrucieństwo jako znamię czynu zabronionego, Prokuratura i Prawo 2008; P. Jastrzębski, Przestępstwa ze szczególnym okrucieństwem, Warszawa 2009.</w:t>
      </w:r>
    </w:p>
  </w:footnote>
  <w:footnote w:id="9">
    <w:p w14:paraId="0CD8BD5E" w14:textId="77777777" w:rsidR="008E174B" w:rsidRDefault="00E2227D">
      <w:pPr>
        <w:pStyle w:val="Tekstprzypisudolnego"/>
      </w:pPr>
      <w:r>
        <w:rPr>
          <w:rStyle w:val="Odwoanieprzypisudolnego"/>
        </w:rPr>
        <w:footnoteRef/>
      </w:r>
      <w:r>
        <w:t xml:space="preserve"> Tak wprost m.in. J. Giezek (red.), op. cit. (art. 148); R.A. Stefański, op. cit.; M. Jachimowicz, Przestępstwo znęcania się (szczególne okrucieństwo „na biciu, torturowaniu, znieważaniu…”). Relację zakresową obu znamion („szczególne udręczenie” a „szczególne okrucieństwo”) analizuje J. Jurewicz, Handel ludźmi w polskim prawie karnym i prawie ponadnarodowym, Łódź 2011.</w:t>
      </w:r>
    </w:p>
  </w:footnote>
  <w:footnote w:id="10">
    <w:p w14:paraId="71E56D27" w14:textId="77777777" w:rsidR="008E174B" w:rsidRDefault="00E2227D">
      <w:pPr>
        <w:pStyle w:val="Tekstprzypisudolnego"/>
      </w:pPr>
      <w:r>
        <w:rPr>
          <w:rStyle w:val="Odwoanieprzypisudolnego"/>
        </w:rPr>
        <w:footnoteRef/>
      </w:r>
      <w:r>
        <w:t xml:space="preserve"> Odmiennie niż CAT, definicja tortur jako zbrodni przeciwko ludzkości (art. 7 ust. 2 lit. e Rzymskiego Statutu MTK) nie wymaga nexusu państwowego; w prawie karnym międzynarodowym element sprawstwa publicznego nie jest znamieniem tortur (por. orzecznictwo MTKJ w sprawie Kunarac). Nie zmienia to jednak oceny, że w krajowym prawie represyjnym powszechny typ tortur wchodzi w kolizję z istniejącą siatką typów.</w:t>
      </w:r>
    </w:p>
  </w:footnote>
  <w:footnote w:id="11">
    <w:p w14:paraId="09995F3E" w14:textId="77777777" w:rsidR="008E174B" w:rsidRDefault="00E2227D">
      <w:pPr>
        <w:pStyle w:val="Tekstprzypisudolnego"/>
      </w:pPr>
      <w:r>
        <w:rPr>
          <w:rStyle w:val="Odwoanieprzypisudolnego"/>
        </w:rPr>
        <w:footnoteRef/>
      </w:r>
      <w:r>
        <w:t xml:space="preserve"> Zob. M. Czechowska, op. cit., s. 150 i n.; uwagi Komitetu Przeciwko Torturom oraz Rzecznika Praw Obywatelskich. Wcześniejsza opinia Komisji także wskazywała jako obszar wątpliwy tortury popełniane przez osobę niebędącą funkcjonariuszem, występującą w charakterze urzędowym albo działającą na polecenie lub za zgodą funkcjonariusza.</w:t>
      </w:r>
    </w:p>
  </w:footnote>
  <w:footnote w:id="12">
    <w:p w14:paraId="5BE77A8E" w14:textId="77777777" w:rsidR="008E174B" w:rsidRDefault="00E2227D">
      <w:pPr>
        <w:pStyle w:val="Tekstprzypisudolnego"/>
      </w:pPr>
      <w:r>
        <w:rPr>
          <w:rStyle w:val="Odwoanieprzypisudolnego"/>
        </w:rPr>
        <w:footnoteRef/>
      </w:r>
      <w:r>
        <w:t xml:space="preserve"> Ogólny charakter tej podstawy sprawia, że odrębne „klauzule dowódcze” są w prawie krajowym potrzebne jedynie tam, gdzie ustawodawca świadomie modyfikuje reguły ogólne (jak w art. 126b k.k. wobec zbrodni międzynarodowych). Poza tym zakresem powielają one art. 18 § 3 k.k.</w:t>
      </w:r>
    </w:p>
  </w:footnote>
  <w:footnote w:id="13">
    <w:p w14:paraId="1D1231A9" w14:textId="77777777" w:rsidR="007C422C" w:rsidRDefault="007C422C" w:rsidP="007C422C">
      <w:pPr>
        <w:pStyle w:val="Tekstprzypisudolnego"/>
      </w:pPr>
      <w:r>
        <w:rPr>
          <w:rStyle w:val="Odwoanieprzypisudolnego"/>
        </w:rPr>
        <w:footnoteRef/>
      </w:r>
      <w:r>
        <w:t xml:space="preserve"> Trzy kumulatywne elementy: zob. materiały Komitetu ds. Wymuszonych Zaginięć (CED) oraz Grupy Roboczej ONZ ds. </w:t>
      </w:r>
      <w:r w:rsidRPr="007C422C">
        <w:rPr>
          <w:lang w:val="en-US"/>
        </w:rPr>
        <w:t xml:space="preserve">Wymuszonych lub Przymusowych Zaginięć (WGEID); w doktrynie referuje je m.in. „Enforced disappearances in international human rights law”, Journal of Disappearance Studies 2025, vol. 1(1). </w:t>
      </w:r>
      <w:r>
        <w:t>W piśmiennictwie sporne jest, czy „pozostawanie poza ochroną prawa” jest odrębnym elementem konstytutywnym, czy tylko skutkiem trzech pozostałych.</w:t>
      </w:r>
    </w:p>
  </w:footnote>
  <w:footnote w:id="14">
    <w:p w14:paraId="71CA3078" w14:textId="77777777" w:rsidR="007C422C" w:rsidRDefault="007C422C" w:rsidP="007C422C">
      <w:pPr>
        <w:pStyle w:val="Tekstprzypisudolnego"/>
      </w:pPr>
      <w:r>
        <w:rPr>
          <w:rStyle w:val="Odwoanieprzypisudolnego"/>
        </w:rPr>
        <w:footnoteRef/>
      </w:r>
      <w:r>
        <w:t xml:space="preserve"> Art. 17, 18 i 22 ICPPED. Art. 22 mówi o „sankcjach” (sanctions), co obejmuje także odpowiedzialność dyscyplinarną/administracyjną; kryminalizację jako taką nakazuje art. 4 wobec zaginięcia z art. 2.</w:t>
      </w:r>
    </w:p>
  </w:footnote>
  <w:footnote w:id="15">
    <w:p w14:paraId="74B256AA" w14:textId="77777777" w:rsidR="007C422C" w:rsidRPr="006E08A6" w:rsidRDefault="007C422C" w:rsidP="007C422C">
      <w:pPr>
        <w:pStyle w:val="Tekstprzypisudolnego"/>
        <w:rPr>
          <w:lang w:val="en-US"/>
        </w:rPr>
      </w:pPr>
      <w:r>
        <w:rPr>
          <w:rStyle w:val="Odwoanieprzypisudolnego"/>
        </w:rPr>
        <w:footnoteRef/>
      </w:r>
      <w:r w:rsidRPr="006E08A6">
        <w:rPr>
          <w:lang w:val="en-US"/>
        </w:rPr>
        <w:t xml:space="preserve"> Committee on Enforced Disappearances, General Comment No. 1 (2023) on enforced disappearance in the context of migration, CED/C/GC/1, przyjęty 18 września 2023 r. Zob. też stanowiska WGEID dot. push-backów i pozbawienia wolności migrantów bez gwarancji proceduralnych.</w:t>
      </w:r>
    </w:p>
  </w:footnote>
  <w:footnote w:id="16">
    <w:p w14:paraId="35D7CF2A" w14:textId="77777777" w:rsidR="008E174B" w:rsidRDefault="00E2227D">
      <w:pPr>
        <w:pStyle w:val="Tekstprzypisudolnego"/>
      </w:pPr>
      <w:r>
        <w:rPr>
          <w:rStyle w:val="Odwoanieprzypisudolnego"/>
        </w:rPr>
        <w:footnoteRef/>
      </w:r>
      <w:r>
        <w:t xml:space="preserve"> Push-backi w wariancie z ujęciem i wypchnięciem bez rejestracji realizują elementy art. 2 Konwencji; potwierdza to Komentarz Ogólny nr 1 (2023) CED. Zagadnienie jest przedmiotem zawisłej przed Wielką Izbą ETPC sprawy R.A. i Inni p. Polsce (skarga nr 42120/21; przekazanie WI 25.06.2024 r., rozprawa 12.02.2025 r., wyrok dotąd niewydany). Linia „terespolska” (odmowa wpuszczenia, bez detencji) była rozstrzygana pod kątem art. 4 Protokołu nr 4 i art. 3 EKPC – M.K. i Inni p. Polsce (40503/17 i in., 23.07.2020), T.Z. i Inni p. Polsce (41764/17, 13.10.2022). Silną analogią tajnej detencji (art. 17 Konwencji) są Al Nashiri p. Polsce (28761/11) i Husayn (Abu Zubaydah) p. Polsce (7511/13), 24.07.2014.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582B3C"/>
    <w:multiLevelType w:val="hybridMultilevel"/>
    <w:tmpl w:val="DA30E43A"/>
    <w:lvl w:ilvl="0" w:tplc="29C608FE">
      <w:start w:val="1"/>
      <w:numFmt w:val="bullet"/>
      <w:lvlText w:val="●"/>
      <w:lvlJc w:val="left"/>
      <w:pPr>
        <w:ind w:left="720" w:hanging="360"/>
      </w:pPr>
    </w:lvl>
    <w:lvl w:ilvl="1" w:tplc="784C6162">
      <w:start w:val="1"/>
      <w:numFmt w:val="bullet"/>
      <w:lvlText w:val="○"/>
      <w:lvlJc w:val="left"/>
      <w:pPr>
        <w:ind w:left="1440" w:hanging="360"/>
      </w:pPr>
    </w:lvl>
    <w:lvl w:ilvl="2" w:tplc="7314384E">
      <w:start w:val="1"/>
      <w:numFmt w:val="bullet"/>
      <w:lvlText w:val="■"/>
      <w:lvlJc w:val="left"/>
      <w:pPr>
        <w:ind w:left="2160" w:hanging="360"/>
      </w:pPr>
    </w:lvl>
    <w:lvl w:ilvl="3" w:tplc="7F9E57DA">
      <w:start w:val="1"/>
      <w:numFmt w:val="bullet"/>
      <w:lvlText w:val="●"/>
      <w:lvlJc w:val="left"/>
      <w:pPr>
        <w:ind w:left="2880" w:hanging="360"/>
      </w:pPr>
    </w:lvl>
    <w:lvl w:ilvl="4" w:tplc="D6BA3694">
      <w:start w:val="1"/>
      <w:numFmt w:val="bullet"/>
      <w:lvlText w:val="○"/>
      <w:lvlJc w:val="left"/>
      <w:pPr>
        <w:ind w:left="3600" w:hanging="360"/>
      </w:pPr>
    </w:lvl>
    <w:lvl w:ilvl="5" w:tplc="5790A570">
      <w:start w:val="1"/>
      <w:numFmt w:val="bullet"/>
      <w:lvlText w:val="■"/>
      <w:lvlJc w:val="left"/>
      <w:pPr>
        <w:ind w:left="4320" w:hanging="360"/>
      </w:pPr>
    </w:lvl>
    <w:lvl w:ilvl="6" w:tplc="6152021C">
      <w:start w:val="1"/>
      <w:numFmt w:val="bullet"/>
      <w:lvlText w:val="●"/>
      <w:lvlJc w:val="left"/>
      <w:pPr>
        <w:ind w:left="5040" w:hanging="360"/>
      </w:pPr>
    </w:lvl>
    <w:lvl w:ilvl="7" w:tplc="405445A2">
      <w:start w:val="1"/>
      <w:numFmt w:val="bullet"/>
      <w:lvlText w:val="●"/>
      <w:lvlJc w:val="left"/>
      <w:pPr>
        <w:ind w:left="5760" w:hanging="360"/>
      </w:pPr>
    </w:lvl>
    <w:lvl w:ilvl="8" w:tplc="C1D468D2">
      <w:start w:val="1"/>
      <w:numFmt w:val="bullet"/>
      <w:lvlText w:val="●"/>
      <w:lvlJc w:val="left"/>
      <w:pPr>
        <w:ind w:left="6480" w:hanging="360"/>
      </w:pPr>
    </w:lvl>
  </w:abstractNum>
  <w:num w:numId="1" w16cid:durableId="16051904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74B"/>
    <w:rsid w:val="003E45E4"/>
    <w:rsid w:val="0047682A"/>
    <w:rsid w:val="00690B7E"/>
    <w:rsid w:val="007C422C"/>
    <w:rsid w:val="008518E1"/>
    <w:rsid w:val="00856554"/>
    <w:rsid w:val="008E174B"/>
    <w:rsid w:val="00B129D7"/>
    <w:rsid w:val="00BB3003"/>
    <w:rsid w:val="00BF4414"/>
    <w:rsid w:val="00C34B40"/>
    <w:rsid w:val="00D877F9"/>
    <w:rsid w:val="00DF7F63"/>
    <w:rsid w:val="00E2227D"/>
    <w:rsid w:val="00FB1F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8AB05"/>
  <w15:docId w15:val="{40F6FF32-649B-4CB2-9C31-80065F3E8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pPr>
      <w:jc w:val="both"/>
    </w:pPr>
    <w:rPr>
      <w:sz w:val="18"/>
      <w:szCs w:val="18"/>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paragraph" w:styleId="Nagwek">
    <w:name w:val="header"/>
    <w:basedOn w:val="Normalny"/>
    <w:link w:val="NagwekZnak"/>
    <w:uiPriority w:val="99"/>
    <w:unhideWhenUsed/>
    <w:rsid w:val="007C422C"/>
    <w:pPr>
      <w:tabs>
        <w:tab w:val="center" w:pos="4536"/>
        <w:tab w:val="right" w:pos="9072"/>
      </w:tabs>
    </w:pPr>
  </w:style>
  <w:style w:type="character" w:customStyle="1" w:styleId="NagwekZnak">
    <w:name w:val="Nagłówek Znak"/>
    <w:basedOn w:val="Domylnaczcionkaakapitu"/>
    <w:link w:val="Nagwek"/>
    <w:uiPriority w:val="99"/>
    <w:rsid w:val="007C422C"/>
  </w:style>
  <w:style w:type="paragraph" w:styleId="Stopka">
    <w:name w:val="footer"/>
    <w:basedOn w:val="Normalny"/>
    <w:link w:val="StopkaZnak"/>
    <w:uiPriority w:val="99"/>
    <w:unhideWhenUsed/>
    <w:rsid w:val="007C422C"/>
    <w:pPr>
      <w:tabs>
        <w:tab w:val="center" w:pos="4536"/>
        <w:tab w:val="right" w:pos="9072"/>
      </w:tabs>
    </w:pPr>
  </w:style>
  <w:style w:type="character" w:customStyle="1" w:styleId="StopkaZnak">
    <w:name w:val="Stopka Znak"/>
    <w:basedOn w:val="Domylnaczcionkaakapitu"/>
    <w:link w:val="Stopka"/>
    <w:uiPriority w:val="99"/>
    <w:rsid w:val="007C4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5991</Words>
  <Characters>35951</Characters>
  <Application>Microsoft Office Word</Application>
  <DocSecurity>0</DocSecurity>
  <Lines>299</Lines>
  <Paragraphs>83</Paragraphs>
  <ScaleCrop>false</ScaleCrop>
  <HeadingPairs>
    <vt:vector size="2" baseType="variant">
      <vt:variant>
        <vt:lpstr>Tytuł</vt:lpstr>
      </vt:variant>
      <vt:variant>
        <vt:i4>1</vt:i4>
      </vt:variant>
    </vt:vector>
  </HeadingPairs>
  <TitlesOfParts>
    <vt:vector size="1" baseType="lpstr">
      <vt:lpstr>Opinia KKPK (rozszerzona) – projekt zmian k.k. (tortury, wymuszone zaginięcie)</vt:lpstr>
    </vt:vector>
  </TitlesOfParts>
  <Company/>
  <LinksUpToDate>false</LinksUpToDate>
  <CharactersWithSpaces>41859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Opinia KKPK (rozszerzona) – projekt zmian k.k. (tortury, wymuszone zaginięcie)</dc:title>
  <dc:creator>Komisja Kodyfikacyjna Prawa Karnego</dc:creator>
  <cp:lastModifiedBy>Wiraszka-Bereza Beata  (DPK)</cp:lastModifiedBy>
  <cp:revision>2</cp:revision>
  <dcterms:created xsi:type="dcterms:W3CDTF">2026-09-25T12:45:00Z</dcterms:created>
  <dcterms:modified xsi:type="dcterms:W3CDTF">2026-09-25T12:45:00Z</dcterms:modified>
</cp:coreProperties>
</file>