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64" w:rsidRPr="002131BA" w:rsidRDefault="00145E2D" w:rsidP="002131BA">
      <w:pPr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  <w:r w:rsidR="002131BA" w:rsidRPr="002131BA">
        <w:rPr>
          <w:rFonts w:ascii="Arial" w:hAnsi="Arial" w:cs="Arial"/>
          <w:sz w:val="20"/>
          <w:szCs w:val="20"/>
        </w:rPr>
        <w:tab/>
      </w:r>
    </w:p>
    <w:p w:rsidR="00F63864" w:rsidRPr="002131BA" w:rsidRDefault="00145E2D">
      <w:pPr>
        <w:rPr>
          <w:rFonts w:ascii="Arial" w:hAnsi="Arial" w:cs="Arial"/>
          <w:sz w:val="20"/>
          <w:szCs w:val="20"/>
        </w:rPr>
      </w:pP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Europ^enne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Mediterraneenne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Plantes</w:t>
      </w:r>
      <w:proofErr w:type="spellEnd"/>
    </w:p>
    <w:p w:rsidR="008875B1" w:rsidRDefault="008875B1">
      <w:pPr>
        <w:rPr>
          <w:rFonts w:ascii="Arial" w:hAnsi="Arial" w:cs="Arial"/>
          <w:sz w:val="20"/>
          <w:szCs w:val="20"/>
        </w:rPr>
      </w:pPr>
      <w:bookmarkStart w:id="0" w:name="bookmark0"/>
    </w:p>
    <w:p w:rsidR="008875B1" w:rsidRDefault="00145E2D">
      <w:pPr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PM 9/10 (1)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8875B1" w:rsidRDefault="00145E2D">
      <w:pPr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</w:p>
    <w:bookmarkEnd w:id="0"/>
    <w:p w:rsidR="00F63864" w:rsidRPr="002131BA" w:rsidRDefault="00145E2D">
      <w:pPr>
        <w:rPr>
          <w:rFonts w:ascii="Arial" w:hAnsi="Arial" w:cs="Arial"/>
          <w:sz w:val="20"/>
          <w:szCs w:val="20"/>
        </w:rPr>
      </w:pP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8875B1" w:rsidRDefault="008875B1">
      <w:pPr>
        <w:outlineLvl w:val="0"/>
        <w:rPr>
          <w:rFonts w:ascii="Arial" w:hAnsi="Arial" w:cs="Arial"/>
          <w:sz w:val="20"/>
          <w:szCs w:val="20"/>
        </w:rPr>
      </w:pPr>
      <w:bookmarkStart w:id="1" w:name="bookmark1"/>
    </w:p>
    <w:bookmarkEnd w:id="1"/>
    <w:p w:rsidR="00F63864" w:rsidRPr="008875B1" w:rsidRDefault="00145E2D">
      <w:pPr>
        <w:outlineLvl w:val="0"/>
        <w:rPr>
          <w:rFonts w:ascii="Arial" w:hAnsi="Arial" w:cs="Arial"/>
          <w:b/>
          <w:sz w:val="28"/>
          <w:szCs w:val="28"/>
        </w:rPr>
      </w:pPr>
      <w:r w:rsidRPr="00F343AE">
        <w:rPr>
          <w:rFonts w:ascii="Arial" w:hAnsi="Arial" w:cs="Arial"/>
          <w:b/>
          <w:sz w:val="28"/>
          <w:szCs w:val="28"/>
          <w:lang w:val="pl-PL"/>
        </w:rPr>
        <w:t>Elementy wspólne planów awaryjnych</w:t>
      </w:r>
    </w:p>
    <w:p w:rsidR="008875B1" w:rsidRDefault="008875B1">
      <w:pPr>
        <w:outlineLvl w:val="1"/>
        <w:rPr>
          <w:rFonts w:ascii="Arial" w:hAnsi="Arial" w:cs="Arial"/>
          <w:sz w:val="20"/>
          <w:szCs w:val="20"/>
        </w:rPr>
      </w:pPr>
      <w:bookmarkStart w:id="2" w:name="bookmark2"/>
    </w:p>
    <w:bookmarkEnd w:id="2"/>
    <w:p w:rsidR="00F63864" w:rsidRPr="008875B1" w:rsidRDefault="00145E2D">
      <w:pPr>
        <w:outlineLvl w:val="1"/>
        <w:rPr>
          <w:rFonts w:ascii="Arial" w:hAnsi="Arial" w:cs="Arial"/>
          <w:b/>
          <w:sz w:val="20"/>
          <w:szCs w:val="20"/>
        </w:rPr>
      </w:pPr>
      <w:r w:rsidRPr="00F343AE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F63864" w:rsidRDefault="00145E2D">
      <w:pPr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Niniejszy standard opisuje najważniejsze elementy wspólne działań doraźnych podejmowanych w przypadku wystąpienia ogniska agrofaga lub podejrzenia wystąpienia takiego ogniska.</w:t>
      </w:r>
    </w:p>
    <w:p w:rsidR="008875B1" w:rsidRPr="002131BA" w:rsidRDefault="008875B1">
      <w:pPr>
        <w:rPr>
          <w:rFonts w:ascii="Arial" w:hAnsi="Arial" w:cs="Arial"/>
          <w:sz w:val="20"/>
          <w:szCs w:val="20"/>
        </w:rPr>
      </w:pPr>
    </w:p>
    <w:p w:rsidR="008875B1" w:rsidRPr="008875B1" w:rsidRDefault="00145E2D" w:rsidP="008875B1">
      <w:pPr>
        <w:rPr>
          <w:rFonts w:ascii="Arial" w:hAnsi="Arial" w:cs="Arial"/>
          <w:b/>
          <w:sz w:val="20"/>
          <w:szCs w:val="20"/>
        </w:rPr>
      </w:pPr>
      <w:bookmarkStart w:id="3" w:name="bookmark3"/>
      <w:r w:rsidRPr="00F343AE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8875B1" w:rsidRPr="002131BA" w:rsidRDefault="00145E2D" w:rsidP="008875B1">
      <w:pPr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Po raz pierwszy zatwierdzono 2009-09.</w:t>
      </w:r>
    </w:p>
    <w:p w:rsidR="008875B1" w:rsidRDefault="008875B1">
      <w:pPr>
        <w:outlineLvl w:val="1"/>
        <w:rPr>
          <w:rFonts w:ascii="Arial" w:hAnsi="Arial" w:cs="Arial"/>
          <w:sz w:val="20"/>
          <w:szCs w:val="20"/>
        </w:rPr>
      </w:pPr>
    </w:p>
    <w:bookmarkEnd w:id="3"/>
    <w:p w:rsidR="00F63864" w:rsidRPr="008875B1" w:rsidRDefault="00145E2D">
      <w:pPr>
        <w:outlineLvl w:val="1"/>
        <w:rPr>
          <w:rFonts w:ascii="Arial" w:hAnsi="Arial" w:cs="Arial"/>
          <w:b/>
          <w:sz w:val="20"/>
          <w:szCs w:val="20"/>
        </w:rPr>
      </w:pPr>
      <w:r w:rsidRPr="00F343AE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F63864" w:rsidRPr="002131BA" w:rsidRDefault="00145E2D">
      <w:pPr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 xml:space="preserve">Niniejszy standard może być stosowany przez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podczas tworzenia ogólnego planu awaryjnego na wypadek wystąpienia potencjalnie groźnych ognisk agrofagów.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F343AE">
        <w:rPr>
          <w:rFonts w:ascii="Arial" w:hAnsi="Arial" w:cs="Arial"/>
          <w:sz w:val="20"/>
          <w:szCs w:val="20"/>
          <w:lang w:val="pl-PL"/>
        </w:rPr>
        <w:t xml:space="preserve">Można również wykorzystać go do opracowania planu awaryjnego dla konkretnego agrofaga w celu jego wytępienia na danym obszarze, a w szczególności dla agrofagów, które mogą zostać łatwo zawleczone i dla których plan wytępienia jest niezbędny (zgodnie z zaleceniami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nr 9 </w:t>
      </w:r>
      <w:r w:rsidRPr="00F343AE">
        <w:rPr>
          <w:rFonts w:ascii="Arial" w:hAnsi="Arial" w:cs="Arial"/>
          <w:i/>
          <w:sz w:val="20"/>
          <w:szCs w:val="20"/>
          <w:lang w:val="pl-PL"/>
        </w:rPr>
        <w:t>Wytyczne w sprawie tępienia</w:t>
      </w:r>
      <w:r w:rsidRPr="00F343AE">
        <w:rPr>
          <w:rFonts w:ascii="Arial" w:hAnsi="Arial" w:cs="Arial"/>
          <w:sz w:val="20"/>
          <w:szCs w:val="20"/>
          <w:lang w:val="pl-PL"/>
        </w:rPr>
        <w:t xml:space="preserve">, rozdział 1.2,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IPPC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>, 1998).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1402A4" w:rsidRPr="00F343AE">
        <w:rPr>
          <w:rFonts w:ascii="Arial" w:hAnsi="Arial" w:cs="Arial"/>
          <w:sz w:val="20"/>
          <w:szCs w:val="20"/>
          <w:lang w:val="pl-PL"/>
        </w:rPr>
        <w:t xml:space="preserve">Standardy </w:t>
      </w:r>
      <w:proofErr w:type="spellStart"/>
      <w:r w:rsidR="001402A4" w:rsidRPr="00F343A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1402A4" w:rsidRPr="00F343AE">
        <w:rPr>
          <w:rFonts w:ascii="Arial" w:hAnsi="Arial" w:cs="Arial"/>
          <w:sz w:val="20"/>
          <w:szCs w:val="20"/>
          <w:lang w:val="pl-PL"/>
        </w:rPr>
        <w:t xml:space="preserve"> serii PM 9 (krajowe ustawowe systemy zwalczania) zawierają wytyczne w sprawie urzędowego nadzoru nad szeregiem organizmów i maj</w:t>
      </w:r>
      <w:r w:rsidR="00F343AE" w:rsidRPr="00F343AE">
        <w:rPr>
          <w:rFonts w:ascii="Arial" w:hAnsi="Arial" w:cs="Arial"/>
          <w:sz w:val="20"/>
          <w:szCs w:val="20"/>
          <w:lang w:val="pl-PL"/>
        </w:rPr>
        <w:t>ą na celu ułatwienie opracowania</w:t>
      </w:r>
      <w:r w:rsidR="001402A4" w:rsidRPr="00F343AE">
        <w:rPr>
          <w:rFonts w:ascii="Arial" w:hAnsi="Arial" w:cs="Arial"/>
          <w:sz w:val="20"/>
          <w:szCs w:val="20"/>
          <w:lang w:val="pl-PL"/>
        </w:rPr>
        <w:t xml:space="preserve"> planów awaryjnych dla tych organizmów.</w:t>
      </w:r>
    </w:p>
    <w:p w:rsidR="008875B1" w:rsidRDefault="008875B1">
      <w:pPr>
        <w:outlineLvl w:val="1"/>
        <w:rPr>
          <w:rFonts w:ascii="Arial" w:hAnsi="Arial" w:cs="Arial"/>
          <w:sz w:val="20"/>
          <w:szCs w:val="20"/>
        </w:rPr>
      </w:pPr>
      <w:bookmarkStart w:id="4" w:name="bookmark4"/>
    </w:p>
    <w:bookmarkEnd w:id="4"/>
    <w:p w:rsidR="00F63864" w:rsidRPr="008875B1" w:rsidRDefault="001402A4">
      <w:pPr>
        <w:outlineLvl w:val="1"/>
        <w:rPr>
          <w:rFonts w:ascii="Arial" w:hAnsi="Arial" w:cs="Arial"/>
          <w:b/>
          <w:sz w:val="20"/>
          <w:szCs w:val="20"/>
        </w:rPr>
      </w:pPr>
      <w:r w:rsidRPr="00F343AE">
        <w:rPr>
          <w:rFonts w:ascii="Arial" w:hAnsi="Arial" w:cs="Arial"/>
          <w:b/>
          <w:sz w:val="20"/>
          <w:szCs w:val="20"/>
          <w:lang w:val="pl-PL"/>
        </w:rPr>
        <w:t>Cel planu awaryjnego</w:t>
      </w:r>
    </w:p>
    <w:p w:rsidR="00F63864" w:rsidRPr="002131BA" w:rsidRDefault="000420AD">
      <w:pPr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Celem planu awaryjnego jesz szybka i skuteczna reakcja na ognisko agrofaga, który na podstawie oceny został uznany za poważne zagrożenie gospodarcze i/lub środowiskowe.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F343AE">
        <w:rPr>
          <w:rFonts w:ascii="Arial" w:hAnsi="Arial" w:cs="Arial"/>
          <w:sz w:val="20"/>
          <w:szCs w:val="20"/>
          <w:lang w:val="pl-PL"/>
        </w:rPr>
        <w:t>Może on pomóc organizacji odpowiedzialnej za zlikwidowanie ogniska przygotować się, zwłaszcza jeżeli niezbędna jest współpraca kilku podmiotów.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F343AE">
        <w:rPr>
          <w:rFonts w:ascii="Arial" w:hAnsi="Arial" w:cs="Arial"/>
          <w:sz w:val="20"/>
          <w:szCs w:val="20"/>
          <w:lang w:val="pl-PL"/>
        </w:rPr>
        <w:t xml:space="preserve">Modyfikacja istniejących planów awaryjnych na podstawie oceny przeprowadzonych akcji tępienia agrofagów pomaga poprawić sposób reakcji na </w:t>
      </w:r>
      <w:r w:rsidR="00F343AE" w:rsidRPr="00F343AE">
        <w:rPr>
          <w:rFonts w:ascii="Arial" w:hAnsi="Arial" w:cs="Arial"/>
          <w:sz w:val="20"/>
          <w:szCs w:val="20"/>
          <w:lang w:val="pl-PL"/>
        </w:rPr>
        <w:t>nowe</w:t>
      </w:r>
      <w:r w:rsidRPr="00F343AE">
        <w:rPr>
          <w:rFonts w:ascii="Arial" w:hAnsi="Arial" w:cs="Arial"/>
          <w:sz w:val="20"/>
          <w:szCs w:val="20"/>
          <w:lang w:val="pl-PL"/>
        </w:rPr>
        <w:t xml:space="preserve"> </w:t>
      </w:r>
      <w:r w:rsidR="00F343AE" w:rsidRPr="00F343AE">
        <w:rPr>
          <w:rFonts w:ascii="Arial" w:hAnsi="Arial" w:cs="Arial"/>
          <w:sz w:val="20"/>
          <w:szCs w:val="20"/>
          <w:lang w:val="pl-PL"/>
        </w:rPr>
        <w:t>porażenia</w:t>
      </w:r>
      <w:r w:rsidRPr="00F343AE">
        <w:rPr>
          <w:rFonts w:ascii="Arial" w:hAnsi="Arial" w:cs="Arial"/>
          <w:sz w:val="20"/>
          <w:szCs w:val="20"/>
          <w:lang w:val="pl-PL"/>
        </w:rPr>
        <w:t>.</w:t>
      </w:r>
    </w:p>
    <w:p w:rsidR="008875B1" w:rsidRDefault="008875B1">
      <w:pPr>
        <w:outlineLvl w:val="1"/>
        <w:rPr>
          <w:rFonts w:ascii="Arial" w:hAnsi="Arial" w:cs="Arial"/>
          <w:sz w:val="20"/>
          <w:szCs w:val="20"/>
        </w:rPr>
      </w:pPr>
      <w:bookmarkStart w:id="5" w:name="bookmark5"/>
    </w:p>
    <w:bookmarkEnd w:id="5"/>
    <w:p w:rsidR="00F63864" w:rsidRPr="008875B1" w:rsidRDefault="000420AD">
      <w:pPr>
        <w:outlineLvl w:val="1"/>
        <w:rPr>
          <w:rFonts w:ascii="Arial" w:hAnsi="Arial" w:cs="Arial"/>
          <w:b/>
          <w:sz w:val="20"/>
          <w:szCs w:val="20"/>
        </w:rPr>
      </w:pPr>
      <w:r w:rsidRPr="00F343AE">
        <w:rPr>
          <w:rFonts w:ascii="Arial" w:hAnsi="Arial" w:cs="Arial"/>
          <w:b/>
          <w:sz w:val="20"/>
          <w:szCs w:val="20"/>
          <w:lang w:val="pl-PL"/>
        </w:rPr>
        <w:t>Niezbędne elementy planu awaryjnego</w:t>
      </w:r>
    </w:p>
    <w:p w:rsidR="00F63864" w:rsidRPr="00F343AE" w:rsidRDefault="000420AD" w:rsidP="00F343AE">
      <w:pPr>
        <w:pStyle w:val="Akapitzlist"/>
        <w:numPr>
          <w:ilvl w:val="0"/>
          <w:numId w:val="2"/>
        </w:numPr>
        <w:tabs>
          <w:tab w:val="left" w:pos="259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Informacje podstawowe o agrofagu (tylko w przypadku planów dla poszczególnych organizmów);</w:t>
      </w:r>
    </w:p>
    <w:p w:rsidR="00F63864" w:rsidRPr="00F343AE" w:rsidRDefault="000420AD" w:rsidP="00F343AE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Inicjacja planu awaryjnego;</w:t>
      </w:r>
    </w:p>
    <w:p w:rsidR="00F63864" w:rsidRPr="00F343AE" w:rsidRDefault="000420AD" w:rsidP="00F343AE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 xml:space="preserve">Urzędowe działania po uzyskaniu wstępnej </w:t>
      </w:r>
      <w:r w:rsidRPr="00F343AE">
        <w:rPr>
          <w:rFonts w:ascii="Arial" w:hAnsi="Arial" w:cs="Arial"/>
          <w:sz w:val="20"/>
          <w:szCs w:val="20"/>
          <w:lang w:val="pl-PL"/>
        </w:rPr>
        <w:lastRenderedPageBreak/>
        <w:t>diagnozy;</w:t>
      </w:r>
    </w:p>
    <w:p w:rsidR="00F63864" w:rsidRPr="00F343AE" w:rsidRDefault="000420AD" w:rsidP="00F343AE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Urzędowe działania zmierzające do wytępienia agrofaga po uzyskaniu ostatecznego potwierdzenia;</w:t>
      </w:r>
    </w:p>
    <w:p w:rsidR="00F63864" w:rsidRPr="00F343AE" w:rsidRDefault="00D625CB" w:rsidP="00F343AE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Przegląd stosowanych środków w przypadku długotrwałych działań urzędowych;</w:t>
      </w:r>
    </w:p>
    <w:p w:rsidR="00F63864" w:rsidRPr="00F343AE" w:rsidRDefault="00D625CB" w:rsidP="00F343AE">
      <w:pPr>
        <w:pStyle w:val="Akapitzlist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Określenie zakończenia działań ustawowych;</w:t>
      </w:r>
    </w:p>
    <w:p w:rsidR="00F63864" w:rsidRPr="00F343AE" w:rsidRDefault="00D625CB" w:rsidP="00F343AE">
      <w:pPr>
        <w:pStyle w:val="Akapitzlist"/>
        <w:numPr>
          <w:ilvl w:val="0"/>
          <w:numId w:val="2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 xml:space="preserve">Struktura </w:t>
      </w:r>
      <w:r w:rsidR="008C3D60" w:rsidRPr="00F343AE">
        <w:rPr>
          <w:rFonts w:ascii="Arial" w:hAnsi="Arial" w:cs="Arial"/>
          <w:sz w:val="20"/>
          <w:szCs w:val="20"/>
          <w:lang w:val="pl-PL"/>
        </w:rPr>
        <w:t>decyzyjna</w:t>
      </w:r>
      <w:r w:rsidRPr="00F343AE">
        <w:rPr>
          <w:rFonts w:ascii="Arial" w:hAnsi="Arial" w:cs="Arial"/>
          <w:sz w:val="20"/>
          <w:szCs w:val="20"/>
          <w:lang w:val="pl-PL"/>
        </w:rPr>
        <w:t>;</w:t>
      </w:r>
    </w:p>
    <w:p w:rsidR="00F63864" w:rsidRPr="00F343AE" w:rsidRDefault="00D625CB" w:rsidP="00F343AE">
      <w:pPr>
        <w:pStyle w:val="Akapitzlist"/>
        <w:numPr>
          <w:ilvl w:val="0"/>
          <w:numId w:val="2"/>
        </w:numPr>
        <w:tabs>
          <w:tab w:val="left" w:pos="389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Konsultacje z interesariuszami;</w:t>
      </w:r>
    </w:p>
    <w:p w:rsidR="00F63864" w:rsidRPr="00F343AE" w:rsidRDefault="00D625CB" w:rsidP="00F343AE">
      <w:pPr>
        <w:pStyle w:val="Akapitzlist"/>
        <w:numPr>
          <w:ilvl w:val="0"/>
          <w:numId w:val="2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Komunikacja wewnętrzna i dokumentacja;</w:t>
      </w:r>
    </w:p>
    <w:p w:rsidR="00F63864" w:rsidRPr="00F343AE" w:rsidRDefault="00D625CB" w:rsidP="00F343AE">
      <w:pPr>
        <w:pStyle w:val="Akapitzlist"/>
        <w:numPr>
          <w:ilvl w:val="0"/>
          <w:numId w:val="2"/>
        </w:numPr>
        <w:tabs>
          <w:tab w:val="left" w:pos="466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Komunikacja zewnętrzna;</w:t>
      </w:r>
    </w:p>
    <w:p w:rsidR="00F63864" w:rsidRPr="00F343AE" w:rsidRDefault="00D625CB" w:rsidP="00F343AE">
      <w:pPr>
        <w:pStyle w:val="Akapitzlist"/>
        <w:numPr>
          <w:ilvl w:val="0"/>
          <w:numId w:val="2"/>
        </w:numPr>
        <w:tabs>
          <w:tab w:val="left" w:pos="470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 xml:space="preserve">Testowanie </w:t>
      </w:r>
      <w:r w:rsidR="00F343AE" w:rsidRPr="00F343AE">
        <w:rPr>
          <w:rFonts w:ascii="Arial" w:hAnsi="Arial" w:cs="Arial"/>
          <w:sz w:val="20"/>
          <w:szCs w:val="20"/>
          <w:lang w:val="pl-PL"/>
        </w:rPr>
        <w:t xml:space="preserve">planu </w:t>
      </w:r>
      <w:r w:rsidRPr="00F343AE">
        <w:rPr>
          <w:rFonts w:ascii="Arial" w:hAnsi="Arial" w:cs="Arial"/>
          <w:sz w:val="20"/>
          <w:szCs w:val="20"/>
          <w:lang w:val="pl-PL"/>
        </w:rPr>
        <w:t>i szkolenie pracowników;</w:t>
      </w:r>
    </w:p>
    <w:p w:rsidR="00F63864" w:rsidRPr="00F343AE" w:rsidRDefault="00D625CB" w:rsidP="00F343AE">
      <w:pPr>
        <w:pStyle w:val="Akapitzlist"/>
        <w:numPr>
          <w:ilvl w:val="0"/>
          <w:numId w:val="2"/>
        </w:numPr>
        <w:tabs>
          <w:tab w:val="left" w:pos="466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Ocena i przegląd planu awaryjnego.</w:t>
      </w:r>
    </w:p>
    <w:p w:rsidR="008875B1" w:rsidRDefault="008875B1">
      <w:pPr>
        <w:tabs>
          <w:tab w:val="left" w:pos="317"/>
        </w:tabs>
        <w:outlineLvl w:val="2"/>
        <w:rPr>
          <w:rFonts w:ascii="Arial" w:hAnsi="Arial" w:cs="Arial"/>
          <w:sz w:val="20"/>
          <w:szCs w:val="20"/>
        </w:rPr>
      </w:pPr>
      <w:bookmarkStart w:id="6" w:name="bookmark6"/>
    </w:p>
    <w:bookmarkEnd w:id="6"/>
    <w:p w:rsidR="00F63864" w:rsidRPr="00F343AE" w:rsidRDefault="00D625CB" w:rsidP="00F343AE">
      <w:pPr>
        <w:pStyle w:val="Akapitzlist"/>
        <w:numPr>
          <w:ilvl w:val="0"/>
          <w:numId w:val="3"/>
        </w:numPr>
        <w:tabs>
          <w:tab w:val="left" w:pos="317"/>
        </w:tabs>
        <w:outlineLvl w:val="2"/>
        <w:rPr>
          <w:rFonts w:ascii="Arial" w:hAnsi="Arial" w:cs="Arial"/>
          <w:b/>
          <w:sz w:val="20"/>
          <w:szCs w:val="20"/>
        </w:rPr>
      </w:pPr>
      <w:r w:rsidRPr="00F343AE">
        <w:rPr>
          <w:rFonts w:ascii="Arial" w:hAnsi="Arial" w:cs="Arial"/>
          <w:b/>
          <w:sz w:val="20"/>
          <w:szCs w:val="20"/>
          <w:lang w:val="pl-PL"/>
        </w:rPr>
        <w:t>Informacje podstawowe o agrofagu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D625CB">
      <w:pPr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 xml:space="preserve">Plan awaryjny opracowany dla konkretnego agrofaga powinien zawierać część poświęconą streszczeniu najważniejszych informacji o organizmie i jego biologii, a w szczególności </w:t>
      </w:r>
      <w:r w:rsidR="00F343AE" w:rsidRPr="00F343AE">
        <w:rPr>
          <w:rFonts w:ascii="Arial" w:hAnsi="Arial" w:cs="Arial"/>
          <w:sz w:val="20"/>
          <w:szCs w:val="20"/>
          <w:lang w:val="pl-PL"/>
        </w:rPr>
        <w:t xml:space="preserve">o </w:t>
      </w:r>
      <w:r w:rsidRPr="00F343AE">
        <w:rPr>
          <w:rFonts w:ascii="Arial" w:hAnsi="Arial" w:cs="Arial"/>
          <w:sz w:val="20"/>
          <w:szCs w:val="20"/>
          <w:lang w:val="pl-PL"/>
        </w:rPr>
        <w:t>sposobach jego zawleczenia, wykrywania i rozprzestrzeniania się, wraz z podaniem odnośników do źródeł dodatkowych informacji:</w:t>
      </w:r>
    </w:p>
    <w:p w:rsidR="00F63864" w:rsidRPr="00F343AE" w:rsidRDefault="00D625CB" w:rsidP="00F343AE">
      <w:pPr>
        <w:pStyle w:val="Akapitzlist"/>
        <w:numPr>
          <w:ilvl w:val="0"/>
          <w:numId w:val="5"/>
        </w:numPr>
        <w:tabs>
          <w:tab w:val="left" w:pos="269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objawy i rośliny żywicielskie</w:t>
      </w:r>
    </w:p>
    <w:p w:rsidR="00F63864" w:rsidRPr="00F343AE" w:rsidRDefault="00D625CB" w:rsidP="00F343AE">
      <w:pPr>
        <w:pStyle w:val="Akapitzlist"/>
        <w:numPr>
          <w:ilvl w:val="0"/>
          <w:numId w:val="5"/>
        </w:numPr>
        <w:tabs>
          <w:tab w:val="left" w:pos="26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metody wykrywania</w:t>
      </w:r>
    </w:p>
    <w:p w:rsidR="00F63864" w:rsidRPr="00F343AE" w:rsidRDefault="00D625CB" w:rsidP="00F343AE">
      <w:pPr>
        <w:pStyle w:val="Akapitzlist"/>
        <w:numPr>
          <w:ilvl w:val="0"/>
          <w:numId w:val="5"/>
        </w:numPr>
        <w:tabs>
          <w:tab w:val="left" w:pos="26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główne drogi zawleczenia i dalszego rozprzestrzeniania się</w:t>
      </w:r>
    </w:p>
    <w:p w:rsidR="00F63864" w:rsidRPr="00F343AE" w:rsidRDefault="00D625CB" w:rsidP="00F343AE">
      <w:pPr>
        <w:pStyle w:val="Akapitzlist"/>
        <w:numPr>
          <w:ilvl w:val="0"/>
          <w:numId w:val="5"/>
        </w:numPr>
        <w:tabs>
          <w:tab w:val="left" w:pos="254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>zalecenia w sprawie zmniejszenia ryzyka zawleczenia, zadomowienia i rozprzestrzeniania się</w:t>
      </w:r>
    </w:p>
    <w:p w:rsidR="00F63864" w:rsidRPr="00F343AE" w:rsidRDefault="00D625CB" w:rsidP="00F343AE">
      <w:pPr>
        <w:pStyle w:val="Akapitzlist"/>
        <w:numPr>
          <w:ilvl w:val="0"/>
          <w:numId w:val="5"/>
        </w:numPr>
        <w:tabs>
          <w:tab w:val="left" w:pos="259"/>
        </w:tabs>
        <w:rPr>
          <w:rFonts w:ascii="Arial" w:hAnsi="Arial" w:cs="Arial"/>
          <w:sz w:val="20"/>
          <w:szCs w:val="20"/>
        </w:rPr>
      </w:pPr>
      <w:r w:rsidRPr="00F343AE">
        <w:rPr>
          <w:rFonts w:ascii="Arial" w:hAnsi="Arial" w:cs="Arial"/>
          <w:sz w:val="20"/>
          <w:szCs w:val="20"/>
          <w:lang w:val="pl-PL"/>
        </w:rPr>
        <w:t xml:space="preserve">status kwarantannowy (obecność agrofaga na listach </w:t>
      </w:r>
      <w:proofErr w:type="spellStart"/>
      <w:r w:rsidRPr="00F343AE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343AE">
        <w:rPr>
          <w:rFonts w:ascii="Arial" w:hAnsi="Arial" w:cs="Arial"/>
          <w:sz w:val="20"/>
          <w:szCs w:val="20"/>
          <w:lang w:val="pl-PL"/>
        </w:rPr>
        <w:t xml:space="preserve"> lub w przepisach krajowych)</w:t>
      </w:r>
    </w:p>
    <w:p w:rsidR="00F63864" w:rsidRPr="00216FCA" w:rsidRDefault="00D625CB" w:rsidP="00216FCA">
      <w:pPr>
        <w:pStyle w:val="Akapitzlist"/>
        <w:numPr>
          <w:ilvl w:val="0"/>
          <w:numId w:val="5"/>
        </w:numPr>
        <w:tabs>
          <w:tab w:val="left" w:pos="25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 xml:space="preserve">odnośniki </w:t>
      </w:r>
      <w:r w:rsidR="001A07FE" w:rsidRPr="00216FCA">
        <w:rPr>
          <w:rFonts w:ascii="Arial" w:hAnsi="Arial" w:cs="Arial"/>
          <w:sz w:val="20"/>
          <w:szCs w:val="20"/>
          <w:lang w:val="pl-PL"/>
        </w:rPr>
        <w:t xml:space="preserve">do źródeł </w:t>
      </w:r>
      <w:r w:rsidRPr="00216FCA">
        <w:rPr>
          <w:rFonts w:ascii="Arial" w:hAnsi="Arial" w:cs="Arial"/>
          <w:sz w:val="20"/>
          <w:szCs w:val="20"/>
          <w:lang w:val="pl-PL"/>
        </w:rPr>
        <w:t xml:space="preserve">i linki do stron internetowych </w:t>
      </w:r>
      <w:r w:rsidR="001A07FE" w:rsidRPr="00216FCA">
        <w:rPr>
          <w:rFonts w:ascii="Arial" w:hAnsi="Arial" w:cs="Arial"/>
          <w:sz w:val="20"/>
          <w:szCs w:val="20"/>
          <w:lang w:val="pl-PL"/>
        </w:rPr>
        <w:t xml:space="preserve">zawierających dodatkowe informacje (dokumentacja Analizy Zagrożenia Agrofagiem, arkusze danych, mapa występowania, ewentualny protokół diagnostyczny, Standard </w:t>
      </w:r>
      <w:proofErr w:type="spellStart"/>
      <w:r w:rsidR="001A07FE" w:rsidRPr="00216FCA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1A07FE" w:rsidRPr="00216FCA">
        <w:rPr>
          <w:rFonts w:ascii="Arial" w:hAnsi="Arial" w:cs="Arial"/>
          <w:sz w:val="20"/>
          <w:szCs w:val="20"/>
          <w:lang w:val="pl-PL"/>
        </w:rPr>
        <w:t xml:space="preserve"> w sprawie krajowego ustawowego systemu zwalczania, jeżeli istnieje, ilustracje).</w:t>
      </w:r>
      <w:r w:rsidR="002131BA" w:rsidRPr="00216FCA">
        <w:rPr>
          <w:rFonts w:ascii="Arial" w:hAnsi="Arial" w:cs="Arial"/>
          <w:sz w:val="20"/>
          <w:szCs w:val="20"/>
        </w:rPr>
        <w:t xml:space="preserve"> </w:t>
      </w:r>
      <w:r w:rsidR="001A07FE" w:rsidRPr="00216FCA">
        <w:rPr>
          <w:rFonts w:ascii="Arial" w:hAnsi="Arial" w:cs="Arial"/>
          <w:sz w:val="20"/>
          <w:szCs w:val="20"/>
          <w:lang w:val="pl-PL"/>
        </w:rPr>
        <w:t xml:space="preserve">Informacje takie można pozyskać ze strony internetowej </w:t>
      </w:r>
      <w:proofErr w:type="spellStart"/>
      <w:r w:rsidR="001A07FE" w:rsidRPr="00216FCA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1A07FE" w:rsidRPr="00216FCA">
        <w:rPr>
          <w:rFonts w:ascii="Arial" w:hAnsi="Arial" w:cs="Arial"/>
          <w:sz w:val="20"/>
          <w:szCs w:val="20"/>
          <w:lang w:val="pl-PL"/>
        </w:rPr>
        <w:t xml:space="preserve"> (http://www.eppo.org).</w:t>
      </w:r>
    </w:p>
    <w:p w:rsidR="00F63864" w:rsidRPr="002131BA" w:rsidRDefault="001A07FE">
      <w:pPr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 xml:space="preserve">Rozdział ten należy napisać tak, by mógł być łatwo i dokładnie zrozumiany przez producentów, handlowców i urzędników </w:t>
      </w:r>
      <w:proofErr w:type="spellStart"/>
      <w:r w:rsidRPr="00216FCA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16FCA">
        <w:rPr>
          <w:rFonts w:ascii="Arial" w:hAnsi="Arial" w:cs="Arial"/>
          <w:sz w:val="20"/>
          <w:szCs w:val="20"/>
          <w:lang w:val="pl-PL"/>
        </w:rPr>
        <w:t xml:space="preserve">, ponieważ posłuży on </w:t>
      </w:r>
      <w:r w:rsidR="008C3D60" w:rsidRPr="00216FCA">
        <w:rPr>
          <w:rFonts w:ascii="Arial" w:hAnsi="Arial" w:cs="Arial"/>
          <w:sz w:val="20"/>
          <w:szCs w:val="20"/>
          <w:lang w:val="pl-PL"/>
        </w:rPr>
        <w:t xml:space="preserve">im za </w:t>
      </w:r>
      <w:r w:rsidRPr="00216FCA">
        <w:rPr>
          <w:rFonts w:ascii="Arial" w:hAnsi="Arial" w:cs="Arial"/>
          <w:sz w:val="20"/>
          <w:szCs w:val="20"/>
          <w:lang w:val="pl-PL"/>
        </w:rPr>
        <w:t xml:space="preserve">cenne źródło informacji, zwłaszcza </w:t>
      </w:r>
      <w:r w:rsidR="008C3D60" w:rsidRPr="00216FCA">
        <w:rPr>
          <w:rFonts w:ascii="Arial" w:hAnsi="Arial" w:cs="Arial"/>
          <w:sz w:val="20"/>
          <w:szCs w:val="20"/>
          <w:lang w:val="pl-PL"/>
        </w:rPr>
        <w:t>na początkowym etapie porażenia.</w:t>
      </w:r>
    </w:p>
    <w:p w:rsidR="008875B1" w:rsidRDefault="008875B1">
      <w:pPr>
        <w:tabs>
          <w:tab w:val="left" w:pos="317"/>
        </w:tabs>
        <w:outlineLvl w:val="2"/>
        <w:rPr>
          <w:rFonts w:ascii="Arial" w:hAnsi="Arial" w:cs="Arial"/>
          <w:sz w:val="20"/>
          <w:szCs w:val="20"/>
        </w:rPr>
      </w:pPr>
      <w:bookmarkStart w:id="7" w:name="bookmark7"/>
    </w:p>
    <w:bookmarkEnd w:id="7"/>
    <w:p w:rsidR="00F63864" w:rsidRPr="00216FCA" w:rsidRDefault="008C3D60" w:rsidP="00216FCA">
      <w:pPr>
        <w:pStyle w:val="Akapitzlist"/>
        <w:numPr>
          <w:ilvl w:val="0"/>
          <w:numId w:val="3"/>
        </w:numPr>
        <w:tabs>
          <w:tab w:val="left" w:pos="317"/>
        </w:tabs>
        <w:outlineLvl w:val="2"/>
        <w:rPr>
          <w:rFonts w:ascii="Arial" w:hAnsi="Arial" w:cs="Arial"/>
          <w:b/>
          <w:sz w:val="20"/>
          <w:szCs w:val="20"/>
        </w:rPr>
      </w:pPr>
      <w:r w:rsidRPr="00216FCA">
        <w:rPr>
          <w:rFonts w:ascii="Arial" w:hAnsi="Arial" w:cs="Arial"/>
          <w:b/>
          <w:sz w:val="20"/>
          <w:szCs w:val="20"/>
          <w:lang w:val="pl-PL"/>
        </w:rPr>
        <w:t>Inicjacja planu awaryjnego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8C3D60">
      <w:pPr>
        <w:rPr>
          <w:rFonts w:ascii="Arial" w:hAnsi="Arial" w:cs="Arial"/>
          <w:sz w:val="20"/>
          <w:szCs w:val="20"/>
        </w:rPr>
      </w:pPr>
      <w:proofErr w:type="spellStart"/>
      <w:r w:rsidRPr="00216FCA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16FCA">
        <w:rPr>
          <w:rFonts w:ascii="Arial" w:hAnsi="Arial" w:cs="Arial"/>
          <w:sz w:val="20"/>
          <w:szCs w:val="20"/>
          <w:lang w:val="pl-PL"/>
        </w:rPr>
        <w:t xml:space="preserve"> powinna posiadać skuteczny program nadzoru i inspekcji minimalizujący ryzyko wystąpienia porażenia i umożliwiający wczesne wykrywanie agrofagów.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216FCA">
        <w:rPr>
          <w:rFonts w:ascii="Arial" w:hAnsi="Arial" w:cs="Arial"/>
          <w:sz w:val="20"/>
          <w:szCs w:val="20"/>
          <w:lang w:val="pl-PL"/>
        </w:rPr>
        <w:t>Dzięki planowi awaryjnemu organizacja posiada gotowy plan działania na wypadek podejrzenia lub potwierdzenia porażenia.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216FCA">
        <w:rPr>
          <w:rFonts w:ascii="Arial" w:hAnsi="Arial" w:cs="Arial"/>
          <w:sz w:val="20"/>
          <w:szCs w:val="20"/>
          <w:lang w:val="pl-PL"/>
        </w:rPr>
        <w:t>Plan działania zostaje wdrożony, kiedy:</w:t>
      </w:r>
    </w:p>
    <w:p w:rsidR="00F63864" w:rsidRPr="00216FCA" w:rsidRDefault="008C3D60" w:rsidP="00216FCA">
      <w:pPr>
        <w:pStyle w:val="Akapitzlist"/>
        <w:numPr>
          <w:ilvl w:val="0"/>
          <w:numId w:val="5"/>
        </w:numPr>
        <w:tabs>
          <w:tab w:val="left" w:pos="32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lastRenderedPageBreak/>
        <w:t xml:space="preserve">dochodzi do wykrycia groźnego agrofaga w wyniku ogólnych działań nadzorczych, ukierunkowanych lustracji lub informacji przekazanej </w:t>
      </w:r>
      <w:proofErr w:type="spellStart"/>
      <w:r w:rsidRPr="00216FCA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16FCA">
        <w:rPr>
          <w:rFonts w:ascii="Arial" w:hAnsi="Arial" w:cs="Arial"/>
          <w:sz w:val="20"/>
          <w:szCs w:val="20"/>
          <w:lang w:val="pl-PL"/>
        </w:rPr>
        <w:t xml:space="preserve"> przez obywateli.</w:t>
      </w:r>
      <w:r w:rsidR="002131BA" w:rsidRPr="00216FCA">
        <w:rPr>
          <w:rFonts w:ascii="Arial" w:hAnsi="Arial" w:cs="Arial"/>
          <w:sz w:val="20"/>
          <w:szCs w:val="20"/>
        </w:rPr>
        <w:t xml:space="preserve"> </w:t>
      </w:r>
      <w:r w:rsidRPr="00216FCA">
        <w:rPr>
          <w:rFonts w:ascii="Arial" w:hAnsi="Arial" w:cs="Arial"/>
          <w:sz w:val="20"/>
          <w:szCs w:val="20"/>
          <w:lang w:val="pl-PL"/>
        </w:rPr>
        <w:t>Należy bezzwłocznie pobrać próby i przeprowadzić urzędową diagnozę</w:t>
      </w:r>
    </w:p>
    <w:p w:rsidR="00F63864" w:rsidRPr="00216FCA" w:rsidRDefault="008C3D60" w:rsidP="00216FCA">
      <w:pPr>
        <w:pStyle w:val="Akapitzlist"/>
        <w:numPr>
          <w:ilvl w:val="0"/>
          <w:numId w:val="5"/>
        </w:numPr>
        <w:tabs>
          <w:tab w:val="left" w:pos="31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dochodzi do wykrycia agrofaga przez kraj importera, a wyeksportowane rośliny lub produkty roślinne pochodzące z obszaru objętego planem awaryjnym są podejrzane jako potencjalne źródło porażenia.</w:t>
      </w:r>
    </w:p>
    <w:p w:rsidR="00F63864" w:rsidRPr="002131BA" w:rsidRDefault="008C3D60">
      <w:pPr>
        <w:ind w:firstLine="360"/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Ważne jest, aby plan awaryjny wdrożyć szybko i aby istniała wyraźnie określona struktura decyzyjna (patrz punkt 7).</w:t>
      </w:r>
    </w:p>
    <w:p w:rsidR="00F63864" w:rsidRPr="002131BA" w:rsidRDefault="003058D3">
      <w:pPr>
        <w:ind w:firstLine="360"/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 xml:space="preserve">Plan awaryjny powinien wymieniać informacje, które należy zebrać na </w:t>
      </w:r>
      <w:r w:rsidR="00401F40" w:rsidRPr="00216FCA">
        <w:rPr>
          <w:rFonts w:ascii="Arial" w:hAnsi="Arial" w:cs="Arial"/>
          <w:sz w:val="20"/>
          <w:szCs w:val="20"/>
          <w:lang w:val="pl-PL"/>
        </w:rPr>
        <w:t xml:space="preserve">zaatakowanym terenie </w:t>
      </w:r>
      <w:r w:rsidRPr="00216FCA">
        <w:rPr>
          <w:rFonts w:ascii="Arial" w:hAnsi="Arial" w:cs="Arial"/>
          <w:sz w:val="20"/>
          <w:szCs w:val="20"/>
          <w:lang w:val="pl-PL"/>
        </w:rPr>
        <w:t>na wczesnym etapie porażenia, takie jak:</w:t>
      </w:r>
    </w:p>
    <w:p w:rsidR="00F63864" w:rsidRPr="00216FCA" w:rsidRDefault="003058D3" w:rsidP="00216FCA">
      <w:pPr>
        <w:pStyle w:val="Akapitzlist"/>
        <w:numPr>
          <w:ilvl w:val="0"/>
          <w:numId w:val="5"/>
        </w:numPr>
        <w:tabs>
          <w:tab w:val="left" w:pos="32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 xml:space="preserve">prawdopodobne źródło agrofaga oraz, jeżeli przesyłka roślin lub produktów roślinnych jest podejrzewana jako potencjalne źródło porażenia, informacje o innych miejscach </w:t>
      </w:r>
      <w:r w:rsidR="00216FCA" w:rsidRPr="00216FCA">
        <w:rPr>
          <w:rFonts w:ascii="Arial" w:hAnsi="Arial" w:cs="Arial"/>
          <w:sz w:val="20"/>
          <w:szCs w:val="20"/>
          <w:lang w:val="pl-PL"/>
        </w:rPr>
        <w:t>gdzie taki materiał trafił</w:t>
      </w:r>
    </w:p>
    <w:p w:rsidR="00F63864" w:rsidRPr="00216FCA" w:rsidRDefault="003058D3" w:rsidP="00216FCA">
      <w:pPr>
        <w:pStyle w:val="Akapitzlist"/>
        <w:numPr>
          <w:ilvl w:val="0"/>
          <w:numId w:val="5"/>
        </w:numPr>
        <w:tabs>
          <w:tab w:val="left" w:pos="32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 xml:space="preserve">lokalizacja geograficzna i struktura właścicielska </w:t>
      </w:r>
      <w:r w:rsidR="00401F40" w:rsidRPr="00216FCA">
        <w:rPr>
          <w:rFonts w:ascii="Arial" w:hAnsi="Arial" w:cs="Arial"/>
          <w:sz w:val="20"/>
          <w:szCs w:val="20"/>
          <w:lang w:val="pl-PL"/>
        </w:rPr>
        <w:t>zaatakowanego terenu</w:t>
      </w:r>
      <w:r w:rsidRPr="00216FCA">
        <w:rPr>
          <w:rFonts w:ascii="Arial" w:hAnsi="Arial" w:cs="Arial"/>
          <w:sz w:val="20"/>
          <w:szCs w:val="20"/>
          <w:lang w:val="pl-PL"/>
        </w:rPr>
        <w:t>, w tym informacje o czynnikach abiotycznych mogących wpłynąć na ognisko, np. dostęp publiczny, obecność cieków wodnych, itd.</w:t>
      </w:r>
    </w:p>
    <w:p w:rsidR="00F63864" w:rsidRPr="00216FCA" w:rsidRDefault="00216FCA" w:rsidP="00216FCA">
      <w:pPr>
        <w:pStyle w:val="Akapitzlist"/>
        <w:numPr>
          <w:ilvl w:val="0"/>
          <w:numId w:val="5"/>
        </w:numPr>
        <w:tabs>
          <w:tab w:val="left" w:pos="31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 xml:space="preserve">porażone </w:t>
      </w:r>
      <w:r w:rsidR="003058D3" w:rsidRPr="00216FCA">
        <w:rPr>
          <w:rFonts w:ascii="Arial" w:hAnsi="Arial" w:cs="Arial"/>
          <w:sz w:val="20"/>
          <w:szCs w:val="20"/>
          <w:lang w:val="pl-PL"/>
        </w:rPr>
        <w:t>rośliny żywicielskie (gatunki, odmiany, faza rozwoju, itd.)</w:t>
      </w:r>
    </w:p>
    <w:p w:rsidR="00F63864" w:rsidRPr="00216FCA" w:rsidRDefault="003058D3" w:rsidP="00216FCA">
      <w:pPr>
        <w:pStyle w:val="Akapitzlist"/>
        <w:numPr>
          <w:ilvl w:val="0"/>
          <w:numId w:val="5"/>
        </w:numPr>
        <w:tabs>
          <w:tab w:val="left" w:pos="32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czas i sposób wykrycia i identyfikacji agrofaga (łącznie z fotografiami objawów)</w:t>
      </w:r>
    </w:p>
    <w:p w:rsidR="00F63864" w:rsidRPr="00216FCA" w:rsidRDefault="003058D3" w:rsidP="00216FCA">
      <w:pPr>
        <w:pStyle w:val="Akapitzlist"/>
        <w:numPr>
          <w:ilvl w:val="0"/>
          <w:numId w:val="5"/>
        </w:numPr>
        <w:tabs>
          <w:tab w:val="left" w:pos="32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poziom porażenia i, w uzasadnionych przypadkach, stwierdzone stadia rozwoju organizmu</w:t>
      </w:r>
    </w:p>
    <w:p w:rsidR="00F63864" w:rsidRPr="00216FCA" w:rsidRDefault="003058D3" w:rsidP="00216FCA">
      <w:pPr>
        <w:pStyle w:val="Akapitzlist"/>
        <w:numPr>
          <w:ilvl w:val="0"/>
          <w:numId w:val="5"/>
        </w:numPr>
        <w:tabs>
          <w:tab w:val="left" w:pos="32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zasięg i wielkość szkód (wraz z opisem, które części roślin żywicielskich zostały porażone)</w:t>
      </w:r>
    </w:p>
    <w:p w:rsidR="00F63864" w:rsidRPr="00216FCA" w:rsidRDefault="00401F40" w:rsidP="00216FCA">
      <w:pPr>
        <w:pStyle w:val="Akapitzlist"/>
        <w:numPr>
          <w:ilvl w:val="0"/>
          <w:numId w:val="5"/>
        </w:numPr>
        <w:tabs>
          <w:tab w:val="left" w:pos="31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niedawne przypadki importu lub przemieszczania roślin żywicielskich i produktów z nich pochodzących na i poza teren zaatakowany</w:t>
      </w:r>
    </w:p>
    <w:p w:rsidR="00F63864" w:rsidRPr="00216FCA" w:rsidRDefault="00216FCA" w:rsidP="00216FCA">
      <w:pPr>
        <w:pStyle w:val="Akapitzlist"/>
        <w:numPr>
          <w:ilvl w:val="0"/>
          <w:numId w:val="5"/>
        </w:numPr>
        <w:tabs>
          <w:tab w:val="left" w:pos="32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w uzasadnionych przypadkach, informacje o przemieszczaniu</w:t>
      </w:r>
      <w:r w:rsidR="00401F40" w:rsidRPr="00216FCA">
        <w:rPr>
          <w:rFonts w:ascii="Arial" w:hAnsi="Arial" w:cs="Arial"/>
          <w:sz w:val="20"/>
          <w:szCs w:val="20"/>
          <w:lang w:val="pl-PL"/>
        </w:rPr>
        <w:t xml:space="preserve"> ludzi, produktów, sprzętu i pojazdów</w:t>
      </w:r>
    </w:p>
    <w:p w:rsidR="00F63864" w:rsidRPr="00216FCA" w:rsidRDefault="00401F40" w:rsidP="00216FCA">
      <w:pPr>
        <w:pStyle w:val="Akapitzlist"/>
        <w:numPr>
          <w:ilvl w:val="0"/>
          <w:numId w:val="5"/>
        </w:numPr>
        <w:tabs>
          <w:tab w:val="left" w:pos="31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zabiegi zastosowane na roślinach żywicielskich mogące mieć wpływ na wykształcenie objawów lub wykrywanie i diagnozę patogenu</w:t>
      </w:r>
    </w:p>
    <w:p w:rsidR="00F63864" w:rsidRPr="00216FCA" w:rsidRDefault="00401F40" w:rsidP="00216FCA">
      <w:pPr>
        <w:pStyle w:val="Akapitzlist"/>
        <w:numPr>
          <w:ilvl w:val="0"/>
          <w:numId w:val="5"/>
        </w:numPr>
        <w:tabs>
          <w:tab w:val="left" w:pos="31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praktyki stosowane w uprawie (np. uprawa na zewnątrz/pod osłonami, nawadnianie, historia upraw, itd.) mogące mieć znaczenie dla sprawy</w:t>
      </w:r>
    </w:p>
    <w:p w:rsidR="00F63864" w:rsidRPr="00216FCA" w:rsidRDefault="00401F40" w:rsidP="00216FCA">
      <w:pPr>
        <w:pStyle w:val="Akapitzlist"/>
        <w:numPr>
          <w:ilvl w:val="0"/>
          <w:numId w:val="5"/>
        </w:numPr>
        <w:tabs>
          <w:tab w:val="left" w:pos="31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dane historyczne o występowaniu agrofaga na zaatakowanym terenie, miejscu produkcji lub obszarze.</w:t>
      </w:r>
    </w:p>
    <w:p w:rsidR="00F63864" w:rsidRPr="002131BA" w:rsidRDefault="00401F40">
      <w:pPr>
        <w:ind w:firstLine="360"/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Plan awaryjny powinien również opisywać procedurę wysyłki prób do laboratorium oraz metodę badawczą wraz z kryteriami diagnostycznymi, na podstawie których postawiona zostanie wstępna diagnoza.</w:t>
      </w:r>
    </w:p>
    <w:p w:rsidR="008875B1" w:rsidRDefault="008875B1">
      <w:pPr>
        <w:tabs>
          <w:tab w:val="left" w:pos="197"/>
        </w:tabs>
        <w:outlineLvl w:val="2"/>
        <w:rPr>
          <w:rFonts w:ascii="Arial" w:hAnsi="Arial" w:cs="Arial"/>
          <w:sz w:val="20"/>
          <w:szCs w:val="20"/>
        </w:rPr>
      </w:pPr>
      <w:bookmarkStart w:id="8" w:name="bookmark9"/>
    </w:p>
    <w:bookmarkEnd w:id="8"/>
    <w:p w:rsidR="00F63864" w:rsidRPr="00216FCA" w:rsidRDefault="00401F40" w:rsidP="00216FCA">
      <w:pPr>
        <w:pStyle w:val="Akapitzlist"/>
        <w:numPr>
          <w:ilvl w:val="0"/>
          <w:numId w:val="3"/>
        </w:numPr>
        <w:tabs>
          <w:tab w:val="left" w:pos="197"/>
        </w:tabs>
        <w:outlineLvl w:val="2"/>
        <w:rPr>
          <w:rFonts w:ascii="Arial" w:hAnsi="Arial" w:cs="Arial"/>
          <w:b/>
          <w:sz w:val="20"/>
          <w:szCs w:val="20"/>
        </w:rPr>
      </w:pPr>
      <w:r w:rsidRPr="00216FCA">
        <w:rPr>
          <w:rFonts w:ascii="Arial" w:hAnsi="Arial" w:cs="Arial"/>
          <w:b/>
          <w:sz w:val="20"/>
          <w:szCs w:val="20"/>
          <w:lang w:val="pl-PL"/>
        </w:rPr>
        <w:lastRenderedPageBreak/>
        <w:t>Urzędowe działania po uzyskaniu wstępnej diagnozy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401F40">
      <w:pPr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Plany awaryjne dla poszczególnych agrofagów powinny wymieniać badania niezbędne dla potwierdzenia występowania organizmu</w:t>
      </w:r>
      <w:r w:rsidR="00EF370D" w:rsidRPr="00216FCA">
        <w:rPr>
          <w:rFonts w:ascii="Arial" w:hAnsi="Arial" w:cs="Arial"/>
          <w:sz w:val="20"/>
          <w:szCs w:val="20"/>
          <w:lang w:val="pl-PL"/>
        </w:rPr>
        <w:t xml:space="preserve"> i zawierać odniesienia do Protokołów Diagnostycznych </w:t>
      </w:r>
      <w:proofErr w:type="spellStart"/>
      <w:r w:rsidR="00EF370D" w:rsidRPr="00216FCA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EF370D" w:rsidRPr="00216FCA">
        <w:rPr>
          <w:rFonts w:ascii="Arial" w:hAnsi="Arial" w:cs="Arial"/>
          <w:sz w:val="20"/>
          <w:szCs w:val="20"/>
          <w:lang w:val="pl-PL"/>
        </w:rPr>
        <w:t xml:space="preserve"> (serii PM 7) lub innych opublikowanych testów, jeżeli są one dostępne.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EF370D" w:rsidRPr="00216FCA">
        <w:rPr>
          <w:rFonts w:ascii="Arial" w:hAnsi="Arial" w:cs="Arial"/>
          <w:sz w:val="20"/>
          <w:szCs w:val="20"/>
          <w:lang w:val="pl-PL"/>
        </w:rPr>
        <w:t>Diagnoza powinna być postawiona w sposób uniemożliwiający jej zakwestionowanie na gruncie naukowym lub prawnym.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C71A6A" w:rsidRPr="00216FCA">
        <w:rPr>
          <w:rFonts w:ascii="Arial" w:hAnsi="Arial" w:cs="Arial"/>
          <w:sz w:val="20"/>
          <w:szCs w:val="20"/>
          <w:lang w:val="pl-PL"/>
        </w:rPr>
        <w:t>Potwierdzenie identyfikacji, zależnie od agrofaga, może potrwać, a na podstawie wstępnej diagnozy należy jak najszybciej wdrożyć środki ostrożności.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C71A6A" w:rsidRPr="00216FCA">
        <w:rPr>
          <w:rFonts w:ascii="Arial" w:hAnsi="Arial" w:cs="Arial"/>
          <w:sz w:val="20"/>
          <w:szCs w:val="20"/>
          <w:lang w:val="pl-PL"/>
        </w:rPr>
        <w:t>Plan awaryjny powinien opisywać urzędowe działania, które można podjąć na tym etapie, np.:</w:t>
      </w:r>
    </w:p>
    <w:p w:rsidR="00F63864" w:rsidRPr="00216FCA" w:rsidRDefault="00C71A6A" w:rsidP="00216FCA">
      <w:pPr>
        <w:pStyle w:val="Akapitzlist"/>
        <w:numPr>
          <w:ilvl w:val="0"/>
          <w:numId w:val="5"/>
        </w:numPr>
        <w:tabs>
          <w:tab w:val="left" w:pos="39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ograniczenia w przemieszczaniu materiału i sprzętu do i z miejsca produkcji</w:t>
      </w:r>
    </w:p>
    <w:p w:rsidR="00F63864" w:rsidRPr="00216FCA" w:rsidRDefault="00C71A6A" w:rsidP="00216FCA">
      <w:pPr>
        <w:pStyle w:val="Akapitzlist"/>
        <w:numPr>
          <w:ilvl w:val="0"/>
          <w:numId w:val="5"/>
        </w:numPr>
        <w:tabs>
          <w:tab w:val="left" w:pos="39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śledzenie podejrzanego materiału w całym łańcuchu dostaw, tzn. u dostawców, podmiotów rozmnażających i hurtowników, z uwzględnieniem, w uzasadnionych przypadkach, materiału spokrewnionego klonalnie i potencjalnie porażonego</w:t>
      </w:r>
    </w:p>
    <w:p w:rsidR="00F63864" w:rsidRPr="00216FCA" w:rsidRDefault="00C71A6A" w:rsidP="00216FCA">
      <w:pPr>
        <w:pStyle w:val="Akapitzlist"/>
        <w:numPr>
          <w:ilvl w:val="0"/>
          <w:numId w:val="5"/>
        </w:numPr>
        <w:tabs>
          <w:tab w:val="left" w:pos="37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środki ostrożności zapobiegające dalszemu rozprzestrzenianiu się agrofaga</w:t>
      </w:r>
    </w:p>
    <w:p w:rsidR="00F63864" w:rsidRPr="00216FCA" w:rsidRDefault="00C71A6A" w:rsidP="00216FCA">
      <w:pPr>
        <w:pStyle w:val="Akapitzlist"/>
        <w:numPr>
          <w:ilvl w:val="0"/>
          <w:numId w:val="5"/>
        </w:numPr>
        <w:tabs>
          <w:tab w:val="left" w:pos="40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powiadomienie, w uzasadnionych przypadkach, innych krajów, do których mógł trafić materiał powiązany z porażeniem.</w:t>
      </w:r>
    </w:p>
    <w:p w:rsidR="00F63864" w:rsidRPr="002131BA" w:rsidRDefault="00C71A6A">
      <w:pPr>
        <w:ind w:firstLine="360"/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 xml:space="preserve">W przypadku niektórych agrofagów uzasadnione </w:t>
      </w:r>
      <w:r w:rsidR="00D20148" w:rsidRPr="00216FCA">
        <w:rPr>
          <w:rFonts w:ascii="Arial" w:hAnsi="Arial" w:cs="Arial"/>
          <w:sz w:val="20"/>
          <w:szCs w:val="20"/>
          <w:lang w:val="pl-PL"/>
        </w:rPr>
        <w:t xml:space="preserve">może być </w:t>
      </w:r>
      <w:r w:rsidRPr="00216FCA">
        <w:rPr>
          <w:rFonts w:ascii="Arial" w:hAnsi="Arial" w:cs="Arial"/>
          <w:sz w:val="20"/>
          <w:szCs w:val="20"/>
          <w:lang w:val="pl-PL"/>
        </w:rPr>
        <w:t>podjęcie urzędowych działań opisanych w rozdziale 4</w:t>
      </w:r>
      <w:r w:rsidR="00D20148" w:rsidRPr="00216FCA">
        <w:rPr>
          <w:rFonts w:ascii="Arial" w:hAnsi="Arial" w:cs="Arial"/>
          <w:sz w:val="20"/>
          <w:szCs w:val="20"/>
          <w:lang w:val="pl-PL"/>
        </w:rPr>
        <w:t xml:space="preserve"> na podstawie wstępnej diagnozy</w:t>
      </w:r>
      <w:r w:rsidRPr="00216FCA">
        <w:rPr>
          <w:rFonts w:ascii="Arial" w:hAnsi="Arial" w:cs="Arial"/>
          <w:sz w:val="20"/>
          <w:szCs w:val="20"/>
          <w:lang w:val="pl-PL"/>
        </w:rPr>
        <w:t>.</w:t>
      </w:r>
    </w:p>
    <w:p w:rsidR="008875B1" w:rsidRDefault="008875B1">
      <w:pPr>
        <w:tabs>
          <w:tab w:val="left" w:pos="197"/>
        </w:tabs>
        <w:outlineLvl w:val="2"/>
        <w:rPr>
          <w:rFonts w:ascii="Arial" w:hAnsi="Arial" w:cs="Arial"/>
          <w:sz w:val="20"/>
          <w:szCs w:val="20"/>
        </w:rPr>
      </w:pPr>
      <w:bookmarkStart w:id="9" w:name="bookmark10"/>
    </w:p>
    <w:bookmarkEnd w:id="9"/>
    <w:p w:rsidR="00F63864" w:rsidRPr="00216FCA" w:rsidRDefault="00D20148" w:rsidP="00216FCA">
      <w:pPr>
        <w:pStyle w:val="Akapitzlist"/>
        <w:numPr>
          <w:ilvl w:val="0"/>
          <w:numId w:val="3"/>
        </w:numPr>
        <w:tabs>
          <w:tab w:val="left" w:pos="197"/>
        </w:tabs>
        <w:outlineLvl w:val="2"/>
        <w:rPr>
          <w:rFonts w:ascii="Arial" w:hAnsi="Arial" w:cs="Arial"/>
          <w:b/>
          <w:sz w:val="20"/>
          <w:szCs w:val="20"/>
        </w:rPr>
      </w:pPr>
      <w:r w:rsidRPr="00216FCA">
        <w:rPr>
          <w:rFonts w:ascii="Arial" w:hAnsi="Arial" w:cs="Arial"/>
          <w:b/>
          <w:sz w:val="20"/>
          <w:szCs w:val="20"/>
          <w:lang w:val="pl-PL"/>
        </w:rPr>
        <w:t>Urzędowe działania zmierzające do wytępienia agrofaga po uzyskaniu ostatecznego potwierdzenia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D20148">
      <w:pPr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Po potwierdzeniu identyfikacji organizmu należy podjąć urzędowe działania zmierzające do jego powstrzymania i wytępienia.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216FCA">
        <w:rPr>
          <w:rFonts w:ascii="Arial" w:hAnsi="Arial" w:cs="Arial"/>
          <w:sz w:val="20"/>
          <w:szCs w:val="20"/>
          <w:lang w:val="pl-PL"/>
        </w:rPr>
        <w:t>Należą do nich: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40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dochodzenie w celu określenia zakresu i źródła porażenia i ocenę ryzyka rozprzestrzeniania się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wytyczenie obszarów porażonych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oznaczenie zanieczyszczonych obiektów i sprzętu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40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 xml:space="preserve">oznaczenie </w:t>
      </w:r>
      <w:r w:rsidRPr="00216FCA">
        <w:rPr>
          <w:rFonts w:ascii="Arial" w:hAnsi="Arial" w:cs="Arial"/>
          <w:sz w:val="20"/>
          <w:szCs w:val="20"/>
          <w:lang w:val="pl-PL"/>
        </w:rPr>
        <w:lastRenderedPageBreak/>
        <w:t>porażonego i prawdopodobnie porażonego</w:t>
      </w:r>
      <w:r w:rsidRPr="00216FCA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Pr="00216FCA">
        <w:rPr>
          <w:rFonts w:ascii="Arial" w:hAnsi="Arial" w:cs="Arial"/>
          <w:sz w:val="20"/>
          <w:szCs w:val="20"/>
          <w:lang w:val="pl-PL"/>
        </w:rPr>
        <w:t xml:space="preserve"> materiału roślinnego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40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środki mające na celu powstrzymanie dalszego rozprzestrzeniania się, do których należy tworzenie stref buforowych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379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badanie materiału spokrewnionego klonalnie i materiału, który stykał się z materiałem porażonym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40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metody unieszkodliwiania porażonych lub prawdopodobnie porażonych roślin lub ich części, odpadów stałych i płynnych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40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czyszczenie i/lub dezynfekcja maszyn, przechowalni i innego sprzętu</w:t>
      </w:r>
    </w:p>
    <w:p w:rsidR="00F63864" w:rsidRPr="00216FCA" w:rsidRDefault="00D20148" w:rsidP="00216FCA">
      <w:pPr>
        <w:pStyle w:val="Akapitzlist"/>
        <w:numPr>
          <w:ilvl w:val="0"/>
          <w:numId w:val="5"/>
        </w:numPr>
        <w:tabs>
          <w:tab w:val="left" w:pos="40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środki mające na celu wytępienie organizmu stosowane przez określony czas na obszarze p</w:t>
      </w:r>
      <w:r w:rsidR="00216FCA" w:rsidRPr="00216FCA">
        <w:rPr>
          <w:rFonts w:ascii="Arial" w:hAnsi="Arial" w:cs="Arial"/>
          <w:sz w:val="20"/>
          <w:szCs w:val="20"/>
          <w:lang w:val="pl-PL"/>
        </w:rPr>
        <w:t>orażonym, takie jak ograniczenie</w:t>
      </w:r>
      <w:r w:rsidRPr="00216FCA">
        <w:rPr>
          <w:rFonts w:ascii="Arial" w:hAnsi="Arial" w:cs="Arial"/>
          <w:sz w:val="20"/>
          <w:szCs w:val="20"/>
          <w:lang w:val="pl-PL"/>
        </w:rPr>
        <w:t xml:space="preserve"> </w:t>
      </w:r>
      <w:r w:rsidR="006C0E21" w:rsidRPr="00216FCA">
        <w:rPr>
          <w:rFonts w:ascii="Arial" w:hAnsi="Arial" w:cs="Arial"/>
          <w:sz w:val="20"/>
          <w:szCs w:val="20"/>
          <w:lang w:val="pl-PL"/>
        </w:rPr>
        <w:t>możliwości uprawy niektórych roślin, działania wobec maszyn i sprzętu, dodatkowy nadzór nad przemieszczaniem oraz dodatkowe lustracje i stosowanie środków ochrony roślin</w:t>
      </w:r>
    </w:p>
    <w:p w:rsidR="00F63864" w:rsidRPr="00216FCA" w:rsidRDefault="006C0E21" w:rsidP="00216FCA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monitorowanie skuteczności środków.</w:t>
      </w:r>
    </w:p>
    <w:p w:rsidR="00F63864" w:rsidRPr="002131BA" w:rsidRDefault="006C0E21" w:rsidP="008875B1">
      <w:pPr>
        <w:ind w:firstLine="360"/>
        <w:rPr>
          <w:rFonts w:ascii="Arial" w:hAnsi="Arial" w:cs="Arial"/>
          <w:sz w:val="20"/>
          <w:szCs w:val="20"/>
        </w:rPr>
      </w:pPr>
      <w:r w:rsidRPr="00216FCA">
        <w:rPr>
          <w:rFonts w:ascii="Arial" w:hAnsi="Arial" w:cs="Arial"/>
          <w:sz w:val="20"/>
          <w:szCs w:val="20"/>
          <w:lang w:val="pl-PL"/>
        </w:rPr>
        <w:t>Obsługa dużego ogniska zwiększa zapotrzebowanie na personel i środki.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 xml:space="preserve">Plan awaryjny powinien zatem opisywać, jak w krótkim </w:t>
      </w:r>
      <w:r w:rsidR="00216FCA" w:rsidRPr="009A642B">
        <w:rPr>
          <w:rFonts w:ascii="Arial" w:hAnsi="Arial" w:cs="Arial"/>
          <w:sz w:val="20"/>
          <w:szCs w:val="20"/>
          <w:lang w:val="pl-PL"/>
        </w:rPr>
        <w:t xml:space="preserve">czasie </w:t>
      </w:r>
      <w:r w:rsidRPr="009A642B">
        <w:rPr>
          <w:rFonts w:ascii="Arial" w:hAnsi="Arial" w:cs="Arial"/>
          <w:sz w:val="20"/>
          <w:szCs w:val="20"/>
          <w:lang w:val="pl-PL"/>
        </w:rPr>
        <w:t xml:space="preserve">zwiększyć skalę </w:t>
      </w:r>
      <w:r w:rsidR="00216FCA" w:rsidRPr="009A642B">
        <w:rPr>
          <w:rFonts w:ascii="Arial" w:hAnsi="Arial" w:cs="Arial"/>
          <w:sz w:val="20"/>
          <w:szCs w:val="20"/>
          <w:lang w:val="pl-PL"/>
        </w:rPr>
        <w:t xml:space="preserve">działania </w:t>
      </w:r>
      <w:r w:rsidRPr="009A642B">
        <w:rPr>
          <w:rFonts w:ascii="Arial" w:hAnsi="Arial" w:cs="Arial"/>
          <w:sz w:val="20"/>
          <w:szCs w:val="20"/>
          <w:lang w:val="pl-PL"/>
        </w:rPr>
        <w:t>służb, zwłaszcza na wczesnym etapie sytuacji awaryjnej, kiedy szybkość reakcji jest niezbędna.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>Plan awaryjny powinien w szczególności opisywać, jak w krótkim terminie zwiększyć potencjał badań laboratoryjnych wspierających urzędowe działania.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 xml:space="preserve">Jednym z rozwiązań jest zaangażowanie innych laboratoriów, które mogłyby diagnozować próbki zebranie przez </w:t>
      </w:r>
      <w:proofErr w:type="spellStart"/>
      <w:r w:rsidRPr="009A642B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9A642B">
        <w:rPr>
          <w:rFonts w:ascii="Arial" w:hAnsi="Arial" w:cs="Arial"/>
          <w:sz w:val="20"/>
          <w:szCs w:val="20"/>
          <w:lang w:val="pl-PL"/>
        </w:rPr>
        <w:t xml:space="preserve"> pod nadzorem urzędowego laboratorium diagnostycznego.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A76717" w:rsidRPr="009A642B">
        <w:rPr>
          <w:rFonts w:ascii="Arial" w:hAnsi="Arial" w:cs="Arial"/>
          <w:sz w:val="20"/>
          <w:szCs w:val="20"/>
          <w:lang w:val="pl-PL"/>
        </w:rPr>
        <w:t>Ważne jest również zaangażowanie odpowiedniej liczby pracowników do realizacji programu próbobrania, co można osiągnąć, na przykład, zawierając odpowiednie umowy z innymi jednostkami lub organizacjami.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A76717" w:rsidRPr="009A642B">
        <w:rPr>
          <w:rFonts w:ascii="Arial" w:hAnsi="Arial" w:cs="Arial"/>
          <w:sz w:val="20"/>
          <w:szCs w:val="20"/>
          <w:lang w:val="pl-PL"/>
        </w:rPr>
        <w:t>W przypadku niektórych ognisk niezbędne może okazać się nawet zatrudnienie wykonawców dysponujących specjalistycznym sprzętem do aplikacji środków ochrony roślin.</w:t>
      </w:r>
    </w:p>
    <w:p w:rsidR="008875B1" w:rsidRDefault="008875B1">
      <w:pPr>
        <w:tabs>
          <w:tab w:val="left" w:pos="202"/>
        </w:tabs>
        <w:outlineLvl w:val="2"/>
        <w:rPr>
          <w:rFonts w:ascii="Arial" w:hAnsi="Arial" w:cs="Arial"/>
          <w:sz w:val="20"/>
          <w:szCs w:val="20"/>
        </w:rPr>
      </w:pPr>
      <w:bookmarkStart w:id="10" w:name="bookmark11"/>
    </w:p>
    <w:bookmarkEnd w:id="10"/>
    <w:p w:rsidR="00F63864" w:rsidRPr="009A642B" w:rsidRDefault="00A76717" w:rsidP="009A642B">
      <w:pPr>
        <w:pStyle w:val="Akapitzlist"/>
        <w:numPr>
          <w:ilvl w:val="0"/>
          <w:numId w:val="3"/>
        </w:numPr>
        <w:tabs>
          <w:tab w:val="left" w:pos="202"/>
        </w:tabs>
        <w:outlineLvl w:val="2"/>
        <w:rPr>
          <w:rFonts w:ascii="Arial" w:hAnsi="Arial" w:cs="Arial"/>
          <w:b/>
          <w:sz w:val="20"/>
          <w:szCs w:val="20"/>
        </w:rPr>
      </w:pPr>
      <w:r w:rsidRPr="009A642B">
        <w:rPr>
          <w:rFonts w:ascii="Arial" w:hAnsi="Arial" w:cs="Arial"/>
          <w:b/>
          <w:sz w:val="20"/>
          <w:szCs w:val="20"/>
          <w:lang w:val="pl-PL"/>
        </w:rPr>
        <w:t>Przegląd stosowanych środków w przypadku długotrwałych działań urzędowych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A76717">
      <w:pPr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Jeżeli na wyznaczonym obszarze niezbędne jest nieprzerwane prowadzenie działań urzędowych przez dłuższy okres, należy regularnie dokonywać przeglądu środków stosowanych w celu tępienia i powstrzymania organizmu, aby określić ich długoterminową skuteczność i opłacalność.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>Przegląd ten powinien uwzględniać konsultacje z interesariuszami i obejmować:</w:t>
      </w:r>
    </w:p>
    <w:p w:rsidR="00F63864" w:rsidRPr="009A642B" w:rsidRDefault="00A7671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ocenę skuteczności stosowanych środków</w:t>
      </w:r>
    </w:p>
    <w:p w:rsidR="00F63864" w:rsidRPr="009A642B" w:rsidRDefault="00A7671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ocenę skutków ekonomicznych i opłacalności dalszego stosowania obecnych środków</w:t>
      </w:r>
    </w:p>
    <w:p w:rsidR="00F63864" w:rsidRPr="009A642B" w:rsidRDefault="00A7671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rozpatrzenie wprowadzenia dalszych środkó</w:t>
      </w:r>
      <w:r w:rsidR="009875E0" w:rsidRPr="009A642B">
        <w:rPr>
          <w:rFonts w:ascii="Arial" w:hAnsi="Arial" w:cs="Arial"/>
          <w:sz w:val="20"/>
          <w:szCs w:val="20"/>
          <w:lang w:val="pl-PL"/>
        </w:rPr>
        <w:t>w</w:t>
      </w:r>
    </w:p>
    <w:p w:rsidR="00F63864" w:rsidRPr="009A642B" w:rsidRDefault="009875E0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rozważenie obowiązków ustawowych i wpływu na procedury importowo-eksportowe</w:t>
      </w:r>
    </w:p>
    <w:p w:rsidR="00F63864" w:rsidRPr="009A642B" w:rsidRDefault="009875E0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rozważenie rozwiązań alternatywnych, takich jak dążenie do powstrzymania, zamiast wytępienia organizmu lub nawet zaprzestanie działań urzędowych.</w:t>
      </w:r>
    </w:p>
    <w:p w:rsidR="00F63864" w:rsidRPr="002131BA" w:rsidRDefault="009875E0">
      <w:pPr>
        <w:ind w:firstLine="360"/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W sytuacji, gdy organizm zostanie uznany za niemożliwy do wytępienia lub powstrzymania, a dalsze urzędowe działania za bezcelowe, należy, odpowiednio do okoliczności, skonsultować się z interesariuszami i ustalić harmonogram i mechanizm znoszenia urzędowych środków oraz rozpowszechniania informacji o sposobach ochrony roślin przed agrofagiem.</w:t>
      </w:r>
    </w:p>
    <w:p w:rsidR="008875B1" w:rsidRDefault="008875B1">
      <w:pPr>
        <w:tabs>
          <w:tab w:val="left" w:pos="202"/>
        </w:tabs>
        <w:outlineLvl w:val="2"/>
        <w:rPr>
          <w:rFonts w:ascii="Arial" w:hAnsi="Arial" w:cs="Arial"/>
          <w:sz w:val="20"/>
          <w:szCs w:val="20"/>
        </w:rPr>
      </w:pPr>
      <w:bookmarkStart w:id="11" w:name="bookmark12"/>
    </w:p>
    <w:bookmarkEnd w:id="11"/>
    <w:p w:rsidR="00F63864" w:rsidRPr="009A642B" w:rsidRDefault="009875E0" w:rsidP="009A642B">
      <w:pPr>
        <w:pStyle w:val="Akapitzlist"/>
        <w:numPr>
          <w:ilvl w:val="0"/>
          <w:numId w:val="3"/>
        </w:numPr>
        <w:tabs>
          <w:tab w:val="left" w:pos="202"/>
        </w:tabs>
        <w:outlineLvl w:val="2"/>
        <w:rPr>
          <w:rFonts w:ascii="Arial" w:hAnsi="Arial" w:cs="Arial"/>
          <w:b/>
          <w:sz w:val="20"/>
          <w:szCs w:val="20"/>
        </w:rPr>
      </w:pPr>
      <w:r w:rsidRPr="009A642B">
        <w:rPr>
          <w:rFonts w:ascii="Arial" w:hAnsi="Arial" w:cs="Arial"/>
          <w:b/>
          <w:sz w:val="20"/>
          <w:szCs w:val="20"/>
          <w:lang w:val="pl-PL"/>
        </w:rPr>
        <w:t>Określenie zakończenia działań ustawowych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9875E0">
      <w:pPr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 xml:space="preserve">Okres braku występowania agrofaga, który uznaje się </w:t>
      </w:r>
      <w:r w:rsidR="009A642B" w:rsidRPr="009A642B">
        <w:rPr>
          <w:rFonts w:ascii="Arial" w:hAnsi="Arial" w:cs="Arial"/>
          <w:sz w:val="20"/>
          <w:szCs w:val="20"/>
          <w:lang w:val="pl-PL"/>
        </w:rPr>
        <w:t xml:space="preserve">za </w:t>
      </w:r>
      <w:r w:rsidRPr="009A642B">
        <w:rPr>
          <w:rFonts w:ascii="Arial" w:hAnsi="Arial" w:cs="Arial"/>
          <w:sz w:val="20"/>
          <w:szCs w:val="20"/>
          <w:lang w:val="pl-PL"/>
        </w:rPr>
        <w:t>potwierdzenie jego wytępienia uzależniony jest od biologii danego organizmu i stwierdzonego poziomu porażenia.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840421" w:rsidRPr="009A642B">
        <w:rPr>
          <w:rFonts w:ascii="Arial" w:hAnsi="Arial" w:cs="Arial"/>
          <w:sz w:val="20"/>
          <w:szCs w:val="20"/>
          <w:lang w:val="pl-PL"/>
        </w:rPr>
        <w:t>Należy również brać pod uwagę wiarygodność materiału dowodowego, na którą mogą wpłynąć następujące czynniki:</w:t>
      </w:r>
    </w:p>
    <w:p w:rsidR="00F63864" w:rsidRPr="009A642B" w:rsidRDefault="00840421" w:rsidP="009A642B">
      <w:pPr>
        <w:pStyle w:val="Akapitzlist"/>
        <w:numPr>
          <w:ilvl w:val="0"/>
          <w:numId w:val="5"/>
        </w:numPr>
        <w:tabs>
          <w:tab w:val="left" w:pos="379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metody inspekcji i wykrywania</w:t>
      </w:r>
    </w:p>
    <w:p w:rsidR="00F63864" w:rsidRPr="009A642B" w:rsidRDefault="00840421" w:rsidP="009A642B">
      <w:pPr>
        <w:pStyle w:val="Akapitzlist"/>
        <w:numPr>
          <w:ilvl w:val="0"/>
          <w:numId w:val="5"/>
        </w:numPr>
        <w:tabs>
          <w:tab w:val="left" w:pos="379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intensywność programu monitorowania</w:t>
      </w:r>
    </w:p>
    <w:p w:rsidR="00F63864" w:rsidRPr="009A642B" w:rsidRDefault="00840421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łatwość wykrycia</w:t>
      </w:r>
    </w:p>
    <w:p w:rsidR="00F63864" w:rsidRPr="009A642B" w:rsidRDefault="00840421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cechy obszaru nadzorowanego.</w:t>
      </w:r>
    </w:p>
    <w:p w:rsidR="00F63864" w:rsidRPr="002131BA" w:rsidRDefault="00840421">
      <w:pPr>
        <w:ind w:firstLine="360"/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Wytępienie agrofaga uznaje się za skuteczne, jeżeli w ustalonym okresie potwierdzony zostanie brak jego obecności.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 xml:space="preserve">Okres taki może być równy długości życia co najmniej dwóch pokoleń agrofaga, dwóm kompletnym cyklom plonowania lub odpowiedniemu okresowi </w:t>
      </w:r>
      <w:r w:rsidR="009D30D3" w:rsidRPr="009A642B">
        <w:rPr>
          <w:rFonts w:ascii="Arial" w:hAnsi="Arial" w:cs="Arial"/>
          <w:sz w:val="20"/>
          <w:szCs w:val="20"/>
          <w:lang w:val="pl-PL"/>
        </w:rPr>
        <w:t>bez roślin żywicielskich i będzie ustalany indywidualnie w każdej sytuacji.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9D30D3" w:rsidRPr="009A642B">
        <w:rPr>
          <w:rFonts w:ascii="Arial" w:hAnsi="Arial" w:cs="Arial"/>
          <w:sz w:val="20"/>
          <w:szCs w:val="20"/>
          <w:lang w:val="pl-PL"/>
        </w:rPr>
        <w:t>Ze względu na cykl życia i epidemiologię agrofaga na obszar porażony mogą zostać nałożone długotrwałe ograniczenia służące zapobieżeniu wtórnemu porażeniu.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9D30D3" w:rsidRPr="009A642B">
        <w:rPr>
          <w:rFonts w:ascii="Arial" w:hAnsi="Arial" w:cs="Arial"/>
          <w:sz w:val="20"/>
          <w:szCs w:val="20"/>
          <w:lang w:val="pl-PL"/>
        </w:rPr>
        <w:t>Należy również zastosować odpowiedni monitoring w celu potwierdzenia braku obecności agrofaga.</w:t>
      </w:r>
    </w:p>
    <w:p w:rsidR="008875B1" w:rsidRDefault="008875B1">
      <w:pPr>
        <w:tabs>
          <w:tab w:val="left" w:pos="197"/>
        </w:tabs>
        <w:outlineLvl w:val="2"/>
        <w:rPr>
          <w:rFonts w:ascii="Arial" w:hAnsi="Arial" w:cs="Arial"/>
          <w:sz w:val="20"/>
          <w:szCs w:val="20"/>
        </w:rPr>
      </w:pPr>
      <w:bookmarkStart w:id="12" w:name="bookmark13"/>
    </w:p>
    <w:bookmarkEnd w:id="12"/>
    <w:p w:rsidR="00F63864" w:rsidRPr="009A642B" w:rsidRDefault="009D30D3" w:rsidP="009A642B">
      <w:pPr>
        <w:pStyle w:val="Akapitzlist"/>
        <w:numPr>
          <w:ilvl w:val="0"/>
          <w:numId w:val="3"/>
        </w:numPr>
        <w:tabs>
          <w:tab w:val="left" w:pos="197"/>
        </w:tabs>
        <w:outlineLvl w:val="2"/>
        <w:rPr>
          <w:rFonts w:ascii="Arial" w:hAnsi="Arial" w:cs="Arial"/>
          <w:b/>
          <w:sz w:val="20"/>
          <w:szCs w:val="20"/>
        </w:rPr>
      </w:pPr>
      <w:r w:rsidRPr="009A642B">
        <w:rPr>
          <w:rFonts w:ascii="Arial" w:hAnsi="Arial" w:cs="Arial"/>
          <w:b/>
          <w:sz w:val="20"/>
          <w:szCs w:val="20"/>
          <w:lang w:val="pl-PL"/>
        </w:rPr>
        <w:t>Struktura decyzyjna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9D30D3">
      <w:pPr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Realizacja planu awaryjnego wymaga wyraźnego określenia ról i zakresu odpowiedzialności poszczególnych osób.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>Ta struktura organizacyjna powinna identyfikować role i zakres odpowiedzialności na trzech poziomach:</w:t>
      </w:r>
    </w:p>
    <w:p w:rsidR="00F63864" w:rsidRPr="009A642B" w:rsidRDefault="009D30D3" w:rsidP="009A642B">
      <w:pPr>
        <w:pStyle w:val="Akapitzlist"/>
        <w:numPr>
          <w:ilvl w:val="0"/>
          <w:numId w:val="5"/>
        </w:numPr>
        <w:tabs>
          <w:tab w:val="left" w:pos="389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strategicznym (odpowiedzialność za politykę zwalczania agrofaga i decyzje w tym zakresie)</w:t>
      </w:r>
    </w:p>
    <w:p w:rsidR="00F63864" w:rsidRPr="009A642B" w:rsidRDefault="009D30D3" w:rsidP="009A642B">
      <w:pPr>
        <w:pStyle w:val="Akapitzlist"/>
        <w:numPr>
          <w:ilvl w:val="0"/>
          <w:numId w:val="5"/>
        </w:numPr>
        <w:tabs>
          <w:tab w:val="left" w:pos="379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lastRenderedPageBreak/>
        <w:t>taktycznym (przełożenie polityki na praktyczne instrukcje)</w:t>
      </w:r>
    </w:p>
    <w:p w:rsidR="00F63864" w:rsidRPr="009A642B" w:rsidRDefault="009D30D3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operacyjnym (realizacja instrukcji, np. odpowiedzialność za prowadzenie inspekcji, lustracji, egzekwowanie przepisów i diagnostykę agrofaga).</w:t>
      </w:r>
    </w:p>
    <w:p w:rsidR="00F63864" w:rsidRPr="002131BA" w:rsidRDefault="009D30D3">
      <w:pPr>
        <w:ind w:firstLine="360"/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Strukturę decyzyjną należy utworzyć natychmiast po inicjacji planu awaryjnego;</w:t>
      </w:r>
      <w:r w:rsidR="002131BA" w:rsidRPr="009D30D3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>może to być struktura odrębna lub wykorzystująca struktury istniejące.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 xml:space="preserve">Musi powstać doraźny zespół kierowniczy </w:t>
      </w:r>
      <w:r w:rsidR="002B6587" w:rsidRPr="009A642B">
        <w:rPr>
          <w:rFonts w:ascii="Arial" w:hAnsi="Arial" w:cs="Arial"/>
          <w:sz w:val="20"/>
          <w:szCs w:val="20"/>
          <w:lang w:val="pl-PL"/>
        </w:rPr>
        <w:t>zajmujący się</w:t>
      </w:r>
      <w:r w:rsidRPr="009A642B">
        <w:rPr>
          <w:rFonts w:ascii="Arial" w:hAnsi="Arial" w:cs="Arial"/>
          <w:sz w:val="20"/>
          <w:szCs w:val="20"/>
          <w:lang w:val="pl-PL"/>
        </w:rPr>
        <w:t xml:space="preserve">, w szczególności, </w:t>
      </w:r>
      <w:r w:rsidR="002B6587" w:rsidRPr="009A642B">
        <w:rPr>
          <w:rFonts w:ascii="Arial" w:hAnsi="Arial" w:cs="Arial"/>
          <w:sz w:val="20"/>
          <w:szCs w:val="20"/>
          <w:lang w:val="pl-PL"/>
        </w:rPr>
        <w:t>aspektami taktycznymi i operacyjnymi</w:t>
      </w:r>
      <w:r w:rsidRPr="009A642B">
        <w:rPr>
          <w:rFonts w:ascii="Arial" w:hAnsi="Arial" w:cs="Arial"/>
          <w:sz w:val="20"/>
          <w:szCs w:val="20"/>
          <w:lang w:val="pl-PL"/>
        </w:rPr>
        <w:t xml:space="preserve"> planu awaryjnego.</w:t>
      </w:r>
    </w:p>
    <w:p w:rsidR="00F63864" w:rsidRPr="002131BA" w:rsidRDefault="002B6587">
      <w:pPr>
        <w:ind w:firstLine="360"/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Będzie on odpowiedzialny za: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ocenę zagrożenia, jakie stwarza ognisko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zarządzanie dochodzeniem służącym określeniu zakresu ogniska oraz możliwości i prawdopodobnych kosztów powstrzymania i wytępienia organizmu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zarządzanie programem powstrzymania i wytępienia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mobilizację zasobów służących realizacji programu powstrzymania i wytępienia i administrowanie nimi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ułatwianie działania personelowi i przekazywanie mu odpowiednich upoważnień do realizacji działań urzędowych w ramach programu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w uzasadnionych przypadkach, kontakty z innymi agencjami w sprawach dotyczących zdrowia publicznego, unieszkodliwiania porażonego materiału i ochrony środowiska, takimi jak władze samorządowe, policja i organy egzekucyjne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nominowanie rzecznika odpowiedzialnego za komunikację wewnętrzną i zewnętrzną oraz oficjalne notyfikacje.</w:t>
      </w:r>
    </w:p>
    <w:p w:rsidR="00F63864" w:rsidRPr="002131BA" w:rsidRDefault="002B6587">
      <w:pPr>
        <w:ind w:firstLine="360"/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W skład doraźnego zespołu kierowniczego może wchodzić doradca ds. naukowych odpowiedzialny za: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ocenę agrofaga i stwarzanego przez niego zagrożenia</w:t>
      </w:r>
    </w:p>
    <w:p w:rsidR="00F63864" w:rsidRPr="009A642B" w:rsidRDefault="002B6587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kontakty z jednostką (jedno</w:t>
      </w:r>
      <w:r w:rsidR="009A642B" w:rsidRPr="009A642B">
        <w:rPr>
          <w:rFonts w:ascii="Arial" w:hAnsi="Arial" w:cs="Arial"/>
          <w:sz w:val="20"/>
          <w:szCs w:val="20"/>
          <w:lang w:val="pl-PL"/>
        </w:rPr>
        <w:t>stkami) diagnostyczną w sprawie</w:t>
      </w:r>
      <w:r w:rsidRPr="009A642B">
        <w:rPr>
          <w:rFonts w:ascii="Arial" w:hAnsi="Arial" w:cs="Arial"/>
          <w:sz w:val="20"/>
          <w:szCs w:val="20"/>
          <w:lang w:val="pl-PL"/>
        </w:rPr>
        <w:t xml:space="preserve"> wyników badań laboratoryjnych</w:t>
      </w:r>
    </w:p>
    <w:p w:rsidR="00F63864" w:rsidRPr="009A642B" w:rsidRDefault="00E065E6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uzyskiwanie</w:t>
      </w:r>
      <w:r w:rsidR="002B6587" w:rsidRPr="009A642B">
        <w:rPr>
          <w:rFonts w:ascii="Arial" w:hAnsi="Arial" w:cs="Arial"/>
          <w:sz w:val="20"/>
          <w:szCs w:val="20"/>
          <w:lang w:val="pl-PL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>doraźnych pozwoleń</w:t>
      </w:r>
      <w:r w:rsidR="002B6587" w:rsidRPr="009A642B">
        <w:rPr>
          <w:rFonts w:ascii="Arial" w:hAnsi="Arial" w:cs="Arial"/>
          <w:sz w:val="20"/>
          <w:szCs w:val="20"/>
          <w:lang w:val="pl-PL"/>
        </w:rPr>
        <w:t xml:space="preserve"> na użycie środków </w:t>
      </w:r>
      <w:r w:rsidRPr="009A642B">
        <w:rPr>
          <w:rFonts w:ascii="Arial" w:hAnsi="Arial" w:cs="Arial"/>
          <w:sz w:val="20"/>
          <w:szCs w:val="20"/>
          <w:lang w:val="pl-PL"/>
        </w:rPr>
        <w:t>ochrony roślin</w:t>
      </w:r>
    </w:p>
    <w:p w:rsidR="00F63864" w:rsidRPr="009A642B" w:rsidRDefault="00E065E6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doradztwo w sprawie bezpiecznego unieszkodliwiania zanieczyszczonego materiału</w:t>
      </w:r>
    </w:p>
    <w:p w:rsidR="00F63864" w:rsidRPr="009A642B" w:rsidRDefault="00E065E6" w:rsidP="009A642B">
      <w:pPr>
        <w:pStyle w:val="Akapitzlist"/>
        <w:numPr>
          <w:ilvl w:val="0"/>
          <w:numId w:val="5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doradztwo w sprawie czyszczenia i dezynfekcji.</w:t>
      </w:r>
    </w:p>
    <w:p w:rsidR="00F63864" w:rsidRPr="002131BA" w:rsidRDefault="00E065E6" w:rsidP="008875B1">
      <w:pPr>
        <w:ind w:firstLine="360"/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W planie należy podać dane kontaktowe wszystkich pracowników, których udział w działaniach doraźnych może być niezbędny, w tym personelu agencji zewnętrznych.</w:t>
      </w:r>
    </w:p>
    <w:p w:rsidR="00F63864" w:rsidRPr="002131BA" w:rsidRDefault="00E065E6">
      <w:pPr>
        <w:ind w:firstLine="360"/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 xml:space="preserve">Często tworzy się oddzielną grupę doradczą, której celem jest zaangażowanie </w:t>
      </w:r>
      <w:r w:rsidRPr="009A642B">
        <w:rPr>
          <w:rFonts w:ascii="Arial" w:hAnsi="Arial" w:cs="Arial"/>
          <w:sz w:val="20"/>
          <w:szCs w:val="20"/>
          <w:lang w:val="pl-PL"/>
        </w:rPr>
        <w:lastRenderedPageBreak/>
        <w:t>interesariuszy na różnych etapach procesu tępienia agrofaga oraz doradzanie doraźnemu zespołowi kierowniczemu w sprawach związanych z tym procesem.</w:t>
      </w:r>
    </w:p>
    <w:p w:rsidR="008875B1" w:rsidRDefault="008875B1">
      <w:pPr>
        <w:tabs>
          <w:tab w:val="left" w:pos="192"/>
        </w:tabs>
        <w:outlineLvl w:val="2"/>
        <w:rPr>
          <w:rFonts w:ascii="Arial" w:hAnsi="Arial" w:cs="Arial"/>
          <w:sz w:val="20"/>
          <w:szCs w:val="20"/>
        </w:rPr>
      </w:pPr>
      <w:bookmarkStart w:id="13" w:name="bookmark14"/>
    </w:p>
    <w:bookmarkEnd w:id="13"/>
    <w:p w:rsidR="00F63864" w:rsidRPr="009A642B" w:rsidRDefault="00E065E6" w:rsidP="009A642B">
      <w:pPr>
        <w:pStyle w:val="Akapitzlist"/>
        <w:numPr>
          <w:ilvl w:val="0"/>
          <w:numId w:val="3"/>
        </w:numPr>
        <w:tabs>
          <w:tab w:val="left" w:pos="192"/>
        </w:tabs>
        <w:outlineLvl w:val="2"/>
        <w:rPr>
          <w:rFonts w:ascii="Arial" w:hAnsi="Arial" w:cs="Arial"/>
          <w:b/>
          <w:sz w:val="20"/>
          <w:szCs w:val="20"/>
        </w:rPr>
      </w:pPr>
      <w:r w:rsidRPr="009A642B">
        <w:rPr>
          <w:rFonts w:ascii="Arial" w:hAnsi="Arial" w:cs="Arial"/>
          <w:b/>
          <w:sz w:val="20"/>
          <w:szCs w:val="20"/>
          <w:lang w:val="pl-PL"/>
        </w:rPr>
        <w:t>Konsultacje z interesariuszami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E065E6">
      <w:pPr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 xml:space="preserve">Usilnie zaleca się zaangażowanie </w:t>
      </w:r>
      <w:r w:rsidR="006F38CE" w:rsidRPr="009A642B">
        <w:rPr>
          <w:rFonts w:ascii="Arial" w:hAnsi="Arial" w:cs="Arial"/>
          <w:sz w:val="20"/>
          <w:szCs w:val="20"/>
          <w:lang w:val="pl-PL"/>
        </w:rPr>
        <w:t>interesariuszy w opracowanie planu awaryjnego.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9A642B" w:rsidRPr="009A642B">
        <w:rPr>
          <w:rFonts w:ascii="Arial" w:hAnsi="Arial" w:cs="Arial"/>
          <w:sz w:val="20"/>
          <w:szCs w:val="20"/>
          <w:lang w:val="pl-PL"/>
        </w:rPr>
        <w:t xml:space="preserve">Zwłaszcza </w:t>
      </w:r>
      <w:r w:rsidR="006F38CE" w:rsidRPr="009A642B">
        <w:rPr>
          <w:rFonts w:ascii="Arial" w:hAnsi="Arial" w:cs="Arial"/>
          <w:sz w:val="20"/>
          <w:szCs w:val="20"/>
          <w:lang w:val="pl-PL"/>
        </w:rPr>
        <w:t xml:space="preserve">zaangażowanie </w:t>
      </w:r>
      <w:r w:rsidR="009A642B" w:rsidRPr="009A642B">
        <w:rPr>
          <w:rFonts w:ascii="Arial" w:hAnsi="Arial" w:cs="Arial"/>
          <w:sz w:val="20"/>
          <w:szCs w:val="20"/>
          <w:lang w:val="pl-PL"/>
        </w:rPr>
        <w:t xml:space="preserve">w opracowanie planu awaryjnego </w:t>
      </w:r>
      <w:r w:rsidR="006F38CE" w:rsidRPr="009A642B">
        <w:rPr>
          <w:rFonts w:ascii="Arial" w:hAnsi="Arial" w:cs="Arial"/>
          <w:sz w:val="20"/>
          <w:szCs w:val="20"/>
          <w:lang w:val="pl-PL"/>
        </w:rPr>
        <w:t>przedstawicieli danego sektora promuje świadomość zagrożenia agrofagiem, wzmaga czujność i propaguje dobre praktyki kwarantannowe i higieniczne.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6F38CE" w:rsidRPr="009A642B">
        <w:rPr>
          <w:rFonts w:ascii="Arial" w:hAnsi="Arial" w:cs="Arial"/>
          <w:sz w:val="20"/>
          <w:szCs w:val="20"/>
          <w:lang w:val="pl-PL"/>
        </w:rPr>
        <w:t xml:space="preserve">Pomaga też zagwarantować ich zaangażowanie w razie wystąpienia porażenia i wzmacnia świadomość planowanych działań. </w:t>
      </w:r>
    </w:p>
    <w:p w:rsidR="00F63864" w:rsidRPr="002131BA" w:rsidRDefault="006F38CE" w:rsidP="008875B1">
      <w:pPr>
        <w:ind w:firstLine="360"/>
        <w:rPr>
          <w:rFonts w:ascii="Arial" w:hAnsi="Arial" w:cs="Arial"/>
          <w:sz w:val="20"/>
          <w:szCs w:val="20"/>
        </w:rPr>
      </w:pPr>
      <w:r w:rsidRPr="009A642B">
        <w:rPr>
          <w:rFonts w:ascii="Arial" w:hAnsi="Arial" w:cs="Arial"/>
          <w:sz w:val="20"/>
          <w:szCs w:val="20"/>
          <w:lang w:val="pl-PL"/>
        </w:rPr>
        <w:t>W planie awaryjnym należy podać wykaz interesariuszy, z którymi należy się skontaktować w razie jego realizacji.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9A642B">
        <w:rPr>
          <w:rFonts w:ascii="Arial" w:hAnsi="Arial" w:cs="Arial"/>
          <w:sz w:val="20"/>
          <w:szCs w:val="20"/>
          <w:lang w:val="pl-PL"/>
        </w:rPr>
        <w:t>W przypadku wystąpienia porażenia można zaprosić ich na spotkanie w celu omówienia środków i implikacji, należy ich również informować o rozwoju sytuacji.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>Utworzenie grupy doradczej umożliwi doraźnemu zespołowi kierowniczemu regularne kontakty z interesariuszami w sprawie postępów w programie tępienia organizmu i uwzględnienie ich wkładu i punktu widzenia.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>Grupa doradcza ułatwi również skuteczne konsultacje z interesariuszami w sytuacjach, gdy niezbędne jest podjęcie działań długoterminowych.</w:t>
      </w:r>
    </w:p>
    <w:p w:rsidR="008875B1" w:rsidRDefault="008875B1">
      <w:pPr>
        <w:tabs>
          <w:tab w:val="left" w:pos="197"/>
        </w:tabs>
        <w:outlineLvl w:val="2"/>
        <w:rPr>
          <w:rFonts w:ascii="Arial" w:hAnsi="Arial" w:cs="Arial"/>
          <w:sz w:val="20"/>
          <w:szCs w:val="20"/>
        </w:rPr>
      </w:pPr>
      <w:bookmarkStart w:id="14" w:name="bookmark15"/>
    </w:p>
    <w:bookmarkEnd w:id="14"/>
    <w:p w:rsidR="00F63864" w:rsidRPr="00EC18FA" w:rsidRDefault="006F38CE" w:rsidP="00EC18FA">
      <w:pPr>
        <w:pStyle w:val="Akapitzlist"/>
        <w:numPr>
          <w:ilvl w:val="0"/>
          <w:numId w:val="3"/>
        </w:numPr>
        <w:tabs>
          <w:tab w:val="left" w:pos="197"/>
        </w:tabs>
        <w:outlineLvl w:val="2"/>
        <w:rPr>
          <w:rFonts w:ascii="Arial" w:hAnsi="Arial" w:cs="Arial"/>
          <w:b/>
          <w:sz w:val="20"/>
          <w:szCs w:val="20"/>
        </w:rPr>
      </w:pPr>
      <w:r w:rsidRPr="00EC18FA">
        <w:rPr>
          <w:rFonts w:ascii="Arial" w:hAnsi="Arial" w:cs="Arial"/>
          <w:b/>
          <w:sz w:val="20"/>
          <w:szCs w:val="20"/>
          <w:lang w:val="pl-PL"/>
        </w:rPr>
        <w:t>Komunikacja wewnętrzna i dokumentacja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6F38CE">
      <w:pPr>
        <w:rPr>
          <w:rFonts w:ascii="Arial" w:hAnsi="Arial" w:cs="Arial"/>
          <w:sz w:val="20"/>
          <w:szCs w:val="20"/>
        </w:rPr>
      </w:pPr>
      <w:r w:rsidRPr="00EC18FA">
        <w:rPr>
          <w:rFonts w:ascii="Arial" w:hAnsi="Arial" w:cs="Arial"/>
          <w:sz w:val="20"/>
          <w:szCs w:val="20"/>
          <w:lang w:val="pl-PL"/>
        </w:rPr>
        <w:t xml:space="preserve">Wyznaczony rzecznik ma do odegrania kluczową rolę </w:t>
      </w:r>
      <w:r w:rsidR="00DE26AE" w:rsidRPr="00EC18FA">
        <w:rPr>
          <w:rFonts w:ascii="Arial" w:hAnsi="Arial" w:cs="Arial"/>
          <w:sz w:val="20"/>
          <w:szCs w:val="20"/>
          <w:lang w:val="pl-PL"/>
        </w:rPr>
        <w:t xml:space="preserve">w zagwarantowaniu skutecznej komunikacji wewnątrz </w:t>
      </w:r>
      <w:proofErr w:type="spellStart"/>
      <w:r w:rsidR="00DE26AE" w:rsidRPr="00EC18FA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DE26AE" w:rsidRPr="00EC18FA">
        <w:rPr>
          <w:rFonts w:ascii="Arial" w:hAnsi="Arial" w:cs="Arial"/>
          <w:sz w:val="20"/>
          <w:szCs w:val="20"/>
          <w:lang w:val="pl-PL"/>
        </w:rPr>
        <w:t xml:space="preserve"> od chwili inicjacji planu awaryjnego do oficjalnego potwierdzenia wytępienia.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DE26AE" w:rsidRPr="00EC18FA">
        <w:rPr>
          <w:rFonts w:ascii="Arial" w:hAnsi="Arial" w:cs="Arial"/>
          <w:sz w:val="20"/>
          <w:szCs w:val="20"/>
          <w:lang w:val="pl-PL"/>
        </w:rPr>
        <w:t>Osoby odpowiedzialne za ognisko agrofaga na poziomie politycznym i strategicznym powinny być informowane na bieżąco o sytuacji.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DE26AE" w:rsidRPr="00EC18FA">
        <w:rPr>
          <w:rFonts w:ascii="Arial" w:hAnsi="Arial" w:cs="Arial"/>
          <w:sz w:val="20"/>
          <w:szCs w:val="20"/>
          <w:lang w:val="pl-PL"/>
        </w:rPr>
        <w:t>Informacje takie powinny dotyczyć charakteru ogniska, wyników dochodzenia i zasięgu porażenia, oceny zagrożenia stwarzanego przez agrofaga, prawdopodobnych i faktycznych kosztów tępienia, wpływu na sektor i środowisko oraz wyników programu tępienia po jego zakończeniu.</w:t>
      </w:r>
    </w:p>
    <w:p w:rsidR="00F63864" w:rsidRPr="002131BA" w:rsidRDefault="00DE26AE">
      <w:pPr>
        <w:ind w:firstLine="360"/>
        <w:rPr>
          <w:rFonts w:ascii="Arial" w:hAnsi="Arial" w:cs="Arial"/>
          <w:sz w:val="20"/>
          <w:szCs w:val="20"/>
        </w:rPr>
      </w:pPr>
      <w:r w:rsidRPr="00EC18FA">
        <w:rPr>
          <w:rFonts w:ascii="Arial" w:hAnsi="Arial" w:cs="Arial"/>
          <w:sz w:val="20"/>
          <w:szCs w:val="20"/>
          <w:lang w:val="pl-PL"/>
        </w:rPr>
        <w:t>Niezbędne jest dokładne archiwizowanie zdarzeń, działań i wyników.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 xml:space="preserve">W </w:t>
      </w:r>
      <w:proofErr w:type="spellStart"/>
      <w:r w:rsidRPr="00EC18FA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EC18FA">
        <w:rPr>
          <w:rFonts w:ascii="Arial" w:hAnsi="Arial" w:cs="Arial"/>
          <w:sz w:val="20"/>
          <w:szCs w:val="20"/>
          <w:lang w:val="pl-PL"/>
        </w:rPr>
        <w:t xml:space="preserve"> polega to głównie na prowadzeniu dokładnej dokumentacji, często przy użyciu komputerowej bazy danych.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>Należy prowadzić pełny rejestr inspekcji i urzędowych działań na wypadek wystąpienia porażenia.</w:t>
      </w:r>
    </w:p>
    <w:p w:rsidR="008875B1" w:rsidRDefault="008875B1">
      <w:pPr>
        <w:tabs>
          <w:tab w:val="left" w:pos="288"/>
        </w:tabs>
        <w:outlineLvl w:val="2"/>
        <w:rPr>
          <w:rFonts w:ascii="Arial" w:hAnsi="Arial" w:cs="Arial"/>
          <w:sz w:val="20"/>
          <w:szCs w:val="20"/>
        </w:rPr>
      </w:pPr>
    </w:p>
    <w:p w:rsidR="00F63864" w:rsidRPr="00EC18FA" w:rsidRDefault="00DE26AE" w:rsidP="00EC18FA">
      <w:pPr>
        <w:pStyle w:val="Akapitzlist"/>
        <w:numPr>
          <w:ilvl w:val="0"/>
          <w:numId w:val="3"/>
        </w:numPr>
        <w:tabs>
          <w:tab w:val="left" w:pos="288"/>
        </w:tabs>
        <w:outlineLvl w:val="2"/>
        <w:rPr>
          <w:rFonts w:ascii="Arial" w:hAnsi="Arial" w:cs="Arial"/>
          <w:b/>
          <w:sz w:val="20"/>
          <w:szCs w:val="20"/>
        </w:rPr>
      </w:pPr>
      <w:r w:rsidRPr="00EC18FA">
        <w:rPr>
          <w:rFonts w:ascii="Arial" w:hAnsi="Arial" w:cs="Arial"/>
          <w:b/>
          <w:sz w:val="20"/>
          <w:szCs w:val="20"/>
          <w:lang w:val="pl-PL"/>
        </w:rPr>
        <w:t>Komunikacja zewnętrzna</w:t>
      </w:r>
    </w:p>
    <w:p w:rsidR="008875B1" w:rsidRPr="002131BA" w:rsidRDefault="008875B1">
      <w:pPr>
        <w:tabs>
          <w:tab w:val="left" w:pos="288"/>
        </w:tabs>
        <w:outlineLvl w:val="2"/>
        <w:rPr>
          <w:rFonts w:ascii="Arial" w:hAnsi="Arial" w:cs="Arial"/>
          <w:sz w:val="20"/>
          <w:szCs w:val="20"/>
        </w:rPr>
      </w:pPr>
    </w:p>
    <w:p w:rsidR="00F63864" w:rsidRPr="002131BA" w:rsidRDefault="00DE26AE">
      <w:pPr>
        <w:rPr>
          <w:rFonts w:ascii="Arial" w:hAnsi="Arial" w:cs="Arial"/>
          <w:sz w:val="20"/>
          <w:szCs w:val="20"/>
        </w:rPr>
      </w:pPr>
      <w:r w:rsidRPr="00EC18FA">
        <w:rPr>
          <w:rFonts w:ascii="Arial" w:hAnsi="Arial" w:cs="Arial"/>
          <w:sz w:val="20"/>
          <w:szCs w:val="20"/>
          <w:lang w:val="pl-PL"/>
        </w:rPr>
        <w:t xml:space="preserve">W celu </w:t>
      </w:r>
      <w:r w:rsidR="00A63C4C" w:rsidRPr="00EC18FA">
        <w:rPr>
          <w:rFonts w:ascii="Arial" w:hAnsi="Arial" w:cs="Arial"/>
          <w:sz w:val="20"/>
          <w:szCs w:val="20"/>
          <w:lang w:val="pl-PL"/>
        </w:rPr>
        <w:t>podniesienia</w:t>
      </w:r>
      <w:r w:rsidRPr="00EC18FA">
        <w:rPr>
          <w:rFonts w:ascii="Arial" w:hAnsi="Arial" w:cs="Arial"/>
          <w:sz w:val="20"/>
          <w:szCs w:val="20"/>
          <w:lang w:val="pl-PL"/>
        </w:rPr>
        <w:t xml:space="preserve"> świadomości ważnych interesariuszy i zapobieżenia przez to zawleczeniu, zadomowieniu i rozprzestrzenianiu się agrofaga, </w:t>
      </w:r>
      <w:proofErr w:type="spellStart"/>
      <w:r w:rsidRPr="00EC18FA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EC18FA">
        <w:rPr>
          <w:rFonts w:ascii="Arial" w:hAnsi="Arial" w:cs="Arial"/>
          <w:sz w:val="20"/>
          <w:szCs w:val="20"/>
          <w:lang w:val="pl-PL"/>
        </w:rPr>
        <w:t xml:space="preserve"> powinna opracować plan upowszechniania wiedzy o</w:t>
      </w:r>
      <w:r w:rsidR="00A63C4C" w:rsidRPr="00EC18FA">
        <w:rPr>
          <w:rFonts w:ascii="Arial" w:hAnsi="Arial" w:cs="Arial"/>
          <w:sz w:val="20"/>
          <w:szCs w:val="20"/>
          <w:lang w:val="pl-PL"/>
        </w:rPr>
        <w:t xml:space="preserve"> m.in.</w:t>
      </w:r>
      <w:r w:rsidRPr="00EC18FA">
        <w:rPr>
          <w:rFonts w:ascii="Arial" w:hAnsi="Arial" w:cs="Arial"/>
          <w:sz w:val="20"/>
          <w:szCs w:val="20"/>
          <w:lang w:val="pl-PL"/>
        </w:rPr>
        <w:t xml:space="preserve"> biologii organizmu i sposobach minimalizacji ryzyka jego zawleczenia.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A63C4C" w:rsidRPr="00EC18FA">
        <w:rPr>
          <w:rFonts w:ascii="Arial" w:hAnsi="Arial" w:cs="Arial"/>
          <w:sz w:val="20"/>
          <w:szCs w:val="20"/>
          <w:lang w:val="pl-PL"/>
        </w:rPr>
        <w:t xml:space="preserve">Można opracować i udostępnić im odpowiednie materiały informacyjne (np. w formie ulotek, plakatów lub wpisów na stronie </w:t>
      </w:r>
      <w:proofErr w:type="spellStart"/>
      <w:r w:rsidR="00A63C4C" w:rsidRPr="00EC18FA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A63C4C" w:rsidRPr="00EC18FA">
        <w:rPr>
          <w:rFonts w:ascii="Arial" w:hAnsi="Arial" w:cs="Arial"/>
          <w:sz w:val="20"/>
          <w:szCs w:val="20"/>
          <w:lang w:val="pl-PL"/>
        </w:rPr>
        <w:t xml:space="preserve">). 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A63C4C" w:rsidRPr="00EC18FA">
        <w:rPr>
          <w:rFonts w:ascii="Arial" w:hAnsi="Arial" w:cs="Arial"/>
          <w:sz w:val="20"/>
          <w:szCs w:val="20"/>
          <w:lang w:val="pl-PL"/>
        </w:rPr>
        <w:t xml:space="preserve">W stosownych przypadkach plan awaryjny powinien być opublikowany na stronie internetowej </w:t>
      </w:r>
      <w:proofErr w:type="spellStart"/>
      <w:r w:rsidR="00A63C4C" w:rsidRPr="00EC18FA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A63C4C" w:rsidRPr="00EC18FA">
        <w:rPr>
          <w:rFonts w:ascii="Arial" w:hAnsi="Arial" w:cs="Arial"/>
          <w:sz w:val="20"/>
          <w:szCs w:val="20"/>
          <w:lang w:val="pl-PL"/>
        </w:rPr>
        <w:t>.</w:t>
      </w:r>
    </w:p>
    <w:p w:rsidR="00F63864" w:rsidRPr="002131BA" w:rsidRDefault="00A63C4C">
      <w:pPr>
        <w:ind w:firstLine="360"/>
        <w:rPr>
          <w:rFonts w:ascii="Arial" w:hAnsi="Arial" w:cs="Arial"/>
          <w:sz w:val="20"/>
          <w:szCs w:val="20"/>
        </w:rPr>
      </w:pPr>
      <w:r w:rsidRPr="00EC18FA">
        <w:rPr>
          <w:rFonts w:ascii="Arial" w:hAnsi="Arial" w:cs="Arial"/>
          <w:sz w:val="20"/>
          <w:szCs w:val="20"/>
          <w:lang w:val="pl-PL"/>
        </w:rPr>
        <w:t>Ponadto, w razie porażenia niezbędna będzie akcja informacyjna opisująca stosowane środki i sposoby zapobiegania zawleczeniu i dalszemu rozprzestrzenianiu się agrofaga.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>Do właściwych środków komunikacji zaliczyć można artykuły prasowe, centrum informacyjne, stronę internetową, itd.</w:t>
      </w:r>
    </w:p>
    <w:p w:rsidR="00F63864" w:rsidRPr="002131BA" w:rsidRDefault="00A63C4C">
      <w:pPr>
        <w:ind w:firstLine="360"/>
        <w:rPr>
          <w:rFonts w:ascii="Arial" w:hAnsi="Arial" w:cs="Arial"/>
          <w:sz w:val="20"/>
          <w:szCs w:val="20"/>
        </w:rPr>
      </w:pPr>
      <w:r w:rsidRPr="00EC18FA">
        <w:rPr>
          <w:rFonts w:ascii="Arial" w:hAnsi="Arial" w:cs="Arial"/>
          <w:sz w:val="20"/>
          <w:szCs w:val="20"/>
          <w:lang w:val="pl-PL"/>
        </w:rPr>
        <w:t>Wyznaczony rzecznik doraźnego zespołu kierowniczego będzie odpowiedzialny za komunikację zewnętrzną, w tym komunikację z prasą.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>Osoba ta będzie odpowiedzialna za opracowanie oświadczeń i komunikatów prasowych, kontakty z mediami, informowanie sektora, kontakty ze wszystkimi zewnętrznymi zainteresowanymi stronami i oficjalne notyfikacje.</w:t>
      </w:r>
    </w:p>
    <w:p w:rsidR="00F63864" w:rsidRPr="002131BA" w:rsidRDefault="00A63C4C">
      <w:pPr>
        <w:ind w:firstLine="360"/>
        <w:rPr>
          <w:rFonts w:ascii="Arial" w:hAnsi="Arial" w:cs="Arial"/>
          <w:sz w:val="20"/>
          <w:szCs w:val="20"/>
        </w:rPr>
      </w:pPr>
      <w:r w:rsidRPr="00EC18FA">
        <w:rPr>
          <w:rFonts w:ascii="Arial" w:hAnsi="Arial" w:cs="Arial"/>
          <w:sz w:val="20"/>
          <w:szCs w:val="20"/>
          <w:lang w:val="pl-PL"/>
        </w:rPr>
        <w:t>Należy wprowadzić politykę poufności.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>Informacje na temat tożsamości producentów, szkółek, centrów ogrodniczych i innych porażonych miejsc nie powinny być ujawniane, chyba że wymaga tego ochrona interesu publicznego.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9C130F" w:rsidRPr="00EC18FA">
        <w:rPr>
          <w:rFonts w:ascii="Arial" w:hAnsi="Arial" w:cs="Arial"/>
          <w:sz w:val="20"/>
          <w:szCs w:val="20"/>
          <w:lang w:val="pl-PL"/>
        </w:rPr>
        <w:t>Zazwyczaj przyjmuje się, że możliwe jest ogólne wskazanie lokalizacji geograficznej ogniska agrofaga, pod warunkiem, że nie prowadzi to do ujawnienia dokładnego miejsca porażenia.</w:t>
      </w:r>
    </w:p>
    <w:p w:rsidR="008875B1" w:rsidRDefault="008875B1">
      <w:pPr>
        <w:tabs>
          <w:tab w:val="left" w:pos="274"/>
        </w:tabs>
        <w:outlineLvl w:val="2"/>
        <w:rPr>
          <w:rFonts w:ascii="Arial" w:hAnsi="Arial" w:cs="Arial"/>
          <w:sz w:val="20"/>
          <w:szCs w:val="20"/>
        </w:rPr>
      </w:pPr>
      <w:bookmarkStart w:id="15" w:name="bookmark17"/>
    </w:p>
    <w:bookmarkEnd w:id="15"/>
    <w:p w:rsidR="00F63864" w:rsidRPr="00EC18FA" w:rsidRDefault="009C130F" w:rsidP="00EC18FA">
      <w:pPr>
        <w:pStyle w:val="Akapitzlist"/>
        <w:numPr>
          <w:ilvl w:val="0"/>
          <w:numId w:val="3"/>
        </w:numPr>
        <w:tabs>
          <w:tab w:val="left" w:pos="274"/>
        </w:tabs>
        <w:outlineLvl w:val="2"/>
        <w:rPr>
          <w:rFonts w:ascii="Arial" w:hAnsi="Arial" w:cs="Arial"/>
          <w:b/>
          <w:sz w:val="20"/>
          <w:szCs w:val="20"/>
        </w:rPr>
      </w:pPr>
      <w:r w:rsidRPr="00EC18FA">
        <w:rPr>
          <w:rFonts w:ascii="Arial" w:hAnsi="Arial" w:cs="Arial"/>
          <w:b/>
          <w:sz w:val="20"/>
          <w:szCs w:val="20"/>
          <w:lang w:val="pl-PL"/>
        </w:rPr>
        <w:t>Testowanie i szkolenie pracowników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9C130F">
      <w:pPr>
        <w:rPr>
          <w:rFonts w:ascii="Arial" w:hAnsi="Arial" w:cs="Arial"/>
          <w:sz w:val="20"/>
          <w:szCs w:val="20"/>
        </w:rPr>
      </w:pPr>
      <w:r w:rsidRPr="00EC18FA">
        <w:rPr>
          <w:rFonts w:ascii="Arial" w:hAnsi="Arial" w:cs="Arial"/>
          <w:sz w:val="20"/>
          <w:szCs w:val="20"/>
          <w:lang w:val="pl-PL"/>
        </w:rPr>
        <w:t>Testowanie planu awaryjnego i gotowości służby można przeprowadzić symulując porażenie danym agrofagiem, dzięki czemu sprawdza się reakcje personelu, dostępność sprzętu i działanie samego planu.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>W ten sposób można zidentyfikować potrzeby szkoleniowe poszczególnych pracowników.</w:t>
      </w:r>
    </w:p>
    <w:p w:rsidR="008875B1" w:rsidRDefault="008875B1">
      <w:pPr>
        <w:tabs>
          <w:tab w:val="left" w:pos="288"/>
        </w:tabs>
        <w:outlineLvl w:val="2"/>
        <w:rPr>
          <w:rFonts w:ascii="Arial" w:hAnsi="Arial" w:cs="Arial"/>
          <w:sz w:val="20"/>
          <w:szCs w:val="20"/>
        </w:rPr>
      </w:pPr>
      <w:bookmarkStart w:id="16" w:name="bookmark18"/>
    </w:p>
    <w:bookmarkEnd w:id="16"/>
    <w:p w:rsidR="00F63864" w:rsidRPr="00EC18FA" w:rsidRDefault="009C130F" w:rsidP="00EC18FA">
      <w:pPr>
        <w:pStyle w:val="Akapitzlist"/>
        <w:numPr>
          <w:ilvl w:val="0"/>
          <w:numId w:val="3"/>
        </w:numPr>
        <w:tabs>
          <w:tab w:val="left" w:pos="288"/>
        </w:tabs>
        <w:outlineLvl w:val="2"/>
        <w:rPr>
          <w:rFonts w:ascii="Arial" w:hAnsi="Arial" w:cs="Arial"/>
          <w:b/>
          <w:sz w:val="20"/>
          <w:szCs w:val="20"/>
        </w:rPr>
      </w:pPr>
      <w:r w:rsidRPr="00EC18FA">
        <w:rPr>
          <w:rFonts w:ascii="Arial" w:hAnsi="Arial" w:cs="Arial"/>
          <w:b/>
          <w:sz w:val="20"/>
          <w:szCs w:val="20"/>
          <w:lang w:val="pl-PL"/>
        </w:rPr>
        <w:t>Ocena i przegląd planu awaryjnego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9C130F">
      <w:pPr>
        <w:rPr>
          <w:rFonts w:ascii="Arial" w:hAnsi="Arial" w:cs="Arial"/>
          <w:sz w:val="20"/>
          <w:szCs w:val="20"/>
        </w:rPr>
      </w:pPr>
      <w:r w:rsidRPr="00EC18FA">
        <w:rPr>
          <w:rFonts w:ascii="Arial" w:hAnsi="Arial" w:cs="Arial"/>
          <w:sz w:val="20"/>
          <w:szCs w:val="20"/>
          <w:lang w:val="pl-PL"/>
        </w:rPr>
        <w:t>Po zakończeniu urzędowych działań (lub ich symulacji) należy dokonać przeglądu oceniającego skuteczność podjętych działań, konieczność modyfikacji planu lub wprowadzenia dodatkowych środków w celu zapobieżenia dalszym porażeniom.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>Przegląd ten może przybrać formę spotkań z właścicielami porażonych gospodarstw, organizacjami branżowymi i innymi zainteresowanymi stronami w celu zebrania ich opinii na temat programu tępienia.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Pr="00EC18FA">
        <w:rPr>
          <w:rFonts w:ascii="Arial" w:hAnsi="Arial" w:cs="Arial"/>
          <w:sz w:val="20"/>
          <w:szCs w:val="20"/>
          <w:lang w:val="pl-PL"/>
        </w:rPr>
        <w:t xml:space="preserve">W przypadku </w:t>
      </w:r>
      <w:r w:rsidR="001F285B" w:rsidRPr="00EC18FA">
        <w:rPr>
          <w:rFonts w:ascii="Arial" w:hAnsi="Arial" w:cs="Arial"/>
          <w:sz w:val="20"/>
          <w:szCs w:val="20"/>
          <w:lang w:val="pl-PL"/>
        </w:rPr>
        <w:t xml:space="preserve">dużych </w:t>
      </w:r>
      <w:r w:rsidRPr="00EC18FA">
        <w:rPr>
          <w:rFonts w:ascii="Arial" w:hAnsi="Arial" w:cs="Arial"/>
          <w:sz w:val="20"/>
          <w:szCs w:val="20"/>
          <w:lang w:val="pl-PL"/>
        </w:rPr>
        <w:t xml:space="preserve">ognisk można przeprowadzić formalny przegląd z ankietą wśród interesariuszy zakończony </w:t>
      </w:r>
      <w:r w:rsidR="001F285B" w:rsidRPr="00EC18FA">
        <w:rPr>
          <w:rFonts w:ascii="Arial" w:hAnsi="Arial" w:cs="Arial"/>
          <w:sz w:val="20"/>
          <w:szCs w:val="20"/>
          <w:lang w:val="pl-PL"/>
        </w:rPr>
        <w:t>sporządzeniem publicznie dostępnego raportu z programu tępienia.</w:t>
      </w:r>
      <w:r w:rsidR="002131BA" w:rsidRPr="002131BA">
        <w:rPr>
          <w:rFonts w:ascii="Arial" w:hAnsi="Arial" w:cs="Arial"/>
          <w:sz w:val="20"/>
          <w:szCs w:val="20"/>
        </w:rPr>
        <w:t xml:space="preserve"> </w:t>
      </w:r>
      <w:r w:rsidR="001F285B" w:rsidRPr="00EC18FA">
        <w:rPr>
          <w:rFonts w:ascii="Arial" w:hAnsi="Arial" w:cs="Arial"/>
          <w:sz w:val="20"/>
          <w:szCs w:val="20"/>
          <w:lang w:val="pl-PL"/>
        </w:rPr>
        <w:t>W uzasadnionych przypadkach, plan awaryjny powinien być dostosowywany do ustalonych zaleceń.</w:t>
      </w:r>
    </w:p>
    <w:p w:rsidR="008875B1" w:rsidRDefault="008875B1">
      <w:pPr>
        <w:outlineLvl w:val="1"/>
        <w:rPr>
          <w:rFonts w:ascii="Arial" w:hAnsi="Arial" w:cs="Arial"/>
          <w:sz w:val="20"/>
          <w:szCs w:val="20"/>
        </w:rPr>
      </w:pPr>
      <w:bookmarkStart w:id="17" w:name="bookmark19"/>
    </w:p>
    <w:bookmarkEnd w:id="17"/>
    <w:p w:rsidR="00F63864" w:rsidRPr="008875B1" w:rsidRDefault="001F285B">
      <w:pPr>
        <w:outlineLvl w:val="1"/>
        <w:rPr>
          <w:rFonts w:ascii="Arial" w:hAnsi="Arial" w:cs="Arial"/>
          <w:b/>
          <w:sz w:val="20"/>
          <w:szCs w:val="20"/>
        </w:rPr>
      </w:pPr>
      <w:r w:rsidRPr="00EC18FA">
        <w:rPr>
          <w:rFonts w:ascii="Arial" w:hAnsi="Arial" w:cs="Arial"/>
          <w:b/>
          <w:sz w:val="20"/>
          <w:szCs w:val="20"/>
          <w:lang w:val="pl-PL"/>
        </w:rPr>
        <w:t>Materiały referencyjne</w:t>
      </w:r>
    </w:p>
    <w:p w:rsidR="008875B1" w:rsidRDefault="008875B1">
      <w:pPr>
        <w:rPr>
          <w:rFonts w:ascii="Arial" w:hAnsi="Arial" w:cs="Arial"/>
          <w:sz w:val="20"/>
          <w:szCs w:val="20"/>
        </w:rPr>
      </w:pPr>
    </w:p>
    <w:p w:rsidR="00F63864" w:rsidRPr="002131BA" w:rsidRDefault="002131BA">
      <w:pPr>
        <w:rPr>
          <w:rFonts w:ascii="Arial" w:hAnsi="Arial" w:cs="Arial"/>
          <w:sz w:val="20"/>
          <w:szCs w:val="20"/>
        </w:rPr>
      </w:pPr>
      <w:proofErr w:type="spellStart"/>
      <w:r w:rsidRPr="002131BA">
        <w:rPr>
          <w:rFonts w:ascii="Arial" w:hAnsi="Arial" w:cs="Arial"/>
          <w:sz w:val="20"/>
          <w:szCs w:val="20"/>
        </w:rPr>
        <w:t>IPPC</w:t>
      </w:r>
      <w:proofErr w:type="spellEnd"/>
      <w:r w:rsidRPr="002131BA">
        <w:rPr>
          <w:rFonts w:ascii="Arial" w:hAnsi="Arial" w:cs="Arial"/>
          <w:sz w:val="20"/>
          <w:szCs w:val="20"/>
        </w:rPr>
        <w:t xml:space="preserve"> (1998) Guidelines for pest eradication </w:t>
      </w:r>
      <w:proofErr w:type="spellStart"/>
      <w:r w:rsidRPr="002131BA">
        <w:rPr>
          <w:rFonts w:ascii="Arial" w:hAnsi="Arial" w:cs="Arial"/>
          <w:sz w:val="20"/>
          <w:szCs w:val="20"/>
        </w:rPr>
        <w:t>programmes</w:t>
      </w:r>
      <w:proofErr w:type="spellEnd"/>
      <w:r w:rsidRPr="002131B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131BA">
        <w:rPr>
          <w:rFonts w:ascii="Arial" w:hAnsi="Arial" w:cs="Arial"/>
          <w:sz w:val="20"/>
          <w:szCs w:val="20"/>
        </w:rPr>
        <w:t>FAO</w:t>
      </w:r>
      <w:proofErr w:type="spellEnd"/>
      <w:r w:rsidRPr="002131BA">
        <w:rPr>
          <w:rFonts w:ascii="Arial" w:hAnsi="Arial" w:cs="Arial"/>
          <w:sz w:val="20"/>
          <w:szCs w:val="20"/>
        </w:rPr>
        <w:t>, Rome (IT).</w:t>
      </w:r>
    </w:p>
    <w:sectPr w:rsidR="00F63864" w:rsidRPr="002131BA" w:rsidSect="00F63864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CA" w:rsidRDefault="00216FCA" w:rsidP="00F63864">
      <w:r>
        <w:separator/>
      </w:r>
    </w:p>
  </w:endnote>
  <w:endnote w:type="continuationSeparator" w:id="0">
    <w:p w:rsidR="00216FCA" w:rsidRDefault="00216FCA" w:rsidP="00F6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CA" w:rsidRDefault="00216FCA"/>
  </w:footnote>
  <w:footnote w:type="continuationSeparator" w:id="0">
    <w:p w:rsidR="00216FCA" w:rsidRDefault="00216FCA"/>
  </w:footnote>
  <w:footnote w:id="1">
    <w:p w:rsidR="00216FCA" w:rsidRPr="008875B1" w:rsidRDefault="00216FCA" w:rsidP="00D2014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A433DB" w:rsidRPr="00A433DB">
        <w:rPr>
          <w:rFonts w:ascii="Arial" w:hAnsi="Arial" w:cs="Arial"/>
          <w:lang w:val="pl-PL"/>
        </w:rPr>
        <w:t>Brak pozytywnych wyników badań, ale silne przekonanie, że porażenie jest możliwe.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6AD"/>
    <w:multiLevelType w:val="hybridMultilevel"/>
    <w:tmpl w:val="163A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1D5C"/>
    <w:multiLevelType w:val="hybridMultilevel"/>
    <w:tmpl w:val="6A76C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C072D"/>
    <w:multiLevelType w:val="hybridMultilevel"/>
    <w:tmpl w:val="D9285654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31283"/>
    <w:multiLevelType w:val="hybridMultilevel"/>
    <w:tmpl w:val="BF9C7668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73DC7"/>
    <w:multiLevelType w:val="hybridMultilevel"/>
    <w:tmpl w:val="6CAA2370"/>
    <w:lvl w:ilvl="0" w:tplc="EEBC4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16975"/>
    <w:multiLevelType w:val="hybridMultilevel"/>
    <w:tmpl w:val="E6444D1E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B58B9"/>
    <w:multiLevelType w:val="hybridMultilevel"/>
    <w:tmpl w:val="F93C0344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C2982"/>
    <w:multiLevelType w:val="hybridMultilevel"/>
    <w:tmpl w:val="08AE61FC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1660D"/>
    <w:multiLevelType w:val="hybridMultilevel"/>
    <w:tmpl w:val="95347C92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84D43"/>
    <w:multiLevelType w:val="hybridMultilevel"/>
    <w:tmpl w:val="789434F6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36758"/>
    <w:multiLevelType w:val="hybridMultilevel"/>
    <w:tmpl w:val="CB6EB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D3EFE"/>
    <w:multiLevelType w:val="hybridMultilevel"/>
    <w:tmpl w:val="C82A8490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95219"/>
    <w:multiLevelType w:val="hybridMultilevel"/>
    <w:tmpl w:val="C35293E4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1D7318"/>
    <w:multiLevelType w:val="hybridMultilevel"/>
    <w:tmpl w:val="4DB8E82C"/>
    <w:lvl w:ilvl="0" w:tplc="649E5E6E">
      <w:start w:val="1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63864"/>
    <w:rsid w:val="000420AD"/>
    <w:rsid w:val="001402A4"/>
    <w:rsid w:val="00145E2D"/>
    <w:rsid w:val="001A07FE"/>
    <w:rsid w:val="001F0242"/>
    <w:rsid w:val="001F285B"/>
    <w:rsid w:val="002131BA"/>
    <w:rsid w:val="00216FCA"/>
    <w:rsid w:val="002402E7"/>
    <w:rsid w:val="002B6587"/>
    <w:rsid w:val="003058D3"/>
    <w:rsid w:val="00401F40"/>
    <w:rsid w:val="00696B84"/>
    <w:rsid w:val="006C0E21"/>
    <w:rsid w:val="006F38CE"/>
    <w:rsid w:val="00840421"/>
    <w:rsid w:val="008875B1"/>
    <w:rsid w:val="008A3F96"/>
    <w:rsid w:val="008C3D60"/>
    <w:rsid w:val="009875E0"/>
    <w:rsid w:val="009A642B"/>
    <w:rsid w:val="009C130F"/>
    <w:rsid w:val="009D30D3"/>
    <w:rsid w:val="00A433DB"/>
    <w:rsid w:val="00A63C4C"/>
    <w:rsid w:val="00A76717"/>
    <w:rsid w:val="00AE097A"/>
    <w:rsid w:val="00C71A6A"/>
    <w:rsid w:val="00D20148"/>
    <w:rsid w:val="00D625CB"/>
    <w:rsid w:val="00DE26AE"/>
    <w:rsid w:val="00E065E6"/>
    <w:rsid w:val="00EC18FA"/>
    <w:rsid w:val="00EF370D"/>
    <w:rsid w:val="00F343AE"/>
    <w:rsid w:val="00F6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3864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3864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8875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75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75B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5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AD97A-D2EB-410E-BD41-C02B51F1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2339</Words>
  <Characters>16477</Characters>
  <Application>Microsoft Office Word</Application>
  <DocSecurity>0</DocSecurity>
  <Lines>305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Mikołaj Malanowski</dc:creator>
  <cp:lastModifiedBy>Mikołaj Malanowski</cp:lastModifiedBy>
  <cp:revision>3</cp:revision>
  <dcterms:created xsi:type="dcterms:W3CDTF">2014-04-19T05:00:00Z</dcterms:created>
  <dcterms:modified xsi:type="dcterms:W3CDTF">2014-04-19T05:01:00Z</dcterms:modified>
</cp:coreProperties>
</file>