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6E6D4" w14:textId="77777777" w:rsidR="00F026D5" w:rsidRPr="00B213D8" w:rsidRDefault="00F026D5" w:rsidP="00F026D5">
      <w:pPr>
        <w:pStyle w:val="Nagwek1"/>
        <w:spacing w:before="0" w:after="120" w:line="240" w:lineRule="auto"/>
        <w:jc w:val="center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B213D8">
        <w:rPr>
          <w:rFonts w:ascii="Arial" w:hAnsi="Arial" w:cs="Arial"/>
          <w:b/>
          <w:i/>
          <w:iCs/>
          <w:color w:val="auto"/>
          <w:sz w:val="24"/>
          <w:szCs w:val="24"/>
        </w:rPr>
        <w:t>Digital Brain – cyfrowe zasoby Instytutu Psychiatrii i Neurologii w Warszawie”</w:t>
      </w:r>
    </w:p>
    <w:p w14:paraId="70E2104E" w14:textId="77777777" w:rsidR="00F026D5" w:rsidRPr="00B213D8" w:rsidRDefault="00F026D5" w:rsidP="00F026D5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213D8">
        <w:rPr>
          <w:rFonts w:ascii="Arial" w:hAnsi="Arial" w:cs="Arial"/>
          <w:b/>
          <w:color w:val="auto"/>
          <w:sz w:val="24"/>
          <w:szCs w:val="24"/>
        </w:rPr>
        <w:t xml:space="preserve">raportu z postępu rzeczowo-finansowego projektu informatycznego </w:t>
      </w:r>
    </w:p>
    <w:p w14:paraId="2B987081" w14:textId="5AF08C5F" w:rsidR="00F026D5" w:rsidRPr="00B213D8" w:rsidRDefault="00F026D5" w:rsidP="00F026D5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213D8">
        <w:rPr>
          <w:rFonts w:ascii="Arial" w:hAnsi="Arial" w:cs="Arial"/>
          <w:b/>
          <w:color w:val="auto"/>
          <w:sz w:val="24"/>
          <w:szCs w:val="24"/>
        </w:rPr>
        <w:t>za I kwartał 201</w:t>
      </w:r>
      <w:r w:rsidR="006A0583" w:rsidRPr="00B213D8">
        <w:rPr>
          <w:rFonts w:ascii="Arial" w:hAnsi="Arial" w:cs="Arial"/>
          <w:b/>
          <w:color w:val="auto"/>
          <w:sz w:val="24"/>
          <w:szCs w:val="24"/>
        </w:rPr>
        <w:t>9</w:t>
      </w:r>
      <w:r w:rsidRPr="00B213D8">
        <w:rPr>
          <w:rFonts w:ascii="Arial" w:hAnsi="Arial" w:cs="Arial"/>
          <w:b/>
          <w:color w:val="auto"/>
          <w:sz w:val="24"/>
          <w:szCs w:val="24"/>
        </w:rPr>
        <w:t xml:space="preserve"> roku</w:t>
      </w:r>
    </w:p>
    <w:p w14:paraId="73B18FB4" w14:textId="77777777" w:rsidR="004D6970" w:rsidRPr="00B213D8" w:rsidRDefault="004D6970" w:rsidP="003642B8">
      <w:pPr>
        <w:spacing w:after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B213D8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B213D8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3D8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B213D8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0F41E6F9" w:rsidR="00CA516B" w:rsidRPr="00B213D8" w:rsidRDefault="0011062E">
            <w:pPr>
              <w:spacing w:line="276" w:lineRule="auto"/>
              <w:rPr>
                <w:rFonts w:ascii="Arial" w:hAnsi="Arial" w:cs="Arial"/>
                <w:b/>
                <w:color w:val="0070C0"/>
                <w:sz w:val="20"/>
              </w:rPr>
            </w:pPr>
            <w:r w:rsidRPr="00B213D8">
              <w:rPr>
                <w:rFonts w:ascii="Arial" w:hAnsi="Arial" w:cs="Arial"/>
                <w:b/>
                <w:sz w:val="20"/>
              </w:rPr>
              <w:t>Digital Brain – cyfrowe zasoby Instytutu Psychiatrii i Neurologii w Warszawie</w:t>
            </w:r>
          </w:p>
        </w:tc>
      </w:tr>
      <w:tr w:rsidR="00CA516B" w:rsidRPr="00B213D8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B213D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3D8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4A43BFA0" w:rsidR="0011062E" w:rsidRPr="00B213D8" w:rsidRDefault="004C46AA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213D8">
              <w:rPr>
                <w:rFonts w:ascii="Arial" w:hAnsi="Arial" w:cs="Arial"/>
                <w:sz w:val="20"/>
                <w:szCs w:val="18"/>
              </w:rPr>
              <w:t>Instytut Psychiatrii i Neurologii w Warszawie</w:t>
            </w:r>
          </w:p>
        </w:tc>
      </w:tr>
      <w:tr w:rsidR="00CA516B" w:rsidRPr="00B213D8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B213D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3D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0B400BB2" w:rsidR="00CA516B" w:rsidRPr="00B213D8" w:rsidRDefault="0011062E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B213D8">
              <w:rPr>
                <w:rFonts w:ascii="Arial" w:hAnsi="Arial" w:cs="Arial"/>
                <w:sz w:val="20"/>
                <w:szCs w:val="18"/>
              </w:rPr>
              <w:t>Instytut Psychiatrii i Neurologii w Warszawie</w:t>
            </w:r>
          </w:p>
        </w:tc>
      </w:tr>
      <w:tr w:rsidR="00CA516B" w:rsidRPr="00B213D8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B213D8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3D8"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3FCF5266" w:rsidR="00CA516B" w:rsidRPr="00B213D8" w:rsidRDefault="0011062E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213D8">
              <w:rPr>
                <w:rFonts w:ascii="Arial" w:hAnsi="Arial" w:cs="Arial"/>
                <w:sz w:val="20"/>
                <w:szCs w:val="18"/>
              </w:rPr>
              <w:t>Projekt nie jest realizowany w Partnerstwie</w:t>
            </w:r>
          </w:p>
        </w:tc>
      </w:tr>
      <w:tr w:rsidR="00CA516B" w:rsidRPr="00B213D8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B213D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3D8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5D55A" w14:textId="19811E77" w:rsidR="0011062E" w:rsidRPr="00B213D8" w:rsidRDefault="0011062E" w:rsidP="009D2F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Program Operacyjny Polska Cyfrowa na lata 202014-2020</w:t>
            </w:r>
            <w:r w:rsidR="0036248F" w:rsidRPr="00B213D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213D8">
              <w:rPr>
                <w:rFonts w:ascii="Arial" w:hAnsi="Arial" w:cs="Arial"/>
                <w:sz w:val="20"/>
                <w:szCs w:val="20"/>
              </w:rPr>
              <w:t>Oś Priorytetowa nr 2 „E-administracja i otwarty rząd”, Działanie nr 2.3 „Cyfrowa dostępność i użyteczność informacji sektora publicznego”, Poddziałanie nr 2.3.1 „Cyfrowe udostępnienie informacji sektora publicznego ze źródeł administracyjnych i zasobów nauki (typ projektu: cyfrowe udostępnienie zasobów nauki)”</w:t>
            </w:r>
          </w:p>
          <w:p w14:paraId="55582688" w14:textId="753672DA" w:rsidR="00922737" w:rsidRPr="00B213D8" w:rsidRDefault="004C46AA" w:rsidP="004C46AA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Budżet Państwa (Ministerstwo Zdrowia, część 46)</w:t>
            </w:r>
          </w:p>
        </w:tc>
      </w:tr>
      <w:tr w:rsidR="00CA516B" w:rsidRPr="00B213D8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48C85ED2" w:rsidR="008A332F" w:rsidRPr="00B213D8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3D8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B213D8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3D8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68BA7C7F" w:rsidR="003A781A" w:rsidRPr="00B213D8" w:rsidRDefault="003A781A" w:rsidP="00A717CB">
            <w:pPr>
              <w:spacing w:line="276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7</w:t>
            </w:r>
            <w:r w:rsidR="00A717CB" w:rsidRPr="00B213D8">
              <w:rPr>
                <w:rFonts w:ascii="Arial" w:hAnsi="Arial" w:cs="Arial"/>
                <w:sz w:val="20"/>
                <w:szCs w:val="20"/>
              </w:rPr>
              <w:t> </w:t>
            </w:r>
            <w:r w:rsidRPr="00B213D8">
              <w:rPr>
                <w:rFonts w:ascii="Arial" w:hAnsi="Arial" w:cs="Arial"/>
                <w:sz w:val="20"/>
                <w:szCs w:val="20"/>
              </w:rPr>
              <w:t>3</w:t>
            </w:r>
            <w:r w:rsidR="00A717CB" w:rsidRPr="00B213D8">
              <w:rPr>
                <w:rFonts w:ascii="Arial" w:hAnsi="Arial" w:cs="Arial"/>
                <w:sz w:val="20"/>
                <w:szCs w:val="20"/>
              </w:rPr>
              <w:t>74 959,91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CA516B" w:rsidRPr="00B213D8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Pr="00B213D8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3D8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B213D8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B213D8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3D8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5B5ECB47" w:rsidR="009D3854" w:rsidRPr="00B213D8" w:rsidRDefault="000161E9" w:rsidP="0036248F">
            <w:pPr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01.08.2018</w:t>
            </w:r>
            <w:r w:rsidR="009D3854" w:rsidRPr="00B213D8">
              <w:rPr>
                <w:rFonts w:ascii="Arial" w:hAnsi="Arial" w:cs="Arial"/>
                <w:sz w:val="20"/>
                <w:szCs w:val="20"/>
              </w:rPr>
              <w:t xml:space="preserve"> r. – 31.07.2021 r.</w:t>
            </w:r>
          </w:p>
        </w:tc>
      </w:tr>
    </w:tbl>
    <w:p w14:paraId="35739824" w14:textId="77777777" w:rsidR="004D6970" w:rsidRPr="00B213D8" w:rsidRDefault="004D6970" w:rsidP="004D6970"/>
    <w:p w14:paraId="59F7DA39" w14:textId="413AD596" w:rsidR="004C1D48" w:rsidRPr="00B213D8" w:rsidRDefault="004C1D48" w:rsidP="004D6970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B213D8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B213D8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 w:rsidRPr="00B213D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B213D8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  <w:r w:rsidR="00F2008A" w:rsidRPr="00B213D8">
        <w:tab/>
      </w:r>
    </w:p>
    <w:p w14:paraId="2EA065FC" w14:textId="5628362C" w:rsidR="004D6970" w:rsidRPr="00B213D8" w:rsidRDefault="007F617F" w:rsidP="004D6970">
      <w:pPr>
        <w:spacing w:before="120"/>
      </w:pPr>
      <w:r w:rsidRPr="00B213D8">
        <w:rPr>
          <w:rFonts w:ascii="Arial" w:eastAsiaTheme="majorEastAsia" w:hAnsi="Arial" w:cs="Arial"/>
        </w:rPr>
        <w:t>Nie dotyczy</w:t>
      </w:r>
    </w:p>
    <w:p w14:paraId="147B986C" w14:textId="7DF867C4" w:rsidR="003C7325" w:rsidRPr="00B213D8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B213D8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B213D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B213D8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802"/>
        <w:gridCol w:w="3430"/>
        <w:gridCol w:w="3402"/>
      </w:tblGrid>
      <w:tr w:rsidR="00907F6D" w:rsidRPr="00B213D8" w14:paraId="7001934B" w14:textId="77777777" w:rsidTr="007314B2">
        <w:trPr>
          <w:tblHeader/>
        </w:trPr>
        <w:tc>
          <w:tcPr>
            <w:tcW w:w="280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B213D8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43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B213D8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B213D8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7F617F" w:rsidRPr="00B213D8" w14:paraId="52E72A77" w14:textId="77777777" w:rsidTr="007314B2">
        <w:tc>
          <w:tcPr>
            <w:tcW w:w="2802" w:type="dxa"/>
          </w:tcPr>
          <w:p w14:paraId="2A5EA0D7" w14:textId="6D74A116" w:rsidR="007F617F" w:rsidRPr="00B213D8" w:rsidRDefault="006A0583" w:rsidP="007F617F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22</w:t>
            </w:r>
            <w:r w:rsidR="007F617F" w:rsidRPr="00B213D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430" w:type="dxa"/>
          </w:tcPr>
          <w:p w14:paraId="0B4D1B9F" w14:textId="2E54BBDC" w:rsidR="0097197F" w:rsidRPr="00B213D8" w:rsidRDefault="00610D37" w:rsidP="00C771B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9,7</w:t>
            </w:r>
            <w:r w:rsidR="00AE3532" w:rsidRPr="00B213D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402" w:type="dxa"/>
          </w:tcPr>
          <w:p w14:paraId="28294920" w14:textId="384BAE77" w:rsidR="006060B2" w:rsidRPr="00B213D8" w:rsidRDefault="00A71796" w:rsidP="00A71796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30,9</w:t>
            </w:r>
            <w:r w:rsidR="00E654DF" w:rsidRPr="00B213D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1B60E781" w14:textId="673BC6A2" w:rsidR="002B50C0" w:rsidRPr="00B213D8" w:rsidRDefault="002B50C0" w:rsidP="007702C3">
      <w:pPr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B213D8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B213D8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B213D8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B213D8">
        <w:rPr>
          <w:rFonts w:ascii="Arial" w:hAnsi="Arial" w:cs="Arial"/>
          <w:color w:val="auto"/>
        </w:rPr>
        <w:t xml:space="preserve"> </w:t>
      </w:r>
      <w:r w:rsidR="00B41415" w:rsidRPr="00B213D8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 w:rsidRPr="00B213D8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B213D8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B213D8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B213D8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213D8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5324" w:type="pct"/>
        <w:tblLook w:val="04A0" w:firstRow="1" w:lastRow="0" w:firstColumn="1" w:lastColumn="0" w:noHBand="0" w:noVBand="1"/>
        <w:tblCaption w:val="Kamienie milowe."/>
      </w:tblPr>
      <w:tblGrid>
        <w:gridCol w:w="2708"/>
        <w:gridCol w:w="1476"/>
        <w:gridCol w:w="1329"/>
        <w:gridCol w:w="1362"/>
        <w:gridCol w:w="2773"/>
      </w:tblGrid>
      <w:tr w:rsidR="00697D52" w:rsidRPr="00B213D8" w14:paraId="55961592" w14:textId="77777777" w:rsidTr="00CE6171">
        <w:trPr>
          <w:tblHeader/>
        </w:trPr>
        <w:tc>
          <w:tcPr>
            <w:tcW w:w="1403" w:type="pct"/>
            <w:shd w:val="clear" w:color="auto" w:fill="D0CECE" w:themeFill="background2" w:themeFillShade="E6"/>
          </w:tcPr>
          <w:p w14:paraId="7B450A2E" w14:textId="6C7205D2" w:rsidR="00697D52" w:rsidRPr="00B213D8" w:rsidRDefault="00697D5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697D52" w:rsidRPr="00B213D8" w:rsidRDefault="00697D5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 xml:space="preserve">Powiązane wskaźniki projektu </w:t>
            </w:r>
            <w:r w:rsidRPr="00B213D8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689" w:type="pct"/>
            <w:shd w:val="clear" w:color="auto" w:fill="D0CECE" w:themeFill="background2" w:themeFillShade="E6"/>
          </w:tcPr>
          <w:p w14:paraId="19CAB3EF" w14:textId="77777777" w:rsidR="00697D52" w:rsidRPr="00B213D8" w:rsidRDefault="00697D5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706" w:type="pct"/>
            <w:shd w:val="clear" w:color="auto" w:fill="D0CECE" w:themeFill="background2" w:themeFillShade="E6"/>
          </w:tcPr>
          <w:p w14:paraId="10659A37" w14:textId="77777777" w:rsidR="00697D52" w:rsidRPr="00B213D8" w:rsidRDefault="00697D5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Rzeczywisty termin osiągnięcia</w:t>
            </w:r>
          </w:p>
        </w:tc>
        <w:tc>
          <w:tcPr>
            <w:tcW w:w="1437" w:type="pct"/>
            <w:shd w:val="clear" w:color="auto" w:fill="D0CECE" w:themeFill="background2" w:themeFillShade="E6"/>
          </w:tcPr>
          <w:p w14:paraId="24D9E0E9" w14:textId="77777777" w:rsidR="00697D52" w:rsidRPr="00B213D8" w:rsidRDefault="00697D5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Status realizacji kamienia milowego</w:t>
            </w:r>
          </w:p>
        </w:tc>
      </w:tr>
      <w:tr w:rsidR="00697D52" w:rsidRPr="00B213D8" w14:paraId="515FB2D9" w14:textId="77777777" w:rsidTr="00CE6171">
        <w:tc>
          <w:tcPr>
            <w:tcW w:w="1403" w:type="pct"/>
          </w:tcPr>
          <w:p w14:paraId="4A68A0D6" w14:textId="65BABCF7" w:rsidR="00697D52" w:rsidRPr="00B213D8" w:rsidRDefault="00697D52" w:rsidP="00D3415D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Zakończenie postępowania w celu wyłonienia wykonawców usług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1673" w14:textId="4F07408B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9" w:type="pct"/>
          </w:tcPr>
          <w:p w14:paraId="313CF20D" w14:textId="2349A9BF" w:rsidR="00697D52" w:rsidRPr="00B213D8" w:rsidRDefault="00FE2F40" w:rsidP="00933EA2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08-2018</w:t>
            </w:r>
          </w:p>
        </w:tc>
        <w:tc>
          <w:tcPr>
            <w:tcW w:w="706" w:type="pct"/>
          </w:tcPr>
          <w:p w14:paraId="0A1EA003" w14:textId="20207D59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37" w:type="pct"/>
          </w:tcPr>
          <w:p w14:paraId="6F0CB4B1" w14:textId="77777777" w:rsidR="00697D52" w:rsidRPr="00B213D8" w:rsidRDefault="00697D52" w:rsidP="00CC7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 trakcie realizacji</w:t>
            </w:r>
          </w:p>
          <w:p w14:paraId="557CE435" w14:textId="77777777" w:rsidR="00C37B10" w:rsidRPr="00B213D8" w:rsidRDefault="00C37B10" w:rsidP="00CC7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58A6EB" w14:textId="64F0D9BE" w:rsidR="00AC13BB" w:rsidRPr="00B213D8" w:rsidRDefault="00AC13BB" w:rsidP="000B35E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PRZYCZYNY PRZEKROCZENIA TERMINU</w:t>
            </w:r>
          </w:p>
          <w:p w14:paraId="06DE3DD2" w14:textId="77777777" w:rsidR="00C37B10" w:rsidRPr="00B213D8" w:rsidRDefault="003C422E" w:rsidP="000B35EF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Przekroczenie terminów kamienia milowego </w:t>
            </w: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spowodowane było opóźnieniami występującymi w rekrutacji i oddelegowaniu pracowników do realizacji projektu, co opóźniło podjęcie działań w zakresie przygotowania i przeprowadzenia postępowania na wybór Wykonawców usług.</w:t>
            </w:r>
          </w:p>
          <w:p w14:paraId="16F65511" w14:textId="77777777" w:rsidR="00AC13BB" w:rsidRPr="00B213D8" w:rsidRDefault="00AC13BB" w:rsidP="000B35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A345D" w14:textId="77777777" w:rsidR="00AC13BB" w:rsidRPr="00B213D8" w:rsidRDefault="00AC13BB" w:rsidP="000B35E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ŚRODKI ZARADCZE</w:t>
            </w:r>
          </w:p>
          <w:p w14:paraId="2425C94A" w14:textId="5D6A7A7B" w:rsidR="00AC13BB" w:rsidRPr="00B213D8" w:rsidRDefault="00D62774" w:rsidP="00D6277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Beneficjent podjął działania zaradcze, które mimo opóźnienia umożliwią 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>osiągnięcie wskaźników projektu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oraz dotrzymanie 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>terminu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realizacji projektu.</w:t>
            </w:r>
          </w:p>
          <w:p w14:paraId="19DCAD21" w14:textId="77777777" w:rsidR="00D62774" w:rsidRPr="00B213D8" w:rsidRDefault="00D62774" w:rsidP="00D627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7BC9E" w14:textId="24ED40ED" w:rsidR="00D62774" w:rsidRPr="00B213D8" w:rsidRDefault="00EA606B" w:rsidP="00D6277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W dniu 11.12.2018 r.</w:t>
            </w:r>
            <w:r w:rsidR="00D62774" w:rsidRPr="00B213D8">
              <w:rPr>
                <w:rFonts w:ascii="Arial" w:hAnsi="Arial" w:cs="Arial"/>
                <w:sz w:val="20"/>
                <w:szCs w:val="20"/>
              </w:rPr>
              <w:t xml:space="preserve"> podpisano Umowę z Wykonawcą usługi w ramach zamówienia pn. Zarządzanie projektem.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Tym samym zakres kamienia milowego został częściowo zrealizowany.</w:t>
            </w:r>
            <w:r w:rsidR="00D62774" w:rsidRPr="00B213D8">
              <w:rPr>
                <w:rFonts w:ascii="Arial" w:hAnsi="Arial" w:cs="Arial"/>
                <w:sz w:val="20"/>
                <w:szCs w:val="20"/>
              </w:rPr>
              <w:t xml:space="preserve"> Opóźnienie wynikało z konieczności przeprowadzenia drugiego postępowania (pierwsze postępowanie na wybór podmiotu zarządzającego projektem – ogłoszone dnia 27.09.2018 –  zostało zakończone odmową podpisania Umowy przez Wykonawcę).</w:t>
            </w:r>
          </w:p>
          <w:p w14:paraId="0D04354C" w14:textId="77777777" w:rsidR="00EA606B" w:rsidRPr="00B213D8" w:rsidRDefault="00EA606B" w:rsidP="00D627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BD975" w14:textId="465D04AA" w:rsidR="00D62774" w:rsidRPr="00B213D8" w:rsidRDefault="00EA606B" w:rsidP="00D6277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W celu uniknięcia problemów o podobnym charakterze w przyszłości </w:t>
            </w:r>
            <w:r w:rsidR="00D62774" w:rsidRPr="00B213D8">
              <w:rPr>
                <w:rFonts w:ascii="Arial" w:hAnsi="Arial" w:cs="Arial"/>
                <w:sz w:val="20"/>
                <w:szCs w:val="20"/>
              </w:rPr>
              <w:t>Dyrekcja IPiN podjęła decyzję, że wszystkie postępowania przetargowe będzie przeprowadzał Wykonawca usługi zarządzania projektem.</w:t>
            </w:r>
          </w:p>
          <w:p w14:paraId="054F3756" w14:textId="77777777" w:rsidR="00EA606B" w:rsidRPr="00B213D8" w:rsidRDefault="00EA606B" w:rsidP="00D627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8C5B3" w14:textId="515ADFD6" w:rsidR="00D62774" w:rsidRPr="00B213D8" w:rsidRDefault="00D62774" w:rsidP="00D6277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Beneficjent wraz z wybranym podmiotem zarządzającym </w:t>
            </w:r>
            <w:r w:rsidR="004B2696" w:rsidRPr="00B213D8">
              <w:rPr>
                <w:rFonts w:ascii="Arial" w:hAnsi="Arial" w:cs="Arial"/>
                <w:sz w:val="20"/>
                <w:szCs w:val="20"/>
              </w:rPr>
              <w:t xml:space="preserve">zaproponowali aktualizację 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Harmonogramu wyznaczającego kamienie milowe (w dniu 14.02.2019 r. złożono stosowny wniosek o zmianę Harmonogramu do Instytucji Pośredniczącej) oraz podejmują działania w celu sprawnego </w:t>
            </w: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przeprowadzenia postępowań przetargowych.</w:t>
            </w:r>
          </w:p>
          <w:p w14:paraId="6B95049E" w14:textId="77777777" w:rsidR="00D62774" w:rsidRPr="00B213D8" w:rsidRDefault="00D62774" w:rsidP="00D627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D4AE9" w14:textId="3885B094" w:rsidR="00D62774" w:rsidRPr="00B213D8" w:rsidRDefault="004B2696" w:rsidP="00C465DB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Beneficjent dokonał racjonalizacji Harmonogramu i zaplanował w</w:t>
            </w:r>
            <w:r w:rsidR="00D62774" w:rsidRPr="00B213D8">
              <w:rPr>
                <w:rFonts w:ascii="Arial" w:hAnsi="Arial" w:cs="Arial"/>
                <w:sz w:val="20"/>
                <w:szCs w:val="20"/>
              </w:rPr>
              <w:t>ybór wykonaw</w:t>
            </w:r>
            <w:r w:rsidRPr="00B213D8">
              <w:rPr>
                <w:rFonts w:ascii="Arial" w:hAnsi="Arial" w:cs="Arial"/>
                <w:sz w:val="20"/>
                <w:szCs w:val="20"/>
              </w:rPr>
              <w:t>ców dwóch</w:t>
            </w:r>
            <w:r w:rsidR="00D62774" w:rsidRPr="00B213D8">
              <w:rPr>
                <w:rFonts w:ascii="Arial" w:hAnsi="Arial" w:cs="Arial"/>
                <w:sz w:val="20"/>
                <w:szCs w:val="20"/>
              </w:rPr>
              <w:t xml:space="preserve"> pozostałych usług (audytu zgodności z WCAG 2.0 oraz audytu w zakresie wdrażania krajowych i międzynarodowych standardów), wchodzących w zakres kamienia milowego, </w:t>
            </w:r>
            <w:r w:rsidRPr="00B213D8">
              <w:rPr>
                <w:rFonts w:ascii="Arial" w:hAnsi="Arial" w:cs="Arial"/>
                <w:sz w:val="20"/>
                <w:szCs w:val="20"/>
              </w:rPr>
              <w:t>na początek III kwartału</w:t>
            </w:r>
            <w:r w:rsidR="00D62774" w:rsidRPr="00B213D8">
              <w:rPr>
                <w:rFonts w:ascii="Arial" w:hAnsi="Arial" w:cs="Arial"/>
                <w:sz w:val="20"/>
                <w:szCs w:val="20"/>
              </w:rPr>
              <w:t xml:space="preserve"> 2019 roku</w:t>
            </w:r>
            <w:r w:rsidR="00C465DB" w:rsidRPr="00B213D8">
              <w:rPr>
                <w:rFonts w:ascii="Arial" w:hAnsi="Arial" w:cs="Arial"/>
                <w:sz w:val="20"/>
                <w:szCs w:val="20"/>
              </w:rPr>
              <w:t>. Realizacja usług jest ściśle związana z dostarczeniem wersji produkcyjnej</w:t>
            </w:r>
            <w:r w:rsidR="00D62774" w:rsidRPr="00B213D8">
              <w:rPr>
                <w:rFonts w:ascii="Arial" w:hAnsi="Arial" w:cs="Arial"/>
                <w:sz w:val="20"/>
                <w:szCs w:val="20"/>
              </w:rPr>
              <w:t xml:space="preserve"> portalu do udostępniania zasobów.</w:t>
            </w:r>
          </w:p>
        </w:tc>
      </w:tr>
      <w:tr w:rsidR="00697D52" w:rsidRPr="00B213D8" w14:paraId="2EAE439B" w14:textId="77777777" w:rsidTr="00CE6171">
        <w:tc>
          <w:tcPr>
            <w:tcW w:w="1403" w:type="pct"/>
          </w:tcPr>
          <w:p w14:paraId="783AE3EA" w14:textId="05277655" w:rsidR="00697D52" w:rsidRPr="00B213D8" w:rsidRDefault="00697D52" w:rsidP="00D3415D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Kontrola jakości w zakresie wdrażania krajowych i międzynarodowych norm, WCAG 2.0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6DC4" w14:textId="1784719D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9" w:type="pct"/>
          </w:tcPr>
          <w:p w14:paraId="56ED9EF1" w14:textId="59B327D2" w:rsidR="00697D52" w:rsidRPr="00B213D8" w:rsidRDefault="00FE2F40" w:rsidP="00933EA2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12-2020</w:t>
            </w:r>
          </w:p>
        </w:tc>
        <w:tc>
          <w:tcPr>
            <w:tcW w:w="706" w:type="pct"/>
          </w:tcPr>
          <w:p w14:paraId="74F759DE" w14:textId="1975914E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37" w:type="pct"/>
          </w:tcPr>
          <w:p w14:paraId="503F7D14" w14:textId="7B390A2F" w:rsidR="00576828" w:rsidRPr="00B213D8" w:rsidRDefault="00697D52" w:rsidP="00576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Planowany</w:t>
            </w:r>
          </w:p>
        </w:tc>
      </w:tr>
      <w:tr w:rsidR="00697D52" w:rsidRPr="00B213D8" w14:paraId="2ED310BD" w14:textId="77777777" w:rsidTr="00CE6171">
        <w:tc>
          <w:tcPr>
            <w:tcW w:w="1403" w:type="pct"/>
          </w:tcPr>
          <w:p w14:paraId="483A033C" w14:textId="50583F36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Rekrutacja pracowników/oddelegowanie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DA9" w14:textId="523D5F78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9" w:type="pct"/>
          </w:tcPr>
          <w:p w14:paraId="769C5691" w14:textId="490B9362" w:rsidR="00697D52" w:rsidRPr="00B213D8" w:rsidRDefault="00D764C9" w:rsidP="0002343E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08-2018</w:t>
            </w:r>
          </w:p>
        </w:tc>
        <w:tc>
          <w:tcPr>
            <w:tcW w:w="706" w:type="pct"/>
          </w:tcPr>
          <w:p w14:paraId="66B1E159" w14:textId="3B07DC09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12-2018</w:t>
            </w:r>
          </w:p>
        </w:tc>
        <w:tc>
          <w:tcPr>
            <w:tcW w:w="1437" w:type="pct"/>
          </w:tcPr>
          <w:p w14:paraId="1A791EA4" w14:textId="77777777" w:rsidR="00FE2F40" w:rsidRPr="00B213D8" w:rsidRDefault="00697D52" w:rsidP="00023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Osiągnięty</w:t>
            </w:r>
          </w:p>
          <w:p w14:paraId="19B51D7B" w14:textId="77777777" w:rsidR="00D764C9" w:rsidRPr="00B213D8" w:rsidRDefault="00D764C9" w:rsidP="000234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50798" w14:textId="6F73E7C2" w:rsidR="003F55F1" w:rsidRPr="00B213D8" w:rsidRDefault="003F55F1" w:rsidP="0002343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PRZYCZYNY PRZEKROCZENIA TERMINU</w:t>
            </w:r>
          </w:p>
          <w:p w14:paraId="511F0A18" w14:textId="60BD23BD" w:rsidR="00D764C9" w:rsidRPr="00B213D8" w:rsidRDefault="00D764C9" w:rsidP="008F24C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Opóźnienie w zakresie rekrutacji i oddelegowaniu pracowników do realizacji projektu było spowodowane dwumiesięcznym procedowaniem pism wewnątrz jednostki Beneficjenta odnośnie formy zatrudnienia i ich wynagradzania. Ponadto pozyskanie pracownika na stanowisko osoby fotografującej materiał mózgowy</w:t>
            </w:r>
            <w:r w:rsidR="008F24C4" w:rsidRPr="00B213D8">
              <w:rPr>
                <w:rFonts w:ascii="Arial" w:hAnsi="Arial" w:cs="Arial"/>
                <w:sz w:val="20"/>
                <w:szCs w:val="20"/>
              </w:rPr>
              <w:t>,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z uwagi na specyfikę pracy</w:t>
            </w:r>
            <w:r w:rsidR="008F24C4" w:rsidRPr="00B213D8">
              <w:rPr>
                <w:rFonts w:ascii="Arial" w:hAnsi="Arial" w:cs="Arial"/>
                <w:sz w:val="20"/>
                <w:szCs w:val="20"/>
              </w:rPr>
              <w:t>,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było dłu</w:t>
            </w:r>
            <w:r w:rsidR="008F24C4" w:rsidRPr="00B213D8">
              <w:rPr>
                <w:rFonts w:ascii="Arial" w:hAnsi="Arial" w:cs="Arial"/>
                <w:sz w:val="20"/>
                <w:szCs w:val="20"/>
              </w:rPr>
              <w:t>ższym procesem niż zakładano</w:t>
            </w:r>
            <w:r w:rsidRPr="00B213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97D52" w:rsidRPr="00B213D8" w14:paraId="3AF5148F" w14:textId="77777777" w:rsidTr="00CE6171">
        <w:tc>
          <w:tcPr>
            <w:tcW w:w="1403" w:type="pct"/>
          </w:tcPr>
          <w:p w14:paraId="2F519BF0" w14:textId="4CFE3F23" w:rsidR="00697D52" w:rsidRPr="00B213D8" w:rsidRDefault="00697D52" w:rsidP="00D3415D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Dostosowanie pomieszczeń do potrzeb archiwum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1E3A" w14:textId="7A34AF7E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9" w:type="pct"/>
          </w:tcPr>
          <w:p w14:paraId="460C8152" w14:textId="5310EB11" w:rsidR="00697D52" w:rsidRPr="00B213D8" w:rsidRDefault="00FE2F40" w:rsidP="00FE2F40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10-2018</w:t>
            </w:r>
          </w:p>
        </w:tc>
        <w:tc>
          <w:tcPr>
            <w:tcW w:w="706" w:type="pct"/>
          </w:tcPr>
          <w:p w14:paraId="68C9EFFE" w14:textId="0B677D18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37" w:type="pct"/>
          </w:tcPr>
          <w:p w14:paraId="083504B2" w14:textId="77777777" w:rsidR="009002D1" w:rsidRPr="00B213D8" w:rsidRDefault="009002D1" w:rsidP="009002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 trakcie realizacji</w:t>
            </w:r>
          </w:p>
          <w:p w14:paraId="7501E1B3" w14:textId="77777777" w:rsidR="009002D1" w:rsidRPr="00B213D8" w:rsidRDefault="009002D1" w:rsidP="009002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2865A" w14:textId="6975F858" w:rsidR="00913102" w:rsidRPr="00B213D8" w:rsidRDefault="00913102" w:rsidP="00900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PRZYCZYNY PRZEKROCZENIA TERMINU</w:t>
            </w:r>
          </w:p>
          <w:p w14:paraId="643C8357" w14:textId="77777777" w:rsidR="009002D1" w:rsidRPr="00B213D8" w:rsidRDefault="009002D1" w:rsidP="009002D1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Beneficjent w dniu 07.08.2018 r. wszczął postępowanie na wybór Wykonawcy prac związanych z dostosowaniem pomieszczeń. W wyniku przeprowadzonego postępowania wpłynęły oferty znacząco przewyższające kwotę, którą Beneficjent zamierza przeznaczyć na realizację </w:t>
            </w: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zamówienia. W związku z tym postępowanie zostało unieważnione dnia 23.08.2018 r.</w:t>
            </w:r>
          </w:p>
          <w:p w14:paraId="514671AE" w14:textId="77777777" w:rsidR="00913102" w:rsidRPr="00B213D8" w:rsidRDefault="00913102" w:rsidP="001057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E7D81" w14:textId="77777777" w:rsidR="00913102" w:rsidRPr="00B213D8" w:rsidRDefault="00913102" w:rsidP="001057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ŚRODKI ZARADCZE</w:t>
            </w:r>
          </w:p>
          <w:p w14:paraId="2608CEDF" w14:textId="74AEB694" w:rsidR="00913102" w:rsidRPr="00B213D8" w:rsidRDefault="009002D1" w:rsidP="003F55F1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W trosce o prawidłową realizację projektu Dyrekcja IPiN podjęła decyzję, że wszystkie postępowania przetargowe będzie przeprowadzał Wykonawca usługi </w:t>
            </w:r>
            <w:r w:rsidR="008F24C4" w:rsidRPr="00B213D8">
              <w:rPr>
                <w:rFonts w:ascii="Arial" w:hAnsi="Arial" w:cs="Arial"/>
                <w:sz w:val="20"/>
                <w:szCs w:val="20"/>
              </w:rPr>
              <w:t>z</w:t>
            </w:r>
            <w:r w:rsidRPr="00B213D8">
              <w:rPr>
                <w:rFonts w:ascii="Arial" w:hAnsi="Arial" w:cs="Arial"/>
                <w:sz w:val="20"/>
                <w:szCs w:val="20"/>
              </w:rPr>
              <w:t>arządzania projektem. W związku z rozpoczęciem prac przez podmiot zarządzający projektem w połowie grudnia 2018 r. podejmowane są kroki niezbędne do szybkiego przeprowadzenia zaległych postępowań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>. Opóźnienia w osiągnięciu kamienia milowego nie spowodują opóźnienia w zakończeniu projektu</w:t>
            </w:r>
            <w:r w:rsidRPr="00B213D8">
              <w:rPr>
                <w:rFonts w:ascii="Arial" w:hAnsi="Arial" w:cs="Arial"/>
                <w:sz w:val="20"/>
                <w:szCs w:val="20"/>
              </w:rPr>
              <w:t>.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7D52" w:rsidRPr="00B213D8" w14:paraId="4B6948E4" w14:textId="77777777" w:rsidTr="00CE6171">
        <w:tc>
          <w:tcPr>
            <w:tcW w:w="1403" w:type="pct"/>
          </w:tcPr>
          <w:p w14:paraId="6748425D" w14:textId="12A1BA19" w:rsidR="00697D52" w:rsidRPr="00B213D8" w:rsidRDefault="00697D52" w:rsidP="00D3415D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Zakończenie postępowania w celu wyłonienia dostawcy sprzętów i programów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D708" w14:textId="420FFB9E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9" w:type="pct"/>
          </w:tcPr>
          <w:p w14:paraId="1F14214E" w14:textId="546C4DB5" w:rsidR="00697D52" w:rsidRPr="00B213D8" w:rsidRDefault="00FE2F40" w:rsidP="0002343E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08-2018</w:t>
            </w:r>
          </w:p>
        </w:tc>
        <w:tc>
          <w:tcPr>
            <w:tcW w:w="706" w:type="pct"/>
          </w:tcPr>
          <w:p w14:paraId="624E672E" w14:textId="5201ED9D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37" w:type="pct"/>
          </w:tcPr>
          <w:p w14:paraId="2A1A5D5D" w14:textId="77777777" w:rsidR="009002D1" w:rsidRPr="00B213D8" w:rsidRDefault="009002D1" w:rsidP="009002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 trakcie realizacji</w:t>
            </w:r>
          </w:p>
          <w:p w14:paraId="507C8210" w14:textId="77777777" w:rsidR="009002D1" w:rsidRPr="00B213D8" w:rsidRDefault="009002D1" w:rsidP="009002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49B0E" w14:textId="3546DA40" w:rsidR="00913102" w:rsidRPr="00B213D8" w:rsidRDefault="00913102" w:rsidP="00900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PRZYCZYNY PRZEKROCZENIA TERMINU</w:t>
            </w:r>
          </w:p>
          <w:p w14:paraId="7A7D630A" w14:textId="6A323F6D" w:rsidR="00913102" w:rsidRPr="00B213D8" w:rsidRDefault="00913102" w:rsidP="009002D1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Opóźnienie w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B213D8">
              <w:rPr>
                <w:rFonts w:ascii="Arial" w:hAnsi="Arial" w:cs="Arial"/>
                <w:sz w:val="20"/>
                <w:szCs w:val="20"/>
              </w:rPr>
              <w:t>ybor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>ze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>podmiotu zarządzającego projektem</w:t>
            </w:r>
            <w:r w:rsidRPr="00B213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41FC93" w14:textId="77777777" w:rsidR="00913102" w:rsidRPr="00B213D8" w:rsidRDefault="00913102" w:rsidP="009002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FAB07" w14:textId="31961945" w:rsidR="00913102" w:rsidRPr="00B213D8" w:rsidRDefault="00913102" w:rsidP="00900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ŚRO</w:t>
            </w:r>
            <w:r w:rsidR="003F55F1" w:rsidRPr="00B213D8">
              <w:rPr>
                <w:rFonts w:ascii="Arial" w:hAnsi="Arial" w:cs="Arial"/>
                <w:sz w:val="20"/>
                <w:szCs w:val="20"/>
                <w:u w:val="single"/>
              </w:rPr>
              <w:t>DKI</w:t>
            </w: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 xml:space="preserve"> ZARADCZ</w:t>
            </w:r>
            <w:r w:rsidR="003F55F1" w:rsidRPr="00B213D8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</w:p>
          <w:p w14:paraId="01E15416" w14:textId="5353E04A" w:rsidR="00913102" w:rsidRPr="00B213D8" w:rsidRDefault="00D47109" w:rsidP="009002D1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Po wyborze 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 xml:space="preserve">podmiotu zarządzającego projektem </w:t>
            </w:r>
            <w:r w:rsidRPr="00B213D8">
              <w:rPr>
                <w:rFonts w:ascii="Arial" w:hAnsi="Arial" w:cs="Arial"/>
                <w:sz w:val="20"/>
                <w:szCs w:val="20"/>
              </w:rPr>
              <w:t>wdrożono procedury efektywnej publikacji postępowań o udzielenie zamówień publicznych. Przyjęto podejście zakładające podział przedmiotu zamówienia na możliwie wiele homogenicznych części (pakietów) o niższej jednostkowej wartości. Podejście ma na celu zwiększenie konkurencyjności i zwiększenie prawdopodobieństwa szybkiego wyłonienia wykonawców.</w:t>
            </w:r>
          </w:p>
          <w:p w14:paraId="7318B1BB" w14:textId="77777777" w:rsidR="00D47109" w:rsidRPr="00B213D8" w:rsidRDefault="00D47109" w:rsidP="009002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02D662" w14:textId="77777777" w:rsidR="00913102" w:rsidRPr="00B213D8" w:rsidRDefault="00913102" w:rsidP="00913102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W wyniku przeprowadzonego postępowania na dostawę sprzętu do digitalizacji (ogłoszone 31.01.2019 r.): w zakresie Pakietu I (dostawa mikroskopów) zakończono podpisaniem umowy z </w:t>
            </w: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wybranym Wykonawcą w dniu 05.03.0219 r.; w zakresie Pakietu II (dostawa aparatów fotograficznych) unieważniono - złożona oferta przekraczała kwotę Zamawiającego.</w:t>
            </w:r>
          </w:p>
          <w:p w14:paraId="76E72E7D" w14:textId="77777777" w:rsidR="00913102" w:rsidRPr="00B213D8" w:rsidRDefault="00913102" w:rsidP="00913102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Powtórzone postępowanie na dostawę stołów do </w:t>
            </w:r>
            <w:proofErr w:type="spellStart"/>
            <w:r w:rsidRPr="00B213D8">
              <w:rPr>
                <w:rFonts w:ascii="Arial" w:hAnsi="Arial" w:cs="Arial"/>
                <w:sz w:val="20"/>
                <w:szCs w:val="20"/>
              </w:rPr>
              <w:t>makroobrazowania</w:t>
            </w:r>
            <w:proofErr w:type="spellEnd"/>
            <w:r w:rsidRPr="00B213D8">
              <w:rPr>
                <w:rFonts w:ascii="Arial" w:hAnsi="Arial" w:cs="Arial"/>
                <w:sz w:val="20"/>
                <w:szCs w:val="20"/>
              </w:rPr>
              <w:t xml:space="preserve"> (ogłoszone 12.02.2019 r.) zostało zakończone podpisaniem umowy z wybranym Wykonawcą w dniu 25.03.2019 r.</w:t>
            </w:r>
          </w:p>
          <w:p w14:paraId="74D9323D" w14:textId="42CBD4FE" w:rsidR="00913102" w:rsidRPr="00B213D8" w:rsidRDefault="00913102" w:rsidP="003F55F1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Postępowanie na dostawę sprzętu komputerowego i licencji oprogramowania zostało ogłoszone 18.03.2019 r.: Pakiet I (serwery produkcyjne) – status: wpłynęły oferty; Pakiet II (laptopy) – status: wpłynęły oferty; Pakiet III (licencje oprogramowania) – status złożona oferta przekracza kwotę zamawiającego. Postępowanie jest na etapie oceny ofert.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 xml:space="preserve"> Opóźnienia w osiągnięciu kamienia milowego nie spowodują opóźnienia w zakończeniu projektu.</w:t>
            </w:r>
          </w:p>
        </w:tc>
      </w:tr>
      <w:tr w:rsidR="00697D52" w:rsidRPr="00B213D8" w14:paraId="3119CDA2" w14:textId="77777777" w:rsidTr="00CE6171">
        <w:tc>
          <w:tcPr>
            <w:tcW w:w="1403" w:type="pct"/>
          </w:tcPr>
          <w:p w14:paraId="522D740D" w14:textId="15674BA5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Odbiór sprzętu i oprogramowania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FEA6" w14:textId="5B2C002F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9" w:type="pct"/>
          </w:tcPr>
          <w:p w14:paraId="443AFDAC" w14:textId="1AB3E98C" w:rsidR="00697D52" w:rsidRPr="00B213D8" w:rsidRDefault="00FE2F40" w:rsidP="0002343E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09-2018</w:t>
            </w:r>
          </w:p>
        </w:tc>
        <w:tc>
          <w:tcPr>
            <w:tcW w:w="706" w:type="pct"/>
          </w:tcPr>
          <w:p w14:paraId="26228162" w14:textId="2F057681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37" w:type="pct"/>
          </w:tcPr>
          <w:p w14:paraId="0CA08BD7" w14:textId="77777777" w:rsidR="00697D52" w:rsidRPr="00B213D8" w:rsidRDefault="00697D52" w:rsidP="00625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Planowany</w:t>
            </w:r>
          </w:p>
          <w:p w14:paraId="062174DA" w14:textId="77777777" w:rsidR="00FE2F40" w:rsidRPr="00B213D8" w:rsidRDefault="00FE2F40" w:rsidP="006259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6EEAB" w14:textId="77777777" w:rsidR="003F55F1" w:rsidRPr="00B213D8" w:rsidRDefault="003F55F1" w:rsidP="003F55F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PRZYCZYNY PRZEKROCZENIA TERMINU</w:t>
            </w:r>
          </w:p>
          <w:p w14:paraId="7FF0CA1F" w14:textId="679BD3E2" w:rsidR="00FE2F40" w:rsidRPr="00B213D8" w:rsidRDefault="004E351B" w:rsidP="00D471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Postepowani</w:t>
            </w:r>
            <w:r w:rsidR="00D47109" w:rsidRPr="00B213D8">
              <w:rPr>
                <w:rFonts w:ascii="Arial" w:hAnsi="Arial" w:cs="Arial"/>
                <w:sz w:val="20"/>
                <w:szCs w:val="20"/>
              </w:rPr>
              <w:t>a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na wybór dostawc</w:t>
            </w:r>
            <w:r w:rsidR="00D47109" w:rsidRPr="00B213D8">
              <w:rPr>
                <w:rFonts w:ascii="Arial" w:hAnsi="Arial" w:cs="Arial"/>
                <w:sz w:val="20"/>
                <w:szCs w:val="20"/>
              </w:rPr>
              <w:t>ów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sprzętu i oprogramowania nie został</w:t>
            </w:r>
            <w:r w:rsidR="00D47109" w:rsidRPr="00B213D8">
              <w:rPr>
                <w:rFonts w:ascii="Arial" w:hAnsi="Arial" w:cs="Arial"/>
                <w:sz w:val="20"/>
                <w:szCs w:val="20"/>
              </w:rPr>
              <w:t>y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jeszcze rozstrzygnięte, więc </w:t>
            </w:r>
            <w:r w:rsidR="009002D1" w:rsidRPr="00B213D8">
              <w:rPr>
                <w:rFonts w:ascii="Arial" w:hAnsi="Arial" w:cs="Arial"/>
                <w:sz w:val="20"/>
                <w:szCs w:val="20"/>
              </w:rPr>
              <w:t>nie było możliwości osiągnięcia niniejszego kamienia milowego.</w:t>
            </w:r>
            <w:r w:rsidR="009E0464" w:rsidRPr="00B213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87001F" w14:textId="77777777" w:rsidR="00D47109" w:rsidRPr="00B213D8" w:rsidRDefault="00D47109" w:rsidP="00D47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39AE5" w14:textId="77777777" w:rsidR="00D47109" w:rsidRPr="00B213D8" w:rsidRDefault="00D47109" w:rsidP="00D471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ŚRODKI ZARADCZE</w:t>
            </w:r>
          </w:p>
          <w:p w14:paraId="14CA5489" w14:textId="4D49BAE9" w:rsidR="00D47109" w:rsidRPr="00B213D8" w:rsidRDefault="00D47109" w:rsidP="00D47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Zwiększenie efektywności pozyskania wykonawców zgodnie z podejściem zaproponowanym przy kamieniu milowym „Zakończenie postępowania w celu wyłonienia dostawcy sprzętów i programów”.</w:t>
            </w:r>
          </w:p>
        </w:tc>
      </w:tr>
      <w:tr w:rsidR="00697D52" w:rsidRPr="00B213D8" w14:paraId="576B62AE" w14:textId="77777777" w:rsidTr="00CE6171">
        <w:tc>
          <w:tcPr>
            <w:tcW w:w="1403" w:type="pct"/>
          </w:tcPr>
          <w:p w14:paraId="4207E300" w14:textId="5BCA0EF1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Przeprowadzenie szkolenia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4993" w14:textId="59CDB394" w:rsidR="00697D52" w:rsidRPr="00B213D8" w:rsidRDefault="00697D52" w:rsidP="004C46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7 – wartość docelowa: 3 szt.</w:t>
            </w:r>
          </w:p>
        </w:tc>
        <w:tc>
          <w:tcPr>
            <w:tcW w:w="689" w:type="pct"/>
          </w:tcPr>
          <w:p w14:paraId="5DBF5D53" w14:textId="170F2050" w:rsidR="00697D52" w:rsidRPr="00B213D8" w:rsidRDefault="00FE2F40" w:rsidP="0002343E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09-2018</w:t>
            </w:r>
          </w:p>
        </w:tc>
        <w:tc>
          <w:tcPr>
            <w:tcW w:w="706" w:type="pct"/>
          </w:tcPr>
          <w:p w14:paraId="116C1997" w14:textId="5587A6D7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37" w:type="pct"/>
          </w:tcPr>
          <w:p w14:paraId="798799BA" w14:textId="77777777" w:rsidR="00697D52" w:rsidRPr="00B213D8" w:rsidRDefault="00697D52" w:rsidP="00806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 trakcie realizacji</w:t>
            </w:r>
          </w:p>
          <w:p w14:paraId="622167BC" w14:textId="77777777" w:rsidR="009002D1" w:rsidRPr="00B213D8" w:rsidRDefault="009002D1" w:rsidP="00806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F832B" w14:textId="750635F4" w:rsidR="003F55F1" w:rsidRPr="00B213D8" w:rsidRDefault="003F55F1" w:rsidP="0080626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PRZYCZYNY PRZEKROCZENIA TERMINU</w:t>
            </w:r>
          </w:p>
          <w:p w14:paraId="5059C59A" w14:textId="0FEDA13E" w:rsidR="009002D1" w:rsidRPr="00B213D8" w:rsidRDefault="009002D1" w:rsidP="00D471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 xml:space="preserve">W związku z brakiem </w:t>
            </w:r>
            <w:r w:rsidR="000B35EF" w:rsidRPr="00B213D8">
              <w:rPr>
                <w:rFonts w:ascii="Arial" w:hAnsi="Arial" w:cs="Arial"/>
                <w:sz w:val="20"/>
                <w:szCs w:val="20"/>
              </w:rPr>
              <w:t xml:space="preserve">dokonania </w:t>
            </w:r>
            <w:r w:rsidRPr="00B213D8">
              <w:rPr>
                <w:rFonts w:ascii="Arial" w:hAnsi="Arial" w:cs="Arial"/>
                <w:sz w:val="20"/>
                <w:szCs w:val="20"/>
              </w:rPr>
              <w:t>wyb</w:t>
            </w:r>
            <w:r w:rsidR="000B35EF" w:rsidRPr="00B213D8">
              <w:rPr>
                <w:rFonts w:ascii="Arial" w:hAnsi="Arial" w:cs="Arial"/>
                <w:sz w:val="20"/>
                <w:szCs w:val="20"/>
              </w:rPr>
              <w:t>oru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Wykonawcy realizacji dostosowania pomieszczeń oraz Dostawcy sprzętu i oprogramowania nie zrealizowano kamienia milowego w zakładanym terminie. </w:t>
            </w:r>
            <w:r w:rsidR="000763DD" w:rsidRPr="00B213D8">
              <w:rPr>
                <w:rFonts w:ascii="Arial" w:hAnsi="Arial" w:cs="Arial"/>
                <w:sz w:val="20"/>
                <w:szCs w:val="20"/>
              </w:rPr>
              <w:t xml:space="preserve">Zakres kamienia milowego obejmuje </w:t>
            </w:r>
            <w:r w:rsidRPr="00B213D8">
              <w:rPr>
                <w:rFonts w:ascii="Arial" w:hAnsi="Arial" w:cs="Arial"/>
                <w:sz w:val="20"/>
                <w:szCs w:val="20"/>
              </w:rPr>
              <w:t>przeprowadzenie 3 bloków szkoleń po jednym w każdym roku realizacji projektu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>.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W 2018 roku zrealizowano pierwszy blok szkoleniowy.</w:t>
            </w:r>
          </w:p>
          <w:p w14:paraId="1EFE7FD6" w14:textId="77777777" w:rsidR="00D47109" w:rsidRPr="00B213D8" w:rsidRDefault="00D47109" w:rsidP="00D47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7AF4E2" w14:textId="6483BCB5" w:rsidR="00D47109" w:rsidRPr="00B213D8" w:rsidRDefault="00D47109" w:rsidP="00D471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ŚROD</w:t>
            </w:r>
            <w:r w:rsidR="00CD0BC7" w:rsidRPr="00B213D8">
              <w:rPr>
                <w:rFonts w:ascii="Arial" w:hAnsi="Arial" w:cs="Arial"/>
                <w:sz w:val="20"/>
                <w:szCs w:val="20"/>
                <w:u w:val="single"/>
              </w:rPr>
              <w:t>KI</w:t>
            </w: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 xml:space="preserve"> ZARADCZ</w:t>
            </w:r>
            <w:r w:rsidR="00CD0BC7" w:rsidRPr="00B213D8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</w:p>
          <w:p w14:paraId="7B1E6090" w14:textId="3D1F30D9" w:rsidR="002C4696" w:rsidRPr="00B213D8" w:rsidRDefault="00D47109" w:rsidP="002C4696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Na skutek racjonalizacji działań podejmowanych w ramach projektu podjęto decyzję</w:t>
            </w:r>
            <w:r w:rsidR="002C4696" w:rsidRPr="00B213D8">
              <w:rPr>
                <w:rFonts w:ascii="Arial" w:hAnsi="Arial" w:cs="Arial"/>
                <w:sz w:val="20"/>
                <w:szCs w:val="20"/>
              </w:rPr>
              <w:t>, że szkolenia powinny mieć charakter cykliczny i odbywać się rokrocznie. Oznacza to konieczność zmiany terminu osiągniecia kamienia milowego i przesunięcia go na listopad 2020 r. Zmiana znalazła odzwierciedlenie w propozycji zmian Harmonogramu.</w:t>
            </w:r>
          </w:p>
        </w:tc>
      </w:tr>
      <w:tr w:rsidR="00697D52" w:rsidRPr="00B213D8" w14:paraId="6D958290" w14:textId="77777777" w:rsidTr="00CE6171">
        <w:tc>
          <w:tcPr>
            <w:tcW w:w="1403" w:type="pct"/>
          </w:tcPr>
          <w:p w14:paraId="6879DB34" w14:textId="17F455BC" w:rsidR="00697D52" w:rsidRPr="00B213D8" w:rsidRDefault="00697D52" w:rsidP="00D3415D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Zakończenie postępowania w celu wyłonienia dostawcy sprzętu i wyposażenia archiwum modułowego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390D" w14:textId="1C3B17B8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9" w:type="pct"/>
          </w:tcPr>
          <w:p w14:paraId="6628756C" w14:textId="0809D390" w:rsidR="00697D52" w:rsidRPr="00B213D8" w:rsidRDefault="00FE2F40" w:rsidP="0002343E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08-2018</w:t>
            </w:r>
          </w:p>
        </w:tc>
        <w:tc>
          <w:tcPr>
            <w:tcW w:w="706" w:type="pct"/>
          </w:tcPr>
          <w:p w14:paraId="392D97F0" w14:textId="50186C75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37" w:type="pct"/>
          </w:tcPr>
          <w:p w14:paraId="6A1E1154" w14:textId="440A16DA" w:rsidR="00697D52" w:rsidRPr="00B213D8" w:rsidRDefault="006C6B1D" w:rsidP="00625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 trakcie realizacji</w:t>
            </w:r>
          </w:p>
          <w:p w14:paraId="1E8BBA21" w14:textId="77777777" w:rsidR="00B657C8" w:rsidRPr="00B213D8" w:rsidRDefault="00B657C8" w:rsidP="006259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1F0F6C" w14:textId="77777777" w:rsidR="002C4696" w:rsidRPr="00B213D8" w:rsidRDefault="002C4696" w:rsidP="002C46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PRZYCZYNY PRZEKROCZENIA TERMINU</w:t>
            </w:r>
          </w:p>
          <w:p w14:paraId="31991C31" w14:textId="77777777" w:rsidR="003F55F1" w:rsidRPr="00B213D8" w:rsidRDefault="003F55F1" w:rsidP="003F55F1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Opóźnienie w wyborze podmiotu zarządzającego projektem.</w:t>
            </w:r>
          </w:p>
          <w:p w14:paraId="7537B252" w14:textId="77777777" w:rsidR="002C4696" w:rsidRPr="00B213D8" w:rsidRDefault="002C4696" w:rsidP="002C46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0E54D" w14:textId="5263353A" w:rsidR="002C4696" w:rsidRPr="00B213D8" w:rsidRDefault="002C4696" w:rsidP="002C46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ŚROD</w:t>
            </w:r>
            <w:r w:rsidR="003F55F1" w:rsidRPr="00B213D8">
              <w:rPr>
                <w:rFonts w:ascii="Arial" w:hAnsi="Arial" w:cs="Arial"/>
                <w:sz w:val="20"/>
                <w:szCs w:val="20"/>
                <w:u w:val="single"/>
              </w:rPr>
              <w:t>KI</w:t>
            </w: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 xml:space="preserve"> ZARADCZ</w:t>
            </w:r>
            <w:r w:rsidR="003F55F1" w:rsidRPr="00B213D8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</w:p>
          <w:p w14:paraId="2729C25F" w14:textId="6E36D28C" w:rsidR="002C4696" w:rsidRPr="00B213D8" w:rsidRDefault="002C4696" w:rsidP="002C4696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Po wyborze 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 xml:space="preserve">podmiotu zarządzającego projektem </w:t>
            </w:r>
            <w:r w:rsidRPr="00B213D8">
              <w:rPr>
                <w:rFonts w:ascii="Arial" w:hAnsi="Arial" w:cs="Arial"/>
                <w:sz w:val="20"/>
                <w:szCs w:val="20"/>
              </w:rPr>
              <w:t>wdrożono procedury efektywnej publikacji postępowań o udzielenie zamówień publicznych. Przyjęto podejście zakładające podział przedmiotu zamówienia na możliwie wiele homogenicznych części (pakietów) o niższej jednostkowej wartości. Podejście ma na celu zwiększenie konkurencyjności i zwiększenie prawdopodobieństwa szybkiego wyłonienia wykonawców.</w:t>
            </w:r>
          </w:p>
          <w:p w14:paraId="3B0291EB" w14:textId="77777777" w:rsidR="002C4696" w:rsidRPr="00B213D8" w:rsidRDefault="002C4696" w:rsidP="00B473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A94A7" w14:textId="1DF1B668" w:rsidR="00B657C8" w:rsidRPr="00B213D8" w:rsidRDefault="002C4696" w:rsidP="003F55F1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Postępowanie na dostawę sprzętu komputerowego i </w:t>
            </w: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licencji oprogramowania zostało ogłoszone 18.03.2019 r. – Pakiet IV (terminale) – status: nie wpłynęła żadna oferta.</w:t>
            </w:r>
            <w:r w:rsidR="00BF4B68" w:rsidRPr="00B213D8">
              <w:rPr>
                <w:rFonts w:ascii="Arial" w:hAnsi="Arial" w:cs="Arial"/>
                <w:sz w:val="20"/>
                <w:szCs w:val="20"/>
              </w:rPr>
              <w:t xml:space="preserve"> Na dzień złożenia sprawozdania postępowania na pozostałe pakiety, tj. archiwum modułowe na materiał, drukarki z wsparciem serwisowym oraz komplet etykiet i kalek do oznakowania archiwum, są w przygotowaniu. Przewidywany termin publikacji II kwartał 2019 r. Opóźnienia w osiągnięciu kamienia milowego nie spowoduj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>ą</w:t>
            </w:r>
            <w:r w:rsidR="00BF4B68" w:rsidRPr="00B213D8">
              <w:rPr>
                <w:rFonts w:ascii="Arial" w:hAnsi="Arial" w:cs="Arial"/>
                <w:sz w:val="20"/>
                <w:szCs w:val="20"/>
              </w:rPr>
              <w:t xml:space="preserve"> opóźnienia w zakończeniu projektu.</w:t>
            </w:r>
          </w:p>
        </w:tc>
      </w:tr>
      <w:tr w:rsidR="00697D52" w:rsidRPr="00B213D8" w14:paraId="0B5A5F39" w14:textId="77777777" w:rsidTr="00CE6171">
        <w:tc>
          <w:tcPr>
            <w:tcW w:w="1403" w:type="pct"/>
          </w:tcPr>
          <w:p w14:paraId="3F8C8A58" w14:textId="663A2367" w:rsidR="00697D52" w:rsidRPr="00B213D8" w:rsidRDefault="00697D52" w:rsidP="00D3415D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Odbiór powstałego archiwum modułowego na zasoby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1A47" w14:textId="140EF0DD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9" w:type="pct"/>
          </w:tcPr>
          <w:p w14:paraId="6B90D422" w14:textId="7C05E246" w:rsidR="00697D52" w:rsidRPr="00B213D8" w:rsidRDefault="00B657C8" w:rsidP="0002343E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01-2019</w:t>
            </w:r>
          </w:p>
        </w:tc>
        <w:tc>
          <w:tcPr>
            <w:tcW w:w="706" w:type="pct"/>
          </w:tcPr>
          <w:p w14:paraId="2E26FAFD" w14:textId="7C8D0E91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37" w:type="pct"/>
          </w:tcPr>
          <w:p w14:paraId="0BAD0735" w14:textId="521B92B2" w:rsidR="00697D52" w:rsidRPr="00B213D8" w:rsidRDefault="00323556" w:rsidP="001A51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 trakcie realizacji</w:t>
            </w:r>
          </w:p>
          <w:p w14:paraId="07FA265E" w14:textId="77777777" w:rsidR="000B35EF" w:rsidRPr="00B213D8" w:rsidRDefault="000B35EF" w:rsidP="001A51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2799A" w14:textId="77777777" w:rsidR="003F55F1" w:rsidRPr="00B213D8" w:rsidRDefault="003F55F1" w:rsidP="003F55F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PRZYCZYNY PRZEKROCZENIA TERMINU</w:t>
            </w:r>
          </w:p>
          <w:p w14:paraId="3E989AA3" w14:textId="2C248424" w:rsidR="000B35EF" w:rsidRPr="00B213D8" w:rsidRDefault="003C422E" w:rsidP="003C422E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Postepowani</w:t>
            </w:r>
            <w:r w:rsidR="00BF4B68" w:rsidRPr="00B213D8">
              <w:rPr>
                <w:rFonts w:ascii="Arial" w:hAnsi="Arial" w:cs="Arial"/>
                <w:sz w:val="20"/>
                <w:szCs w:val="20"/>
              </w:rPr>
              <w:t>a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na wybór dostawców archiwum modułowego i wyposażenia nie zostały jeszcze rozstrzygnięte, więc nie było możliwości osiągnięcia niniejszego kamienia milowego.</w:t>
            </w:r>
          </w:p>
          <w:p w14:paraId="7F71262B" w14:textId="77777777" w:rsidR="00BF4B68" w:rsidRPr="00B213D8" w:rsidRDefault="00BF4B68" w:rsidP="003C42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D24059" w14:textId="77777777" w:rsidR="00BF4B68" w:rsidRPr="00B213D8" w:rsidRDefault="00BF4B68" w:rsidP="00BF4B6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ŚRODKI ZARADCZE</w:t>
            </w:r>
          </w:p>
          <w:p w14:paraId="28777F46" w14:textId="46FB726B" w:rsidR="00BF4B68" w:rsidRPr="00B213D8" w:rsidRDefault="00BF4B68" w:rsidP="00BF4B68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Zwiększenie efektywności pozyskania wykonawców zgodnie z podejściem zaproponowanym przy kamieniu milowym „Zakończenie postępowania w celu wyłonienia dostawcy sprzętów i programów”.</w:t>
            </w:r>
          </w:p>
        </w:tc>
      </w:tr>
      <w:tr w:rsidR="00697D52" w:rsidRPr="00B213D8" w14:paraId="408842A9" w14:textId="77777777" w:rsidTr="00CE6171">
        <w:tc>
          <w:tcPr>
            <w:tcW w:w="1403" w:type="pct"/>
          </w:tcPr>
          <w:p w14:paraId="3C97113A" w14:textId="77F40480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Budowa portalu do udostępniania zasobów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8B0B" w14:textId="24F5862B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1 – wartość docelowa: 1,0 szt.</w:t>
            </w:r>
          </w:p>
          <w:p w14:paraId="644FA5CF" w14:textId="3236AA72" w:rsidR="00697D52" w:rsidRPr="00B213D8" w:rsidRDefault="00697D52" w:rsidP="00A27F7E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2 – wartość docelowa: 123 310,0 szt./rok</w:t>
            </w:r>
          </w:p>
          <w:p w14:paraId="295C9D41" w14:textId="77777777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5 – wartość docelowa: 1,0 szt.</w:t>
            </w:r>
          </w:p>
          <w:p w14:paraId="00CBCA35" w14:textId="4B4C6F4E" w:rsidR="00697D52" w:rsidRPr="00B213D8" w:rsidRDefault="00697D52" w:rsidP="00A27F7E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6 – wartość docelowa: 69 476,0 szt.</w:t>
            </w:r>
          </w:p>
          <w:p w14:paraId="0A7CA6D4" w14:textId="06831B82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8 – wartość docelowa: 1,0 szt.</w:t>
            </w:r>
          </w:p>
        </w:tc>
        <w:tc>
          <w:tcPr>
            <w:tcW w:w="689" w:type="pct"/>
          </w:tcPr>
          <w:p w14:paraId="6B18D4CD" w14:textId="08C682A8" w:rsidR="00697D52" w:rsidRPr="00B213D8" w:rsidRDefault="00FE2F40" w:rsidP="0002343E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01-2019</w:t>
            </w:r>
          </w:p>
        </w:tc>
        <w:tc>
          <w:tcPr>
            <w:tcW w:w="706" w:type="pct"/>
          </w:tcPr>
          <w:p w14:paraId="32A8A8BF" w14:textId="6E84B735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37" w:type="pct"/>
          </w:tcPr>
          <w:p w14:paraId="0C15D18F" w14:textId="77777777" w:rsidR="00697D52" w:rsidRPr="00B213D8" w:rsidRDefault="00697D52" w:rsidP="00625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 trakcie realizacji</w:t>
            </w:r>
          </w:p>
          <w:p w14:paraId="3C150429" w14:textId="77777777" w:rsidR="000D41F8" w:rsidRPr="00B213D8" w:rsidRDefault="000D41F8" w:rsidP="006259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08519" w14:textId="77777777" w:rsidR="00BF4B68" w:rsidRPr="00B213D8" w:rsidRDefault="00BF4B68" w:rsidP="00BF4B6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PRZYCZYNY PRZEKROCZENIA TERMINU</w:t>
            </w:r>
          </w:p>
          <w:p w14:paraId="564EE713" w14:textId="7BCB2DB5" w:rsidR="00BF4B68" w:rsidRPr="00B213D8" w:rsidRDefault="00BF4B68" w:rsidP="00BF4B68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Opóźnienie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B213D8">
              <w:rPr>
                <w:rFonts w:ascii="Arial" w:hAnsi="Arial" w:cs="Arial"/>
                <w:sz w:val="20"/>
                <w:szCs w:val="20"/>
              </w:rPr>
              <w:t xml:space="preserve"> wybor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>ze podmiotu zarządzającego projektem</w:t>
            </w:r>
            <w:r w:rsidRPr="00B213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039952" w14:textId="77777777" w:rsidR="00BF4B68" w:rsidRPr="00B213D8" w:rsidRDefault="00BF4B68" w:rsidP="00BF4B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DBB54" w14:textId="24570E1E" w:rsidR="00BF4B68" w:rsidRPr="00B213D8" w:rsidRDefault="00BF4B68" w:rsidP="00BF4B6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13D8">
              <w:rPr>
                <w:rFonts w:ascii="Arial" w:hAnsi="Arial" w:cs="Arial"/>
                <w:sz w:val="20"/>
                <w:szCs w:val="20"/>
                <w:u w:val="single"/>
              </w:rPr>
              <w:t>ŚROD</w:t>
            </w:r>
            <w:r w:rsidR="00CD0BC7" w:rsidRPr="00B213D8">
              <w:rPr>
                <w:rFonts w:ascii="Arial" w:hAnsi="Arial" w:cs="Arial"/>
                <w:sz w:val="20"/>
                <w:szCs w:val="20"/>
                <w:u w:val="single"/>
              </w:rPr>
              <w:t>KI ZARADCZE</w:t>
            </w:r>
          </w:p>
          <w:p w14:paraId="0CA84582" w14:textId="34CD4D5A" w:rsidR="00BF4B68" w:rsidRPr="00B213D8" w:rsidRDefault="00BF4B68" w:rsidP="00BF4B68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Po wyborze 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 xml:space="preserve">podmiotu zarządzającego projektem </w:t>
            </w:r>
            <w:r w:rsidRPr="00B213D8">
              <w:rPr>
                <w:rFonts w:ascii="Arial" w:hAnsi="Arial" w:cs="Arial"/>
                <w:sz w:val="20"/>
                <w:szCs w:val="20"/>
              </w:rPr>
              <w:t>wdrożono procedury efektywnej publikacji postępowań o udzielenie zamówień publicznych.</w:t>
            </w:r>
            <w:bookmarkStart w:id="0" w:name="_GoBack"/>
            <w:bookmarkEnd w:id="0"/>
          </w:p>
          <w:p w14:paraId="787EB271" w14:textId="77777777" w:rsidR="00BF4B68" w:rsidRPr="00B213D8" w:rsidRDefault="00BF4B68" w:rsidP="006259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5E6D00" w14:textId="32414EA3" w:rsidR="000D41F8" w:rsidRPr="00B213D8" w:rsidRDefault="00C75150" w:rsidP="003F55F1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W dniu 31.01.2019 r. podpisano umowę </w:t>
            </w:r>
            <w:r w:rsidR="000D41F8" w:rsidRPr="00B213D8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B213D8">
              <w:rPr>
                <w:rFonts w:ascii="Arial" w:hAnsi="Arial" w:cs="Arial"/>
                <w:sz w:val="20"/>
                <w:szCs w:val="20"/>
              </w:rPr>
              <w:t>w</w:t>
            </w:r>
            <w:r w:rsidR="000D41F8" w:rsidRPr="00B213D8">
              <w:rPr>
                <w:rFonts w:ascii="Arial" w:hAnsi="Arial" w:cs="Arial"/>
                <w:sz w:val="20"/>
                <w:szCs w:val="20"/>
              </w:rPr>
              <w:t>ykonawcą</w:t>
            </w:r>
            <w:r w:rsidR="003C422E" w:rsidRPr="00B213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22E" w:rsidRPr="00B213D8">
              <w:rPr>
                <w:rFonts w:ascii="Arial" w:hAnsi="Arial" w:cs="Arial"/>
                <w:sz w:val="20"/>
                <w:szCs w:val="20"/>
              </w:rPr>
              <w:lastRenderedPageBreak/>
              <w:t>portalu do udostępniania zasobów</w:t>
            </w:r>
            <w:r w:rsidR="000D41F8" w:rsidRPr="00B213D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C422E" w:rsidRPr="00B213D8">
              <w:rPr>
                <w:rFonts w:ascii="Arial" w:hAnsi="Arial" w:cs="Arial"/>
                <w:sz w:val="20"/>
                <w:szCs w:val="20"/>
              </w:rPr>
              <w:t>Zgodnie z zapisami umowy u</w:t>
            </w:r>
            <w:r w:rsidR="000D41F8" w:rsidRPr="00B213D8">
              <w:rPr>
                <w:rFonts w:ascii="Arial" w:hAnsi="Arial" w:cs="Arial"/>
                <w:sz w:val="20"/>
                <w:szCs w:val="20"/>
              </w:rPr>
              <w:t>ruchomienie wersji produkcyjnej portalu nastąpi w czerwcu 2019 roku.</w:t>
            </w:r>
            <w:r w:rsidR="00BF4B68" w:rsidRPr="00B213D8">
              <w:rPr>
                <w:rFonts w:ascii="Arial" w:hAnsi="Arial" w:cs="Arial"/>
                <w:sz w:val="20"/>
                <w:szCs w:val="20"/>
              </w:rPr>
              <w:t xml:space="preserve"> Opóźnienia w osiągnięciu kamienia milowego nie spowoduj</w:t>
            </w:r>
            <w:r w:rsidR="003F55F1" w:rsidRPr="00B213D8">
              <w:rPr>
                <w:rFonts w:ascii="Arial" w:hAnsi="Arial" w:cs="Arial"/>
                <w:sz w:val="20"/>
                <w:szCs w:val="20"/>
              </w:rPr>
              <w:t>ą</w:t>
            </w:r>
            <w:r w:rsidR="00BF4B68" w:rsidRPr="00B213D8">
              <w:rPr>
                <w:rFonts w:ascii="Arial" w:hAnsi="Arial" w:cs="Arial"/>
                <w:sz w:val="20"/>
                <w:szCs w:val="20"/>
              </w:rPr>
              <w:t xml:space="preserve"> opóźnienia w zakończeniu projektu.</w:t>
            </w:r>
          </w:p>
        </w:tc>
      </w:tr>
      <w:tr w:rsidR="00697D52" w:rsidRPr="00B213D8" w14:paraId="77EC3553" w14:textId="77777777" w:rsidTr="00CE6171">
        <w:tc>
          <w:tcPr>
            <w:tcW w:w="1403" w:type="pct"/>
          </w:tcPr>
          <w:p w14:paraId="2F094C01" w14:textId="6F564ADE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Digitalizacja zasobów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A7E3" w14:textId="567CCC35" w:rsidR="00697D52" w:rsidRPr="00B213D8" w:rsidRDefault="00697D52" w:rsidP="00A27F7E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3 – wartość docelowa: 3,2 TB</w:t>
            </w:r>
          </w:p>
          <w:p w14:paraId="12B57C5C" w14:textId="1EAA4E1B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4 – wartość docelowa: 69 476,0 szt.</w:t>
            </w:r>
          </w:p>
        </w:tc>
        <w:tc>
          <w:tcPr>
            <w:tcW w:w="689" w:type="pct"/>
          </w:tcPr>
          <w:p w14:paraId="57709F86" w14:textId="11620F42" w:rsidR="00697D52" w:rsidRPr="00B213D8" w:rsidRDefault="00697D52" w:rsidP="00625994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706" w:type="pct"/>
          </w:tcPr>
          <w:p w14:paraId="16A4CA2C" w14:textId="747570F3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37" w:type="pct"/>
          </w:tcPr>
          <w:p w14:paraId="4AECC271" w14:textId="3E9BCE59" w:rsidR="00697D52" w:rsidRPr="00B213D8" w:rsidRDefault="00697D52" w:rsidP="00625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 trakcie realizacji</w:t>
            </w:r>
          </w:p>
        </w:tc>
      </w:tr>
      <w:tr w:rsidR="00697D52" w:rsidRPr="00B213D8" w14:paraId="22497579" w14:textId="77777777" w:rsidTr="00CE6171">
        <w:tc>
          <w:tcPr>
            <w:tcW w:w="1403" w:type="pct"/>
          </w:tcPr>
          <w:p w14:paraId="5D1CCCC3" w14:textId="16636472" w:rsidR="00697D52" w:rsidRPr="00B213D8" w:rsidRDefault="00697D52" w:rsidP="00D3415D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Działania </w:t>
            </w:r>
            <w:proofErr w:type="spellStart"/>
            <w:r w:rsidRPr="00B213D8">
              <w:rPr>
                <w:rFonts w:ascii="Arial" w:hAnsi="Arial" w:cs="Arial"/>
                <w:sz w:val="20"/>
                <w:szCs w:val="20"/>
              </w:rPr>
              <w:t>informacyjno</w:t>
            </w:r>
            <w:proofErr w:type="spellEnd"/>
            <w:r w:rsidRPr="00B213D8">
              <w:rPr>
                <w:rFonts w:ascii="Arial" w:hAnsi="Arial" w:cs="Arial"/>
                <w:sz w:val="20"/>
                <w:szCs w:val="20"/>
              </w:rPr>
              <w:t xml:space="preserve"> – promocyjne w trakcie realizacji projektu, zgodnie z planem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39FE" w14:textId="4E542C3C" w:rsidR="00697D52" w:rsidRPr="00B213D8" w:rsidRDefault="00697D52" w:rsidP="00625994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9" w:type="pct"/>
          </w:tcPr>
          <w:p w14:paraId="4C05A75B" w14:textId="4DE2D242" w:rsidR="00697D52" w:rsidRPr="00B213D8" w:rsidRDefault="00697D52" w:rsidP="0002343E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706" w:type="pct"/>
          </w:tcPr>
          <w:p w14:paraId="0FF21EFC" w14:textId="587B0E7D" w:rsidR="00697D52" w:rsidRPr="00B213D8" w:rsidRDefault="00697D52" w:rsidP="00625994">
            <w:pPr>
              <w:pStyle w:val="Akapitzlist"/>
              <w:ind w:left="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37" w:type="pct"/>
          </w:tcPr>
          <w:p w14:paraId="569B639E" w14:textId="327B4892" w:rsidR="00697D52" w:rsidRPr="00B213D8" w:rsidRDefault="00697D52" w:rsidP="00625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 trakcie realizacji</w:t>
            </w:r>
          </w:p>
        </w:tc>
      </w:tr>
    </w:tbl>
    <w:p w14:paraId="420FD029" w14:textId="77777777" w:rsidR="004D6970" w:rsidRPr="00B213D8" w:rsidRDefault="004D6970" w:rsidP="004D6970">
      <w:pPr>
        <w:spacing w:after="120"/>
        <w:rPr>
          <w:rFonts w:ascii="Arial" w:hAnsi="Arial" w:cs="Arial"/>
          <w:b/>
          <w:sz w:val="20"/>
          <w:szCs w:val="20"/>
        </w:rPr>
      </w:pPr>
    </w:p>
    <w:p w14:paraId="64ADCCB0" w14:textId="7027336B" w:rsidR="00141A92" w:rsidRPr="00B213D8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B213D8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B213D8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B213D8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B213D8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B213D8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B213D8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Pr="00B213D8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B213D8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B213D8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B213D8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B213D8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B213D8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B213D8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B406B0" w:rsidRPr="00B213D8" w14:paraId="6D45D06F" w14:textId="77777777" w:rsidTr="00047D9D">
        <w:tc>
          <w:tcPr>
            <w:tcW w:w="2545" w:type="dxa"/>
          </w:tcPr>
          <w:p w14:paraId="605BC7DD" w14:textId="66A1F86E" w:rsidR="00B406B0" w:rsidRPr="00B213D8" w:rsidRDefault="00B406B0" w:rsidP="0036248F">
            <w:pPr>
              <w:pStyle w:val="Tekstpodstawowy2"/>
              <w:numPr>
                <w:ilvl w:val="0"/>
                <w:numId w:val="21"/>
              </w:numPr>
              <w:spacing w:after="0"/>
              <w:rPr>
                <w:rFonts w:cs="Arial"/>
                <w:sz w:val="20"/>
                <w:szCs w:val="20"/>
                <w:lang w:val="pl-PL" w:eastAsia="pl-PL"/>
              </w:rPr>
            </w:pPr>
            <w:r w:rsidRPr="00B213D8">
              <w:rPr>
                <w:rFonts w:cs="Arial"/>
                <w:sz w:val="20"/>
                <w:szCs w:val="20"/>
                <w:lang w:val="pl-PL" w:eastAsia="pl-PL"/>
              </w:rPr>
              <w:t>Liczba podmiotów, które udostępniły on-line informacje sektora publicznego</w:t>
            </w:r>
          </w:p>
        </w:tc>
        <w:tc>
          <w:tcPr>
            <w:tcW w:w="1278" w:type="dxa"/>
          </w:tcPr>
          <w:p w14:paraId="3C0F5C3A" w14:textId="65D60A13" w:rsidR="00B406B0" w:rsidRPr="00B213D8" w:rsidRDefault="00B406B0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3451E8F9" w14:textId="686E9F87" w:rsidR="00B406B0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14:paraId="4563725F" w14:textId="2AB7CC6F" w:rsidR="00B406B0" w:rsidRPr="00B213D8" w:rsidRDefault="00F8243E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2268" w:type="dxa"/>
          </w:tcPr>
          <w:p w14:paraId="13277F28" w14:textId="7F9FFDDD" w:rsidR="00B406B0" w:rsidRPr="00B213D8" w:rsidRDefault="006060B2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F342B" w:rsidRPr="00B213D8" w14:paraId="6C167390" w14:textId="77777777" w:rsidTr="00047D9D">
        <w:tc>
          <w:tcPr>
            <w:tcW w:w="2545" w:type="dxa"/>
          </w:tcPr>
          <w:p w14:paraId="4CB183D2" w14:textId="6410FB02" w:rsidR="006F342B" w:rsidRPr="00B213D8" w:rsidRDefault="006F342B" w:rsidP="0036248F">
            <w:pPr>
              <w:pStyle w:val="Tekstpodstawowy2"/>
              <w:numPr>
                <w:ilvl w:val="0"/>
                <w:numId w:val="21"/>
              </w:numPr>
              <w:spacing w:after="0"/>
              <w:rPr>
                <w:rFonts w:cs="Arial"/>
                <w:sz w:val="20"/>
                <w:szCs w:val="20"/>
                <w:lang w:val="pl-PL" w:eastAsia="pl-PL"/>
              </w:rPr>
            </w:pPr>
            <w:r w:rsidRPr="00B213D8">
              <w:rPr>
                <w:rFonts w:cs="Arial"/>
                <w:sz w:val="20"/>
                <w:szCs w:val="20"/>
                <w:lang w:val="pl-PL" w:eastAsia="pl-PL"/>
              </w:rPr>
              <w:t>Liczba pobrań/</w:t>
            </w:r>
            <w:proofErr w:type="spellStart"/>
            <w:r w:rsidRPr="00B213D8">
              <w:rPr>
                <w:rFonts w:cs="Arial"/>
                <w:sz w:val="20"/>
                <w:szCs w:val="20"/>
                <w:lang w:val="pl-PL" w:eastAsia="pl-PL"/>
              </w:rPr>
              <w:t>odtworzeń</w:t>
            </w:r>
            <w:proofErr w:type="spellEnd"/>
            <w:r w:rsidRPr="00B213D8">
              <w:rPr>
                <w:rFonts w:cs="Arial"/>
                <w:sz w:val="20"/>
                <w:szCs w:val="20"/>
                <w:lang w:val="pl-PL" w:eastAsia="pl-PL"/>
              </w:rPr>
              <w:t xml:space="preserve"> dokumentów zawierających informacje sektora publicznego</w:t>
            </w:r>
          </w:p>
        </w:tc>
        <w:tc>
          <w:tcPr>
            <w:tcW w:w="1278" w:type="dxa"/>
          </w:tcPr>
          <w:p w14:paraId="511AE335" w14:textId="7A7A5B08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szt./rok</w:t>
            </w:r>
          </w:p>
        </w:tc>
        <w:tc>
          <w:tcPr>
            <w:tcW w:w="1842" w:type="dxa"/>
          </w:tcPr>
          <w:p w14:paraId="0F8B52E1" w14:textId="430343E8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123 310,0</w:t>
            </w:r>
          </w:p>
        </w:tc>
        <w:tc>
          <w:tcPr>
            <w:tcW w:w="1701" w:type="dxa"/>
          </w:tcPr>
          <w:p w14:paraId="6EF7476B" w14:textId="5C64389D" w:rsidR="006F342B" w:rsidRPr="00B213D8" w:rsidRDefault="006F342B" w:rsidP="00F7673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</w:t>
            </w:r>
            <w:r w:rsidR="00F76735" w:rsidRPr="00B213D8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</w:tcPr>
          <w:p w14:paraId="1F7BD13A" w14:textId="6F50FAD0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F342B" w:rsidRPr="00B213D8" w14:paraId="10CB9C0C" w14:textId="77777777" w:rsidTr="00047D9D">
        <w:tc>
          <w:tcPr>
            <w:tcW w:w="2545" w:type="dxa"/>
          </w:tcPr>
          <w:p w14:paraId="345C3ED1" w14:textId="262CDF41" w:rsidR="006F342B" w:rsidRPr="00B213D8" w:rsidRDefault="006F342B" w:rsidP="0036248F">
            <w:pPr>
              <w:pStyle w:val="Tekstpodstawowy2"/>
              <w:numPr>
                <w:ilvl w:val="0"/>
                <w:numId w:val="21"/>
              </w:numPr>
              <w:spacing w:after="0"/>
              <w:rPr>
                <w:rFonts w:cs="Arial"/>
                <w:sz w:val="20"/>
                <w:szCs w:val="20"/>
                <w:lang w:val="pl-PL" w:eastAsia="pl-PL"/>
              </w:rPr>
            </w:pPr>
            <w:r w:rsidRPr="00B213D8">
              <w:rPr>
                <w:rFonts w:cs="Arial"/>
                <w:sz w:val="20"/>
                <w:szCs w:val="20"/>
                <w:lang w:val="pl-PL" w:eastAsia="pl-PL"/>
              </w:rPr>
              <w:t xml:space="preserve">Rozmiar </w:t>
            </w:r>
            <w:proofErr w:type="spellStart"/>
            <w:r w:rsidRPr="00B213D8">
              <w:rPr>
                <w:rFonts w:cs="Arial"/>
                <w:sz w:val="20"/>
                <w:szCs w:val="20"/>
                <w:lang w:val="pl-PL" w:eastAsia="pl-PL"/>
              </w:rPr>
              <w:t>zdigitalizowanej</w:t>
            </w:r>
            <w:proofErr w:type="spellEnd"/>
            <w:r w:rsidRPr="00B213D8">
              <w:rPr>
                <w:rFonts w:cs="Arial"/>
                <w:sz w:val="20"/>
                <w:szCs w:val="20"/>
                <w:lang w:val="pl-PL" w:eastAsia="pl-PL"/>
              </w:rPr>
              <w:t xml:space="preserve"> informacji sektora publicznego</w:t>
            </w:r>
          </w:p>
        </w:tc>
        <w:tc>
          <w:tcPr>
            <w:tcW w:w="1278" w:type="dxa"/>
          </w:tcPr>
          <w:p w14:paraId="51E2BA28" w14:textId="227D90CA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1842" w:type="dxa"/>
          </w:tcPr>
          <w:p w14:paraId="020C6F65" w14:textId="4628567F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701" w:type="dxa"/>
          </w:tcPr>
          <w:p w14:paraId="321A2785" w14:textId="148B1A0F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2268" w:type="dxa"/>
          </w:tcPr>
          <w:p w14:paraId="306AEB24" w14:textId="377375B6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F342B" w:rsidRPr="00B213D8" w14:paraId="785B0A39" w14:textId="77777777" w:rsidTr="00047D9D">
        <w:tc>
          <w:tcPr>
            <w:tcW w:w="2545" w:type="dxa"/>
          </w:tcPr>
          <w:p w14:paraId="6E2E3546" w14:textId="5BB2E97D" w:rsidR="006F342B" w:rsidRPr="00B213D8" w:rsidRDefault="006F342B" w:rsidP="0036248F">
            <w:pPr>
              <w:pStyle w:val="Tekstpodstawowy2"/>
              <w:numPr>
                <w:ilvl w:val="0"/>
                <w:numId w:val="21"/>
              </w:numPr>
              <w:spacing w:after="0"/>
              <w:rPr>
                <w:rFonts w:cs="Arial"/>
                <w:sz w:val="20"/>
                <w:szCs w:val="20"/>
                <w:lang w:val="pl-PL" w:eastAsia="pl-PL"/>
              </w:rPr>
            </w:pPr>
            <w:r w:rsidRPr="00B213D8">
              <w:rPr>
                <w:rFonts w:cs="Arial"/>
                <w:sz w:val="20"/>
                <w:szCs w:val="20"/>
                <w:lang w:val="pl-PL" w:eastAsia="pl-PL"/>
              </w:rPr>
              <w:t xml:space="preserve">Liczba </w:t>
            </w:r>
            <w:proofErr w:type="spellStart"/>
            <w:r w:rsidRPr="00B213D8">
              <w:rPr>
                <w:rFonts w:cs="Arial"/>
                <w:sz w:val="20"/>
                <w:szCs w:val="20"/>
                <w:lang w:val="pl-PL" w:eastAsia="pl-PL"/>
              </w:rPr>
              <w:t>zdigitalizowanych</w:t>
            </w:r>
            <w:proofErr w:type="spellEnd"/>
            <w:r w:rsidRPr="00B213D8">
              <w:rPr>
                <w:rFonts w:cs="Arial"/>
                <w:sz w:val="20"/>
                <w:szCs w:val="20"/>
                <w:lang w:val="pl-PL" w:eastAsia="pl-PL"/>
              </w:rPr>
              <w:t xml:space="preserve"> dokumentów zawierających informacje sektora publicznego</w:t>
            </w:r>
          </w:p>
        </w:tc>
        <w:tc>
          <w:tcPr>
            <w:tcW w:w="1278" w:type="dxa"/>
          </w:tcPr>
          <w:p w14:paraId="7DBEB21E" w14:textId="1336CEE6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17C41420" w14:textId="38AC0108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69 476,0</w:t>
            </w:r>
          </w:p>
        </w:tc>
        <w:tc>
          <w:tcPr>
            <w:tcW w:w="1701" w:type="dxa"/>
          </w:tcPr>
          <w:p w14:paraId="5844C067" w14:textId="39B06194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2268" w:type="dxa"/>
          </w:tcPr>
          <w:p w14:paraId="609612C5" w14:textId="3E9C4428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F342B" w:rsidRPr="00B213D8" w14:paraId="4D83389F" w14:textId="77777777" w:rsidTr="00047D9D">
        <w:tc>
          <w:tcPr>
            <w:tcW w:w="2545" w:type="dxa"/>
          </w:tcPr>
          <w:p w14:paraId="1FC93F15" w14:textId="7359C891" w:rsidR="006F342B" w:rsidRPr="00B213D8" w:rsidRDefault="006F342B" w:rsidP="0036248F">
            <w:pPr>
              <w:pStyle w:val="Tekstpodstawowy2"/>
              <w:numPr>
                <w:ilvl w:val="0"/>
                <w:numId w:val="21"/>
              </w:numPr>
              <w:spacing w:after="0"/>
              <w:rPr>
                <w:rFonts w:cs="Arial"/>
                <w:sz w:val="20"/>
                <w:szCs w:val="20"/>
                <w:lang w:val="pl-PL" w:eastAsia="pl-PL"/>
              </w:rPr>
            </w:pPr>
            <w:r w:rsidRPr="00B213D8">
              <w:rPr>
                <w:rFonts w:cs="Arial"/>
                <w:sz w:val="20"/>
                <w:szCs w:val="20"/>
                <w:lang w:val="pl-PL" w:eastAsia="pl-PL"/>
              </w:rPr>
              <w:t>Liczba utworzonych API</w:t>
            </w:r>
          </w:p>
        </w:tc>
        <w:tc>
          <w:tcPr>
            <w:tcW w:w="1278" w:type="dxa"/>
          </w:tcPr>
          <w:p w14:paraId="0685CEC4" w14:textId="567047D4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5659E947" w14:textId="2C807219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14:paraId="52572BD9" w14:textId="3DD68C87" w:rsidR="006F342B" w:rsidRPr="00B213D8" w:rsidRDefault="00F76735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2268" w:type="dxa"/>
          </w:tcPr>
          <w:p w14:paraId="753A029D" w14:textId="3874D8CC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F342B" w:rsidRPr="00B213D8" w14:paraId="7B285DAD" w14:textId="77777777" w:rsidTr="00047D9D">
        <w:tc>
          <w:tcPr>
            <w:tcW w:w="2545" w:type="dxa"/>
          </w:tcPr>
          <w:p w14:paraId="074B0F56" w14:textId="1BD1F6D2" w:rsidR="006F342B" w:rsidRPr="00B213D8" w:rsidRDefault="006F342B" w:rsidP="0036248F">
            <w:pPr>
              <w:pStyle w:val="Tekstpodstawowy2"/>
              <w:numPr>
                <w:ilvl w:val="0"/>
                <w:numId w:val="21"/>
              </w:numPr>
              <w:spacing w:after="0" w:line="259" w:lineRule="auto"/>
              <w:rPr>
                <w:rFonts w:cs="Arial"/>
                <w:sz w:val="20"/>
                <w:szCs w:val="20"/>
                <w:lang w:val="pl-PL" w:eastAsia="pl-PL"/>
              </w:rPr>
            </w:pPr>
            <w:r w:rsidRPr="00B213D8">
              <w:rPr>
                <w:rFonts w:cs="Arial"/>
                <w:sz w:val="20"/>
                <w:szCs w:val="20"/>
                <w:lang w:val="pl-PL" w:eastAsia="pl-PL"/>
              </w:rPr>
              <w:t>Liczba udostępnionych on-line dokumentów zawierających informacje sektora publicznego</w:t>
            </w:r>
          </w:p>
        </w:tc>
        <w:tc>
          <w:tcPr>
            <w:tcW w:w="1278" w:type="dxa"/>
          </w:tcPr>
          <w:p w14:paraId="6597FC74" w14:textId="48891785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12BCE069" w14:textId="4349D32F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69 476,0</w:t>
            </w:r>
          </w:p>
        </w:tc>
        <w:tc>
          <w:tcPr>
            <w:tcW w:w="1701" w:type="dxa"/>
          </w:tcPr>
          <w:p w14:paraId="72F9CFB1" w14:textId="01CC4493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2268" w:type="dxa"/>
          </w:tcPr>
          <w:p w14:paraId="74A1B84D" w14:textId="67B583D9" w:rsidR="006F342B" w:rsidRPr="00B213D8" w:rsidRDefault="006F342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F59C9" w:rsidRPr="00B213D8" w14:paraId="78F76174" w14:textId="77777777" w:rsidTr="00047D9D">
        <w:tc>
          <w:tcPr>
            <w:tcW w:w="2545" w:type="dxa"/>
          </w:tcPr>
          <w:p w14:paraId="56171F85" w14:textId="214A3E3D" w:rsidR="002F59C9" w:rsidRPr="00B213D8" w:rsidRDefault="002F59C9" w:rsidP="0036248F">
            <w:pPr>
              <w:pStyle w:val="Tekstpodstawowy2"/>
              <w:numPr>
                <w:ilvl w:val="0"/>
                <w:numId w:val="21"/>
              </w:numPr>
              <w:spacing w:after="0" w:line="259" w:lineRule="auto"/>
              <w:rPr>
                <w:rFonts w:cs="Arial"/>
                <w:sz w:val="20"/>
                <w:szCs w:val="20"/>
                <w:lang w:val="pl-PL" w:eastAsia="pl-PL"/>
              </w:rPr>
            </w:pPr>
            <w:r w:rsidRPr="00B213D8">
              <w:rPr>
                <w:rFonts w:cs="Arial"/>
                <w:sz w:val="20"/>
                <w:szCs w:val="20"/>
                <w:lang w:val="pl-PL" w:eastAsia="pl-PL"/>
              </w:rPr>
              <w:t>Liczba przeprowadzonych bloków szkoleniowych</w:t>
            </w:r>
          </w:p>
        </w:tc>
        <w:tc>
          <w:tcPr>
            <w:tcW w:w="1278" w:type="dxa"/>
          </w:tcPr>
          <w:p w14:paraId="502103A9" w14:textId="69CEF12E" w:rsidR="002F59C9" w:rsidRPr="00B213D8" w:rsidRDefault="002F59C9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1D965C23" w14:textId="4307609B" w:rsidR="002F59C9" w:rsidRPr="00B213D8" w:rsidRDefault="002F59C9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14:paraId="2C597A37" w14:textId="2A6A2DBF" w:rsidR="002F59C9" w:rsidRPr="00B213D8" w:rsidRDefault="002F59C9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2268" w:type="dxa"/>
          </w:tcPr>
          <w:p w14:paraId="7FB25F1A" w14:textId="4F484161" w:rsidR="002F59C9" w:rsidRPr="00B213D8" w:rsidRDefault="009B44C0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F59C9" w:rsidRPr="00B213D8" w14:paraId="642407AE" w14:textId="77777777" w:rsidTr="00047D9D">
        <w:tc>
          <w:tcPr>
            <w:tcW w:w="2545" w:type="dxa"/>
          </w:tcPr>
          <w:p w14:paraId="539DED1B" w14:textId="2AA4240A" w:rsidR="002F59C9" w:rsidRPr="00B213D8" w:rsidRDefault="002F59C9" w:rsidP="0036248F">
            <w:pPr>
              <w:pStyle w:val="Tekstpodstawowy2"/>
              <w:numPr>
                <w:ilvl w:val="0"/>
                <w:numId w:val="21"/>
              </w:numPr>
              <w:spacing w:after="0" w:line="259" w:lineRule="auto"/>
              <w:rPr>
                <w:rFonts w:cs="Arial"/>
                <w:sz w:val="20"/>
                <w:szCs w:val="20"/>
                <w:lang w:val="pl-PL" w:eastAsia="pl-PL"/>
              </w:rPr>
            </w:pPr>
            <w:r w:rsidRPr="00B213D8">
              <w:rPr>
                <w:rFonts w:cs="Arial"/>
                <w:sz w:val="20"/>
                <w:szCs w:val="20"/>
                <w:lang w:val="pl-PL" w:eastAsia="pl-PL"/>
              </w:rPr>
              <w:lastRenderedPageBreak/>
              <w:t>Liczba baz danych udostępnionych on-line poprzez API</w:t>
            </w:r>
          </w:p>
        </w:tc>
        <w:tc>
          <w:tcPr>
            <w:tcW w:w="1278" w:type="dxa"/>
          </w:tcPr>
          <w:p w14:paraId="6C9E181F" w14:textId="7607574A" w:rsidR="002F59C9" w:rsidRPr="00B213D8" w:rsidRDefault="002F59C9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08104C02" w14:textId="12ACB2EA" w:rsidR="002F59C9" w:rsidRPr="00B213D8" w:rsidRDefault="002F59C9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14:paraId="7440AE08" w14:textId="7726D8D8" w:rsidR="002F59C9" w:rsidRPr="00B213D8" w:rsidRDefault="00F76735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2268" w:type="dxa"/>
          </w:tcPr>
          <w:p w14:paraId="706169C8" w14:textId="08572AF3" w:rsidR="002F59C9" w:rsidRPr="00B213D8" w:rsidRDefault="002F59C9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2A08447" w14:textId="77777777" w:rsidR="007D2C34" w:rsidRPr="00B213D8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B213D8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B213D8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B213D8">
        <w:rPr>
          <w:rFonts w:ascii="Arial" w:hAnsi="Arial" w:cs="Arial"/>
          <w:color w:val="auto"/>
        </w:rPr>
        <w:t xml:space="preserve"> </w:t>
      </w:r>
      <w:bookmarkStart w:id="1" w:name="_Hlk506932259"/>
      <w:r w:rsidR="00DA34DF" w:rsidRPr="00B213D8">
        <w:rPr>
          <w:rFonts w:ascii="Arial" w:hAnsi="Arial" w:cs="Arial"/>
          <w:sz w:val="20"/>
          <w:szCs w:val="20"/>
        </w:rPr>
        <w:t>&lt;</w:t>
      </w:r>
      <w:r w:rsidR="00B41415" w:rsidRPr="00B213D8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B213D8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797"/>
        <w:gridCol w:w="1261"/>
        <w:gridCol w:w="1395"/>
        <w:gridCol w:w="4181"/>
      </w:tblGrid>
      <w:tr w:rsidR="007D38BD" w:rsidRPr="00B213D8" w14:paraId="1F33CC02" w14:textId="77777777" w:rsidTr="006060B2">
        <w:trPr>
          <w:tblHeader/>
        </w:trPr>
        <w:tc>
          <w:tcPr>
            <w:tcW w:w="279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B213D8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B213D8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B213D8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B213D8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395" w:type="dxa"/>
            <w:shd w:val="clear" w:color="auto" w:fill="D0CECE" w:themeFill="background2" w:themeFillShade="E6"/>
          </w:tcPr>
          <w:p w14:paraId="52AC8EE0" w14:textId="77777777" w:rsidR="007D38BD" w:rsidRPr="00B213D8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181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B213D8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6060B2" w:rsidRPr="00B213D8" w14:paraId="21836152" w14:textId="77777777" w:rsidTr="006060B2">
        <w:tc>
          <w:tcPr>
            <w:tcW w:w="2797" w:type="dxa"/>
          </w:tcPr>
          <w:p w14:paraId="3EB4ADAD" w14:textId="189818CF" w:rsidR="006060B2" w:rsidRPr="00B213D8" w:rsidRDefault="006060B2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61" w:type="dxa"/>
          </w:tcPr>
          <w:p w14:paraId="34779C77" w14:textId="77777777" w:rsidR="006060B2" w:rsidRPr="00B213D8" w:rsidRDefault="006060B2" w:rsidP="00310D8E">
            <w:p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1395" w:type="dxa"/>
          </w:tcPr>
          <w:p w14:paraId="6BBA5A2B" w14:textId="77777777" w:rsidR="006060B2" w:rsidRPr="00B213D8" w:rsidRDefault="006060B2" w:rsidP="00C1106C">
            <w:p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4181" w:type="dxa"/>
          </w:tcPr>
          <w:p w14:paraId="672214C3" w14:textId="77777777" w:rsidR="006060B2" w:rsidRPr="00B213D8" w:rsidRDefault="006060B2" w:rsidP="00C11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6AAE7B" w14:textId="77777777" w:rsidR="00933BEC" w:rsidRPr="00B213D8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B213D8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B213D8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B213D8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B213D8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B213D8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69"/>
        <w:gridCol w:w="1261"/>
        <w:gridCol w:w="1395"/>
        <w:gridCol w:w="4009"/>
      </w:tblGrid>
      <w:tr w:rsidR="00C6751B" w:rsidRPr="00B213D8" w14:paraId="7ED4D618" w14:textId="77777777" w:rsidTr="004C46AA">
        <w:trPr>
          <w:tblHeader/>
        </w:trPr>
        <w:tc>
          <w:tcPr>
            <w:tcW w:w="2969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B213D8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B213D8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B213D8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395" w:type="dxa"/>
            <w:shd w:val="clear" w:color="auto" w:fill="D0CECE" w:themeFill="background2" w:themeFillShade="E6"/>
          </w:tcPr>
          <w:p w14:paraId="5F5E2BA3" w14:textId="77777777" w:rsidR="00C6751B" w:rsidRPr="00B213D8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009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B213D8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D60A2" w:rsidRPr="00B213D8" w14:paraId="264B5C23" w14:textId="77777777" w:rsidTr="004C46AA">
        <w:tc>
          <w:tcPr>
            <w:tcW w:w="2969" w:type="dxa"/>
          </w:tcPr>
          <w:p w14:paraId="30D5DBC0" w14:textId="35D6BA56" w:rsidR="00F27422" w:rsidRPr="00B213D8" w:rsidRDefault="00CD60A2" w:rsidP="00697D52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T</w:t>
            </w:r>
            <w:r w:rsidR="00F27422" w:rsidRPr="00B213D8">
              <w:rPr>
                <w:rFonts w:ascii="Arial" w:hAnsi="Arial" w:cs="Arial"/>
                <w:sz w:val="20"/>
                <w:szCs w:val="20"/>
              </w:rPr>
              <w:t>zw. „kolekcj</w:t>
            </w:r>
            <w:r w:rsidR="00697D52" w:rsidRPr="00B213D8">
              <w:rPr>
                <w:rFonts w:ascii="Arial" w:hAnsi="Arial" w:cs="Arial"/>
                <w:sz w:val="20"/>
                <w:szCs w:val="20"/>
              </w:rPr>
              <w:t>a</w:t>
            </w:r>
            <w:r w:rsidR="00F27422" w:rsidRPr="00B213D8">
              <w:rPr>
                <w:rFonts w:ascii="Arial" w:hAnsi="Arial" w:cs="Arial"/>
                <w:sz w:val="20"/>
                <w:szCs w:val="20"/>
              </w:rPr>
              <w:t xml:space="preserve"> mózgów IPiN”</w:t>
            </w:r>
          </w:p>
        </w:tc>
        <w:tc>
          <w:tcPr>
            <w:tcW w:w="1261" w:type="dxa"/>
          </w:tcPr>
          <w:p w14:paraId="175C1232" w14:textId="7030C4CA" w:rsidR="00F27422" w:rsidRPr="00B213D8" w:rsidRDefault="00CD60A2" w:rsidP="00310D8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1395" w:type="dxa"/>
          </w:tcPr>
          <w:p w14:paraId="4232D08C" w14:textId="25777757" w:rsidR="00F27422" w:rsidRPr="00B213D8" w:rsidRDefault="00CD60A2" w:rsidP="00C6751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9" w:type="dxa"/>
          </w:tcPr>
          <w:p w14:paraId="3277502B" w14:textId="3B172FFE" w:rsidR="00F27422" w:rsidRPr="00B213D8" w:rsidRDefault="004C46AA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Nie wprowadzono zmian</w:t>
            </w:r>
          </w:p>
        </w:tc>
      </w:tr>
      <w:tr w:rsidR="004C46AA" w:rsidRPr="00B213D8" w14:paraId="7D8E37CA" w14:textId="77777777" w:rsidTr="004C46AA">
        <w:tc>
          <w:tcPr>
            <w:tcW w:w="2969" w:type="dxa"/>
          </w:tcPr>
          <w:p w14:paraId="54198359" w14:textId="1F8E8749" w:rsidR="004C46AA" w:rsidRPr="00B213D8" w:rsidRDefault="004C46AA" w:rsidP="003410FE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Bloczki parafinowe określonych struktur mózgu</w:t>
            </w:r>
          </w:p>
        </w:tc>
        <w:tc>
          <w:tcPr>
            <w:tcW w:w="1261" w:type="dxa"/>
          </w:tcPr>
          <w:p w14:paraId="71D0E1EB" w14:textId="6A2B5BC2" w:rsidR="004C46AA" w:rsidRPr="00B213D8" w:rsidRDefault="004C46AA" w:rsidP="00310D8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1395" w:type="dxa"/>
          </w:tcPr>
          <w:p w14:paraId="7577E67C" w14:textId="732A0544" w:rsidR="004C46AA" w:rsidRPr="00B213D8" w:rsidRDefault="004C46AA" w:rsidP="00C6751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9" w:type="dxa"/>
          </w:tcPr>
          <w:p w14:paraId="13D21577" w14:textId="146B314C" w:rsidR="004C46AA" w:rsidRPr="00B213D8" w:rsidRDefault="004C46AA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Nie wprowadzono zmian</w:t>
            </w:r>
          </w:p>
        </w:tc>
      </w:tr>
      <w:tr w:rsidR="004C46AA" w:rsidRPr="00B213D8" w14:paraId="53DC54F4" w14:textId="77777777" w:rsidTr="004C46AA">
        <w:tc>
          <w:tcPr>
            <w:tcW w:w="2969" w:type="dxa"/>
          </w:tcPr>
          <w:p w14:paraId="7A1EE408" w14:textId="30C484D5" w:rsidR="004C46AA" w:rsidRPr="00B213D8" w:rsidRDefault="004C46AA" w:rsidP="003410FE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Preparaty histologiczne i/lub immunochemiczne</w:t>
            </w:r>
          </w:p>
        </w:tc>
        <w:tc>
          <w:tcPr>
            <w:tcW w:w="1261" w:type="dxa"/>
          </w:tcPr>
          <w:p w14:paraId="0E1EF19C" w14:textId="3C3ECAB2" w:rsidR="004C46AA" w:rsidRPr="00B213D8" w:rsidRDefault="004C46AA" w:rsidP="00310D8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1395" w:type="dxa"/>
          </w:tcPr>
          <w:p w14:paraId="542793F6" w14:textId="2E18F88A" w:rsidR="004C46AA" w:rsidRPr="00B213D8" w:rsidRDefault="004C46AA" w:rsidP="00C6751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9" w:type="dxa"/>
          </w:tcPr>
          <w:p w14:paraId="0D64173E" w14:textId="6F4EE163" w:rsidR="004C46AA" w:rsidRPr="00B213D8" w:rsidRDefault="004C46AA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Nie wprowadzono zmian</w:t>
            </w:r>
          </w:p>
        </w:tc>
      </w:tr>
      <w:tr w:rsidR="004C46AA" w:rsidRPr="00B213D8" w14:paraId="7830A800" w14:textId="77777777" w:rsidTr="004C46AA">
        <w:tc>
          <w:tcPr>
            <w:tcW w:w="2969" w:type="dxa"/>
          </w:tcPr>
          <w:p w14:paraId="0A243D0F" w14:textId="7A569686" w:rsidR="004C46AA" w:rsidRPr="00B213D8" w:rsidRDefault="004C46AA" w:rsidP="00CD60A2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Protokół badania neuropatologicznego, karta pobrania materiału, epikryza, wyniki badań laboratoryjnych/ sekcyjnych</w:t>
            </w:r>
          </w:p>
        </w:tc>
        <w:tc>
          <w:tcPr>
            <w:tcW w:w="1261" w:type="dxa"/>
          </w:tcPr>
          <w:p w14:paraId="2B4730E8" w14:textId="4FF2E5CE" w:rsidR="004C46AA" w:rsidRPr="00B213D8" w:rsidRDefault="004C46AA" w:rsidP="00310D8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1395" w:type="dxa"/>
          </w:tcPr>
          <w:p w14:paraId="652C008E" w14:textId="0F03A31F" w:rsidR="004C46AA" w:rsidRPr="00B213D8" w:rsidRDefault="004C46AA" w:rsidP="00C6751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9" w:type="dxa"/>
          </w:tcPr>
          <w:p w14:paraId="641E4457" w14:textId="40297652" w:rsidR="004C46AA" w:rsidRPr="00B213D8" w:rsidRDefault="004C46AA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Nie wprowadzono zmian</w:t>
            </w:r>
          </w:p>
        </w:tc>
      </w:tr>
    </w:tbl>
    <w:p w14:paraId="2598878D" w14:textId="77777777" w:rsidR="004C1D48" w:rsidRPr="00B213D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B213D8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B213D8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B213D8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B213D8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B213D8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B213D8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B213D8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B213D8">
        <w:rPr>
          <w:rFonts w:ascii="Arial" w:hAnsi="Arial" w:cs="Arial"/>
          <w:color w:val="auto"/>
        </w:rPr>
        <w:t xml:space="preserve"> </w:t>
      </w:r>
      <w:r w:rsidR="00B41415" w:rsidRPr="00B213D8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B213D8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B213D8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B213D8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B213D8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B213D8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B213D8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B213D8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B213D8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B213D8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B213D8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132D" w:rsidRPr="00B213D8" w14:paraId="19D5D1C2" w14:textId="77777777" w:rsidTr="008B486B">
        <w:tc>
          <w:tcPr>
            <w:tcW w:w="2547" w:type="dxa"/>
          </w:tcPr>
          <w:p w14:paraId="2A34147A" w14:textId="4777DCBD" w:rsidR="0061132D" w:rsidRPr="00B213D8" w:rsidRDefault="0061132D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Baza danych naukowych – Digital Brain</w:t>
            </w:r>
            <w:r w:rsidR="004C46AA" w:rsidRPr="00B213D8">
              <w:rPr>
                <w:rFonts w:ascii="Arial" w:hAnsi="Arial" w:cs="Arial"/>
                <w:sz w:val="20"/>
                <w:szCs w:val="20"/>
              </w:rPr>
              <w:t xml:space="preserve"> wraz z API (</w:t>
            </w:r>
            <w:proofErr w:type="spellStart"/>
            <w:r w:rsidR="004C46AA" w:rsidRPr="00B213D8">
              <w:rPr>
                <w:rFonts w:ascii="Arial" w:hAnsi="Arial" w:cs="Arial"/>
                <w:sz w:val="20"/>
                <w:szCs w:val="20"/>
              </w:rPr>
              <w:t>WebAPI</w:t>
            </w:r>
            <w:proofErr w:type="spellEnd"/>
            <w:r w:rsidR="004C46AA" w:rsidRPr="00B213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B025A19" w14:textId="39E3EB1D" w:rsidR="0061132D" w:rsidRPr="00B213D8" w:rsidRDefault="0061132D" w:rsidP="00A44EA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07-2021</w:t>
            </w:r>
          </w:p>
        </w:tc>
        <w:tc>
          <w:tcPr>
            <w:tcW w:w="1843" w:type="dxa"/>
          </w:tcPr>
          <w:p w14:paraId="14473964" w14:textId="2543AD83" w:rsidR="0061132D" w:rsidRPr="00B213D8" w:rsidRDefault="0080626C" w:rsidP="008B48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543" w:type="dxa"/>
          </w:tcPr>
          <w:p w14:paraId="0B716FAC" w14:textId="6CA3155F" w:rsidR="0061132D" w:rsidRPr="00B213D8" w:rsidRDefault="004C46AA" w:rsidP="008B486B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System bazodanowy będzie komplementarny między innymi z systemem KRONIK@</w:t>
            </w:r>
          </w:p>
        </w:tc>
      </w:tr>
    </w:tbl>
    <w:p w14:paraId="2AC8CEEF" w14:textId="73D2E2F8" w:rsidR="00BB059E" w:rsidRPr="00B213D8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B213D8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B213D8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B213D8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B213D8">
        <w:rPr>
          <w:rFonts w:ascii="Arial" w:hAnsi="Arial" w:cs="Arial"/>
          <w:color w:val="0070C0"/>
        </w:rPr>
        <w:t xml:space="preserve"> </w:t>
      </w:r>
      <w:r w:rsidR="00B41415" w:rsidRPr="00B213D8">
        <w:rPr>
          <w:rFonts w:ascii="Arial" w:hAnsi="Arial" w:cs="Arial"/>
          <w:color w:val="0070C0"/>
        </w:rPr>
        <w:t xml:space="preserve"> </w:t>
      </w:r>
      <w:r w:rsidR="00DA34DF" w:rsidRPr="00B213D8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B213D8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B213D8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602B0C9F" w14:textId="5A754445" w:rsidR="00141A92" w:rsidRPr="00B213D8" w:rsidRDefault="00CF2E64" w:rsidP="004D6970">
      <w:pPr>
        <w:spacing w:after="120"/>
        <w:rPr>
          <w:rFonts w:ascii="Arial" w:hAnsi="Arial" w:cs="Arial"/>
          <w:sz w:val="20"/>
          <w:szCs w:val="20"/>
        </w:rPr>
      </w:pPr>
      <w:r w:rsidRPr="00B213D8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W w:w="532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  <w:tblCaption w:val="Ryzyka wpływające na realizację projektu."/>
      </w:tblPr>
      <w:tblGrid>
        <w:gridCol w:w="1983"/>
        <w:gridCol w:w="1416"/>
        <w:gridCol w:w="1843"/>
        <w:gridCol w:w="4403"/>
        <w:gridCol w:w="15"/>
      </w:tblGrid>
      <w:tr w:rsidR="004C46AA" w:rsidRPr="00B213D8" w14:paraId="197AA1A0" w14:textId="77777777" w:rsidTr="00E20F09">
        <w:trPr>
          <w:cantSplit/>
          <w:tblHeader/>
        </w:trPr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0A31B46" w14:textId="77777777" w:rsidR="004C46AA" w:rsidRPr="00B213D8" w:rsidRDefault="004C46AA" w:rsidP="00E20F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 ryzyka</w:t>
            </w: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C5A2BBC" w14:textId="77777777" w:rsidR="004C46AA" w:rsidRPr="00B213D8" w:rsidRDefault="004C46AA" w:rsidP="00E20F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9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A4CCD4C" w14:textId="77777777" w:rsidR="004C46AA" w:rsidRPr="00B213D8" w:rsidRDefault="004C46AA" w:rsidP="00E20F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2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4F6CBC24" w14:textId="77777777" w:rsidR="004C46AA" w:rsidRPr="00B213D8" w:rsidRDefault="004C46AA" w:rsidP="00E20F09">
            <w:pPr>
              <w:pStyle w:val="Akapitzlist"/>
              <w:ind w:left="462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B213D8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4C46AA" w:rsidRPr="00B213D8" w14:paraId="06C8405E" w14:textId="77777777" w:rsidTr="00E20F09">
        <w:trPr>
          <w:cantSplit/>
        </w:trPr>
        <w:tc>
          <w:tcPr>
            <w:tcW w:w="1026" w:type="pct"/>
          </w:tcPr>
          <w:p w14:paraId="1C134E2C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Wybór wykonawcy bazy danych</w:t>
            </w:r>
          </w:p>
        </w:tc>
        <w:tc>
          <w:tcPr>
            <w:tcW w:w="733" w:type="pct"/>
          </w:tcPr>
          <w:p w14:paraId="2BAABE16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954" w:type="pct"/>
          </w:tcPr>
          <w:p w14:paraId="504B0C23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287" w:type="pct"/>
            <w:gridSpan w:val="2"/>
          </w:tcPr>
          <w:p w14:paraId="6A1D72C1" w14:textId="77777777" w:rsidR="004C46AA" w:rsidRPr="00B213D8" w:rsidRDefault="004C46AA" w:rsidP="00E20F09">
            <w:pPr>
              <w:pStyle w:val="Akapitzlist"/>
              <w:numPr>
                <w:ilvl w:val="0"/>
                <w:numId w:val="25"/>
              </w:numPr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 xml:space="preserve">Wybór Wykonawcy będzie miał kluczowe znaczenie dla projektu. Wybór wykonawcy odbędzie się w trybie ustawy Prawo zamówień publicznych. Postępowanie przetargowe będzie prowadzone przez IPiN i jego dział zamówień publicznych, który posiada duże doświadczenie w prowadzeniu procedur w trybie ww. ustawy. W umowie przewidziane zostaną odpowiednie zabezpieczenia mające na celu ochronę IPiN przed niekorzystnym działaniem wybranego Wykonawcy. </w:t>
            </w:r>
          </w:p>
        </w:tc>
      </w:tr>
      <w:tr w:rsidR="004C46AA" w:rsidRPr="00B213D8" w14:paraId="20DA58E7" w14:textId="77777777" w:rsidTr="00E20F09">
        <w:trPr>
          <w:cantSplit/>
        </w:trPr>
        <w:tc>
          <w:tcPr>
            <w:tcW w:w="1026" w:type="pct"/>
          </w:tcPr>
          <w:p w14:paraId="4B59F8FD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Opóźnienia w akceptacji produktów przez Komitet Sterujący i/lub Zarząd</w:t>
            </w:r>
          </w:p>
        </w:tc>
        <w:tc>
          <w:tcPr>
            <w:tcW w:w="733" w:type="pct"/>
          </w:tcPr>
          <w:p w14:paraId="55B1ED82" w14:textId="77777777" w:rsidR="004C46AA" w:rsidRPr="00B213D8" w:rsidRDefault="004C46AA" w:rsidP="00E20F09">
            <w:pPr>
              <w:pStyle w:val="Tekstdymka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954" w:type="pct"/>
          </w:tcPr>
          <w:p w14:paraId="25F167C6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287" w:type="pct"/>
            <w:gridSpan w:val="2"/>
          </w:tcPr>
          <w:p w14:paraId="3926DEB6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Określenie precyzyjnych procedur w zakresie akceptacji produktów przez KS/Zarząd.</w:t>
            </w:r>
          </w:p>
          <w:p w14:paraId="233AC668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Ocena możliwości / opracowanie procedur zwołania Zarządu specjalnie w celu akceptacji produktów Jednostek Zadaniowych.</w:t>
            </w:r>
          </w:p>
        </w:tc>
      </w:tr>
      <w:tr w:rsidR="004C46AA" w:rsidRPr="00B213D8" w14:paraId="5AB7130A" w14:textId="77777777" w:rsidTr="00E20F09">
        <w:trPr>
          <w:cantSplit/>
        </w:trPr>
        <w:tc>
          <w:tcPr>
            <w:tcW w:w="1026" w:type="pct"/>
          </w:tcPr>
          <w:p w14:paraId="73915694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Brak zakładanego zaangażowania pracowników w uczestnictwo</w:t>
            </w:r>
          </w:p>
        </w:tc>
        <w:tc>
          <w:tcPr>
            <w:tcW w:w="733" w:type="pct"/>
          </w:tcPr>
          <w:p w14:paraId="29B3629B" w14:textId="77777777" w:rsidR="004C46AA" w:rsidRPr="00B213D8" w:rsidRDefault="004C46AA" w:rsidP="00E20F09">
            <w:pPr>
              <w:pStyle w:val="Tekstdymka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954" w:type="pct"/>
          </w:tcPr>
          <w:p w14:paraId="61DA8AEE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287" w:type="pct"/>
            <w:gridSpan w:val="2"/>
          </w:tcPr>
          <w:p w14:paraId="1810B643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Właściwe umocowanie Komitetu Sterującego Projektu</w:t>
            </w:r>
          </w:p>
          <w:p w14:paraId="542CEE19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Komunikacja celów oraz zakresu projektu w organizacji (np. poprzez spotkania z kluczowymi przedstawicielami IPiN oraz pracownikami)</w:t>
            </w:r>
          </w:p>
        </w:tc>
      </w:tr>
      <w:tr w:rsidR="004C46AA" w:rsidRPr="00B213D8" w14:paraId="05E485CB" w14:textId="77777777" w:rsidTr="00E20F09">
        <w:trPr>
          <w:cantSplit/>
        </w:trPr>
        <w:tc>
          <w:tcPr>
            <w:tcW w:w="1026" w:type="pct"/>
          </w:tcPr>
          <w:p w14:paraId="3C625E4B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Brak dostępności lub niska jakość danych źródłowych koniecznych do opracowania produktów przez Jednostki Zadaniowe.</w:t>
            </w:r>
          </w:p>
        </w:tc>
        <w:tc>
          <w:tcPr>
            <w:tcW w:w="733" w:type="pct"/>
          </w:tcPr>
          <w:p w14:paraId="24C84029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954" w:type="pct"/>
          </w:tcPr>
          <w:p w14:paraId="3152215D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287" w:type="pct"/>
            <w:gridSpan w:val="2"/>
          </w:tcPr>
          <w:p w14:paraId="36D6B6AA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Opracowanie procedur przekazywania danych źródłowych.</w:t>
            </w:r>
          </w:p>
          <w:p w14:paraId="662A7557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Podejmowanie natychmiastowych interwencji przez Kierownika Projektu lub członków Komitetu Sterującego w przypadku stwierdzenia odmowy przekazania danych koniecznych do prowadzenia prac.</w:t>
            </w:r>
          </w:p>
        </w:tc>
      </w:tr>
      <w:tr w:rsidR="004C46AA" w:rsidRPr="00B213D8" w14:paraId="49377FBE" w14:textId="77777777" w:rsidTr="00E20F09">
        <w:trPr>
          <w:cantSplit/>
        </w:trPr>
        <w:tc>
          <w:tcPr>
            <w:tcW w:w="1026" w:type="pct"/>
          </w:tcPr>
          <w:p w14:paraId="2AED618A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Zmiany zakresu prac projektowych</w:t>
            </w:r>
          </w:p>
        </w:tc>
        <w:tc>
          <w:tcPr>
            <w:tcW w:w="733" w:type="pct"/>
          </w:tcPr>
          <w:p w14:paraId="6FC3A5B9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954" w:type="pct"/>
          </w:tcPr>
          <w:p w14:paraId="3FB9AC0F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287" w:type="pct"/>
            <w:gridSpan w:val="2"/>
          </w:tcPr>
          <w:p w14:paraId="510A8D0C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Uzgodnienie szczegółowego zakresu prac – akceptacja Koncepcji Projektu</w:t>
            </w:r>
          </w:p>
          <w:p w14:paraId="1CD1D7C8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Opracowanie procedury postępowania w przypadku konieczności wprowadzenia zmian do zakresu.</w:t>
            </w:r>
          </w:p>
          <w:p w14:paraId="394FE601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Przestrzeganie ustalonych procedur postępowania w zakresie zarządzania zmianą w projekcie</w:t>
            </w:r>
          </w:p>
        </w:tc>
      </w:tr>
      <w:tr w:rsidR="004C46AA" w:rsidRPr="00B213D8" w14:paraId="38785A34" w14:textId="77777777" w:rsidTr="00E20F09">
        <w:trPr>
          <w:cantSplit/>
        </w:trPr>
        <w:tc>
          <w:tcPr>
            <w:tcW w:w="1026" w:type="pct"/>
          </w:tcPr>
          <w:p w14:paraId="712C6B85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Brak wsparcia projektu w zakresie administracyjnym</w:t>
            </w:r>
          </w:p>
        </w:tc>
        <w:tc>
          <w:tcPr>
            <w:tcW w:w="733" w:type="pct"/>
          </w:tcPr>
          <w:p w14:paraId="5025C2CE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954" w:type="pct"/>
          </w:tcPr>
          <w:p w14:paraId="53AF2B7B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287" w:type="pct"/>
            <w:gridSpan w:val="2"/>
          </w:tcPr>
          <w:p w14:paraId="0223F4F0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Precyzyjne przypisanie zadań w zakresie obowiązków administracyjnych do konkretnych członków Zespołu Projektowego oraz Jednostek Zadaniowych.</w:t>
            </w:r>
          </w:p>
        </w:tc>
      </w:tr>
      <w:tr w:rsidR="004C46AA" w:rsidRPr="00B213D8" w14:paraId="1338C384" w14:textId="77777777" w:rsidTr="00E20F09">
        <w:trPr>
          <w:cantSplit/>
          <w:trHeight w:val="2542"/>
        </w:trPr>
        <w:tc>
          <w:tcPr>
            <w:tcW w:w="1026" w:type="pct"/>
          </w:tcPr>
          <w:p w14:paraId="7C294D83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Nieuprawniony dostęp stron trzecich do dokumentacji projektowej</w:t>
            </w:r>
          </w:p>
          <w:p w14:paraId="578F9C84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44C72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77A578BE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954" w:type="pct"/>
          </w:tcPr>
          <w:p w14:paraId="22160E3B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287" w:type="pct"/>
            <w:gridSpan w:val="2"/>
          </w:tcPr>
          <w:p w14:paraId="432CB4FE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Ustanowienie mechanizmów kontroli dostępu do dokumentacji oraz jej nośników zarówno po stronie IPiN jak i wybranych Wykonawców Zadań (np. przechowywanie elektronicznych wersji w wydzielonych miejsca na dyskach sieciowych z ograniczonymi prawami dostępu).</w:t>
            </w:r>
          </w:p>
          <w:p w14:paraId="252839A9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Ograniczenie dostępu do dokumentacji stanowiące tajemnicę IPiN do określonego kręgu osób.</w:t>
            </w:r>
          </w:p>
        </w:tc>
      </w:tr>
      <w:tr w:rsidR="004C46AA" w:rsidRPr="00B213D8" w14:paraId="7C2A4EE8" w14:textId="77777777" w:rsidTr="00E20F09">
        <w:trPr>
          <w:cantSplit/>
        </w:trPr>
        <w:tc>
          <w:tcPr>
            <w:tcW w:w="1026" w:type="pct"/>
          </w:tcPr>
          <w:p w14:paraId="03B15E7F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Zapewnienie finansowania projektu</w:t>
            </w:r>
          </w:p>
        </w:tc>
        <w:tc>
          <w:tcPr>
            <w:tcW w:w="733" w:type="pct"/>
          </w:tcPr>
          <w:p w14:paraId="4682E2D0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954" w:type="pct"/>
          </w:tcPr>
          <w:p w14:paraId="264413A4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287" w:type="pct"/>
            <w:gridSpan w:val="2"/>
          </w:tcPr>
          <w:p w14:paraId="1CB23865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Na etapie przygotowywania projektu oszacowano również koszty jego utrzymania. Po tych pracach podjęto decyzję o realizacji projektu, ponieważ oszacowane koszty są możliwe od ponoszenia przez Instytut. Instytut gwarantuje więc środki na utrzymanie powstał infrastruktury.</w:t>
            </w:r>
          </w:p>
        </w:tc>
      </w:tr>
      <w:tr w:rsidR="004C46AA" w:rsidRPr="00B213D8" w14:paraId="646B0F67" w14:textId="77777777" w:rsidTr="00E20F09">
        <w:trPr>
          <w:cantSplit/>
        </w:trPr>
        <w:tc>
          <w:tcPr>
            <w:tcW w:w="1026" w:type="pct"/>
          </w:tcPr>
          <w:p w14:paraId="7E2220C6" w14:textId="77777777" w:rsidR="004C46AA" w:rsidRPr="00B213D8" w:rsidRDefault="004C46AA" w:rsidP="00E20F09">
            <w:pPr>
              <w:pStyle w:val="Tekstdymka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Zmiana celów projektu w trakcie trwania projektu</w:t>
            </w:r>
          </w:p>
        </w:tc>
        <w:tc>
          <w:tcPr>
            <w:tcW w:w="733" w:type="pct"/>
          </w:tcPr>
          <w:p w14:paraId="7E504DED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954" w:type="pct"/>
          </w:tcPr>
          <w:p w14:paraId="69CA82FE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287" w:type="pct"/>
            <w:gridSpan w:val="2"/>
          </w:tcPr>
          <w:p w14:paraId="19103AE5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179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Udokumentowanie celów projektu oraz uzyskanie ich formalnej akceptacji ze strony Komitetu Sterującego i Zarządu.</w:t>
            </w:r>
          </w:p>
          <w:p w14:paraId="1EB016E5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179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Opracowanie mechanizmu identyfikacji i wprowadzania zmian do koncepcji projektu.</w:t>
            </w:r>
          </w:p>
        </w:tc>
      </w:tr>
      <w:tr w:rsidR="004C46AA" w:rsidRPr="00B213D8" w14:paraId="3413D6BB" w14:textId="77777777" w:rsidTr="00E20F09">
        <w:trPr>
          <w:cantSplit/>
        </w:trPr>
        <w:tc>
          <w:tcPr>
            <w:tcW w:w="1026" w:type="pct"/>
          </w:tcPr>
          <w:p w14:paraId="7A3AD5CE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Zmiana kluczowych osób zaangażowanych w projekt po stronie IPiN</w:t>
            </w:r>
          </w:p>
        </w:tc>
        <w:tc>
          <w:tcPr>
            <w:tcW w:w="733" w:type="pct"/>
          </w:tcPr>
          <w:p w14:paraId="3E29358C" w14:textId="77777777" w:rsidR="004C46AA" w:rsidRPr="00B213D8" w:rsidRDefault="004C46AA" w:rsidP="00E20F09">
            <w:pPr>
              <w:pStyle w:val="Tekstdymka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954" w:type="pct"/>
          </w:tcPr>
          <w:p w14:paraId="4DF8237C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287" w:type="pct"/>
            <w:gridSpan w:val="2"/>
          </w:tcPr>
          <w:p w14:paraId="43762DE7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179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Powołanie nowych osób ze strony IPiN do uczestnictwa w projekcie</w:t>
            </w:r>
          </w:p>
          <w:p w14:paraId="27CBD94D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179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Komunikacja celów, zakresu i stanu zaawansowania projektu dla nowych członków Komitetu Sterującego</w:t>
            </w:r>
          </w:p>
          <w:p w14:paraId="525C2568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179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Określenie wysokiego priorytetu dla projektu</w:t>
            </w:r>
          </w:p>
        </w:tc>
      </w:tr>
      <w:tr w:rsidR="004C46AA" w:rsidRPr="00B213D8" w14:paraId="5B796396" w14:textId="77777777" w:rsidTr="00E20F09">
        <w:trPr>
          <w:cantSplit/>
          <w:trHeight w:val="1549"/>
        </w:trPr>
        <w:tc>
          <w:tcPr>
            <w:tcW w:w="1026" w:type="pct"/>
          </w:tcPr>
          <w:p w14:paraId="78219680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Zmiana założeń planów rządowych dotyczących funkcjonowania i rozwoju sektora nauki/zdrowia w Polsce</w:t>
            </w:r>
          </w:p>
        </w:tc>
        <w:tc>
          <w:tcPr>
            <w:tcW w:w="733" w:type="pct"/>
          </w:tcPr>
          <w:p w14:paraId="3B97B326" w14:textId="77777777" w:rsidR="004C46AA" w:rsidRPr="00B213D8" w:rsidRDefault="004C46AA" w:rsidP="00E20F09">
            <w:pPr>
              <w:pStyle w:val="Tekstdymka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954" w:type="pct"/>
          </w:tcPr>
          <w:p w14:paraId="45C07C04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287" w:type="pct"/>
            <w:gridSpan w:val="2"/>
          </w:tcPr>
          <w:p w14:paraId="04627CAC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179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Informowanie przedstawicieli Ministerstwa Nauki/Zdrowia o zakresie i celach projektu.</w:t>
            </w:r>
          </w:p>
          <w:p w14:paraId="51559672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179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Uzyskanie gwarancji finansowania projektu w przypadku uzyskania dofinansowania ze strony Ministerstwa Zdrowia</w:t>
            </w:r>
          </w:p>
        </w:tc>
      </w:tr>
      <w:tr w:rsidR="004C46AA" w:rsidRPr="00B213D8" w14:paraId="0A370FAA" w14:textId="77777777" w:rsidTr="00E20F09">
        <w:trPr>
          <w:cantSplit/>
        </w:trPr>
        <w:tc>
          <w:tcPr>
            <w:tcW w:w="1026" w:type="pct"/>
          </w:tcPr>
          <w:p w14:paraId="5AEE58F8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Opóźniania realizacji projektu w wyniku nie rzetelności wykonawców i dostawców usług</w:t>
            </w:r>
          </w:p>
        </w:tc>
        <w:tc>
          <w:tcPr>
            <w:tcW w:w="733" w:type="pct"/>
          </w:tcPr>
          <w:p w14:paraId="04D7F604" w14:textId="77777777" w:rsidR="004C46AA" w:rsidRPr="00B213D8" w:rsidRDefault="004C46AA" w:rsidP="00E20F09">
            <w:pPr>
              <w:pStyle w:val="Tekstdymka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954" w:type="pct"/>
          </w:tcPr>
          <w:p w14:paraId="6C05BBB6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Duże</w:t>
            </w:r>
          </w:p>
        </w:tc>
        <w:tc>
          <w:tcPr>
            <w:tcW w:w="2287" w:type="pct"/>
            <w:gridSpan w:val="2"/>
          </w:tcPr>
          <w:p w14:paraId="32FF212A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num" w:pos="179"/>
                <w:tab w:val="num" w:pos="360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Harmonogram projektu został skonstruowany tak, by zawierać bufor bezpieczeństwa czasowego,</w:t>
            </w:r>
          </w:p>
          <w:p w14:paraId="00A81F41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num" w:pos="179"/>
                <w:tab w:val="num" w:pos="360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Jednocześnie należy zastosować odpowiednie zapisy nakładające na wykonawców kary związane z nierzetelnością,</w:t>
            </w:r>
          </w:p>
          <w:p w14:paraId="4CC3AFAB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num" w:pos="179"/>
                <w:tab w:val="num" w:pos="360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Stały nadzór nad jakością oraz terminami realizacji prac zlecanych zewnętrznym Wykonawcą</w:t>
            </w:r>
          </w:p>
        </w:tc>
      </w:tr>
      <w:tr w:rsidR="004C46AA" w:rsidRPr="00B213D8" w14:paraId="2F5BA0A7" w14:textId="77777777" w:rsidTr="00E20F09">
        <w:trPr>
          <w:gridAfter w:val="1"/>
          <w:wAfter w:w="8" w:type="pct"/>
          <w:cantSplit/>
        </w:trPr>
        <w:tc>
          <w:tcPr>
            <w:tcW w:w="1026" w:type="pct"/>
          </w:tcPr>
          <w:p w14:paraId="7D6091D8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lastRenderedPageBreak/>
              <w:t>Brak rozpoczęcia prac projektowych w terminie spowodowany opóźnieniem w podejmowaniu decyzji przez IPiN (np. decyzji dotyczących podziału zamówień publicznych)</w:t>
            </w:r>
          </w:p>
        </w:tc>
        <w:tc>
          <w:tcPr>
            <w:tcW w:w="733" w:type="pct"/>
          </w:tcPr>
          <w:p w14:paraId="7CC8084C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954" w:type="pct"/>
          </w:tcPr>
          <w:p w14:paraId="20F33CFA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279" w:type="pct"/>
          </w:tcPr>
          <w:p w14:paraId="2E7715EB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179"/>
                <w:tab w:val="num" w:pos="307"/>
                <w:tab w:val="num" w:pos="360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Jak najszybsze zatwierdzenie dokumentów projektowych przez Zarząd IPiN</w:t>
            </w:r>
          </w:p>
          <w:p w14:paraId="29909CB5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179"/>
                <w:tab w:val="num" w:pos="252"/>
                <w:tab w:val="num" w:pos="360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Powołanie struktur projektowych</w:t>
            </w:r>
          </w:p>
          <w:p w14:paraId="2BD89868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179"/>
                <w:tab w:val="num" w:pos="449"/>
              </w:tabs>
              <w:spacing w:after="0" w:line="240" w:lineRule="auto"/>
              <w:ind w:left="462" w:hanging="283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Ustalenie aktualnego harmonogramu i następnie akceptacja jedynie jego modyfikacji (brak konieczności tworzenia nowego harmonogramu)</w:t>
            </w:r>
          </w:p>
        </w:tc>
      </w:tr>
      <w:tr w:rsidR="004C46AA" w:rsidRPr="00B213D8" w14:paraId="043A98E9" w14:textId="77777777" w:rsidTr="00E20F09">
        <w:trPr>
          <w:gridAfter w:val="1"/>
          <w:wAfter w:w="8" w:type="pct"/>
          <w:cantSplit/>
        </w:trPr>
        <w:tc>
          <w:tcPr>
            <w:tcW w:w="1026" w:type="pct"/>
          </w:tcPr>
          <w:p w14:paraId="692EFC75" w14:textId="77777777" w:rsidR="004C46AA" w:rsidRPr="00B213D8" w:rsidRDefault="004C46AA" w:rsidP="00E20F09">
            <w:pPr>
              <w:pStyle w:val="Tekstdymka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Niedotrzymywanie terminów prac zawartych w harmonogramie projektu</w:t>
            </w:r>
          </w:p>
        </w:tc>
        <w:tc>
          <w:tcPr>
            <w:tcW w:w="733" w:type="pct"/>
          </w:tcPr>
          <w:p w14:paraId="4A9813E2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954" w:type="pct"/>
          </w:tcPr>
          <w:p w14:paraId="473F96D9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279" w:type="pct"/>
          </w:tcPr>
          <w:p w14:paraId="6D8AE330" w14:textId="77777777" w:rsidR="004C46AA" w:rsidRPr="00B213D8" w:rsidRDefault="004C46AA" w:rsidP="00E20F09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Prowadzenie kontroli terminowości realizowanych prac przez poszczególne Jednostki Zadaniowe. Bieżąca i dokładna analiza raportów statusowych, udział członków Komitetu Sterującego a przede wszystkim Koordynatora Projektu w pracach Jednostek Zadaniowych.</w:t>
            </w:r>
          </w:p>
        </w:tc>
      </w:tr>
      <w:tr w:rsidR="004C46AA" w:rsidRPr="00B213D8" w14:paraId="41B879D9" w14:textId="77777777" w:rsidTr="00E20F09">
        <w:trPr>
          <w:gridAfter w:val="1"/>
          <w:wAfter w:w="8" w:type="pct"/>
          <w:cantSplit/>
        </w:trPr>
        <w:tc>
          <w:tcPr>
            <w:tcW w:w="1026" w:type="pct"/>
          </w:tcPr>
          <w:p w14:paraId="5708C87B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Znacznie wyższy koszt usług</w:t>
            </w:r>
          </w:p>
        </w:tc>
        <w:tc>
          <w:tcPr>
            <w:tcW w:w="733" w:type="pct"/>
          </w:tcPr>
          <w:p w14:paraId="07000C7A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Niskie</w:t>
            </w:r>
          </w:p>
        </w:tc>
        <w:tc>
          <w:tcPr>
            <w:tcW w:w="954" w:type="pct"/>
          </w:tcPr>
          <w:p w14:paraId="27EB461D" w14:textId="77777777" w:rsidR="004C46AA" w:rsidRPr="00B213D8" w:rsidRDefault="004C46AA" w:rsidP="00E20F09">
            <w:pPr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279" w:type="pct"/>
          </w:tcPr>
          <w:p w14:paraId="07ED9D4E" w14:textId="77777777" w:rsidR="004C46AA" w:rsidRPr="00B213D8" w:rsidRDefault="004C46AA" w:rsidP="00E20F09">
            <w:pPr>
              <w:pStyle w:val="Akapitzlist"/>
              <w:numPr>
                <w:ilvl w:val="0"/>
                <w:numId w:val="24"/>
              </w:numPr>
              <w:spacing w:after="0" w:line="300" w:lineRule="auto"/>
              <w:ind w:left="44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Bieżąca kontrola wydatków w projekcie i ich zgodności z harmonogramem oraz poziomu wykorzystania budżetu</w:t>
            </w:r>
          </w:p>
        </w:tc>
      </w:tr>
    </w:tbl>
    <w:p w14:paraId="254C3D78" w14:textId="77777777" w:rsidR="004C46AA" w:rsidRPr="00B213D8" w:rsidRDefault="004C46AA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Pr="00B213D8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B213D8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B213D8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B213D8" w:rsidRDefault="0091332C" w:rsidP="008B486B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B213D8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B213D8" w:rsidRDefault="0091332C" w:rsidP="008B486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B213D8" w:rsidRDefault="0091332C" w:rsidP="008B486B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B213D8" w:rsidRDefault="0091332C" w:rsidP="008B486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71147" w:rsidRPr="00B213D8" w14:paraId="75D78675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09DCEA5C" w14:textId="62C440D3" w:rsidR="00971147" w:rsidRPr="00B213D8" w:rsidRDefault="00971147" w:rsidP="008B48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Awaria serwerów</w:t>
            </w:r>
          </w:p>
        </w:tc>
        <w:tc>
          <w:tcPr>
            <w:tcW w:w="1701" w:type="dxa"/>
            <w:shd w:val="clear" w:color="auto" w:fill="FFFFFF"/>
          </w:tcPr>
          <w:p w14:paraId="7B177335" w14:textId="45843364" w:rsidR="00971147" w:rsidRPr="00B213D8" w:rsidRDefault="00971147" w:rsidP="008B486B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B213D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duża</w:t>
            </w:r>
          </w:p>
        </w:tc>
        <w:tc>
          <w:tcPr>
            <w:tcW w:w="2125" w:type="dxa"/>
            <w:shd w:val="clear" w:color="auto" w:fill="FFFFFF"/>
          </w:tcPr>
          <w:p w14:paraId="4DABA367" w14:textId="7BB45D77" w:rsidR="00971147" w:rsidRPr="00B213D8" w:rsidRDefault="00971147" w:rsidP="008B486B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B213D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małe</w:t>
            </w:r>
          </w:p>
        </w:tc>
        <w:tc>
          <w:tcPr>
            <w:tcW w:w="2693" w:type="dxa"/>
            <w:shd w:val="clear" w:color="auto" w:fill="FFFFFF"/>
          </w:tcPr>
          <w:p w14:paraId="4CA87684" w14:textId="7962B67F" w:rsidR="00971147" w:rsidRPr="00B213D8" w:rsidRDefault="00971147" w:rsidP="008B486B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B213D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Backup danych</w:t>
            </w:r>
          </w:p>
        </w:tc>
      </w:tr>
      <w:tr w:rsidR="00971147" w:rsidRPr="00B213D8" w14:paraId="7E4BDD6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4D89EAE3" w14:textId="1DF7C66E" w:rsidR="00971147" w:rsidRPr="00B213D8" w:rsidRDefault="00971147" w:rsidP="008B48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13D8">
              <w:rPr>
                <w:rFonts w:ascii="Arial" w:hAnsi="Arial" w:cs="Arial"/>
                <w:sz w:val="20"/>
                <w:szCs w:val="20"/>
                <w:lang w:eastAsia="pl-PL"/>
              </w:rPr>
              <w:t>Włamanie do systemu i kradzież danych</w:t>
            </w:r>
          </w:p>
        </w:tc>
        <w:tc>
          <w:tcPr>
            <w:tcW w:w="1701" w:type="dxa"/>
            <w:shd w:val="clear" w:color="auto" w:fill="FFFFFF"/>
          </w:tcPr>
          <w:p w14:paraId="3F04F80E" w14:textId="30098C93" w:rsidR="00971147" w:rsidRPr="00B213D8" w:rsidRDefault="00971147" w:rsidP="008B486B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B213D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duża</w:t>
            </w:r>
          </w:p>
        </w:tc>
        <w:tc>
          <w:tcPr>
            <w:tcW w:w="2125" w:type="dxa"/>
            <w:shd w:val="clear" w:color="auto" w:fill="FFFFFF"/>
          </w:tcPr>
          <w:p w14:paraId="3CAD1903" w14:textId="637C3BA8" w:rsidR="00971147" w:rsidRPr="00B213D8" w:rsidRDefault="00971147" w:rsidP="008B486B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B213D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małe</w:t>
            </w:r>
          </w:p>
        </w:tc>
        <w:tc>
          <w:tcPr>
            <w:tcW w:w="2693" w:type="dxa"/>
            <w:shd w:val="clear" w:color="auto" w:fill="FFFFFF"/>
          </w:tcPr>
          <w:p w14:paraId="57A55F75" w14:textId="5B0010D5" w:rsidR="00971147" w:rsidRPr="00B213D8" w:rsidRDefault="00971147" w:rsidP="008B486B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B213D8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Odpowiednie zabezpieczenia systemu</w:t>
            </w:r>
          </w:p>
        </w:tc>
      </w:tr>
    </w:tbl>
    <w:p w14:paraId="537D37CF" w14:textId="77777777" w:rsidR="0091332C" w:rsidRPr="00B213D8" w:rsidRDefault="0091332C" w:rsidP="00141A92">
      <w:pPr>
        <w:spacing w:before="240" w:after="120"/>
        <w:rPr>
          <w:rFonts w:ascii="Arial" w:hAnsi="Arial" w:cs="Arial"/>
        </w:rPr>
      </w:pPr>
    </w:p>
    <w:p w14:paraId="6B913CCF" w14:textId="77777777" w:rsidR="001C1B8F" w:rsidRPr="00B213D8" w:rsidRDefault="00BB059E" w:rsidP="00971147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B213D8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="00971147" w:rsidRPr="00B213D8">
        <w:t xml:space="preserve"> </w:t>
      </w:r>
    </w:p>
    <w:p w14:paraId="090DD192" w14:textId="3A89585E" w:rsidR="001C1B8F" w:rsidRPr="00B213D8" w:rsidRDefault="00971147" w:rsidP="004D6970">
      <w:pPr>
        <w:spacing w:after="120"/>
        <w:rPr>
          <w:rStyle w:val="Nagwek2Znak"/>
          <w:rFonts w:ascii="Arial" w:hAnsi="Arial" w:cs="Arial"/>
          <w:color w:val="auto"/>
          <w:sz w:val="22"/>
          <w:szCs w:val="22"/>
        </w:rPr>
      </w:pPr>
      <w:r w:rsidRPr="00B213D8">
        <w:rPr>
          <w:rStyle w:val="Nagwek2Znak"/>
          <w:rFonts w:ascii="Arial" w:hAnsi="Arial" w:cs="Arial"/>
          <w:color w:val="auto"/>
          <w:sz w:val="22"/>
          <w:szCs w:val="22"/>
        </w:rPr>
        <w:t>dr n med. Tomasz Stępień, Zakład Neuropatologii, Instytut Psychiatrii i Neuro</w:t>
      </w:r>
      <w:r w:rsidR="004D6970" w:rsidRPr="00B213D8">
        <w:rPr>
          <w:rStyle w:val="Nagwek2Znak"/>
          <w:rFonts w:ascii="Arial" w:hAnsi="Arial" w:cs="Arial"/>
          <w:color w:val="auto"/>
          <w:sz w:val="22"/>
          <w:szCs w:val="22"/>
        </w:rPr>
        <w:t>logii</w:t>
      </w:r>
    </w:p>
    <w:p w14:paraId="3D11D904" w14:textId="391E83FF" w:rsidR="001C1B8F" w:rsidRPr="00DD38E0" w:rsidRDefault="001C1B8F" w:rsidP="001C1B8F">
      <w:pPr>
        <w:rPr>
          <w:rFonts w:ascii="Arial" w:eastAsiaTheme="majorEastAsia" w:hAnsi="Arial" w:cs="Arial"/>
        </w:rPr>
      </w:pPr>
      <w:r w:rsidRPr="00B213D8">
        <w:rPr>
          <w:rStyle w:val="Nagwek2Znak"/>
          <w:rFonts w:ascii="Arial" w:hAnsi="Arial" w:cs="Arial"/>
          <w:color w:val="auto"/>
          <w:sz w:val="22"/>
          <w:szCs w:val="22"/>
        </w:rPr>
        <w:t xml:space="preserve">Kontakt: </w:t>
      </w:r>
      <w:r w:rsidR="00971147" w:rsidRPr="00B213D8">
        <w:rPr>
          <w:rStyle w:val="Nagwek2Znak"/>
          <w:rFonts w:ascii="Arial" w:hAnsi="Arial" w:cs="Arial"/>
          <w:color w:val="auto"/>
          <w:sz w:val="22"/>
          <w:szCs w:val="22"/>
        </w:rPr>
        <w:t>tstepien@ipin.edu.pl, tel. 45-82-786, 514-959-379</w:t>
      </w:r>
    </w:p>
    <w:sectPr w:rsidR="001C1B8F" w:rsidRPr="00DD38E0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009B3" w14:textId="77777777" w:rsidR="0040027A" w:rsidRDefault="0040027A" w:rsidP="00BB2420">
      <w:pPr>
        <w:spacing w:after="0" w:line="240" w:lineRule="auto"/>
      </w:pPr>
      <w:r>
        <w:separator/>
      </w:r>
    </w:p>
  </w:endnote>
  <w:endnote w:type="continuationSeparator" w:id="0">
    <w:p w14:paraId="3EB2FD8F" w14:textId="77777777" w:rsidR="0040027A" w:rsidRDefault="0040027A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67D38288" w:rsidR="00D62774" w:rsidRDefault="00D6277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BC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14:paraId="402AEB21" w14:textId="77777777" w:rsidR="00D62774" w:rsidRDefault="00D627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F738E" w14:textId="77777777" w:rsidR="0040027A" w:rsidRDefault="0040027A" w:rsidP="00BB2420">
      <w:pPr>
        <w:spacing w:after="0" w:line="240" w:lineRule="auto"/>
      </w:pPr>
      <w:r>
        <w:separator/>
      </w:r>
    </w:p>
  </w:footnote>
  <w:footnote w:type="continuationSeparator" w:id="0">
    <w:p w14:paraId="5D82852E" w14:textId="77777777" w:rsidR="0040027A" w:rsidRDefault="0040027A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D62774" w:rsidRDefault="00D62774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1228"/>
    <w:multiLevelType w:val="hybridMultilevel"/>
    <w:tmpl w:val="B0204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BC6D37"/>
    <w:multiLevelType w:val="hybridMultilevel"/>
    <w:tmpl w:val="50AC6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649A0"/>
    <w:multiLevelType w:val="hybridMultilevel"/>
    <w:tmpl w:val="CF184D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A69E9"/>
    <w:multiLevelType w:val="hybridMultilevel"/>
    <w:tmpl w:val="D5C6C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34135"/>
    <w:multiLevelType w:val="hybridMultilevel"/>
    <w:tmpl w:val="C220BBC6"/>
    <w:lvl w:ilvl="0" w:tplc="041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0" w15:restartNumberingAfterBreak="0">
    <w:nsid w:val="5D3874E8"/>
    <w:multiLevelType w:val="hybridMultilevel"/>
    <w:tmpl w:val="84401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10B0C"/>
    <w:multiLevelType w:val="hybridMultilevel"/>
    <w:tmpl w:val="D55E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30216"/>
    <w:multiLevelType w:val="hybridMultilevel"/>
    <w:tmpl w:val="CB842DC2"/>
    <w:lvl w:ilvl="0" w:tplc="191A501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74176894"/>
    <w:multiLevelType w:val="hybridMultilevel"/>
    <w:tmpl w:val="8410D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8FB7E9A"/>
    <w:multiLevelType w:val="hybridMultilevel"/>
    <w:tmpl w:val="A0068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3"/>
  </w:num>
  <w:num w:numId="3">
    <w:abstractNumId w:val="29"/>
  </w:num>
  <w:num w:numId="4">
    <w:abstractNumId w:val="13"/>
  </w:num>
  <w:num w:numId="5">
    <w:abstractNumId w:val="24"/>
  </w:num>
  <w:num w:numId="6">
    <w:abstractNumId w:val="6"/>
  </w:num>
  <w:num w:numId="7">
    <w:abstractNumId w:val="18"/>
  </w:num>
  <w:num w:numId="8">
    <w:abstractNumId w:val="0"/>
  </w:num>
  <w:num w:numId="9">
    <w:abstractNumId w:val="9"/>
  </w:num>
  <w:num w:numId="10">
    <w:abstractNumId w:val="7"/>
  </w:num>
  <w:num w:numId="11">
    <w:abstractNumId w:val="8"/>
  </w:num>
  <w:num w:numId="12">
    <w:abstractNumId w:val="22"/>
  </w:num>
  <w:num w:numId="13">
    <w:abstractNumId w:val="17"/>
  </w:num>
  <w:num w:numId="14">
    <w:abstractNumId w:val="2"/>
  </w:num>
  <w:num w:numId="15">
    <w:abstractNumId w:val="25"/>
  </w:num>
  <w:num w:numId="16">
    <w:abstractNumId w:val="10"/>
  </w:num>
  <w:num w:numId="17">
    <w:abstractNumId w:val="15"/>
  </w:num>
  <w:num w:numId="18">
    <w:abstractNumId w:val="14"/>
  </w:num>
  <w:num w:numId="19">
    <w:abstractNumId w:val="11"/>
  </w:num>
  <w:num w:numId="20">
    <w:abstractNumId w:val="27"/>
  </w:num>
  <w:num w:numId="21">
    <w:abstractNumId w:val="23"/>
  </w:num>
  <w:num w:numId="22">
    <w:abstractNumId w:val="1"/>
  </w:num>
  <w:num w:numId="23">
    <w:abstractNumId w:val="20"/>
  </w:num>
  <w:num w:numId="24">
    <w:abstractNumId w:val="4"/>
  </w:num>
  <w:num w:numId="25">
    <w:abstractNumId w:val="19"/>
  </w:num>
  <w:num w:numId="26">
    <w:abstractNumId w:val="28"/>
  </w:num>
  <w:num w:numId="27">
    <w:abstractNumId w:val="12"/>
  </w:num>
  <w:num w:numId="28">
    <w:abstractNumId w:val="5"/>
  </w:num>
  <w:num w:numId="29">
    <w:abstractNumId w:val="2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30"/>
    <w:rsid w:val="00003CB0"/>
    <w:rsid w:val="00006E59"/>
    <w:rsid w:val="00007F75"/>
    <w:rsid w:val="000161E9"/>
    <w:rsid w:val="0002343E"/>
    <w:rsid w:val="00043DD9"/>
    <w:rsid w:val="00044D68"/>
    <w:rsid w:val="00047D9D"/>
    <w:rsid w:val="00070663"/>
    <w:rsid w:val="000763DD"/>
    <w:rsid w:val="00084E5B"/>
    <w:rsid w:val="00087231"/>
    <w:rsid w:val="00095944"/>
    <w:rsid w:val="000A1DFB"/>
    <w:rsid w:val="000A2F32"/>
    <w:rsid w:val="000A3938"/>
    <w:rsid w:val="000B15C9"/>
    <w:rsid w:val="000B35EF"/>
    <w:rsid w:val="000B3E49"/>
    <w:rsid w:val="000D41F8"/>
    <w:rsid w:val="000E0060"/>
    <w:rsid w:val="000E1828"/>
    <w:rsid w:val="000E4BF8"/>
    <w:rsid w:val="000E7875"/>
    <w:rsid w:val="000F077F"/>
    <w:rsid w:val="000F07AF"/>
    <w:rsid w:val="000F20A9"/>
    <w:rsid w:val="000F307B"/>
    <w:rsid w:val="000F30B9"/>
    <w:rsid w:val="000F3A8E"/>
    <w:rsid w:val="001057D3"/>
    <w:rsid w:val="0011030B"/>
    <w:rsid w:val="0011062E"/>
    <w:rsid w:val="00113509"/>
    <w:rsid w:val="0011693F"/>
    <w:rsid w:val="00122388"/>
    <w:rsid w:val="00124C3D"/>
    <w:rsid w:val="00141A92"/>
    <w:rsid w:val="00145E84"/>
    <w:rsid w:val="0015102C"/>
    <w:rsid w:val="0016735F"/>
    <w:rsid w:val="00176FBB"/>
    <w:rsid w:val="00181E97"/>
    <w:rsid w:val="00182A08"/>
    <w:rsid w:val="001A119A"/>
    <w:rsid w:val="001A2EF2"/>
    <w:rsid w:val="001A5113"/>
    <w:rsid w:val="001A7DC8"/>
    <w:rsid w:val="001C1B8F"/>
    <w:rsid w:val="001C2D74"/>
    <w:rsid w:val="001C7FAC"/>
    <w:rsid w:val="001D7ACF"/>
    <w:rsid w:val="001E0C9C"/>
    <w:rsid w:val="001E0CAC"/>
    <w:rsid w:val="001E16A3"/>
    <w:rsid w:val="001E1DEA"/>
    <w:rsid w:val="001E2350"/>
    <w:rsid w:val="001E7199"/>
    <w:rsid w:val="001F24A0"/>
    <w:rsid w:val="001F2BD6"/>
    <w:rsid w:val="001F67EC"/>
    <w:rsid w:val="0020330A"/>
    <w:rsid w:val="00237279"/>
    <w:rsid w:val="00240D69"/>
    <w:rsid w:val="00241B5E"/>
    <w:rsid w:val="0024735B"/>
    <w:rsid w:val="00252087"/>
    <w:rsid w:val="0027679B"/>
    <w:rsid w:val="00276C00"/>
    <w:rsid w:val="00281C21"/>
    <w:rsid w:val="00290236"/>
    <w:rsid w:val="002A3C02"/>
    <w:rsid w:val="002A5452"/>
    <w:rsid w:val="002A7516"/>
    <w:rsid w:val="002B4889"/>
    <w:rsid w:val="002B50C0"/>
    <w:rsid w:val="002B6F21"/>
    <w:rsid w:val="002C4696"/>
    <w:rsid w:val="002C4758"/>
    <w:rsid w:val="002D3D4A"/>
    <w:rsid w:val="002D7ADA"/>
    <w:rsid w:val="002F59C9"/>
    <w:rsid w:val="0030196F"/>
    <w:rsid w:val="00302775"/>
    <w:rsid w:val="00304D04"/>
    <w:rsid w:val="00310D8E"/>
    <w:rsid w:val="003167EB"/>
    <w:rsid w:val="003221F2"/>
    <w:rsid w:val="00322614"/>
    <w:rsid w:val="00323556"/>
    <w:rsid w:val="00334A24"/>
    <w:rsid w:val="00340820"/>
    <w:rsid w:val="003410FE"/>
    <w:rsid w:val="003454DC"/>
    <w:rsid w:val="003508E7"/>
    <w:rsid w:val="003542F1"/>
    <w:rsid w:val="00356A3E"/>
    <w:rsid w:val="0036248F"/>
    <w:rsid w:val="003642B8"/>
    <w:rsid w:val="00381E76"/>
    <w:rsid w:val="003A4115"/>
    <w:rsid w:val="003A781A"/>
    <w:rsid w:val="003B5B7A"/>
    <w:rsid w:val="003B5C33"/>
    <w:rsid w:val="003C422E"/>
    <w:rsid w:val="003C7325"/>
    <w:rsid w:val="003D7DD0"/>
    <w:rsid w:val="003E3144"/>
    <w:rsid w:val="003F55F1"/>
    <w:rsid w:val="0040027A"/>
    <w:rsid w:val="00405EA4"/>
    <w:rsid w:val="0041034F"/>
    <w:rsid w:val="004118A3"/>
    <w:rsid w:val="00412D4E"/>
    <w:rsid w:val="00413ADC"/>
    <w:rsid w:val="00423A26"/>
    <w:rsid w:val="00425046"/>
    <w:rsid w:val="00432AE6"/>
    <w:rsid w:val="00434272"/>
    <w:rsid w:val="004350B8"/>
    <w:rsid w:val="00444AAB"/>
    <w:rsid w:val="00450089"/>
    <w:rsid w:val="00476E62"/>
    <w:rsid w:val="004829EA"/>
    <w:rsid w:val="004B2696"/>
    <w:rsid w:val="004C1D48"/>
    <w:rsid w:val="004C46AA"/>
    <w:rsid w:val="004D65CA"/>
    <w:rsid w:val="004D6970"/>
    <w:rsid w:val="004E351B"/>
    <w:rsid w:val="004F05B8"/>
    <w:rsid w:val="004F36A9"/>
    <w:rsid w:val="004F6E89"/>
    <w:rsid w:val="005073BD"/>
    <w:rsid w:val="00517F12"/>
    <w:rsid w:val="0052102C"/>
    <w:rsid w:val="00524E6C"/>
    <w:rsid w:val="005332D6"/>
    <w:rsid w:val="00544DFE"/>
    <w:rsid w:val="005644EF"/>
    <w:rsid w:val="005734CE"/>
    <w:rsid w:val="00576828"/>
    <w:rsid w:val="00586664"/>
    <w:rsid w:val="00593290"/>
    <w:rsid w:val="005A12F7"/>
    <w:rsid w:val="005A1B30"/>
    <w:rsid w:val="005B1A32"/>
    <w:rsid w:val="005C0469"/>
    <w:rsid w:val="005C0B8A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060B2"/>
    <w:rsid w:val="006108EA"/>
    <w:rsid w:val="00610D37"/>
    <w:rsid w:val="0061132D"/>
    <w:rsid w:val="00612533"/>
    <w:rsid w:val="0062054D"/>
    <w:rsid w:val="00625994"/>
    <w:rsid w:val="00632BE8"/>
    <w:rsid w:val="006334BF"/>
    <w:rsid w:val="00635A54"/>
    <w:rsid w:val="00661A62"/>
    <w:rsid w:val="006731D9"/>
    <w:rsid w:val="006822BC"/>
    <w:rsid w:val="00684533"/>
    <w:rsid w:val="00697D52"/>
    <w:rsid w:val="006A0583"/>
    <w:rsid w:val="006A4BDA"/>
    <w:rsid w:val="006A60AA"/>
    <w:rsid w:val="006B034F"/>
    <w:rsid w:val="006B5117"/>
    <w:rsid w:val="006C5446"/>
    <w:rsid w:val="006C6B1D"/>
    <w:rsid w:val="006E0CFA"/>
    <w:rsid w:val="006E6205"/>
    <w:rsid w:val="006F172B"/>
    <w:rsid w:val="006F342B"/>
    <w:rsid w:val="006F3A96"/>
    <w:rsid w:val="00701800"/>
    <w:rsid w:val="00710A35"/>
    <w:rsid w:val="00725708"/>
    <w:rsid w:val="007314B2"/>
    <w:rsid w:val="00740A47"/>
    <w:rsid w:val="00743573"/>
    <w:rsid w:val="00746ABD"/>
    <w:rsid w:val="007572BA"/>
    <w:rsid w:val="007702C3"/>
    <w:rsid w:val="0077418F"/>
    <w:rsid w:val="00775C44"/>
    <w:rsid w:val="0079066F"/>
    <w:rsid w:val="007924CE"/>
    <w:rsid w:val="007953DD"/>
    <w:rsid w:val="00795AFA"/>
    <w:rsid w:val="00797FDB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F126F"/>
    <w:rsid w:val="007F617F"/>
    <w:rsid w:val="007F6829"/>
    <w:rsid w:val="00806134"/>
    <w:rsid w:val="0080626C"/>
    <w:rsid w:val="00830B70"/>
    <w:rsid w:val="0083588A"/>
    <w:rsid w:val="00840749"/>
    <w:rsid w:val="0087452F"/>
    <w:rsid w:val="00875528"/>
    <w:rsid w:val="00884686"/>
    <w:rsid w:val="0089562F"/>
    <w:rsid w:val="008A332F"/>
    <w:rsid w:val="008A52F6"/>
    <w:rsid w:val="008B2253"/>
    <w:rsid w:val="008B3FA7"/>
    <w:rsid w:val="008B486B"/>
    <w:rsid w:val="008C4BCD"/>
    <w:rsid w:val="008C6721"/>
    <w:rsid w:val="008D3826"/>
    <w:rsid w:val="008F24C4"/>
    <w:rsid w:val="008F2D9B"/>
    <w:rsid w:val="009002D1"/>
    <w:rsid w:val="00907F6D"/>
    <w:rsid w:val="00910DD9"/>
    <w:rsid w:val="00911190"/>
    <w:rsid w:val="00913102"/>
    <w:rsid w:val="0091332C"/>
    <w:rsid w:val="00922737"/>
    <w:rsid w:val="00924FF0"/>
    <w:rsid w:val="009256F2"/>
    <w:rsid w:val="00933BEC"/>
    <w:rsid w:val="00933EA2"/>
    <w:rsid w:val="00936729"/>
    <w:rsid w:val="0094259B"/>
    <w:rsid w:val="00945A29"/>
    <w:rsid w:val="0095183B"/>
    <w:rsid w:val="00952126"/>
    <w:rsid w:val="00952617"/>
    <w:rsid w:val="009663A6"/>
    <w:rsid w:val="00971147"/>
    <w:rsid w:val="009712C6"/>
    <w:rsid w:val="0097197F"/>
    <w:rsid w:val="00971A40"/>
    <w:rsid w:val="00976434"/>
    <w:rsid w:val="00992EA3"/>
    <w:rsid w:val="009967CA"/>
    <w:rsid w:val="009A17FF"/>
    <w:rsid w:val="009B4423"/>
    <w:rsid w:val="009B44C0"/>
    <w:rsid w:val="009B6475"/>
    <w:rsid w:val="009C6140"/>
    <w:rsid w:val="009D2FA4"/>
    <w:rsid w:val="009D3854"/>
    <w:rsid w:val="009D7D8A"/>
    <w:rsid w:val="009E0464"/>
    <w:rsid w:val="009E4C67"/>
    <w:rsid w:val="009E61FF"/>
    <w:rsid w:val="009F09BF"/>
    <w:rsid w:val="009F1DC8"/>
    <w:rsid w:val="009F2A54"/>
    <w:rsid w:val="009F437E"/>
    <w:rsid w:val="00A04737"/>
    <w:rsid w:val="00A11788"/>
    <w:rsid w:val="00A20EB1"/>
    <w:rsid w:val="00A22ADE"/>
    <w:rsid w:val="00A261CA"/>
    <w:rsid w:val="00A27F7E"/>
    <w:rsid w:val="00A30847"/>
    <w:rsid w:val="00A30B9A"/>
    <w:rsid w:val="00A31176"/>
    <w:rsid w:val="00A36AE2"/>
    <w:rsid w:val="00A43E49"/>
    <w:rsid w:val="00A44EA2"/>
    <w:rsid w:val="00A56D63"/>
    <w:rsid w:val="00A67685"/>
    <w:rsid w:val="00A71796"/>
    <w:rsid w:val="00A717CB"/>
    <w:rsid w:val="00A728AE"/>
    <w:rsid w:val="00A804AE"/>
    <w:rsid w:val="00A86449"/>
    <w:rsid w:val="00A87C1C"/>
    <w:rsid w:val="00AA4CAB"/>
    <w:rsid w:val="00AA51AD"/>
    <w:rsid w:val="00AB2E01"/>
    <w:rsid w:val="00AC13BB"/>
    <w:rsid w:val="00AC7E26"/>
    <w:rsid w:val="00AD45BB"/>
    <w:rsid w:val="00AE1643"/>
    <w:rsid w:val="00AE3532"/>
    <w:rsid w:val="00AE3A6C"/>
    <w:rsid w:val="00AF0921"/>
    <w:rsid w:val="00AF09B8"/>
    <w:rsid w:val="00AF567D"/>
    <w:rsid w:val="00B17709"/>
    <w:rsid w:val="00B213D8"/>
    <w:rsid w:val="00B27166"/>
    <w:rsid w:val="00B406B0"/>
    <w:rsid w:val="00B41415"/>
    <w:rsid w:val="00B440C3"/>
    <w:rsid w:val="00B47306"/>
    <w:rsid w:val="00B50560"/>
    <w:rsid w:val="00B54BF9"/>
    <w:rsid w:val="00B64B3C"/>
    <w:rsid w:val="00B657C8"/>
    <w:rsid w:val="00B673C6"/>
    <w:rsid w:val="00B74859"/>
    <w:rsid w:val="00B77BC1"/>
    <w:rsid w:val="00B827A0"/>
    <w:rsid w:val="00B87D3D"/>
    <w:rsid w:val="00B955B8"/>
    <w:rsid w:val="00BA481C"/>
    <w:rsid w:val="00BB059E"/>
    <w:rsid w:val="00BB2420"/>
    <w:rsid w:val="00BB5ACE"/>
    <w:rsid w:val="00BC1BD2"/>
    <w:rsid w:val="00BC6BE4"/>
    <w:rsid w:val="00BE1B9C"/>
    <w:rsid w:val="00BE47CD"/>
    <w:rsid w:val="00BE5BF9"/>
    <w:rsid w:val="00BF2BEA"/>
    <w:rsid w:val="00BF4B68"/>
    <w:rsid w:val="00C1106C"/>
    <w:rsid w:val="00C24134"/>
    <w:rsid w:val="00C26361"/>
    <w:rsid w:val="00C302F1"/>
    <w:rsid w:val="00C37B10"/>
    <w:rsid w:val="00C42AEA"/>
    <w:rsid w:val="00C465DB"/>
    <w:rsid w:val="00C57985"/>
    <w:rsid w:val="00C6751B"/>
    <w:rsid w:val="00C75150"/>
    <w:rsid w:val="00C771B9"/>
    <w:rsid w:val="00C852F0"/>
    <w:rsid w:val="00CA2E5E"/>
    <w:rsid w:val="00CA516B"/>
    <w:rsid w:val="00CC7BB9"/>
    <w:rsid w:val="00CC7E21"/>
    <w:rsid w:val="00CD0BC7"/>
    <w:rsid w:val="00CD60A2"/>
    <w:rsid w:val="00CD6784"/>
    <w:rsid w:val="00CD7A46"/>
    <w:rsid w:val="00CE6171"/>
    <w:rsid w:val="00CE74F9"/>
    <w:rsid w:val="00CE7777"/>
    <w:rsid w:val="00CF2E64"/>
    <w:rsid w:val="00D25CFE"/>
    <w:rsid w:val="00D3415D"/>
    <w:rsid w:val="00D4485A"/>
    <w:rsid w:val="00D4607F"/>
    <w:rsid w:val="00D47109"/>
    <w:rsid w:val="00D52B97"/>
    <w:rsid w:val="00D57025"/>
    <w:rsid w:val="00D57765"/>
    <w:rsid w:val="00D62774"/>
    <w:rsid w:val="00D638D0"/>
    <w:rsid w:val="00D6659B"/>
    <w:rsid w:val="00D764C9"/>
    <w:rsid w:val="00D77F50"/>
    <w:rsid w:val="00D859F4"/>
    <w:rsid w:val="00D85A52"/>
    <w:rsid w:val="00D86FEC"/>
    <w:rsid w:val="00DA34DF"/>
    <w:rsid w:val="00DB5765"/>
    <w:rsid w:val="00DB6958"/>
    <w:rsid w:val="00DB69FD"/>
    <w:rsid w:val="00DC0A8A"/>
    <w:rsid w:val="00DC1705"/>
    <w:rsid w:val="00DC39A9"/>
    <w:rsid w:val="00DC4C79"/>
    <w:rsid w:val="00DC701D"/>
    <w:rsid w:val="00DD38E0"/>
    <w:rsid w:val="00DE6249"/>
    <w:rsid w:val="00DE731D"/>
    <w:rsid w:val="00E0076D"/>
    <w:rsid w:val="00E11B44"/>
    <w:rsid w:val="00E15DEB"/>
    <w:rsid w:val="00E1688D"/>
    <w:rsid w:val="00E1698A"/>
    <w:rsid w:val="00E203EB"/>
    <w:rsid w:val="00E20F09"/>
    <w:rsid w:val="00E304A0"/>
    <w:rsid w:val="00E35401"/>
    <w:rsid w:val="00E375DB"/>
    <w:rsid w:val="00E42938"/>
    <w:rsid w:val="00E42940"/>
    <w:rsid w:val="00E47508"/>
    <w:rsid w:val="00E47A6C"/>
    <w:rsid w:val="00E5129C"/>
    <w:rsid w:val="00E55EB0"/>
    <w:rsid w:val="00E57BB7"/>
    <w:rsid w:val="00E61CB0"/>
    <w:rsid w:val="00E6395B"/>
    <w:rsid w:val="00E654DF"/>
    <w:rsid w:val="00E71256"/>
    <w:rsid w:val="00E714C2"/>
    <w:rsid w:val="00E71BCF"/>
    <w:rsid w:val="00E81D7C"/>
    <w:rsid w:val="00E83FA4"/>
    <w:rsid w:val="00E86020"/>
    <w:rsid w:val="00EA0B4F"/>
    <w:rsid w:val="00EA606B"/>
    <w:rsid w:val="00EA7E87"/>
    <w:rsid w:val="00EC2AFC"/>
    <w:rsid w:val="00F026D5"/>
    <w:rsid w:val="00F07B11"/>
    <w:rsid w:val="00F118DB"/>
    <w:rsid w:val="00F138F7"/>
    <w:rsid w:val="00F2008A"/>
    <w:rsid w:val="00F21D9E"/>
    <w:rsid w:val="00F25348"/>
    <w:rsid w:val="00F27422"/>
    <w:rsid w:val="00F3363A"/>
    <w:rsid w:val="00F40715"/>
    <w:rsid w:val="00F45506"/>
    <w:rsid w:val="00F60062"/>
    <w:rsid w:val="00F613CC"/>
    <w:rsid w:val="00F76735"/>
    <w:rsid w:val="00F76777"/>
    <w:rsid w:val="00F8243E"/>
    <w:rsid w:val="00F83F2F"/>
    <w:rsid w:val="00F86555"/>
    <w:rsid w:val="00F87250"/>
    <w:rsid w:val="00FC3B03"/>
    <w:rsid w:val="00FD30A3"/>
    <w:rsid w:val="00FD643D"/>
    <w:rsid w:val="00FE2F40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971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D4A0-B727-41EA-9844-E79921E5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2019-05-06T10:45:00Z</dcterms:created>
  <dcterms:modified xsi:type="dcterms:W3CDTF">2019-05-06T10:45:00Z</dcterms:modified>
</cp:coreProperties>
</file>