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66D76" w14:textId="77777777" w:rsidR="00421DDB" w:rsidRDefault="00421DDB" w:rsidP="00C53987">
      <w:pPr>
        <w:spacing w:after="0" w:line="240" w:lineRule="exact"/>
        <w:rPr>
          <w:rFonts w:ascii="Lato" w:hAnsi="Lato"/>
          <w:sz w:val="20"/>
        </w:rPr>
      </w:pPr>
    </w:p>
    <w:p w14:paraId="41521605" w14:textId="77777777" w:rsidR="00421DDB" w:rsidRPr="009276B2" w:rsidRDefault="00000000" w:rsidP="00C53987">
      <w:pPr>
        <w:spacing w:after="0" w:line="240" w:lineRule="exact"/>
        <w:rPr>
          <w:rFonts w:ascii="Lato" w:hAnsi="Lato"/>
          <w:sz w:val="20"/>
        </w:rPr>
      </w:pPr>
      <w:r w:rsidRPr="009276B2">
        <w:rPr>
          <w:rFonts w:ascii="Lato" w:hAnsi="Lato"/>
          <w:sz w:val="20"/>
        </w:rPr>
        <w:t>Znak pisma</w:t>
      </w:r>
      <w:r>
        <w:rPr>
          <w:rFonts w:ascii="Lato" w:hAnsi="Lato"/>
          <w:sz w:val="20"/>
        </w:rPr>
        <w:t xml:space="preserve">: </w:t>
      </w:r>
      <w:bookmarkStart w:id="0" w:name="ezdSprawaZnak"/>
      <w:r w:rsidRPr="00EB4EA7">
        <w:rPr>
          <w:rFonts w:ascii="Lato" w:hAnsi="Lato"/>
          <w:sz w:val="20"/>
        </w:rPr>
        <w:t>DAB-II.053.8.2024</w:t>
      </w:r>
      <w:bookmarkEnd w:id="0"/>
    </w:p>
    <w:p w14:paraId="0523829B" w14:textId="77777777" w:rsidR="00421DDB" w:rsidRPr="009276B2" w:rsidRDefault="00000000" w:rsidP="00C53987">
      <w:pPr>
        <w:spacing w:after="0" w:line="240" w:lineRule="exact"/>
        <w:rPr>
          <w:rFonts w:ascii="Lato" w:hAnsi="Lato"/>
          <w:sz w:val="20"/>
        </w:rPr>
      </w:pPr>
      <w:r>
        <w:rPr>
          <w:rFonts w:ascii="Lato" w:hAnsi="Lato"/>
          <w:sz w:val="20"/>
        </w:rPr>
        <w:t>Warszawa</w:t>
      </w:r>
      <w:r w:rsidRPr="009276B2">
        <w:rPr>
          <w:rFonts w:ascii="Lato" w:hAnsi="Lato"/>
          <w:sz w:val="20"/>
        </w:rPr>
        <w:t xml:space="preserve">, </w:t>
      </w:r>
      <w:bookmarkStart w:id="1" w:name="ezdDataPodpisu"/>
      <w:r w:rsidRPr="00EB4EA7">
        <w:rPr>
          <w:rFonts w:ascii="Lato" w:hAnsi="Lato"/>
          <w:sz w:val="20"/>
        </w:rPr>
        <w:t>21 listopada 2024</w:t>
      </w:r>
      <w:bookmarkEnd w:id="1"/>
      <w:r w:rsidRPr="00EB4EA7">
        <w:rPr>
          <w:rFonts w:ascii="Lato" w:hAnsi="Lato"/>
          <w:sz w:val="20"/>
        </w:rPr>
        <w:t xml:space="preserve"> r.</w:t>
      </w:r>
    </w:p>
    <w:p w14:paraId="3E561E0B" w14:textId="77777777" w:rsidR="00421DDB" w:rsidRPr="009276B2" w:rsidRDefault="00421DDB" w:rsidP="00C53987">
      <w:pPr>
        <w:spacing w:after="0" w:line="240" w:lineRule="exact"/>
        <w:rPr>
          <w:rFonts w:ascii="Lato" w:hAnsi="Lato"/>
          <w:sz w:val="20"/>
        </w:rPr>
      </w:pPr>
    </w:p>
    <w:p w14:paraId="08CB6C82" w14:textId="77777777" w:rsidR="00421DDB" w:rsidRPr="009276B2" w:rsidRDefault="00421DDB" w:rsidP="00C53987">
      <w:pPr>
        <w:spacing w:after="0" w:line="240" w:lineRule="exact"/>
        <w:rPr>
          <w:rFonts w:ascii="Lato" w:hAnsi="Lato"/>
          <w:sz w:val="20"/>
        </w:rPr>
      </w:pPr>
    </w:p>
    <w:p w14:paraId="7F0E68E7" w14:textId="77777777" w:rsidR="00421DDB" w:rsidRPr="00F95BD6" w:rsidRDefault="00000000" w:rsidP="00C53987">
      <w:pPr>
        <w:spacing w:after="0" w:line="240" w:lineRule="exact"/>
        <w:rPr>
          <w:rFonts w:ascii="Lato" w:hAnsi="Lato"/>
          <w:b/>
          <w:bCs/>
          <w:sz w:val="20"/>
        </w:rPr>
      </w:pPr>
      <w:r w:rsidRPr="00F95BD6">
        <w:rPr>
          <w:rFonts w:ascii="Lato" w:hAnsi="Lato"/>
          <w:b/>
          <w:bCs/>
          <w:sz w:val="20"/>
        </w:rPr>
        <w:t>Pani</w:t>
      </w:r>
    </w:p>
    <w:p w14:paraId="280C2BFE" w14:textId="77777777" w:rsidR="00421DDB" w:rsidRDefault="00421DDB" w:rsidP="00B032AD">
      <w:pPr>
        <w:spacing w:after="120" w:line="240" w:lineRule="exact"/>
        <w:rPr>
          <w:rFonts w:ascii="Lato" w:hAnsi="Lato"/>
          <w:sz w:val="20"/>
        </w:rPr>
      </w:pPr>
    </w:p>
    <w:p w14:paraId="3459011C" w14:textId="77777777" w:rsidR="001721F5" w:rsidRDefault="001721F5" w:rsidP="00B032AD">
      <w:pPr>
        <w:spacing w:after="120" w:line="240" w:lineRule="exact"/>
        <w:rPr>
          <w:rFonts w:ascii="Lato" w:hAnsi="Lato"/>
          <w:sz w:val="20"/>
        </w:rPr>
      </w:pPr>
    </w:p>
    <w:p w14:paraId="76007A93" w14:textId="77777777" w:rsidR="00421DDB" w:rsidRPr="001F5426" w:rsidRDefault="00000000" w:rsidP="00B032AD">
      <w:pPr>
        <w:tabs>
          <w:tab w:val="center" w:pos="1470"/>
          <w:tab w:val="left" w:pos="5387"/>
        </w:tabs>
        <w:spacing w:after="120" w:line="240" w:lineRule="exact"/>
        <w:jc w:val="center"/>
        <w:outlineLvl w:val="0"/>
        <w:rPr>
          <w:rFonts w:ascii="Lato" w:hAnsi="Lato" w:cstheme="minorHAnsi"/>
          <w:b/>
          <w:sz w:val="20"/>
          <w:szCs w:val="20"/>
        </w:rPr>
      </w:pPr>
      <w:r w:rsidRPr="001F5426">
        <w:rPr>
          <w:rFonts w:ascii="Lato" w:hAnsi="Lato" w:cstheme="minorHAnsi"/>
          <w:b/>
          <w:sz w:val="20"/>
          <w:szCs w:val="20"/>
        </w:rPr>
        <w:t>Zawiadomienie o sposobie załatwienia petycji</w:t>
      </w:r>
    </w:p>
    <w:p w14:paraId="0B6B484D" w14:textId="77777777" w:rsidR="00421DDB" w:rsidRPr="001F5426" w:rsidRDefault="00000000" w:rsidP="00B032AD">
      <w:pPr>
        <w:tabs>
          <w:tab w:val="center" w:pos="1470"/>
          <w:tab w:val="left" w:pos="5387"/>
        </w:tabs>
        <w:spacing w:after="120" w:line="240" w:lineRule="exact"/>
        <w:outlineLvl w:val="0"/>
        <w:rPr>
          <w:rFonts w:ascii="Lato" w:hAnsi="Lato" w:cstheme="minorHAnsi"/>
          <w:bCs/>
          <w:sz w:val="20"/>
          <w:szCs w:val="20"/>
        </w:rPr>
      </w:pPr>
      <w:r w:rsidRPr="001F5426">
        <w:rPr>
          <w:rFonts w:ascii="Lato" w:hAnsi="Lato" w:cstheme="minorHAnsi"/>
          <w:bCs/>
          <w:sz w:val="20"/>
          <w:szCs w:val="20"/>
        </w:rPr>
        <w:t>Minister Rozwoju i Technologii działając na podstawie art. 13 ust. 1 ustawy z dnia 11 lipca 2014 r. o petycjach (Dz. U. z 2018 r. poz. 870) zawiadamia, że po rozpatrzeniu Pani petycji z dnia 12 sierpnia 2024 r., skierowanej do Kancelarii Prezesa Rady Ministrów, a następnie przekazanej do Ministerstwa Rozwoju i Technologii, w sprawie podjęcia działań w zakresie zmian przepisów i nowych przepisów m.in. w prawie budowlanym dotyczących</w:t>
      </w:r>
      <w:r>
        <w:rPr>
          <w:rFonts w:ascii="Lato" w:hAnsi="Lato" w:cstheme="minorHAnsi"/>
          <w:bCs/>
          <w:sz w:val="20"/>
          <w:szCs w:val="20"/>
        </w:rPr>
        <w:t xml:space="preserve"> </w:t>
      </w:r>
      <w:r w:rsidRPr="001F5426">
        <w:rPr>
          <w:rFonts w:ascii="Lato" w:hAnsi="Lato" w:cstheme="minorHAnsi"/>
          <w:bCs/>
          <w:sz w:val="20"/>
          <w:szCs w:val="20"/>
        </w:rPr>
        <w:t>szczegółowych wymogów lokalizacji paczkomatów oraz określenia ich warunków technicznych</w:t>
      </w:r>
      <w:r>
        <w:rPr>
          <w:rFonts w:ascii="Lato" w:hAnsi="Lato" w:cstheme="minorHAnsi"/>
          <w:bCs/>
          <w:sz w:val="20"/>
          <w:szCs w:val="20"/>
        </w:rPr>
        <w:t>,</w:t>
      </w:r>
      <w:r w:rsidRPr="001F5426">
        <w:rPr>
          <w:rFonts w:ascii="Lato" w:hAnsi="Lato" w:cstheme="minorHAnsi"/>
          <w:bCs/>
          <w:sz w:val="20"/>
          <w:szCs w:val="20"/>
        </w:rPr>
        <w:t xml:space="preserve"> uznał, iż petycja nie zasługuje na uwzględnienie. </w:t>
      </w:r>
    </w:p>
    <w:p w14:paraId="2DC15EDB" w14:textId="77777777" w:rsidR="00421DDB" w:rsidRPr="001F5426" w:rsidRDefault="00000000" w:rsidP="00B032AD">
      <w:pPr>
        <w:tabs>
          <w:tab w:val="center" w:pos="1470"/>
          <w:tab w:val="left" w:pos="5387"/>
        </w:tabs>
        <w:spacing w:after="120" w:line="240" w:lineRule="exact"/>
        <w:jc w:val="center"/>
        <w:outlineLvl w:val="0"/>
        <w:rPr>
          <w:rFonts w:ascii="Lato" w:hAnsi="Lato" w:cstheme="minorHAnsi"/>
          <w:b/>
          <w:sz w:val="20"/>
          <w:szCs w:val="20"/>
        </w:rPr>
      </w:pPr>
      <w:r w:rsidRPr="001F5426">
        <w:rPr>
          <w:rFonts w:ascii="Lato" w:hAnsi="Lato" w:cstheme="minorHAnsi"/>
          <w:b/>
          <w:sz w:val="20"/>
          <w:szCs w:val="20"/>
        </w:rPr>
        <w:t>Uzasadnienie</w:t>
      </w:r>
    </w:p>
    <w:p w14:paraId="6E60C9D4" w14:textId="77777777" w:rsidR="00421DDB" w:rsidRPr="001F5426" w:rsidRDefault="00000000" w:rsidP="00B032AD">
      <w:pPr>
        <w:spacing w:after="120" w:line="240" w:lineRule="exact"/>
        <w:rPr>
          <w:rFonts w:ascii="Lato" w:hAnsi="Lato" w:cstheme="minorHAnsi"/>
          <w:bCs/>
          <w:i/>
          <w:iCs/>
          <w:sz w:val="20"/>
          <w:szCs w:val="20"/>
        </w:rPr>
      </w:pPr>
      <w:r w:rsidRPr="001F5426">
        <w:rPr>
          <w:rFonts w:ascii="Lato" w:hAnsi="Lato" w:cstheme="minorHAnsi"/>
          <w:bCs/>
          <w:sz w:val="20"/>
          <w:szCs w:val="20"/>
        </w:rPr>
        <w:t xml:space="preserve">W rozpoznawanej petycji wskazano, iż: </w:t>
      </w:r>
      <w:r w:rsidRPr="001F5426">
        <w:rPr>
          <w:rFonts w:ascii="Lato" w:hAnsi="Lato" w:cstheme="minorHAnsi"/>
          <w:bCs/>
          <w:i/>
          <w:iCs/>
          <w:sz w:val="20"/>
          <w:szCs w:val="20"/>
        </w:rPr>
        <w:t xml:space="preserve">„Obecne przepisy nie regulują wymogu zachowania odległości paczkomatu od granicy działki (a są np. w przypadku garaży), </w:t>
      </w:r>
      <w:r w:rsidRPr="001F5426">
        <w:rPr>
          <w:rFonts w:ascii="Lato" w:hAnsi="Lato" w:cstheme="minorHAnsi"/>
          <w:bCs/>
          <w:i/>
          <w:iCs/>
          <w:sz w:val="20"/>
          <w:szCs w:val="20"/>
        </w:rPr>
        <w:br/>
        <w:t xml:space="preserve">co stwarza uciążliwość dla sąsiadów (stawiane są w bliskości okien, wejść na posesję – jak </w:t>
      </w:r>
      <w:r w:rsidRPr="001F5426">
        <w:rPr>
          <w:rFonts w:ascii="Lato" w:hAnsi="Lato" w:cstheme="minorHAnsi"/>
          <w:bCs/>
          <w:i/>
          <w:iCs/>
          <w:sz w:val="20"/>
          <w:szCs w:val="20"/>
        </w:rPr>
        <w:br/>
        <w:t xml:space="preserve">w moim przypadku). Postawiony obecnie paczkomat w granicy działki będzie utrudniał ewentualny remont mojego ogrodzenia (kto mi później przyjdzie przestawić kilkutonowy paczkomat jak będzie taka konieczność). Nie może być tak, aby prywatna firma DHL (czy inna) stawiała paczkomaty bez zewnętrznego nadzoru. I nikt nie interesuje się czy jest to zgodne </w:t>
      </w:r>
      <w:r w:rsidRPr="001F5426">
        <w:rPr>
          <w:rFonts w:ascii="Lato" w:hAnsi="Lato" w:cstheme="minorHAnsi"/>
          <w:bCs/>
          <w:i/>
          <w:iCs/>
          <w:sz w:val="20"/>
          <w:szCs w:val="20"/>
        </w:rPr>
        <w:br/>
        <w:t>z przepisami (lokalizacja, montowanie kamer). Moje uwagi:</w:t>
      </w:r>
    </w:p>
    <w:p w14:paraId="122BB4CB"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brak przepisów oraz zniesienie wymogu dokonania zgłoszenia lub pozwolenia na budowę w prawie budowlanym w zakresie lokalizacji paczkomatów (jak wspomniano powyżej) przyczynia się do powstawania sytuacji konfliktowych (gdzie jedna osoba czerpie korzyści finansowe za wynajem terenu, a druga musi dochodzić swoich praw </w:t>
      </w:r>
      <w:r w:rsidRPr="001F5426">
        <w:rPr>
          <w:rFonts w:ascii="Lato" w:hAnsi="Lato" w:cstheme="minorHAnsi"/>
          <w:bCs/>
          <w:i/>
          <w:iCs/>
          <w:sz w:val="20"/>
          <w:szCs w:val="20"/>
        </w:rPr>
        <w:br/>
        <w:t>w sądzie ponieważ organy administracyjne nie zajmują się paczkomatami;</w:t>
      </w:r>
    </w:p>
    <w:p w14:paraId="31C37D14"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paczkomaty określono jako urządzenia (jak np. bankomaty) z uwagi na brak ich stałego związania z gruntem; ustawiane są tylko na wąskich płytach betonowych (duże paczkomaty ważą ponad 2-3 tony, w Polsce wystąpiło już wiele przypadków przewrócenia się paczkomatów);</w:t>
      </w:r>
    </w:p>
    <w:p w14:paraId="33A23DFC"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brak stałego związania paczkomatów z gruntem zwalnia inwestorów z obowiązku opodatkowania podatkiem od nieruchomości (na ten fakt zwracają już uwagę gminy </w:t>
      </w:r>
      <w:r w:rsidRPr="001F5426">
        <w:rPr>
          <w:rFonts w:ascii="Lato" w:hAnsi="Lato" w:cstheme="minorHAnsi"/>
          <w:bCs/>
          <w:i/>
          <w:iCs/>
          <w:sz w:val="20"/>
          <w:szCs w:val="20"/>
        </w:rPr>
        <w:br/>
        <w:t>w Polsce);</w:t>
      </w:r>
    </w:p>
    <w:p w14:paraId="7230BE97"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dla paczkomatów brak jest określenia ogólnie obowiązujących warunków technicznych, bezpieczeństwa, przeglądów technicznych, informacji gdzie i przez kogo są przetwarzane dane osobowe z zainstalowanych kamer, ustalonego obszaru oddziaływania itp., odległości od granicy działki;</w:t>
      </w:r>
    </w:p>
    <w:p w14:paraId="530CA316"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w przepisach dla paczkomatów określono tylko parametr ich wysokości (do 3 metrów), ale nie określono ich dopuszczalnej długości, więc rosną w wielu przypadkach monstra zastępujące niektórym właścicielom posesji ogrodzenia; nie określono też miejsc dla zatrzymywania się kurierów (teraz są to niestety chodniki dla pieszych lub trawniki, które są niszczone , rozjeżdżane i blokowane przez kurierów lub osoby przyjeżdżające po paczki) w przepisach powinien być wymóg posiadania własnego miejsca parkowania dla obsługi paczkomatu. Stawiający paczkomaty nie biorą pod uwag innych osób czy wyglądu otoczenia, ulicy przestrzeni publicznej (tak jak w moim przypadku); urzędy </w:t>
      </w:r>
      <w:r w:rsidRPr="001F5426">
        <w:rPr>
          <w:rFonts w:ascii="Lato" w:hAnsi="Lato" w:cstheme="minorHAnsi"/>
          <w:bCs/>
          <w:i/>
          <w:iCs/>
          <w:sz w:val="20"/>
          <w:szCs w:val="20"/>
        </w:rPr>
        <w:lastRenderedPageBreak/>
        <w:t>miejskie winny mieć nadzór nad lokalizacją paczkomatów, w tym na terenach prywatnych;</w:t>
      </w:r>
    </w:p>
    <w:p w14:paraId="26D96321"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wprowadzenie przez ustawodawcę dodatkowego zapisu, tj. „aby w warunkach szczególnie uzasadnionych (m.in. granica z sąsiadem) istniał obowiązek dokonania zgłoszenia lub uzyskania decyzji o pozwoleniu na budowę czy decyzji o warunkach zabudowy” zapobiegałoby konfliktowym sytuacjom;</w:t>
      </w:r>
    </w:p>
    <w:p w14:paraId="7CBC9E2F"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firmy stawiające paczkomaty winny lokalnym organom administracji państwowej składać informacje co do miejsca posadowienia paczkomatu, niezależnie czy dotyczy to gruntu państwowego czy prywatnego, wtedy istniałaby możliwość odwołania się, </w:t>
      </w:r>
      <w:r w:rsidRPr="001F5426">
        <w:rPr>
          <w:rFonts w:ascii="Lato" w:hAnsi="Lato" w:cstheme="minorHAnsi"/>
          <w:bCs/>
          <w:i/>
          <w:iCs/>
          <w:sz w:val="20"/>
          <w:szCs w:val="20"/>
        </w:rPr>
        <w:br/>
        <w:t>że komuś obecnie lub później będzie taki paczkomat przeszkadzał;</w:t>
      </w:r>
    </w:p>
    <w:p w14:paraId="6B0D6FED"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paczkomaty winne być lokalizowane głównie w miejscach użyteczności publicznej, </w:t>
      </w:r>
      <w:r w:rsidRPr="001F5426">
        <w:rPr>
          <w:rFonts w:ascii="Lato" w:hAnsi="Lato" w:cstheme="minorHAnsi"/>
          <w:bCs/>
          <w:i/>
          <w:iCs/>
          <w:sz w:val="20"/>
          <w:szCs w:val="20"/>
        </w:rPr>
        <w:br/>
        <w:t xml:space="preserve">a nie na „siłę” jak w wielu przypadkach w ogródkach osób prywatnych (gdzie poprzednio rosły kwiatki) bez zachowania podstawowych wymogów bezpieczeństwa </w:t>
      </w:r>
      <w:r w:rsidRPr="001F5426">
        <w:rPr>
          <w:rFonts w:ascii="Lato" w:hAnsi="Lato" w:cstheme="minorHAnsi"/>
          <w:bCs/>
          <w:i/>
          <w:iCs/>
          <w:sz w:val="20"/>
          <w:szCs w:val="20"/>
        </w:rPr>
        <w:br/>
        <w:t xml:space="preserve">i estetyki; firmy stawiające paczkomaty winny uzgadniać lokalizację paczkomatów </w:t>
      </w:r>
      <w:r w:rsidRPr="001F5426">
        <w:rPr>
          <w:rFonts w:ascii="Lato" w:hAnsi="Lato" w:cstheme="minorHAnsi"/>
          <w:bCs/>
          <w:i/>
          <w:iCs/>
          <w:sz w:val="20"/>
          <w:szCs w:val="20"/>
        </w:rPr>
        <w:br/>
        <w:t>z miejscowymi organami administracji niezależnie czy jest to teren prywatny czy gminny, a te winny reagować jeżeli paczkomaty „szpecą” wygląd miasta, ustawiane są z naruszeniem np. zachowania odległości od krawędzi jezdni lub dobra osób trzecich (np. montowane kamery, bliskość domu i okien);</w:t>
      </w:r>
    </w:p>
    <w:p w14:paraId="7D8BC4DD" w14:textId="77777777" w:rsidR="00421DDB" w:rsidRPr="001F5426" w:rsidRDefault="00000000" w:rsidP="00B032AD">
      <w:pPr>
        <w:pStyle w:val="Akapitzlist"/>
        <w:numPr>
          <w:ilvl w:val="0"/>
          <w:numId w:val="5"/>
        </w:numPr>
        <w:spacing w:after="120" w:line="240" w:lineRule="exact"/>
        <w:rPr>
          <w:rFonts w:ascii="Lato" w:hAnsi="Lato" w:cstheme="minorHAnsi"/>
          <w:bCs/>
          <w:i/>
          <w:iCs/>
          <w:sz w:val="20"/>
          <w:szCs w:val="20"/>
        </w:rPr>
      </w:pPr>
      <w:r w:rsidRPr="001F5426">
        <w:rPr>
          <w:rFonts w:ascii="Lato" w:hAnsi="Lato" w:cstheme="minorHAnsi"/>
          <w:bCs/>
          <w:i/>
          <w:iCs/>
          <w:sz w:val="20"/>
          <w:szCs w:val="20"/>
        </w:rPr>
        <w:t xml:space="preserve">od 19.09.2020 r. nie zrobiono nic, aby wprowadzić przepisy regulujące zasady lokalizacji i warunków technicznych paczkomatów.”. </w:t>
      </w:r>
    </w:p>
    <w:p w14:paraId="760C5688" w14:textId="77777777" w:rsidR="00421DDB" w:rsidRPr="001F5426" w:rsidRDefault="00000000" w:rsidP="00B032AD">
      <w:pPr>
        <w:spacing w:after="120" w:line="240" w:lineRule="exact"/>
        <w:rPr>
          <w:rFonts w:ascii="Lato" w:hAnsi="Lato" w:cstheme="minorHAnsi"/>
          <w:bCs/>
          <w:sz w:val="20"/>
          <w:szCs w:val="20"/>
        </w:rPr>
      </w:pPr>
      <w:r w:rsidRPr="001F5426">
        <w:rPr>
          <w:rFonts w:ascii="Lato" w:hAnsi="Lato" w:cstheme="minorHAnsi"/>
          <w:bCs/>
          <w:sz w:val="20"/>
          <w:szCs w:val="20"/>
        </w:rPr>
        <w:t>W związku z powyższym w rozpatrywanej petycji wniesiono o pilne dokonanie zmian przepisów, tak by dawały one prawo udziału i odwoływania się od planowanej budowy paczkomatu na sąsiedniej działce oraz aby przepisy te umożliwiały również odwołanie się, w sytuacji gdy paczkomat już istnieje i znajduje się w granicy działki. Ponadto ww. zmiana przepisów powinna przewidywać zobowiązanie gmin do dokonania kontroli już wcześniej posadowionych paczkomatów na działkach prywatnych.</w:t>
      </w:r>
    </w:p>
    <w:p w14:paraId="5260902C"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heme="minorHAnsi"/>
          <w:bCs/>
          <w:sz w:val="20"/>
          <w:szCs w:val="20"/>
        </w:rPr>
        <w:t>Od</w:t>
      </w:r>
      <w:r>
        <w:rPr>
          <w:rFonts w:ascii="Lato" w:hAnsi="Lato" w:cstheme="minorHAnsi"/>
          <w:bCs/>
          <w:sz w:val="20"/>
          <w:szCs w:val="20"/>
        </w:rPr>
        <w:t xml:space="preserve">nosząc się do </w:t>
      </w:r>
      <w:r w:rsidRPr="001F5426">
        <w:rPr>
          <w:rFonts w:ascii="Lato" w:hAnsi="Lato" w:cstheme="minorHAnsi"/>
          <w:bCs/>
          <w:sz w:val="20"/>
          <w:szCs w:val="20"/>
        </w:rPr>
        <w:t>powyższe</w:t>
      </w:r>
      <w:r>
        <w:rPr>
          <w:rFonts w:ascii="Lato" w:hAnsi="Lato" w:cstheme="minorHAnsi"/>
          <w:bCs/>
          <w:sz w:val="20"/>
          <w:szCs w:val="20"/>
        </w:rPr>
        <w:t>go</w:t>
      </w:r>
      <w:r w:rsidRPr="001F5426">
        <w:rPr>
          <w:rFonts w:ascii="Lato" w:hAnsi="Lato" w:cstheme="minorHAnsi"/>
          <w:bCs/>
          <w:sz w:val="20"/>
          <w:szCs w:val="20"/>
        </w:rPr>
        <w:t xml:space="preserve"> w pierwszej kolejności należy wyjaśnić, że kwestie estetyki </w:t>
      </w:r>
      <w:r w:rsidRPr="001F5426">
        <w:rPr>
          <w:rFonts w:ascii="Lato" w:hAnsi="Lato" w:cstheme="minorHAnsi"/>
          <w:bCs/>
          <w:sz w:val="20"/>
          <w:szCs w:val="20"/>
        </w:rPr>
        <w:br/>
        <w:t>i ładu przestrzennego, w tym dopuszczalności lokalizacji i późniejszej budowy na danym terenie obiektu budowlanego regulują przepisy ustawy</w:t>
      </w:r>
      <w:r w:rsidRPr="001F5426">
        <w:rPr>
          <w:rFonts w:ascii="Lato" w:hAnsi="Lato" w:cs="Times New Roman"/>
          <w:sz w:val="20"/>
          <w:szCs w:val="20"/>
        </w:rPr>
        <w:t xml:space="preserve"> z dnia 27 marca 2003 r. o planowaniu i zagospodarowaniu przestrzennym (Dz. U. 2024 r. poz. 1130), zwaną dalej: „</w:t>
      </w:r>
      <w:proofErr w:type="spellStart"/>
      <w:r w:rsidRPr="001F5426">
        <w:rPr>
          <w:rFonts w:ascii="Lato" w:hAnsi="Lato" w:cs="Times New Roman"/>
          <w:sz w:val="20"/>
          <w:szCs w:val="20"/>
        </w:rPr>
        <w:t>upzp</w:t>
      </w:r>
      <w:proofErr w:type="spellEnd"/>
      <w:r w:rsidRPr="001F5426">
        <w:rPr>
          <w:rFonts w:ascii="Lato" w:hAnsi="Lato" w:cs="Times New Roman"/>
          <w:sz w:val="20"/>
          <w:szCs w:val="20"/>
        </w:rPr>
        <w:t xml:space="preserve">”. </w:t>
      </w:r>
    </w:p>
    <w:p w14:paraId="5D87D00F"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imes New Roman"/>
          <w:sz w:val="20"/>
          <w:szCs w:val="20"/>
        </w:rPr>
        <w:t>Z</w:t>
      </w:r>
      <w:r w:rsidRPr="001F5426">
        <w:rPr>
          <w:rFonts w:ascii="Lato" w:hAnsi="Lato" w:cstheme="minorHAnsi"/>
          <w:bCs/>
          <w:sz w:val="20"/>
          <w:szCs w:val="20"/>
        </w:rPr>
        <w:t xml:space="preserve">godnie z art. 4 ust. 1 </w:t>
      </w:r>
      <w:proofErr w:type="spellStart"/>
      <w:r w:rsidRPr="001F5426">
        <w:rPr>
          <w:rFonts w:ascii="Lato" w:hAnsi="Lato" w:cstheme="minorHAnsi"/>
          <w:bCs/>
          <w:sz w:val="20"/>
          <w:szCs w:val="20"/>
        </w:rPr>
        <w:t>upzp</w:t>
      </w:r>
      <w:proofErr w:type="spellEnd"/>
      <w:r w:rsidRPr="001F5426">
        <w:rPr>
          <w:rFonts w:ascii="Lato" w:hAnsi="Lato" w:cstheme="minorHAnsi"/>
          <w:bCs/>
          <w:sz w:val="20"/>
          <w:szCs w:val="20"/>
        </w:rPr>
        <w:t xml:space="preserve"> ustalenie przeznaczenia terenu, rozmieszczenie inwestycji celu publicznego oraz określenie sposobów zagospodarowania i warunków zabudowy terenu następuje w miejscowym planie zagospodarowania przestrzennego. W przypadku braku miejscowego planu zagospodarowania przestrzennego, zgodnie z art. 4 ust. 2 </w:t>
      </w:r>
      <w:proofErr w:type="spellStart"/>
      <w:r w:rsidRPr="001F5426">
        <w:rPr>
          <w:rFonts w:ascii="Lato" w:hAnsi="Lato" w:cstheme="minorHAnsi"/>
          <w:bCs/>
          <w:sz w:val="20"/>
          <w:szCs w:val="20"/>
        </w:rPr>
        <w:t>upzp</w:t>
      </w:r>
      <w:proofErr w:type="spellEnd"/>
      <w:r w:rsidRPr="001F5426">
        <w:rPr>
          <w:rFonts w:ascii="Lato" w:hAnsi="Lato" w:cstheme="minorHAnsi"/>
          <w:bCs/>
          <w:sz w:val="20"/>
          <w:szCs w:val="20"/>
        </w:rPr>
        <w:t xml:space="preserve">, określenie sposobów zagospodarowania i warunków zabudowy terenu następuje </w:t>
      </w:r>
      <w:r w:rsidRPr="001F5426">
        <w:rPr>
          <w:rFonts w:ascii="Lato" w:hAnsi="Lato" w:cstheme="minorHAnsi"/>
          <w:bCs/>
          <w:sz w:val="20"/>
          <w:szCs w:val="20"/>
        </w:rPr>
        <w:br/>
        <w:t xml:space="preserve">w drodze decyzji o warunkach zabudowy i zagospodarowania terenu, przy czym: </w:t>
      </w:r>
      <w:r w:rsidRPr="001F5426">
        <w:rPr>
          <w:rFonts w:ascii="Lato" w:hAnsi="Lato" w:cstheme="minorHAnsi"/>
          <w:bCs/>
          <w:sz w:val="20"/>
          <w:szCs w:val="20"/>
        </w:rPr>
        <w:br/>
        <w:t xml:space="preserve">1) lokalizację inwestycji celu publicznego ustala się w drodze decyzji o lokalizacji inwestycji celu publicznego; </w:t>
      </w:r>
      <w:r w:rsidRPr="001F5426">
        <w:rPr>
          <w:rFonts w:ascii="Lato" w:hAnsi="Lato" w:cstheme="minorHAnsi"/>
          <w:bCs/>
          <w:sz w:val="20"/>
          <w:szCs w:val="20"/>
        </w:rPr>
        <w:br/>
        <w:t xml:space="preserve">2) sposób zagospodarowania terenu i warunki zabudowy dla innych inwestycji ustala się </w:t>
      </w:r>
      <w:r w:rsidRPr="001F5426">
        <w:rPr>
          <w:rFonts w:ascii="Lato" w:hAnsi="Lato" w:cstheme="minorHAnsi"/>
          <w:bCs/>
          <w:sz w:val="20"/>
          <w:szCs w:val="20"/>
        </w:rPr>
        <w:br/>
        <w:t>w drodze decyzji o warunkach zabudowy.</w:t>
      </w:r>
    </w:p>
    <w:p w14:paraId="3E45B4C1"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imes New Roman"/>
          <w:sz w:val="20"/>
          <w:szCs w:val="20"/>
        </w:rPr>
        <w:t xml:space="preserve">Stosownie do nowego brzmienia art. 59 ust. 1 </w:t>
      </w:r>
      <w:proofErr w:type="spellStart"/>
      <w:r w:rsidRPr="001F5426">
        <w:rPr>
          <w:rFonts w:ascii="Lato" w:hAnsi="Lato" w:cs="Times New Roman"/>
          <w:sz w:val="20"/>
          <w:szCs w:val="20"/>
        </w:rPr>
        <w:t>upzp</w:t>
      </w:r>
      <w:proofErr w:type="spellEnd"/>
      <w:r w:rsidRPr="001F5426">
        <w:rPr>
          <w:rFonts w:ascii="Lato" w:hAnsi="Lato" w:cs="Times New Roman"/>
          <w:sz w:val="20"/>
          <w:szCs w:val="20"/>
        </w:rPr>
        <w:t xml:space="preserve">, wynikającego z ustawy z dnia 7 lipca 2023 r. o zmianie ustawy o planowaniu i zagospodarowaniu przestrzennym oraz niektórych innych ustaw (Dz. U. z 2023 r. poz. 1688), stanowiącej pierwszy etap oczekiwanej od dawna reformy systemu planowania przestrzennego, zmiana sposobu zagospodarowania terenu w przypadku braku planu miejscowego, a także zmiana sposobu użytkowania obiektu budowlanego lub jego części, z uwzględnieniem art. 50 ust. 1 </w:t>
      </w:r>
      <w:r w:rsidRPr="001F5426">
        <w:rPr>
          <w:rFonts w:ascii="Lato" w:hAnsi="Lato" w:cs="Times New Roman"/>
          <w:sz w:val="20"/>
          <w:szCs w:val="20"/>
        </w:rPr>
        <w:br/>
        <w:t xml:space="preserve">i art. 86, wymaga ustalenia, w drodze decyzji, warunków zabudowy. Przepis art. 50 ust. 2 pkt 1 stosuje się odpowiednio. W myśl tego ostatniego przepisu nie wymagają wydania decyzji o ustaleniu lokalizacji inwestycji celu publicznego, a tym samym decyzji </w:t>
      </w:r>
      <w:r w:rsidRPr="001F5426">
        <w:rPr>
          <w:rFonts w:ascii="Lato" w:hAnsi="Lato" w:cs="Times New Roman"/>
          <w:sz w:val="20"/>
          <w:szCs w:val="20"/>
        </w:rPr>
        <w:br/>
      </w:r>
      <w:r w:rsidRPr="001F5426">
        <w:rPr>
          <w:rFonts w:ascii="Lato" w:hAnsi="Lato" w:cs="Times New Roman"/>
          <w:sz w:val="20"/>
          <w:szCs w:val="20"/>
        </w:rPr>
        <w:lastRenderedPageBreak/>
        <w:t xml:space="preserve">o warunkach zabudowy, roboty budowlane: polegające na remoncie, montażu lub przebudowie, jeżeli nie powodują zmiany sposobu zagospodarowania terenu </w:t>
      </w:r>
      <w:r w:rsidRPr="001F5426">
        <w:rPr>
          <w:rFonts w:ascii="Lato" w:hAnsi="Lato" w:cs="Times New Roman"/>
          <w:sz w:val="20"/>
          <w:szCs w:val="20"/>
        </w:rPr>
        <w:br/>
        <w:t xml:space="preserve">i użytkowania obiektu budowlanego oraz nie zmieniają jego formy architektonicznej, </w:t>
      </w:r>
      <w:r w:rsidRPr="001F5426">
        <w:rPr>
          <w:rFonts w:ascii="Lato" w:hAnsi="Lato" w:cs="Times New Roman"/>
          <w:sz w:val="20"/>
          <w:szCs w:val="20"/>
        </w:rPr>
        <w:br/>
        <w:t>a także nie są zaliczone do przedsięwzięć wymagających przeprowadzenia postępowania w sprawie oceny oddziaływania na środowisko, w rozumieniu przepisów o ochronie środowiska.</w:t>
      </w:r>
    </w:p>
    <w:p w14:paraId="133419C5"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imes New Roman"/>
          <w:sz w:val="20"/>
          <w:szCs w:val="20"/>
        </w:rPr>
        <w:t xml:space="preserve">Należy zwrócić uwagę, że przepis art. 59 ust. 2 </w:t>
      </w:r>
      <w:proofErr w:type="spellStart"/>
      <w:r w:rsidRPr="001F5426">
        <w:rPr>
          <w:rFonts w:ascii="Lato" w:hAnsi="Lato" w:cs="Times New Roman"/>
          <w:sz w:val="20"/>
          <w:szCs w:val="20"/>
        </w:rPr>
        <w:t>upzp</w:t>
      </w:r>
      <w:proofErr w:type="spellEnd"/>
      <w:r w:rsidRPr="001F5426">
        <w:rPr>
          <w:rFonts w:ascii="Lato" w:hAnsi="Lato" w:cs="Times New Roman"/>
          <w:sz w:val="20"/>
          <w:szCs w:val="20"/>
        </w:rPr>
        <w:t xml:space="preserve"> stanowi, że do jednorazowej, trwającej do roku, zmiany zagospodarowania terenu lub zmiany sposobu użytkowania obiektu budowlanego lub jego części, przepisu ust. 1 nie stosuje się.</w:t>
      </w:r>
    </w:p>
    <w:p w14:paraId="50CD633F"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imes New Roman"/>
          <w:sz w:val="20"/>
          <w:szCs w:val="20"/>
        </w:rPr>
        <w:t xml:space="preserve">Z przepisów art. 59 ust. 1 i 2 </w:t>
      </w:r>
      <w:proofErr w:type="spellStart"/>
      <w:r w:rsidRPr="001F5426">
        <w:rPr>
          <w:rFonts w:ascii="Lato" w:hAnsi="Lato" w:cs="Times New Roman"/>
          <w:sz w:val="20"/>
          <w:szCs w:val="20"/>
        </w:rPr>
        <w:t>upzp</w:t>
      </w:r>
      <w:proofErr w:type="spellEnd"/>
      <w:r w:rsidRPr="001F5426">
        <w:rPr>
          <w:rFonts w:ascii="Lato" w:hAnsi="Lato" w:cs="Times New Roman"/>
          <w:sz w:val="20"/>
          <w:szCs w:val="20"/>
        </w:rPr>
        <w:t xml:space="preserve"> należy wywieść, że każda zmiana zagospodarowania terenu lub użytkowania obiektu budowlanego trwająca dłużej niż rok, co do zasady, wymaga ustalenia warunków zabudowy, z zastrzeżeniem art. 50 ust. 2 pkt 1 wskazanej ustawy.</w:t>
      </w:r>
    </w:p>
    <w:p w14:paraId="72654911" w14:textId="77777777" w:rsidR="00421DDB" w:rsidRPr="001F5426" w:rsidRDefault="00000000" w:rsidP="00B032AD">
      <w:pPr>
        <w:spacing w:after="120" w:line="240" w:lineRule="exact"/>
        <w:rPr>
          <w:rFonts w:ascii="Lato" w:hAnsi="Lato"/>
          <w:sz w:val="20"/>
          <w:szCs w:val="20"/>
        </w:rPr>
      </w:pPr>
      <w:r w:rsidRPr="001F5426">
        <w:rPr>
          <w:rFonts w:ascii="Lato" w:hAnsi="Lato" w:cs="Times New Roman"/>
          <w:sz w:val="20"/>
          <w:szCs w:val="20"/>
        </w:rPr>
        <w:t xml:space="preserve">W art. 59 ust. 2a </w:t>
      </w:r>
      <w:proofErr w:type="spellStart"/>
      <w:r w:rsidRPr="001F5426">
        <w:rPr>
          <w:rFonts w:ascii="Lato" w:hAnsi="Lato" w:cs="Times New Roman"/>
          <w:sz w:val="20"/>
          <w:szCs w:val="20"/>
        </w:rPr>
        <w:t>upzp</w:t>
      </w:r>
      <w:proofErr w:type="spellEnd"/>
      <w:r w:rsidRPr="001F5426">
        <w:rPr>
          <w:rFonts w:ascii="Lato" w:hAnsi="Lato" w:cs="Times New Roman"/>
          <w:sz w:val="20"/>
          <w:szCs w:val="20"/>
        </w:rPr>
        <w:t xml:space="preserve"> wskazano obiekty budowlane, poprzez bezpośrednie odwołanie do przepisów ustawy z dnia 7 lipca 1994 r. – Prawo budowlane (Dz. U. z 2024 r. poz. 725, </w:t>
      </w:r>
      <w:r w:rsidRPr="001F5426">
        <w:rPr>
          <w:rFonts w:ascii="Lato" w:hAnsi="Lato" w:cs="Times New Roman"/>
          <w:sz w:val="20"/>
          <w:szCs w:val="20"/>
        </w:rPr>
        <w:br/>
        <w:t xml:space="preserve">z </w:t>
      </w:r>
      <w:proofErr w:type="spellStart"/>
      <w:r w:rsidRPr="001F5426">
        <w:rPr>
          <w:rFonts w:ascii="Lato" w:hAnsi="Lato" w:cs="Times New Roman"/>
          <w:sz w:val="20"/>
          <w:szCs w:val="20"/>
        </w:rPr>
        <w:t>późn</w:t>
      </w:r>
      <w:proofErr w:type="spellEnd"/>
      <w:r w:rsidRPr="001F5426">
        <w:rPr>
          <w:rFonts w:ascii="Lato" w:hAnsi="Lato" w:cs="Times New Roman"/>
          <w:sz w:val="20"/>
          <w:szCs w:val="20"/>
        </w:rPr>
        <w:t>. zm.), zwaną dalej: „Pb”, które nie wymagają uzyskania decyzji o warunkach zabudowy i zagospodarowania terenu. Należy podkreślić, że wśród tych obiektów wymieniono obiekty, o których mowa w art. 29 ust. 2 pkt 28 Pb czyli:</w:t>
      </w:r>
      <w:r w:rsidRPr="001F5426">
        <w:rPr>
          <w:rFonts w:ascii="Lato" w:hAnsi="Lato"/>
          <w:sz w:val="20"/>
          <w:szCs w:val="20"/>
        </w:rPr>
        <w:t xml:space="preserve"> bankomaty, biletomaty, wpłatomaty, automaty sprzedające, automaty przechowujące przesyłki lub automaty służące do wykonywania innego rodzaju usług o wysokości do 3 m włącznie. </w:t>
      </w:r>
    </w:p>
    <w:p w14:paraId="32B10192"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Pragnę zaznaczyć, że art. 59 ust. 2a </w:t>
      </w:r>
      <w:proofErr w:type="spellStart"/>
      <w:r w:rsidRPr="001F5426">
        <w:rPr>
          <w:rFonts w:ascii="Lato" w:hAnsi="Lato"/>
          <w:sz w:val="20"/>
          <w:szCs w:val="20"/>
        </w:rPr>
        <w:t>upzp</w:t>
      </w:r>
      <w:proofErr w:type="spellEnd"/>
      <w:r w:rsidRPr="001F5426">
        <w:rPr>
          <w:rFonts w:ascii="Lato" w:hAnsi="Lato"/>
          <w:sz w:val="20"/>
          <w:szCs w:val="20"/>
        </w:rPr>
        <w:t xml:space="preserve"> nie stosuje się do zmiany zagospodarowania terenu dotyczącej obiektów budowlanych wpisanych do rejestru zabytków lub położonych na obszarze wpisanym do rejestru zabytków lub sytuowanych na obszarze parków narodowych i rezerwatów i ich otulin.</w:t>
      </w:r>
    </w:p>
    <w:p w14:paraId="4B960333" w14:textId="77777777" w:rsidR="00421DDB" w:rsidRPr="001F5426" w:rsidRDefault="00000000" w:rsidP="00B032AD">
      <w:pPr>
        <w:spacing w:after="120" w:line="240" w:lineRule="exact"/>
        <w:rPr>
          <w:rFonts w:ascii="Lato" w:hAnsi="Lato" w:cs="Times New Roman"/>
          <w:sz w:val="20"/>
          <w:szCs w:val="20"/>
        </w:rPr>
      </w:pPr>
      <w:r w:rsidRPr="001F5426">
        <w:rPr>
          <w:rFonts w:ascii="Lato" w:hAnsi="Lato" w:cs="Times New Roman"/>
          <w:sz w:val="20"/>
          <w:szCs w:val="20"/>
        </w:rPr>
        <w:t xml:space="preserve">W tym miejscu należy wyjaśnić i podkreślić, że </w:t>
      </w:r>
      <w:r w:rsidRPr="001F5426">
        <w:rPr>
          <w:rFonts w:ascii="Lato" w:hAnsi="Lato" w:cs="Times New Roman"/>
          <w:sz w:val="20"/>
          <w:szCs w:val="20"/>
          <w:u w:val="single"/>
        </w:rPr>
        <w:t xml:space="preserve">akty planowania przestrzennego oraz decyzje wydawane na podstawie </w:t>
      </w:r>
      <w:proofErr w:type="spellStart"/>
      <w:r w:rsidRPr="001F5426">
        <w:rPr>
          <w:rFonts w:ascii="Lato" w:hAnsi="Lato" w:cs="Times New Roman"/>
          <w:sz w:val="20"/>
          <w:szCs w:val="20"/>
          <w:u w:val="single"/>
        </w:rPr>
        <w:t>upzp</w:t>
      </w:r>
      <w:proofErr w:type="spellEnd"/>
      <w:r w:rsidRPr="001F5426">
        <w:rPr>
          <w:rFonts w:ascii="Lato" w:hAnsi="Lato" w:cs="Times New Roman"/>
          <w:sz w:val="20"/>
          <w:szCs w:val="20"/>
          <w:u w:val="single"/>
        </w:rPr>
        <w:t xml:space="preserve"> są dokumentami o mniejszym stopniu szczegółowości niż dokumenty, które powinny określać konkretne lokalizacje poszczególnych elementów zagospodarowania, w tym takich elementów jak paczkomaty.</w:t>
      </w:r>
      <w:r w:rsidRPr="001F5426">
        <w:rPr>
          <w:rFonts w:ascii="Lato" w:hAnsi="Lato" w:cs="Times New Roman"/>
          <w:sz w:val="20"/>
          <w:szCs w:val="20"/>
        </w:rPr>
        <w:t xml:space="preserve"> W przypadku miejscowych planów zagospodarowania przestrzennego ustala się przeznaczenie terenu, określa się sposób zagospodarowania i warunki zabudowy terenu, należy jednak wskazać, że nie jest to poziom szczegółowości, w którym powinno się wskazywać konkretne lokalizacje paczkomatów. </w:t>
      </w:r>
      <w:r w:rsidRPr="001F5426">
        <w:rPr>
          <w:rFonts w:ascii="Lato" w:hAnsi="Lato" w:cs="Times New Roman"/>
          <w:sz w:val="20"/>
          <w:szCs w:val="20"/>
          <w:u w:val="single"/>
        </w:rPr>
        <w:t>Na terenie, na którym obowiązuje plan miejscowy, lokalizacja paczkomatów jest możliwa o ile plan dopuszcza lokalizację tego typu obiektów.</w:t>
      </w:r>
      <w:r w:rsidRPr="001F5426">
        <w:rPr>
          <w:rFonts w:ascii="Lato" w:hAnsi="Lato" w:cs="Times New Roman"/>
          <w:sz w:val="20"/>
          <w:szCs w:val="20"/>
        </w:rPr>
        <w:t xml:space="preserve"> W przypadku braku planu miejscowego określenie sposobów zagospodarowania i warunków zabudowy terenu następuje w drodze decyzji o warunkach zabudowy i zagospodarowania terenu, która również określa ogólne zasady lokalizacji inwestycji na wyznaczonym terenie bez wskazywania konkretnych lokalizacji dla poszczególnych elementów zagospodarowania.</w:t>
      </w:r>
    </w:p>
    <w:p w14:paraId="5505881A" w14:textId="77777777" w:rsidR="00421DDB" w:rsidRPr="001F5426" w:rsidRDefault="00000000" w:rsidP="00B032AD">
      <w:pPr>
        <w:spacing w:after="120" w:line="240" w:lineRule="exact"/>
        <w:rPr>
          <w:rFonts w:ascii="Lato" w:hAnsi="Lato" w:cstheme="minorHAnsi"/>
          <w:bCs/>
          <w:sz w:val="20"/>
          <w:szCs w:val="20"/>
        </w:rPr>
      </w:pPr>
      <w:r w:rsidRPr="001F5426">
        <w:rPr>
          <w:rFonts w:ascii="Lato" w:hAnsi="Lato"/>
          <w:sz w:val="20"/>
          <w:szCs w:val="20"/>
        </w:rPr>
        <w:t xml:space="preserve">Przechodząc do kwestii Pb i budowy paczkomatów należy wyjaśnić, iż </w:t>
      </w:r>
      <w:r w:rsidRPr="001F5426">
        <w:rPr>
          <w:rFonts w:ascii="Lato" w:hAnsi="Lato" w:cstheme="minorHAnsi"/>
          <w:bCs/>
          <w:sz w:val="20"/>
          <w:szCs w:val="20"/>
        </w:rPr>
        <w:t xml:space="preserve">przed dniem </w:t>
      </w:r>
      <w:r w:rsidRPr="001F5426">
        <w:rPr>
          <w:rFonts w:ascii="Lato" w:hAnsi="Lato" w:cstheme="minorHAnsi"/>
          <w:bCs/>
          <w:sz w:val="20"/>
          <w:szCs w:val="20"/>
        </w:rPr>
        <w:br/>
        <w:t xml:space="preserve">19 września 2020 r., czyli przed dniem wejścia w życie ustawy z dnia 13 lutego 2020 r. </w:t>
      </w:r>
      <w:r w:rsidRPr="001F5426">
        <w:rPr>
          <w:rFonts w:ascii="Lato" w:hAnsi="Lato" w:cstheme="minorHAnsi"/>
          <w:bCs/>
          <w:sz w:val="20"/>
          <w:szCs w:val="20"/>
        </w:rPr>
        <w:br/>
        <w:t xml:space="preserve">o zmianie ustawy – Prawo budowlane oraz niektórych innych ustaw (Dz. U. poz. 471), która wprowadziła do Pb m.in. art. 29 ust. 2 pkt 28 na podstawie którego budowa bankomatów, biletomatów, wpłatomatów, automatów sprzedających, automatów przechowujących przesyłki lub </w:t>
      </w:r>
      <w:r w:rsidRPr="001F5426">
        <w:rPr>
          <w:rFonts w:ascii="Lato" w:hAnsi="Lato" w:cstheme="minorHAnsi"/>
          <w:bCs/>
          <w:i/>
          <w:iCs/>
          <w:sz w:val="20"/>
          <w:szCs w:val="20"/>
        </w:rPr>
        <w:t>automatów</w:t>
      </w:r>
      <w:r w:rsidRPr="001F5426">
        <w:rPr>
          <w:rFonts w:ascii="Lato" w:hAnsi="Lato" w:cstheme="minorHAnsi"/>
          <w:bCs/>
          <w:sz w:val="20"/>
          <w:szCs w:val="20"/>
        </w:rPr>
        <w:t xml:space="preserve"> służących do wykonywania innego rodzaju usług o wysokości do 3 m włącznie nie wymaga pozwolenia na budowę oraz zgłoszenia, </w:t>
      </w:r>
      <w:r w:rsidRPr="001F5426">
        <w:rPr>
          <w:rFonts w:ascii="Lato" w:hAnsi="Lato" w:cstheme="minorHAnsi"/>
          <w:bCs/>
          <w:sz w:val="20"/>
          <w:szCs w:val="20"/>
          <w:u w:val="single"/>
        </w:rPr>
        <w:t>istniały wątpliwości związane z prawnymi wymogami dotyczącymi budowy m.in. paczkomatów, zarówno po stronie inwestorów, jak również organów administracji architektoniczno-budowlanej oraz nadzoru budowlanego.</w:t>
      </w:r>
      <w:r w:rsidRPr="001F5426">
        <w:rPr>
          <w:rFonts w:ascii="Lato" w:hAnsi="Lato" w:cstheme="minorHAnsi"/>
          <w:bCs/>
          <w:sz w:val="20"/>
          <w:szCs w:val="20"/>
        </w:rPr>
        <w:t xml:space="preserve"> Niektórzy inwestorzy zainteresowani postawieniem paczkomatów uważali, że są to urządzenia techniczne nie </w:t>
      </w:r>
      <w:r w:rsidRPr="001F5426">
        <w:rPr>
          <w:rFonts w:ascii="Lato" w:hAnsi="Lato" w:cstheme="minorHAnsi"/>
          <w:bCs/>
          <w:sz w:val="20"/>
          <w:szCs w:val="20"/>
        </w:rPr>
        <w:lastRenderedPageBreak/>
        <w:t xml:space="preserve">podlegające przepisom Pb, dlatego nie występowali o udzielenie pozwolenia na ich budowę oraz nie dokonywali zgłoszenia budowy paczkomatów. Z kolei organy nadzoru budowlanego dokonujące kontroli stosowania i przestrzegania przepisów prawa budowlanego w swojej praktyce często uznawały, że paczkomaty stanowią tymczasowe obiekty budowlane wymagające co najmniej zgłoszenia budowy – jeśli są przewidziane do rozbiórki lub przeniesienia w inne miejsce w terminie określonym w zgłoszeniu, ale nie później niż przed upływem 180 dni od dnia rozpoczęcia budowy określonego </w:t>
      </w:r>
      <w:r w:rsidRPr="001F5426">
        <w:rPr>
          <w:rFonts w:ascii="Lato" w:hAnsi="Lato" w:cstheme="minorHAnsi"/>
          <w:bCs/>
          <w:sz w:val="20"/>
          <w:szCs w:val="20"/>
        </w:rPr>
        <w:br/>
        <w:t>w zgłoszeniu; bądź pozwolenia na budowę – w sytuacji, gdy mają pozostać dłużej niż 180 dni lub na stałe</w:t>
      </w:r>
      <w:r>
        <w:rPr>
          <w:rStyle w:val="Odwoanieprzypisudolnego"/>
          <w:rFonts w:ascii="Lato" w:hAnsi="Lato" w:cstheme="minorHAnsi"/>
          <w:bCs/>
          <w:sz w:val="20"/>
          <w:szCs w:val="20"/>
        </w:rPr>
        <w:footnoteReference w:id="1"/>
      </w:r>
      <w:r w:rsidRPr="001F5426">
        <w:rPr>
          <w:rFonts w:ascii="Lato" w:hAnsi="Lato" w:cstheme="minorHAnsi"/>
          <w:bCs/>
          <w:sz w:val="20"/>
          <w:szCs w:val="20"/>
        </w:rPr>
        <w:t xml:space="preserve">. W związku z powyższym w celu ustalenia jednoznacznych dla inwestorów i organów zasad budowy paczkomatów oraz podobnych do nich urządzeń, takich jak:  bankomaty, biletomaty, wpłatomaty, automaty sprzedające lub automaty służące do wykonywania innego rodzaju usług o wysokości do 3 m włącznie wprowadzono wspomniany wcześniej przepis umożliwiający budowę ww. urządzeń bez konieczności uzyskania pozwolenie na budowę oraz zgłoszenia. Mając na względzie określony w przepisie art. 29 Pb katalog obiektów budowlanych zwolnionych z obowiązku uzyskania pozwolenia na budowę ówcześnie przyjęte rozwiązania m.in. dla paczkomatów wydawały się słuszne i wystarczające. </w:t>
      </w:r>
    </w:p>
    <w:p w14:paraId="50433FB6" w14:textId="77777777" w:rsidR="00421DDB" w:rsidRPr="001F5426" w:rsidRDefault="00000000" w:rsidP="00B032AD">
      <w:pPr>
        <w:spacing w:after="120" w:line="240" w:lineRule="exact"/>
        <w:rPr>
          <w:rFonts w:ascii="Lato" w:hAnsi="Lato" w:cstheme="minorHAnsi"/>
          <w:bCs/>
          <w:sz w:val="20"/>
          <w:szCs w:val="20"/>
        </w:rPr>
      </w:pPr>
      <w:r w:rsidRPr="001F5426">
        <w:rPr>
          <w:rFonts w:ascii="Lato" w:hAnsi="Lato" w:cstheme="minorHAnsi"/>
          <w:bCs/>
          <w:sz w:val="20"/>
          <w:szCs w:val="20"/>
        </w:rPr>
        <w:t xml:space="preserve">Podkreślenia wymaga, iż wyodrębnienie katalogu przedsięwzięć zwolnionych od obowiązku uzyskania pozwolenia na budowę stanowi przejaw właściwego, bo zgodnego </w:t>
      </w:r>
      <w:r>
        <w:rPr>
          <w:rFonts w:ascii="Lato" w:hAnsi="Lato" w:cstheme="minorHAnsi"/>
          <w:bCs/>
          <w:sz w:val="20"/>
          <w:szCs w:val="20"/>
        </w:rPr>
        <w:br/>
      </w:r>
      <w:r w:rsidRPr="001F5426">
        <w:rPr>
          <w:rFonts w:ascii="Lato" w:hAnsi="Lato" w:cstheme="minorHAnsi"/>
          <w:bCs/>
          <w:sz w:val="20"/>
          <w:szCs w:val="20"/>
        </w:rPr>
        <w:t>z zasadą proporcjonalności, podejścia ustawodawcy w stopniowaniu reglamentacji administracyjnej prawa do zabudowy nieruchomości.</w:t>
      </w:r>
    </w:p>
    <w:p w14:paraId="3EF00308" w14:textId="77777777" w:rsidR="00421DDB" w:rsidRPr="001F5426" w:rsidRDefault="00000000" w:rsidP="00B032AD">
      <w:pPr>
        <w:spacing w:after="120" w:line="240" w:lineRule="exact"/>
        <w:rPr>
          <w:rFonts w:ascii="Lato" w:hAnsi="Lato" w:cstheme="minorHAnsi"/>
          <w:bCs/>
          <w:sz w:val="20"/>
          <w:szCs w:val="20"/>
        </w:rPr>
      </w:pPr>
      <w:r w:rsidRPr="001F5426">
        <w:rPr>
          <w:rFonts w:ascii="Lato" w:hAnsi="Lato" w:cstheme="minorHAnsi"/>
          <w:bCs/>
          <w:sz w:val="20"/>
          <w:szCs w:val="20"/>
        </w:rPr>
        <w:t>Jednocześnie należy także wskazać, iż do Ministerstwa Rozwoju i Technologii poza niniejszą petycją oraz pozostałymi pismami od jej autora, dotychczas nie wpływały inne pisma sygnalizujące uciążliwość sąsiedztwa paczkomatów oraz wskazujące na konieczność zaostrzenia dotychczasowych przepisów Pb w zakresie ich budowy, dlatego też aktualnie brak jest podstaw do zmiany przepisów w tym zakresie.</w:t>
      </w:r>
    </w:p>
    <w:p w14:paraId="18B1228D" w14:textId="77777777" w:rsidR="00421DDB" w:rsidRPr="001F5426" w:rsidRDefault="00000000" w:rsidP="00B032AD">
      <w:pPr>
        <w:spacing w:after="120" w:line="240" w:lineRule="exact"/>
        <w:rPr>
          <w:rFonts w:ascii="Lato" w:eastAsia="Times New Roman" w:hAnsi="Lato" w:cs="Arial"/>
          <w:sz w:val="20"/>
          <w:szCs w:val="20"/>
          <w:u w:val="single"/>
          <w:lang w:eastAsia="pl-PL"/>
        </w:rPr>
      </w:pPr>
      <w:r w:rsidRPr="001F5426">
        <w:rPr>
          <w:rFonts w:ascii="Lato" w:hAnsi="Lato" w:cstheme="minorHAnsi"/>
          <w:bCs/>
          <w:sz w:val="20"/>
          <w:szCs w:val="20"/>
        </w:rPr>
        <w:t xml:space="preserve">Odnosząc się do kwestii prawidłowego wybudowania i bezpieczeństwa użytkowania paczkomatów należy wskazać, że </w:t>
      </w:r>
      <w:r w:rsidRPr="001F5426">
        <w:rPr>
          <w:rFonts w:ascii="Lato" w:eastAsia="Times New Roman" w:hAnsi="Lato" w:cs="Arial"/>
          <w:sz w:val="20"/>
          <w:szCs w:val="20"/>
          <w:lang w:eastAsia="pl-PL"/>
        </w:rPr>
        <w:t xml:space="preserve">przepisy Pb nie zwalniają żadnych obiektów budowlanych, nawet tych nie wymagających pozwolenia na budowę i zgłoszenia, </w:t>
      </w:r>
      <w:r w:rsidRPr="001F5426">
        <w:rPr>
          <w:rFonts w:ascii="Lato" w:eastAsia="Times New Roman" w:hAnsi="Lato" w:cs="Arial"/>
          <w:sz w:val="20"/>
          <w:szCs w:val="20"/>
          <w:lang w:eastAsia="pl-PL"/>
        </w:rPr>
        <w:br/>
        <w:t xml:space="preserve">z obowiązku spełniania wymagań podstawowych o których mowa w art. 5 Pb. </w:t>
      </w:r>
      <w:r w:rsidRPr="001F5426">
        <w:rPr>
          <w:rFonts w:ascii="Lato" w:eastAsia="Times New Roman" w:hAnsi="Lato" w:cs="Arial"/>
          <w:sz w:val="20"/>
          <w:szCs w:val="20"/>
          <w:lang w:eastAsia="pl-PL"/>
        </w:rPr>
        <w:br/>
        <w:t xml:space="preserve">W świetle ogólnych wymagań wynikających z ww. przepisu wszystkie obiekty budowlane muszą być realizowane w sposób określony w przepisach, w tym techniczno-budowlanych oraz zgodnie z zasadami wiedzy technicznej, zapewniając spełnienie podstawowych wymagań dotyczących obiektów budowlanych określonych w załączniku I do rozporządzenia Parlamentu Europejskiego i Rady (UE) Nr 305/2011 z dnia 9 marca 2011 r. ustanawiającego zharmonizowane warunki wprowadzania do obrotu wyrobów budowlanych i uchylającego dyrektywę Rady 89/106/EWG (Dz. Urz. UE L 88 </w:t>
      </w:r>
      <w:r w:rsidRPr="001F5426">
        <w:rPr>
          <w:rFonts w:ascii="Lato" w:eastAsia="Times New Roman" w:hAnsi="Lato" w:cs="Arial"/>
          <w:sz w:val="20"/>
          <w:szCs w:val="20"/>
          <w:lang w:eastAsia="pl-PL"/>
        </w:rPr>
        <w:br/>
        <w:t xml:space="preserve">z 04.04.2011, str. 5, z </w:t>
      </w:r>
      <w:proofErr w:type="spellStart"/>
      <w:r w:rsidRPr="001F5426">
        <w:rPr>
          <w:rFonts w:ascii="Lato" w:eastAsia="Times New Roman" w:hAnsi="Lato" w:cs="Arial"/>
          <w:sz w:val="20"/>
          <w:szCs w:val="20"/>
          <w:lang w:eastAsia="pl-PL"/>
        </w:rPr>
        <w:t>późn</w:t>
      </w:r>
      <w:proofErr w:type="spellEnd"/>
      <w:r w:rsidRPr="001F5426">
        <w:rPr>
          <w:rFonts w:ascii="Lato" w:eastAsia="Times New Roman" w:hAnsi="Lato" w:cs="Arial"/>
          <w:sz w:val="20"/>
          <w:szCs w:val="20"/>
          <w:lang w:eastAsia="pl-PL"/>
        </w:rPr>
        <w:t>. zm.) dotyczących: nośności i stateczności konstrukcji,</w:t>
      </w:r>
      <w:r w:rsidRPr="001F5426">
        <w:rPr>
          <w:rFonts w:ascii="Lato" w:eastAsia="Times New Roman" w:hAnsi="Lato" w:cs="Times New Roman"/>
          <w:sz w:val="20"/>
          <w:szCs w:val="20"/>
          <w:lang w:eastAsia="pl-PL"/>
        </w:rPr>
        <w:br/>
      </w:r>
      <w:r w:rsidRPr="001F5426">
        <w:rPr>
          <w:rFonts w:ascii="Lato" w:eastAsia="Times New Roman" w:hAnsi="Lato" w:cs="Arial"/>
          <w:sz w:val="20"/>
          <w:szCs w:val="20"/>
          <w:lang w:eastAsia="pl-PL"/>
        </w:rPr>
        <w:t>bezpieczeństwa pożarowego, higieny, zdrowia i środowiska, bezpieczeństwa użytkowania</w:t>
      </w:r>
      <w:r w:rsidRPr="001F5426">
        <w:rPr>
          <w:rFonts w:ascii="Lato" w:eastAsia="Times New Roman" w:hAnsi="Lato" w:cs="Times New Roman"/>
          <w:sz w:val="20"/>
          <w:szCs w:val="20"/>
          <w:lang w:eastAsia="pl-PL"/>
        </w:rPr>
        <w:br/>
      </w:r>
      <w:r w:rsidRPr="001F5426">
        <w:rPr>
          <w:rFonts w:ascii="Lato" w:eastAsia="Times New Roman" w:hAnsi="Lato" w:cs="Arial"/>
          <w:sz w:val="20"/>
          <w:szCs w:val="20"/>
          <w:lang w:eastAsia="pl-PL"/>
        </w:rPr>
        <w:t>i dostępności obiektów, ochrony przed hałasem, oszczędności energii i izolacyjności</w:t>
      </w:r>
      <w:r w:rsidRPr="001F5426">
        <w:rPr>
          <w:rFonts w:ascii="Lato" w:eastAsia="Times New Roman" w:hAnsi="Lato" w:cs="Times New Roman"/>
          <w:sz w:val="20"/>
          <w:szCs w:val="20"/>
          <w:lang w:eastAsia="pl-PL"/>
        </w:rPr>
        <w:br/>
      </w:r>
      <w:r w:rsidRPr="001F5426">
        <w:rPr>
          <w:rFonts w:ascii="Lato" w:eastAsia="Times New Roman" w:hAnsi="Lato" w:cs="Arial"/>
          <w:sz w:val="20"/>
          <w:szCs w:val="20"/>
          <w:lang w:eastAsia="pl-PL"/>
        </w:rPr>
        <w:t xml:space="preserve">cieplnej, zrównoważonego wykorzystania zasobów naturalnych. </w:t>
      </w:r>
      <w:r w:rsidRPr="001F5426">
        <w:rPr>
          <w:rFonts w:ascii="Lato" w:eastAsia="Times New Roman" w:hAnsi="Lato" w:cs="Arial"/>
          <w:sz w:val="20"/>
          <w:szCs w:val="20"/>
          <w:u w:val="single"/>
          <w:lang w:eastAsia="pl-PL"/>
        </w:rPr>
        <w:t xml:space="preserve">Automaty przechowujące przesyłki powinny być zatem przytwierdzane do podłoża zgodnie ze sztuką budowlaną lub ustawiane na gruncie, w sposób nie zagrażający bezpieczeństwu ludzi. Natomiast wątpliwości w tym zakresie należy każdorazowo zgłaszać do właściwych organów nadzoru budowlanego. </w:t>
      </w:r>
    </w:p>
    <w:p w14:paraId="5E872A20" w14:textId="77777777" w:rsidR="00421DDB" w:rsidRPr="001F5426" w:rsidRDefault="00000000" w:rsidP="00B032AD">
      <w:pPr>
        <w:spacing w:after="120" w:line="240" w:lineRule="exact"/>
        <w:rPr>
          <w:rFonts w:ascii="Lato" w:eastAsia="Times New Roman" w:hAnsi="Lato" w:cs="Arial"/>
          <w:i/>
          <w:iCs/>
          <w:sz w:val="20"/>
          <w:szCs w:val="20"/>
          <w:lang w:eastAsia="pl-PL"/>
        </w:rPr>
      </w:pPr>
      <w:r w:rsidRPr="001F5426">
        <w:rPr>
          <w:rFonts w:ascii="Lato" w:eastAsia="Times New Roman" w:hAnsi="Lato" w:cs="Arial"/>
          <w:sz w:val="20"/>
          <w:szCs w:val="20"/>
          <w:lang w:eastAsia="pl-PL"/>
        </w:rPr>
        <w:lastRenderedPageBreak/>
        <w:t xml:space="preserve">Jak wskazał Naczelny Sąd Administracyjny w wyroku z dnia 16 listopada 2023 r., </w:t>
      </w:r>
      <w:r>
        <w:rPr>
          <w:rFonts w:ascii="Lato" w:eastAsia="Times New Roman" w:hAnsi="Lato" w:cs="Arial"/>
          <w:sz w:val="20"/>
          <w:szCs w:val="20"/>
          <w:lang w:eastAsia="pl-PL"/>
        </w:rPr>
        <w:br/>
      </w:r>
      <w:r w:rsidRPr="001F5426">
        <w:rPr>
          <w:rFonts w:ascii="Lato" w:eastAsia="Times New Roman" w:hAnsi="Lato" w:cs="Arial"/>
          <w:sz w:val="20"/>
          <w:szCs w:val="20"/>
          <w:lang w:eastAsia="pl-PL"/>
        </w:rPr>
        <w:t>sygn. akt II OSK 1457/23</w:t>
      </w:r>
      <w:r w:rsidRPr="001F5426">
        <w:rPr>
          <w:rFonts w:ascii="Lato" w:hAnsi="Lato"/>
          <w:i/>
          <w:iCs/>
          <w:sz w:val="20"/>
          <w:szCs w:val="20"/>
        </w:rPr>
        <w:t xml:space="preserve">: </w:t>
      </w:r>
      <w:r w:rsidRPr="001F5426">
        <w:rPr>
          <w:rFonts w:ascii="Lato" w:eastAsia="Times New Roman" w:hAnsi="Lato" w:cs="Arial"/>
          <w:i/>
          <w:iCs/>
          <w:sz w:val="20"/>
          <w:szCs w:val="20"/>
          <w:lang w:eastAsia="pl-PL"/>
        </w:rPr>
        <w:t xml:space="preserve">„obecny stan prawny, mimo że nie wymaga uzyskania pozwolenia na budowę i zgłoszenia w odniesieniu do paczkomatów o wysokości nieprzekraczającej 3 m, </w:t>
      </w:r>
      <w:r>
        <w:rPr>
          <w:rFonts w:ascii="Lato" w:eastAsia="Times New Roman" w:hAnsi="Lato" w:cs="Arial"/>
          <w:i/>
          <w:iCs/>
          <w:sz w:val="20"/>
          <w:szCs w:val="20"/>
          <w:lang w:eastAsia="pl-PL"/>
        </w:rPr>
        <w:br/>
      </w:r>
      <w:r w:rsidRPr="001F5426">
        <w:rPr>
          <w:rFonts w:ascii="Lato" w:eastAsia="Times New Roman" w:hAnsi="Lato" w:cs="Arial"/>
          <w:i/>
          <w:iCs/>
          <w:sz w:val="20"/>
          <w:szCs w:val="20"/>
          <w:lang w:eastAsia="pl-PL"/>
        </w:rPr>
        <w:t xml:space="preserve">to pozwala na ocenę zgodności ich usytuowania z przepisami i na ewentualną ocenę, czy paczkomaty takie nie zagrażają bezpieczeństwu ludzi, mienia i środowiska. W obecnym stanie prawnym w odniesieniu do paczkomatów o wysokości nieprzekraczającej 3 m ma bowiem zastosowanie wykładnia przyjęta w uchwale NSA z 3 października 2016 r. (sygn. akt II OPS 1/16), w której przyjęto, że do robót budowlanych i obiektów budowlanych, które nie wymagają uzyskania pozwolenia na budowę i nie są objęte obowiązkiem zgłoszenia, mogą być stosowane przepisy art.50 ust. 1 pkt 2 lub pkt 4 in fine </w:t>
      </w:r>
      <w:proofErr w:type="spellStart"/>
      <w:r w:rsidRPr="001F5426">
        <w:rPr>
          <w:rFonts w:ascii="Lato" w:eastAsia="Times New Roman" w:hAnsi="Lato" w:cs="Arial"/>
          <w:i/>
          <w:iCs/>
          <w:sz w:val="20"/>
          <w:szCs w:val="20"/>
          <w:lang w:eastAsia="pl-PL"/>
        </w:rPr>
        <w:t>P.b</w:t>
      </w:r>
      <w:proofErr w:type="spellEnd"/>
      <w:r w:rsidRPr="001F5426">
        <w:rPr>
          <w:rFonts w:ascii="Lato" w:eastAsia="Times New Roman" w:hAnsi="Lato" w:cs="Arial"/>
          <w:i/>
          <w:iCs/>
          <w:sz w:val="20"/>
          <w:szCs w:val="20"/>
          <w:lang w:eastAsia="pl-PL"/>
        </w:rPr>
        <w:t xml:space="preserve">., a także art. 51 ust. 7 </w:t>
      </w:r>
      <w:proofErr w:type="spellStart"/>
      <w:r w:rsidRPr="001F5426">
        <w:rPr>
          <w:rFonts w:ascii="Lato" w:eastAsia="Times New Roman" w:hAnsi="Lato" w:cs="Arial"/>
          <w:i/>
          <w:iCs/>
          <w:sz w:val="20"/>
          <w:szCs w:val="20"/>
          <w:lang w:eastAsia="pl-PL"/>
        </w:rPr>
        <w:t>P.b</w:t>
      </w:r>
      <w:proofErr w:type="spellEnd"/>
      <w:r w:rsidRPr="001F5426">
        <w:rPr>
          <w:rFonts w:ascii="Lato" w:eastAsia="Times New Roman" w:hAnsi="Lato" w:cs="Arial"/>
          <w:i/>
          <w:iCs/>
          <w:sz w:val="20"/>
          <w:szCs w:val="20"/>
          <w:lang w:eastAsia="pl-PL"/>
        </w:rPr>
        <w:t>., jeżeli roboty budowlane zostały wykonane w sposób, o którym mowa w art. 50 ust. 1 pkt 2 lub pkt</w:t>
      </w:r>
      <w:r w:rsidRPr="001F5426">
        <w:rPr>
          <w:rFonts w:ascii="Lato" w:hAnsi="Lato"/>
          <w:i/>
          <w:iCs/>
          <w:sz w:val="20"/>
          <w:szCs w:val="20"/>
        </w:rPr>
        <w:t xml:space="preserve"> </w:t>
      </w:r>
      <w:r w:rsidRPr="001F5426">
        <w:rPr>
          <w:rFonts w:ascii="Lato" w:eastAsia="Times New Roman" w:hAnsi="Lato" w:cs="Arial"/>
          <w:i/>
          <w:iCs/>
          <w:sz w:val="20"/>
          <w:szCs w:val="20"/>
          <w:lang w:eastAsia="pl-PL"/>
        </w:rPr>
        <w:t>4 in fine. Oznacza to, że w obecnym stanie prawnym takie wartości wymienione wart. 31 ust. 3 Konstytucji, jak ochrona środowiska, czy prawa innych osób, zagrożone ewentualnie przez postawienie paczkomatu o wysokości nieprzekraczającej 3 m niezgodnie z przepisami, mogą być chronione bez konieczności nakładania na inwestora takich ciężarów, jak przedłożenie projektu budowlanego i uiszczenie opłaty legalizacyjnej”.</w:t>
      </w:r>
    </w:p>
    <w:p w14:paraId="02680298" w14:textId="77777777" w:rsidR="00421DDB" w:rsidRPr="001F5426" w:rsidRDefault="00000000" w:rsidP="00B032AD">
      <w:pPr>
        <w:spacing w:after="120" w:line="240" w:lineRule="exact"/>
        <w:rPr>
          <w:rFonts w:ascii="Lato" w:eastAsia="Times New Roman" w:hAnsi="Lato" w:cs="Arial"/>
          <w:sz w:val="20"/>
          <w:szCs w:val="20"/>
          <w:lang w:eastAsia="pl-PL"/>
        </w:rPr>
      </w:pPr>
      <w:r w:rsidRPr="001F5426">
        <w:rPr>
          <w:rFonts w:ascii="Lato" w:eastAsia="Times New Roman" w:hAnsi="Lato" w:cs="Arial"/>
          <w:sz w:val="20"/>
          <w:szCs w:val="20"/>
          <w:lang w:eastAsia="pl-PL"/>
        </w:rPr>
        <w:t xml:space="preserve">Należy także wskazać, że zgodnie z art. 29 ust. 6 Pb </w:t>
      </w:r>
      <w:r w:rsidRPr="001F5426">
        <w:rPr>
          <w:rFonts w:ascii="Lato" w:eastAsia="Times New Roman" w:hAnsi="Lato" w:cs="Arial"/>
          <w:sz w:val="20"/>
          <w:szCs w:val="20"/>
          <w:u w:val="single"/>
          <w:lang w:eastAsia="pl-PL"/>
        </w:rPr>
        <w:t>decyzji o pozwoleniu na budowę wymagają przedsięwzięcia, które wymagają przeprowadzenia oceny oddziaływania na środowisko, oraz przedsięwzięcia wymagające przeprowadzenia oceny oddziaływania na obszar Natura 2000</w:t>
      </w:r>
      <w:r w:rsidRPr="001F5426">
        <w:rPr>
          <w:rFonts w:ascii="Lato" w:eastAsia="Times New Roman" w:hAnsi="Lato" w:cs="Arial"/>
          <w:sz w:val="20"/>
          <w:szCs w:val="20"/>
          <w:lang w:eastAsia="pl-PL"/>
        </w:rPr>
        <w:t xml:space="preserve">, zgodnie z art. 59 ustawy z dnia 3 października 2008 r. </w:t>
      </w:r>
      <w:r>
        <w:rPr>
          <w:rFonts w:ascii="Lato" w:eastAsia="Times New Roman" w:hAnsi="Lato" w:cs="Arial"/>
          <w:sz w:val="20"/>
          <w:szCs w:val="20"/>
          <w:lang w:eastAsia="pl-PL"/>
        </w:rPr>
        <w:br/>
      </w:r>
      <w:r w:rsidRPr="001F5426">
        <w:rPr>
          <w:rFonts w:ascii="Lato" w:eastAsia="Times New Roman" w:hAnsi="Lato" w:cs="Arial"/>
          <w:sz w:val="20"/>
          <w:szCs w:val="20"/>
          <w:lang w:eastAsia="pl-PL"/>
        </w:rPr>
        <w:t xml:space="preserve">o udostępnianiu informacji o środowisku i jego ochronie, udziale społeczeństwa </w:t>
      </w:r>
      <w:r>
        <w:rPr>
          <w:rFonts w:ascii="Lato" w:eastAsia="Times New Roman" w:hAnsi="Lato" w:cs="Arial"/>
          <w:sz w:val="20"/>
          <w:szCs w:val="20"/>
          <w:lang w:eastAsia="pl-PL"/>
        </w:rPr>
        <w:br/>
      </w:r>
      <w:r w:rsidRPr="001F5426">
        <w:rPr>
          <w:rFonts w:ascii="Lato" w:eastAsia="Times New Roman" w:hAnsi="Lato" w:cs="Arial"/>
          <w:sz w:val="20"/>
          <w:szCs w:val="20"/>
          <w:lang w:eastAsia="pl-PL"/>
        </w:rPr>
        <w:t>w ochronie środowiska oraz o ocenach oddziaływania na środowisko, z wyłączeniem przedsięwzięć, o których mowa w ust. 1 pkt 17-19.</w:t>
      </w:r>
    </w:p>
    <w:p w14:paraId="6B382316" w14:textId="77777777" w:rsidR="00421DDB" w:rsidRPr="00871AB4" w:rsidRDefault="00000000" w:rsidP="00B032AD">
      <w:pPr>
        <w:spacing w:after="120" w:line="240" w:lineRule="exact"/>
        <w:rPr>
          <w:rFonts w:ascii="Lato" w:eastAsia="Times New Roman" w:hAnsi="Lato" w:cs="Arial"/>
          <w:sz w:val="20"/>
          <w:szCs w:val="20"/>
          <w:lang w:eastAsia="pl-PL"/>
        </w:rPr>
      </w:pPr>
      <w:r w:rsidRPr="001F5426">
        <w:rPr>
          <w:rFonts w:ascii="Lato" w:eastAsia="Times New Roman" w:hAnsi="Lato" w:cs="Arial"/>
          <w:sz w:val="20"/>
          <w:szCs w:val="20"/>
          <w:lang w:eastAsia="pl-PL"/>
        </w:rPr>
        <w:t>Ponadto, zgodnie z art. 29 ust. 7 Pb, r</w:t>
      </w:r>
      <w:r w:rsidRPr="00871AB4">
        <w:rPr>
          <w:rFonts w:ascii="Lato" w:eastAsia="Times New Roman" w:hAnsi="Lato" w:cs="Arial"/>
          <w:sz w:val="20"/>
          <w:szCs w:val="20"/>
          <w:lang w:eastAsia="pl-PL"/>
        </w:rPr>
        <w:t>oboty budowlane, o których mowa w ust. 1-4, wykonywane:</w:t>
      </w:r>
      <w:r w:rsidRPr="001F5426">
        <w:rPr>
          <w:rFonts w:ascii="Lato" w:eastAsia="Times New Roman" w:hAnsi="Lato" w:cs="Arial"/>
          <w:sz w:val="20"/>
          <w:szCs w:val="20"/>
          <w:lang w:eastAsia="pl-PL"/>
        </w:rPr>
        <w:br/>
      </w:r>
      <w:r w:rsidRPr="00871AB4">
        <w:rPr>
          <w:rFonts w:ascii="Lato" w:eastAsia="Times New Roman" w:hAnsi="Lato" w:cs="Arial"/>
          <w:sz w:val="20"/>
          <w:szCs w:val="20"/>
          <w:lang w:eastAsia="pl-PL"/>
        </w:rPr>
        <w:t xml:space="preserve">1) przy obiekcie budowlanym wpisanym do rejestru zabytków - wymagają decyzji </w:t>
      </w:r>
      <w:r>
        <w:rPr>
          <w:rFonts w:ascii="Lato" w:eastAsia="Times New Roman" w:hAnsi="Lato" w:cs="Arial"/>
          <w:sz w:val="20"/>
          <w:szCs w:val="20"/>
          <w:lang w:eastAsia="pl-PL"/>
        </w:rPr>
        <w:br/>
      </w:r>
      <w:r w:rsidRPr="00871AB4">
        <w:rPr>
          <w:rFonts w:ascii="Lato" w:eastAsia="Times New Roman" w:hAnsi="Lato" w:cs="Arial"/>
          <w:sz w:val="20"/>
          <w:szCs w:val="20"/>
          <w:lang w:eastAsia="pl-PL"/>
        </w:rPr>
        <w:t>o pozwoleniu na budowę,</w:t>
      </w:r>
      <w:r w:rsidRPr="001F5426">
        <w:rPr>
          <w:rFonts w:ascii="Lato" w:eastAsia="Times New Roman" w:hAnsi="Lato" w:cs="Arial"/>
          <w:sz w:val="20"/>
          <w:szCs w:val="20"/>
          <w:lang w:eastAsia="pl-PL"/>
        </w:rPr>
        <w:br/>
      </w:r>
      <w:r w:rsidRPr="00871AB4">
        <w:rPr>
          <w:rFonts w:ascii="Lato" w:eastAsia="Times New Roman" w:hAnsi="Lato" w:cs="Arial"/>
          <w:sz w:val="20"/>
          <w:szCs w:val="20"/>
          <w:lang w:eastAsia="pl-PL"/>
        </w:rPr>
        <w:t xml:space="preserve">2) </w:t>
      </w:r>
      <w:r w:rsidRPr="00871AB4">
        <w:rPr>
          <w:rFonts w:ascii="Lato" w:eastAsia="Times New Roman" w:hAnsi="Lato" w:cs="Arial"/>
          <w:sz w:val="20"/>
          <w:szCs w:val="20"/>
          <w:u w:val="single"/>
          <w:lang w:eastAsia="pl-PL"/>
        </w:rPr>
        <w:t>na obszarze wpisanym do rejestru zabytków - wymagają dokonania zgłoszenia</w:t>
      </w:r>
      <w:r w:rsidRPr="001F5426">
        <w:rPr>
          <w:rFonts w:ascii="Lato" w:eastAsia="Times New Roman" w:hAnsi="Lato" w:cs="Arial"/>
          <w:sz w:val="20"/>
          <w:szCs w:val="20"/>
          <w:lang w:eastAsia="pl-PL"/>
        </w:rPr>
        <w:br/>
      </w:r>
      <w:r w:rsidRPr="00871AB4">
        <w:rPr>
          <w:rFonts w:ascii="Lato" w:eastAsia="Times New Roman" w:hAnsi="Lato" w:cs="Arial"/>
          <w:sz w:val="20"/>
          <w:szCs w:val="20"/>
          <w:lang w:eastAsia="pl-PL"/>
        </w:rPr>
        <w:t>- przy czym do wniosku o decyzję o pozwoleniu na budowę oraz zgłoszenia należy dołączyć pozwolenie właściwego wojewódzkiego konserwatora zabytków wydane na podstawie przepisów o ochronie zabytków i opiece nad zabytkami.</w:t>
      </w:r>
    </w:p>
    <w:p w14:paraId="63A6E0BA" w14:textId="77777777" w:rsidR="00421DDB" w:rsidRPr="001F5426" w:rsidRDefault="00000000" w:rsidP="00B032AD">
      <w:pPr>
        <w:spacing w:after="120" w:line="240" w:lineRule="exact"/>
        <w:rPr>
          <w:rFonts w:ascii="Lato" w:eastAsia="Times New Roman" w:hAnsi="Lato" w:cs="Times New Roman"/>
          <w:sz w:val="20"/>
          <w:szCs w:val="20"/>
          <w:lang w:eastAsia="pl-PL"/>
        </w:rPr>
      </w:pPr>
      <w:r w:rsidRPr="001F5426">
        <w:rPr>
          <w:rFonts w:ascii="Lato" w:hAnsi="Lato"/>
          <w:sz w:val="20"/>
          <w:szCs w:val="20"/>
        </w:rPr>
        <w:t xml:space="preserve">Odnosząc się do postulowanego w petycji określenia szczegółowych warunków technicznych i  wymagań dotyczących sytuowania paczkomatów należy wyjaśnić, </w:t>
      </w:r>
      <w:r w:rsidRPr="001F5426">
        <w:rPr>
          <w:rFonts w:ascii="Lato" w:hAnsi="Lato"/>
          <w:sz w:val="20"/>
          <w:szCs w:val="20"/>
        </w:rPr>
        <w:br/>
        <w:t xml:space="preserve">iż kwestie te nie stanowią bezpośrednio przedmiotu regulacji Pb, natomiast mogą one być ewentualnie określone w przepisach techniczno-budowlanych, o których mowa w art. 7 ust. 1 pkt 1 Pb czyli w warunkach technicznych, jakim powinny odpowiadać obiekty budowlane i ich usytuowanie. Zgodnie natomiast z art. 7 ust. 2 Pb warunki techniczne, jakim powinny odpowiadać obiekty budowlane i ich usytuowanie, określą, </w:t>
      </w:r>
      <w:r w:rsidRPr="001F5426">
        <w:rPr>
          <w:rFonts w:ascii="Lato" w:eastAsia="Times New Roman" w:hAnsi="Lato" w:cs="Times New Roman"/>
          <w:sz w:val="20"/>
          <w:szCs w:val="20"/>
          <w:lang w:eastAsia="pl-PL"/>
        </w:rPr>
        <w:t xml:space="preserve">w drodze rozporządzenia: </w:t>
      </w:r>
      <w:bookmarkStart w:id="2" w:name="mip73654321"/>
      <w:bookmarkEnd w:id="2"/>
    </w:p>
    <w:p w14:paraId="14083955" w14:textId="77777777" w:rsidR="00421DDB" w:rsidRPr="001F5426" w:rsidRDefault="00000000" w:rsidP="00B032AD">
      <w:pPr>
        <w:pStyle w:val="Akapitzlist"/>
        <w:numPr>
          <w:ilvl w:val="0"/>
          <w:numId w:val="4"/>
        </w:numPr>
        <w:spacing w:after="120" w:line="240" w:lineRule="exact"/>
        <w:rPr>
          <w:rFonts w:ascii="Lato" w:eastAsia="Times New Roman" w:hAnsi="Lato" w:cs="Times New Roman"/>
          <w:sz w:val="20"/>
          <w:szCs w:val="20"/>
          <w:lang w:eastAsia="pl-PL"/>
        </w:rPr>
      </w:pPr>
      <w:r w:rsidRPr="001F5426">
        <w:rPr>
          <w:rFonts w:ascii="Lato" w:eastAsia="Times New Roman" w:hAnsi="Lato" w:cs="Times New Roman"/>
          <w:sz w:val="20"/>
          <w:szCs w:val="20"/>
          <w:lang w:eastAsia="pl-PL"/>
        </w:rPr>
        <w:t>minister właściwy do spraw budownictwa, planowania i zagospodarowania przestrzennego oraz mieszkalnictwa dla budynków oraz związanych z nimi urządzeń,</w:t>
      </w:r>
    </w:p>
    <w:p w14:paraId="1A8C2BBA" w14:textId="77777777" w:rsidR="00421DDB" w:rsidRPr="001F5426" w:rsidRDefault="00000000" w:rsidP="00B032AD">
      <w:pPr>
        <w:pStyle w:val="Akapitzlist"/>
        <w:numPr>
          <w:ilvl w:val="0"/>
          <w:numId w:val="4"/>
        </w:numPr>
        <w:spacing w:after="120" w:line="240" w:lineRule="exact"/>
        <w:rPr>
          <w:rFonts w:ascii="Lato" w:eastAsia="Times New Roman" w:hAnsi="Lato" w:cs="Times New Roman"/>
          <w:sz w:val="20"/>
          <w:szCs w:val="20"/>
          <w:u w:val="single"/>
          <w:lang w:eastAsia="pl-PL"/>
        </w:rPr>
      </w:pPr>
      <w:bookmarkStart w:id="3" w:name="mip73654322"/>
      <w:bookmarkEnd w:id="3"/>
      <w:r w:rsidRPr="001F5426">
        <w:rPr>
          <w:rFonts w:ascii="Lato" w:eastAsia="Times New Roman" w:hAnsi="Lato" w:cs="Times New Roman"/>
          <w:sz w:val="20"/>
          <w:szCs w:val="20"/>
          <w:u w:val="single"/>
          <w:lang w:eastAsia="pl-PL"/>
        </w:rPr>
        <w:t>właściwi ministrowie</w:t>
      </w:r>
      <w:r w:rsidRPr="001F5426">
        <w:rPr>
          <w:rFonts w:ascii="Lato" w:eastAsia="Times New Roman" w:hAnsi="Lato" w:cs="Times New Roman"/>
          <w:sz w:val="20"/>
          <w:szCs w:val="20"/>
          <w:lang w:eastAsia="pl-PL"/>
        </w:rPr>
        <w:t xml:space="preserve">, w porozumieniu z ministrem właściwym do spraw budownictwa, planowania i zagospodarowania przestrzennego oraz mieszkalnictwa, </w:t>
      </w:r>
      <w:r w:rsidRPr="001F5426">
        <w:rPr>
          <w:rFonts w:ascii="Lato" w:eastAsia="Times New Roman" w:hAnsi="Lato" w:cs="Times New Roman"/>
          <w:sz w:val="20"/>
          <w:szCs w:val="20"/>
          <w:u w:val="single"/>
          <w:lang w:eastAsia="pl-PL"/>
        </w:rPr>
        <w:t>dla obiektów budowlanych niewymienionych w pkt 1.</w:t>
      </w:r>
    </w:p>
    <w:p w14:paraId="0E763ABE" w14:textId="77777777" w:rsidR="00421DDB" w:rsidRPr="001F5426" w:rsidRDefault="00000000" w:rsidP="00B032AD">
      <w:pPr>
        <w:autoSpaceDE w:val="0"/>
        <w:autoSpaceDN w:val="0"/>
        <w:adjustRightInd w:val="0"/>
        <w:spacing w:after="120" w:line="240" w:lineRule="exact"/>
        <w:rPr>
          <w:rFonts w:ascii="Lato" w:hAnsi="Lato"/>
          <w:sz w:val="20"/>
          <w:szCs w:val="20"/>
        </w:rPr>
      </w:pPr>
      <w:r w:rsidRPr="001F5426">
        <w:rPr>
          <w:rFonts w:ascii="Lato" w:eastAsia="Times New Roman" w:hAnsi="Lato" w:cs="Times New Roman"/>
          <w:sz w:val="20"/>
          <w:szCs w:val="20"/>
          <w:lang w:eastAsia="pl-PL"/>
        </w:rPr>
        <w:t xml:space="preserve">Zgodnie z powyższym, minister właściwy do spraw budownictwa, planowania </w:t>
      </w:r>
      <w:r w:rsidRPr="001F5426">
        <w:rPr>
          <w:rFonts w:ascii="Lato" w:eastAsia="Times New Roman" w:hAnsi="Lato" w:cs="Times New Roman"/>
          <w:sz w:val="20"/>
          <w:szCs w:val="20"/>
          <w:lang w:eastAsia="pl-PL"/>
        </w:rPr>
        <w:br/>
        <w:t xml:space="preserve">i zagospodarowania przestrzennego oraz mieszkalnictwa w </w:t>
      </w:r>
      <w:r w:rsidRPr="001F5426">
        <w:rPr>
          <w:rFonts w:ascii="Lato" w:hAnsi="Lato" w:cs="Lato-Regular"/>
          <w:sz w:val="20"/>
          <w:szCs w:val="20"/>
        </w:rPr>
        <w:t>rozporządzeniu Ministra Infrastruktury z dnia 12 kwietnia 2002 r. w sprawie warunków technicznych, jakim powinny odpowiadać budynki i ich usytuowanie (Dz.U. z 2022 r. poz. 1225,</w:t>
      </w:r>
      <w:r w:rsidRPr="001F5426">
        <w:rPr>
          <w:rFonts w:ascii="Lato" w:hAnsi="Lato"/>
          <w:sz w:val="20"/>
          <w:szCs w:val="20"/>
        </w:rPr>
        <w:t xml:space="preserve"> z </w:t>
      </w:r>
      <w:proofErr w:type="spellStart"/>
      <w:r w:rsidRPr="001F5426">
        <w:rPr>
          <w:rFonts w:ascii="Lato" w:hAnsi="Lato"/>
          <w:sz w:val="20"/>
          <w:szCs w:val="20"/>
        </w:rPr>
        <w:t>późn</w:t>
      </w:r>
      <w:proofErr w:type="spellEnd"/>
      <w:r w:rsidRPr="001F5426">
        <w:rPr>
          <w:rFonts w:ascii="Lato" w:hAnsi="Lato"/>
          <w:sz w:val="20"/>
          <w:szCs w:val="20"/>
        </w:rPr>
        <w:t>. zm.),</w:t>
      </w:r>
      <w:r w:rsidRPr="001F5426">
        <w:rPr>
          <w:rFonts w:ascii="Lato" w:hAnsi="Lato" w:cs="Lato-Regular"/>
          <w:sz w:val="20"/>
          <w:szCs w:val="20"/>
        </w:rPr>
        <w:t xml:space="preserve"> </w:t>
      </w:r>
      <w:r w:rsidRPr="001F5426">
        <w:rPr>
          <w:rFonts w:ascii="Lato" w:hAnsi="Lato" w:cs="Lato-Regular"/>
          <w:sz w:val="20"/>
          <w:szCs w:val="20"/>
        </w:rPr>
        <w:lastRenderedPageBreak/>
        <w:t xml:space="preserve">zwanym dalej „rozporządzeniem </w:t>
      </w:r>
      <w:proofErr w:type="spellStart"/>
      <w:r w:rsidRPr="001F5426">
        <w:rPr>
          <w:rFonts w:ascii="Lato" w:hAnsi="Lato" w:cs="Lato-Regular"/>
          <w:sz w:val="20"/>
          <w:szCs w:val="20"/>
        </w:rPr>
        <w:t>Wt</w:t>
      </w:r>
      <w:proofErr w:type="spellEnd"/>
      <w:r w:rsidRPr="001F5426">
        <w:rPr>
          <w:rFonts w:ascii="Lato" w:hAnsi="Lato" w:cs="Lato-Regular"/>
          <w:sz w:val="20"/>
          <w:szCs w:val="20"/>
        </w:rPr>
        <w:t>”,</w:t>
      </w:r>
      <w:r w:rsidRPr="001F5426">
        <w:rPr>
          <w:rFonts w:ascii="Lato" w:hAnsi="Lato"/>
          <w:sz w:val="20"/>
          <w:szCs w:val="20"/>
        </w:rPr>
        <w:t xml:space="preserve"> określił </w:t>
      </w:r>
      <w:r w:rsidRPr="001F5426">
        <w:rPr>
          <w:rFonts w:ascii="Lato" w:hAnsi="Lato" w:cs="Lato-Regular"/>
          <w:sz w:val="20"/>
          <w:szCs w:val="20"/>
        </w:rPr>
        <w:t xml:space="preserve">warunki techniczne, jakim powinny odpowiadać budynki i związane z nimi urządzenia, ich usytuowanie na działce budowlanej oraz zagospodarowanie działek przeznaczonych pod zabudowę. Przepisy rozporządzenia </w:t>
      </w:r>
      <w:proofErr w:type="spellStart"/>
      <w:r w:rsidRPr="001F5426">
        <w:rPr>
          <w:rFonts w:ascii="Lato" w:hAnsi="Lato" w:cs="Lato-Regular"/>
          <w:sz w:val="20"/>
          <w:szCs w:val="20"/>
        </w:rPr>
        <w:t>Wt</w:t>
      </w:r>
      <w:proofErr w:type="spellEnd"/>
      <w:r w:rsidRPr="001F5426">
        <w:rPr>
          <w:rFonts w:ascii="Lato" w:hAnsi="Lato" w:cs="Lato-Regular"/>
          <w:sz w:val="20"/>
          <w:szCs w:val="20"/>
        </w:rPr>
        <w:t xml:space="preserve"> </w:t>
      </w:r>
      <w:r w:rsidRPr="001F5426">
        <w:rPr>
          <w:rFonts w:ascii="Lato" w:hAnsi="Lato"/>
          <w:sz w:val="20"/>
          <w:szCs w:val="20"/>
        </w:rPr>
        <w:t>stosuje się przy projektowaniu, budowie i przebudowie oraz przy zmianie sposobu użytkowania budynków oraz budowli nadziemnych i podziemnych spełniających funkcje użytkowe budynków, a także do związanych z nimi urządzeń budowlanych.</w:t>
      </w:r>
    </w:p>
    <w:p w14:paraId="68B83907"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Rozporządzenie </w:t>
      </w:r>
      <w:proofErr w:type="spellStart"/>
      <w:r w:rsidRPr="001F5426">
        <w:rPr>
          <w:rFonts w:ascii="Lato" w:hAnsi="Lato"/>
          <w:sz w:val="20"/>
          <w:szCs w:val="20"/>
        </w:rPr>
        <w:t>Wt</w:t>
      </w:r>
      <w:proofErr w:type="spellEnd"/>
      <w:r w:rsidRPr="001F5426">
        <w:rPr>
          <w:rFonts w:ascii="Lato" w:hAnsi="Lato"/>
          <w:sz w:val="20"/>
          <w:szCs w:val="20"/>
        </w:rPr>
        <w:t xml:space="preserve"> nie zawiera i nie określa żadnych wymogów dotyczących lokalizacji paczkomatów, gdyż nie są one ani budowlami pełniącymi funkcje użytkowe budynków, </w:t>
      </w:r>
      <w:r w:rsidRPr="001F5426">
        <w:rPr>
          <w:rFonts w:ascii="Lato" w:hAnsi="Lato"/>
          <w:sz w:val="20"/>
          <w:szCs w:val="20"/>
        </w:rPr>
        <w:br/>
        <w:t>ani też urządzeniami budowlanymi związanymi z budynkiem. Mimo trwających obecnie prac nad nowymi przepisami techniczno-budowlanymi dla budynków nie jest planowane określanie w nowym rozporządzeniu wymogów dla lokalizacji paczkomatów, ponieważ nie jest to właściwy akt prawny do uregulowania tego typu kwestii.</w:t>
      </w:r>
    </w:p>
    <w:p w14:paraId="7E70AF9C"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Zgodnie z powyższym ewentualne określenie warunków technicznych, jakim powinny odpowiadać paczkomaty i ich usytuowanie nie należy do kompetencji </w:t>
      </w:r>
      <w:r w:rsidRPr="001F5426">
        <w:rPr>
          <w:rFonts w:ascii="Lato" w:eastAsia="Times New Roman" w:hAnsi="Lato" w:cs="Times New Roman"/>
          <w:sz w:val="20"/>
          <w:szCs w:val="20"/>
          <w:lang w:eastAsia="pl-PL"/>
        </w:rPr>
        <w:t xml:space="preserve">ministra właściwego do spraw budownictwa, planowania i zagospodarowania przestrzennego oraz mieszkalnictwa. Sprawy te jako </w:t>
      </w:r>
      <w:r w:rsidRPr="001F5426">
        <w:rPr>
          <w:rFonts w:ascii="Lato" w:hAnsi="Lato"/>
          <w:sz w:val="20"/>
          <w:szCs w:val="20"/>
        </w:rPr>
        <w:t>należące do działu administracji rządowej łączność, który  obejmuje sprawy poczty</w:t>
      </w:r>
      <w:r>
        <w:rPr>
          <w:rStyle w:val="Odwoanieprzypisudolnego"/>
          <w:rFonts w:ascii="Lato" w:hAnsi="Lato"/>
          <w:sz w:val="20"/>
          <w:szCs w:val="20"/>
        </w:rPr>
        <w:footnoteReference w:id="2"/>
      </w:r>
      <w:r w:rsidRPr="001F5426">
        <w:rPr>
          <w:rFonts w:ascii="Lato" w:hAnsi="Lato"/>
          <w:sz w:val="20"/>
          <w:szCs w:val="20"/>
        </w:rPr>
        <w:t>, należą do zakresu działania Ministra Aktywów Państwowych (MAP)</w:t>
      </w:r>
      <w:r>
        <w:rPr>
          <w:rStyle w:val="Odwoanieprzypisudolnego"/>
          <w:rFonts w:ascii="Lato" w:hAnsi="Lato"/>
          <w:sz w:val="20"/>
          <w:szCs w:val="20"/>
        </w:rPr>
        <w:footnoteReference w:id="3"/>
      </w:r>
      <w:r w:rsidRPr="001F5426">
        <w:rPr>
          <w:rFonts w:ascii="Lato" w:hAnsi="Lato"/>
          <w:sz w:val="20"/>
          <w:szCs w:val="20"/>
        </w:rPr>
        <w:t xml:space="preserve">. </w:t>
      </w:r>
    </w:p>
    <w:p w14:paraId="440DED5B"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W związku z czym w przedmiotowym zakresie tutejszy resort wystąpił do MAP </w:t>
      </w:r>
      <w:r w:rsidRPr="001F5426">
        <w:rPr>
          <w:rFonts w:ascii="Lato" w:hAnsi="Lato"/>
          <w:sz w:val="20"/>
          <w:szCs w:val="20"/>
        </w:rPr>
        <w:br/>
        <w:t xml:space="preserve">o przedstawienie stanowiska w tym zakresie. </w:t>
      </w:r>
    </w:p>
    <w:p w14:paraId="6557954C" w14:textId="77777777" w:rsidR="00421DDB" w:rsidRPr="001F5426" w:rsidRDefault="00000000" w:rsidP="00B032AD">
      <w:pPr>
        <w:spacing w:after="120" w:line="240" w:lineRule="exact"/>
        <w:rPr>
          <w:rFonts w:ascii="Lato" w:hAnsi="Lato"/>
          <w:i/>
          <w:iCs/>
          <w:sz w:val="20"/>
          <w:szCs w:val="20"/>
        </w:rPr>
      </w:pPr>
      <w:r w:rsidRPr="001F5426">
        <w:rPr>
          <w:rFonts w:ascii="Lato" w:hAnsi="Lato"/>
          <w:sz w:val="20"/>
          <w:szCs w:val="20"/>
        </w:rPr>
        <w:t>W udzielonej odpowiedzi MAP wskazał</w:t>
      </w:r>
      <w:r>
        <w:rPr>
          <w:rFonts w:ascii="Lato" w:hAnsi="Lato"/>
          <w:sz w:val="20"/>
          <w:szCs w:val="20"/>
        </w:rPr>
        <w:t xml:space="preserve"> w szczególności, </w:t>
      </w:r>
      <w:r w:rsidRPr="001F5426">
        <w:rPr>
          <w:rFonts w:ascii="Lato" w:hAnsi="Lato"/>
          <w:sz w:val="20"/>
          <w:szCs w:val="20"/>
        </w:rPr>
        <w:t xml:space="preserve">że </w:t>
      </w:r>
      <w:r w:rsidRPr="001F5426">
        <w:rPr>
          <w:rFonts w:ascii="Lato" w:hAnsi="Lato"/>
          <w:i/>
          <w:iCs/>
          <w:sz w:val="20"/>
          <w:szCs w:val="20"/>
        </w:rPr>
        <w:t>„ (…) obecne regulacje dotyczące automatów paczkowych są wystarczające. Petycja (…) jako jedyna wskazuje na uciążliwości wynikające z funkcjonowania automatów paczkowych. (…), Wymienione w petycji uciążliwości nie są charakterystyczne wyłącznie dla paczkomatów, lecz w różnym natężeniu towarzyszą (przynajmniej potencjalnie) każdej działalności gospodarczej. Obecnie nie widzimy przesłanek do wprowadzenia przepisów techniczno-budowlanych w zakresie funkcjonowania automatów paczkowych w przepisach ustawy z dnia 23 listopada 2012 r. – Prawo pocztowe (Dz. U. z 2023 r. poz. 1640. Jednocześnie pragnę nadmienić, że w debacie publicznej pojawiają się liczne głosy wskazujące na szkodliwy wpływ automatów paczkowych na pejzaż miejski. Wydaje się jednak, że kwestia estetyki tych automatów, podobnie jak reklam funkcjonujących</w:t>
      </w:r>
      <w:r>
        <w:rPr>
          <w:rFonts w:ascii="Lato" w:hAnsi="Lato"/>
          <w:i/>
          <w:iCs/>
          <w:sz w:val="20"/>
          <w:szCs w:val="20"/>
        </w:rPr>
        <w:br/>
      </w:r>
      <w:r w:rsidRPr="001F5426">
        <w:rPr>
          <w:rFonts w:ascii="Lato" w:hAnsi="Lato"/>
          <w:i/>
          <w:iCs/>
          <w:sz w:val="20"/>
          <w:szCs w:val="20"/>
        </w:rPr>
        <w:t xml:space="preserve"> w przestrzeni publicznej, powinna być pozostawiona w gestii instytucji lokalnych odpowiedzialnych za organizację i estetykę przestrzeni publicznej.”.</w:t>
      </w:r>
    </w:p>
    <w:p w14:paraId="6C076B42"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Należy także zaznaczyć, że praktyka prowadzenia działalności inwestycyjnej pokazuje, </w:t>
      </w:r>
      <w:r>
        <w:rPr>
          <w:rFonts w:ascii="Lato" w:hAnsi="Lato"/>
          <w:sz w:val="20"/>
          <w:szCs w:val="20"/>
        </w:rPr>
        <w:br/>
      </w:r>
      <w:r w:rsidRPr="001F5426">
        <w:rPr>
          <w:rFonts w:ascii="Lato" w:hAnsi="Lato"/>
          <w:sz w:val="20"/>
          <w:szCs w:val="20"/>
        </w:rPr>
        <w:t>iż wymóg uzyskiwania decyzji o pozwoleniu na budowę bądź dokonywania zgłoszenia nie gwarantuje uniknięcia sytuacji konfliktowych na tle realizacji różnego rodzaju obiektów.</w:t>
      </w:r>
    </w:p>
    <w:p w14:paraId="73AABD55"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Ponadto należy </w:t>
      </w:r>
      <w:r>
        <w:rPr>
          <w:rFonts w:ascii="Lato" w:hAnsi="Lato"/>
          <w:sz w:val="20"/>
          <w:szCs w:val="20"/>
        </w:rPr>
        <w:t>mieć na uwadze</w:t>
      </w:r>
      <w:r w:rsidRPr="001F5426">
        <w:rPr>
          <w:rFonts w:ascii="Lato" w:hAnsi="Lato"/>
          <w:sz w:val="20"/>
          <w:szCs w:val="20"/>
        </w:rPr>
        <w:t xml:space="preserve">, że prawo do uzyskiwania korzyści finansowych z tytułu </w:t>
      </w:r>
      <w:r w:rsidRPr="00C402F7">
        <w:rPr>
          <w:rFonts w:ascii="Lato" w:hAnsi="Lato"/>
          <w:sz w:val="20"/>
          <w:szCs w:val="20"/>
        </w:rPr>
        <w:t>udostępniania terenu przez dany podmiot pod lokalizację</w:t>
      </w:r>
      <w:r w:rsidRPr="001F5426">
        <w:rPr>
          <w:rFonts w:ascii="Lato" w:hAnsi="Lato"/>
          <w:sz w:val="20"/>
          <w:szCs w:val="20"/>
        </w:rPr>
        <w:t xml:space="preserve"> paczkomatu jest uregulowane  </w:t>
      </w:r>
      <w:r w:rsidRPr="001F5426">
        <w:rPr>
          <w:rFonts w:ascii="Lato" w:hAnsi="Lato"/>
          <w:sz w:val="20"/>
          <w:szCs w:val="20"/>
        </w:rPr>
        <w:br/>
        <w:t>w przepisach prawa prywatnego. Zgodnie z art. 140 ustawy z dnia 23 kwietnia 1964 r. Kodeks cywilny (Dz. U. 2024 poz.1061) w granicach określonych przez ustawy i zasady współżycia społecznego właściciel może, z wyłączeniem innych osób, korzystać z rzeczy zgodnie ze społeczno-gospodarczym przeznaczeniem swego prawa, w szczególności może pobierać pożytki i inne dochody z rzeczy. W tych samych granicach może rozporządzać rzeczą.</w:t>
      </w:r>
    </w:p>
    <w:p w14:paraId="782E578B" w14:textId="77777777" w:rsidR="00421DDB" w:rsidRPr="001F5426" w:rsidRDefault="00000000" w:rsidP="00B032AD">
      <w:pPr>
        <w:spacing w:after="120" w:line="240" w:lineRule="exact"/>
        <w:rPr>
          <w:rFonts w:ascii="Lato" w:hAnsi="Lato"/>
          <w:sz w:val="20"/>
          <w:szCs w:val="20"/>
        </w:rPr>
      </w:pPr>
      <w:r w:rsidRPr="001F5426">
        <w:rPr>
          <w:rFonts w:ascii="Lato" w:hAnsi="Lato"/>
          <w:sz w:val="20"/>
          <w:szCs w:val="20"/>
        </w:rPr>
        <w:t xml:space="preserve">Odnosząc się natomiast do kwestii instalowania kamer na paczkomatach należy wskazać, że  zagadnienie to wykracza poza zakres regulacji Pb. Problematyka ta przede wszystkim </w:t>
      </w:r>
      <w:r w:rsidRPr="001F5426">
        <w:rPr>
          <w:rFonts w:ascii="Lato" w:hAnsi="Lato"/>
          <w:sz w:val="20"/>
          <w:szCs w:val="20"/>
        </w:rPr>
        <w:lastRenderedPageBreak/>
        <w:t xml:space="preserve">regulowana jest rozporządzeniem Parlamentu Europejskiego i Rady (UE) 2016/679 </w:t>
      </w:r>
      <w:r>
        <w:rPr>
          <w:rFonts w:ascii="Lato" w:hAnsi="Lato"/>
          <w:sz w:val="20"/>
          <w:szCs w:val="20"/>
        </w:rPr>
        <w:br/>
      </w:r>
      <w:r w:rsidRPr="001F5426">
        <w:rPr>
          <w:rFonts w:ascii="Lato" w:hAnsi="Lato"/>
          <w:sz w:val="20"/>
          <w:szCs w:val="20"/>
        </w:rPr>
        <w:t xml:space="preserve">z dnia 27 kwietnia 2016 r. w sprawie ochrony osób fizycznych w związku z przetwarzaniem danych osobowych i w sprawie swobodnego przepływu takich danych oraz uchylenia dyrektywy 95/46/WE (ogólne rozporządzenie o ochronie danych) oraz ustawy z dnia 10 maja 2018 r. o ochronie danych. Zatem w przypadku jakichkolwiek wątpliwości dotyczących  przetwarzania danych osobowych z kamer zainstalowanych na paczkomatach, należy skorzystać z odpowiednich instrumentów prawnych zawartych </w:t>
      </w:r>
      <w:r>
        <w:rPr>
          <w:rFonts w:ascii="Lato" w:hAnsi="Lato"/>
          <w:sz w:val="20"/>
          <w:szCs w:val="20"/>
        </w:rPr>
        <w:br/>
      </w:r>
      <w:r w:rsidRPr="001F5426">
        <w:rPr>
          <w:rFonts w:ascii="Lato" w:hAnsi="Lato"/>
          <w:sz w:val="20"/>
          <w:szCs w:val="20"/>
        </w:rPr>
        <w:t>w ww. regulacjach z zakresu danych osobowych.</w:t>
      </w:r>
    </w:p>
    <w:p w14:paraId="24E15E78" w14:textId="77777777" w:rsidR="00421DDB" w:rsidRDefault="00000000" w:rsidP="00B032AD">
      <w:pPr>
        <w:spacing w:after="120" w:line="240" w:lineRule="exact"/>
        <w:rPr>
          <w:rFonts w:ascii="Lato" w:hAnsi="Lato"/>
          <w:sz w:val="20"/>
          <w:szCs w:val="20"/>
        </w:rPr>
      </w:pPr>
      <w:r w:rsidRPr="001F5426">
        <w:rPr>
          <w:rFonts w:ascii="Lato" w:hAnsi="Lato"/>
          <w:sz w:val="20"/>
          <w:szCs w:val="20"/>
        </w:rPr>
        <w:t xml:space="preserve">Odnosząc się z kolei do postulatu wprowadzenia odpowiednich przepisów w przypadku, gdy paczkomaty lokalizowane są na działkach prywatnych należy wyjaśnić, że odrębne (mniej korzystne) potraktowanie w przepisach prawa prywatnych właścicieli działek polegające na konieczności dokonywania uzgodnień z właścicielami sąsiednich działek </w:t>
      </w:r>
      <w:r>
        <w:rPr>
          <w:rFonts w:ascii="Lato" w:hAnsi="Lato"/>
          <w:sz w:val="20"/>
          <w:szCs w:val="20"/>
        </w:rPr>
        <w:br/>
      </w:r>
      <w:r w:rsidRPr="001F5426">
        <w:rPr>
          <w:rFonts w:ascii="Lato" w:hAnsi="Lato"/>
          <w:sz w:val="20"/>
          <w:szCs w:val="20"/>
        </w:rPr>
        <w:t xml:space="preserve">w zakresie lokalizacji paczkomatu byłoby naruszeniem zasady równości i zakazu dyskryminacji określonego w art. 32 Konstytucji Rzeczypospolitej Polskiej </w:t>
      </w:r>
      <w:r>
        <w:rPr>
          <w:rFonts w:ascii="Lato" w:hAnsi="Lato"/>
          <w:sz w:val="20"/>
          <w:szCs w:val="20"/>
        </w:rPr>
        <w:br/>
      </w:r>
      <w:r w:rsidRPr="001F5426">
        <w:rPr>
          <w:rFonts w:ascii="Lato" w:hAnsi="Lato"/>
          <w:sz w:val="20"/>
          <w:szCs w:val="20"/>
        </w:rPr>
        <w:t xml:space="preserve">z dnia 2 kwietnia 1997 r. (Dz.U. z 1997 r. Nr 78, poz. 483, z </w:t>
      </w:r>
      <w:proofErr w:type="spellStart"/>
      <w:r w:rsidRPr="001F5426">
        <w:rPr>
          <w:rFonts w:ascii="Lato" w:hAnsi="Lato"/>
          <w:sz w:val="20"/>
          <w:szCs w:val="20"/>
        </w:rPr>
        <w:t>późn</w:t>
      </w:r>
      <w:proofErr w:type="spellEnd"/>
      <w:r w:rsidRPr="001F5426">
        <w:rPr>
          <w:rFonts w:ascii="Lato" w:hAnsi="Lato"/>
          <w:sz w:val="20"/>
          <w:szCs w:val="20"/>
        </w:rPr>
        <w:t>. zm.). Przywołany przepis ustawy zasadniczej stanowi bowiem, że wszyscy są wobec prawa równi, wszyscy mają prawo do równego traktowania przez władze publiczne oraz że nikt nie może być dyskryminowany w życiu politycznym, społecznym lub gospodarczym z jakiejkolwiek przyczyny. Także Trybunał Konstytucyjny w swoim orzecznictwie podkreśla, że zasada równości znajduje zastosowanie wobec osób fizycznych, prawnych i każdego innego podmiotu konstytucyjnych praw i wolności.</w:t>
      </w:r>
    </w:p>
    <w:p w14:paraId="74F1D584" w14:textId="77777777" w:rsidR="00421DDB" w:rsidRPr="001F5426" w:rsidRDefault="00000000" w:rsidP="00B032AD">
      <w:pPr>
        <w:spacing w:after="120" w:line="240" w:lineRule="exact"/>
        <w:rPr>
          <w:rFonts w:ascii="Lato" w:hAnsi="Lato"/>
          <w:sz w:val="20"/>
          <w:szCs w:val="20"/>
        </w:rPr>
      </w:pPr>
      <w:r w:rsidRPr="00AA267A">
        <w:rPr>
          <w:rFonts w:ascii="Lato" w:hAnsi="Lato"/>
          <w:sz w:val="20"/>
          <w:szCs w:val="20"/>
        </w:rPr>
        <w:t>Należy t</w:t>
      </w:r>
      <w:r>
        <w:rPr>
          <w:rFonts w:ascii="Lato" w:hAnsi="Lato"/>
          <w:sz w:val="20"/>
          <w:szCs w:val="20"/>
        </w:rPr>
        <w:t>akże</w:t>
      </w:r>
      <w:r w:rsidRPr="00AA267A">
        <w:rPr>
          <w:rFonts w:ascii="Lato" w:hAnsi="Lato"/>
          <w:sz w:val="20"/>
          <w:szCs w:val="20"/>
        </w:rPr>
        <w:t xml:space="preserve"> zauważyć, że uciążliwości, na które wskazuje</w:t>
      </w:r>
      <w:r>
        <w:rPr>
          <w:rFonts w:ascii="Lato" w:hAnsi="Lato"/>
          <w:sz w:val="20"/>
          <w:szCs w:val="20"/>
        </w:rPr>
        <w:t xml:space="preserve"> autor petycji </w:t>
      </w:r>
      <w:r w:rsidRPr="00AA267A">
        <w:rPr>
          <w:rFonts w:ascii="Lato" w:hAnsi="Lato"/>
          <w:sz w:val="20"/>
          <w:szCs w:val="20"/>
        </w:rPr>
        <w:t>nie są charakterystyczne wyłącznie dla paczkomatów, lecz</w:t>
      </w:r>
      <w:r>
        <w:rPr>
          <w:rFonts w:ascii="Lato" w:hAnsi="Lato"/>
          <w:sz w:val="20"/>
          <w:szCs w:val="20"/>
        </w:rPr>
        <w:t xml:space="preserve"> </w:t>
      </w:r>
      <w:r w:rsidRPr="00AA267A">
        <w:rPr>
          <w:rFonts w:ascii="Lato" w:hAnsi="Lato"/>
          <w:sz w:val="20"/>
          <w:szCs w:val="20"/>
        </w:rPr>
        <w:t xml:space="preserve">w różnym natężeniu </w:t>
      </w:r>
      <w:r>
        <w:rPr>
          <w:rFonts w:ascii="Lato" w:hAnsi="Lato"/>
          <w:sz w:val="20"/>
          <w:szCs w:val="20"/>
        </w:rPr>
        <w:t xml:space="preserve">mogą towarzyszyć </w:t>
      </w:r>
      <w:r w:rsidRPr="00AA267A">
        <w:rPr>
          <w:rFonts w:ascii="Lato" w:hAnsi="Lato"/>
          <w:sz w:val="20"/>
          <w:szCs w:val="20"/>
        </w:rPr>
        <w:t>każdej działalności</w:t>
      </w:r>
      <w:r>
        <w:rPr>
          <w:rFonts w:ascii="Lato" w:hAnsi="Lato"/>
          <w:sz w:val="20"/>
          <w:szCs w:val="20"/>
        </w:rPr>
        <w:t xml:space="preserve"> </w:t>
      </w:r>
      <w:r w:rsidRPr="00AA267A">
        <w:rPr>
          <w:rFonts w:ascii="Lato" w:hAnsi="Lato"/>
          <w:sz w:val="20"/>
          <w:szCs w:val="20"/>
        </w:rPr>
        <w:t>gospodarczej.</w:t>
      </w:r>
      <w:r>
        <w:rPr>
          <w:rFonts w:ascii="Lato" w:hAnsi="Lato"/>
          <w:sz w:val="20"/>
          <w:szCs w:val="20"/>
        </w:rPr>
        <w:t xml:space="preserve"> W tym kontekście podkreślenia wymaga także, że n</w:t>
      </w:r>
      <w:r w:rsidRPr="00B032AD">
        <w:rPr>
          <w:rFonts w:ascii="Lato" w:hAnsi="Lato"/>
          <w:sz w:val="20"/>
          <w:szCs w:val="20"/>
        </w:rPr>
        <w:t>iezależnie od przyjętych uregulowań</w:t>
      </w:r>
      <w:r>
        <w:rPr>
          <w:rFonts w:ascii="Lato" w:hAnsi="Lato"/>
          <w:sz w:val="20"/>
          <w:szCs w:val="20"/>
        </w:rPr>
        <w:t xml:space="preserve"> prawa administracyjnego przepisy te nie zastąpią</w:t>
      </w:r>
      <w:r w:rsidRPr="00B032AD">
        <w:rPr>
          <w:rFonts w:ascii="Lato" w:hAnsi="Lato"/>
          <w:sz w:val="20"/>
          <w:szCs w:val="20"/>
        </w:rPr>
        <w:t xml:space="preserve"> poszanowania zasad współżycia społecznego.</w:t>
      </w:r>
      <w:r>
        <w:rPr>
          <w:rFonts w:ascii="Lato" w:hAnsi="Lato"/>
          <w:sz w:val="20"/>
          <w:szCs w:val="20"/>
        </w:rPr>
        <w:t xml:space="preserve"> Zgodnie natomiast z art. 144 Kodeksu cywilnego w</w:t>
      </w:r>
      <w:r w:rsidRPr="00B032AD">
        <w:rPr>
          <w:rFonts w:ascii="Lato" w:hAnsi="Lato"/>
          <w:sz w:val="20"/>
          <w:szCs w:val="20"/>
        </w:rPr>
        <w:t>łaściciel nieruchomości powinien przy wykonywaniu swego prawa powstrzymywać się od działań, które by zakłócały korzystanie z nieruchomości sąsiednich ponad przeciętną miarę, wynikającą ze społeczno-gospodarczego przeznaczenia nieruchomości i stosunków miejscowych.</w:t>
      </w:r>
    </w:p>
    <w:p w14:paraId="7C99246E" w14:textId="77777777" w:rsidR="00421DDB" w:rsidRPr="007442CE" w:rsidRDefault="00000000" w:rsidP="00B032AD">
      <w:pPr>
        <w:spacing w:after="120" w:line="240" w:lineRule="exact"/>
        <w:rPr>
          <w:rFonts w:ascii="Lato" w:hAnsi="Lato"/>
          <w:sz w:val="20"/>
          <w:szCs w:val="20"/>
        </w:rPr>
      </w:pPr>
      <w:r w:rsidRPr="001F5426">
        <w:rPr>
          <w:rFonts w:ascii="Lato" w:hAnsi="Lato"/>
          <w:sz w:val="20"/>
          <w:szCs w:val="20"/>
        </w:rPr>
        <w:t>Z uwagi na powyższe</w:t>
      </w:r>
      <w:r>
        <w:rPr>
          <w:rFonts w:ascii="Lato" w:hAnsi="Lato"/>
          <w:sz w:val="20"/>
          <w:szCs w:val="20"/>
        </w:rPr>
        <w:t xml:space="preserve">, aktualnie </w:t>
      </w:r>
      <w:r w:rsidRPr="001F5426">
        <w:rPr>
          <w:rFonts w:ascii="Lato" w:hAnsi="Lato"/>
          <w:sz w:val="20"/>
          <w:szCs w:val="20"/>
        </w:rPr>
        <w:t>brak jest podstaw do uwzględnienia rozpatrywanej petycji</w:t>
      </w:r>
      <w:r>
        <w:rPr>
          <w:rFonts w:ascii="Lato" w:hAnsi="Lato"/>
          <w:sz w:val="20"/>
          <w:szCs w:val="20"/>
        </w:rPr>
        <w:t xml:space="preserve"> w przepisach prawa należących do zakresu działania ministra </w:t>
      </w:r>
      <w:r w:rsidRPr="00B032AD">
        <w:rPr>
          <w:rFonts w:ascii="Lato" w:hAnsi="Lato"/>
          <w:sz w:val="20"/>
          <w:szCs w:val="20"/>
        </w:rPr>
        <w:t>właściw</w:t>
      </w:r>
      <w:r>
        <w:rPr>
          <w:rFonts w:ascii="Lato" w:hAnsi="Lato"/>
          <w:sz w:val="20"/>
          <w:szCs w:val="20"/>
        </w:rPr>
        <w:t>ego</w:t>
      </w:r>
      <w:r w:rsidRPr="00B032AD">
        <w:rPr>
          <w:rFonts w:ascii="Lato" w:hAnsi="Lato"/>
          <w:sz w:val="20"/>
          <w:szCs w:val="20"/>
        </w:rPr>
        <w:t xml:space="preserve"> do spraw budownictwa, planowania i zagospodarowania przestrzennego oraz mieszkalnictwa</w:t>
      </w:r>
      <w:r>
        <w:rPr>
          <w:rFonts w:ascii="Lato" w:hAnsi="Lato"/>
          <w:sz w:val="20"/>
          <w:szCs w:val="20"/>
        </w:rPr>
        <w:t xml:space="preserve">. </w:t>
      </w:r>
      <w:r w:rsidRPr="007442CE">
        <w:rPr>
          <w:rFonts w:ascii="Lato" w:hAnsi="Lato"/>
          <w:sz w:val="20"/>
          <w:szCs w:val="20"/>
        </w:rPr>
        <w:t xml:space="preserve">Jednocześnie </w:t>
      </w:r>
      <w:r>
        <w:rPr>
          <w:rFonts w:ascii="Lato" w:hAnsi="Lato"/>
          <w:sz w:val="20"/>
          <w:szCs w:val="20"/>
        </w:rPr>
        <w:t xml:space="preserve">resort rozwoju i technologii </w:t>
      </w:r>
      <w:r w:rsidRPr="007442CE">
        <w:rPr>
          <w:rFonts w:ascii="Lato" w:hAnsi="Lato"/>
          <w:sz w:val="20"/>
          <w:szCs w:val="20"/>
        </w:rPr>
        <w:t>monitoruje na bieżąco wdrażanie ww. przepisów</w:t>
      </w:r>
      <w:r>
        <w:rPr>
          <w:rFonts w:ascii="Lato" w:hAnsi="Lato"/>
          <w:sz w:val="20"/>
          <w:szCs w:val="20"/>
        </w:rPr>
        <w:t xml:space="preserve"> planistycznych wprowadzonych </w:t>
      </w:r>
      <w:r w:rsidRPr="007442CE">
        <w:rPr>
          <w:rFonts w:ascii="Lato" w:hAnsi="Lato"/>
          <w:sz w:val="20"/>
          <w:szCs w:val="20"/>
        </w:rPr>
        <w:t>reform</w:t>
      </w:r>
      <w:r>
        <w:rPr>
          <w:rFonts w:ascii="Lato" w:hAnsi="Lato"/>
          <w:sz w:val="20"/>
          <w:szCs w:val="20"/>
        </w:rPr>
        <w:t>ą</w:t>
      </w:r>
      <w:r w:rsidRPr="007442CE">
        <w:rPr>
          <w:rFonts w:ascii="Lato" w:hAnsi="Lato"/>
          <w:sz w:val="20"/>
          <w:szCs w:val="20"/>
        </w:rPr>
        <w:t xml:space="preserve"> systemu planowania przestrzennego. Jeżeli zaistnieje potrzeba wprowadzenia zmian w </w:t>
      </w:r>
      <w:r>
        <w:rPr>
          <w:rFonts w:ascii="Lato" w:hAnsi="Lato"/>
          <w:sz w:val="20"/>
          <w:szCs w:val="20"/>
        </w:rPr>
        <w:t xml:space="preserve">tych </w:t>
      </w:r>
      <w:r w:rsidRPr="007442CE">
        <w:rPr>
          <w:rFonts w:ascii="Lato" w:hAnsi="Lato"/>
          <w:sz w:val="20"/>
          <w:szCs w:val="20"/>
        </w:rPr>
        <w:t xml:space="preserve">przepisach zostaną podjęte działania </w:t>
      </w:r>
      <w:r>
        <w:rPr>
          <w:rFonts w:ascii="Lato" w:hAnsi="Lato"/>
          <w:sz w:val="20"/>
          <w:szCs w:val="20"/>
        </w:rPr>
        <w:br/>
      </w:r>
      <w:r w:rsidRPr="007442CE">
        <w:rPr>
          <w:rFonts w:ascii="Lato" w:hAnsi="Lato"/>
          <w:sz w:val="20"/>
          <w:szCs w:val="20"/>
        </w:rPr>
        <w:t xml:space="preserve">w celu ich znowelizowania. </w:t>
      </w:r>
    </w:p>
    <w:p w14:paraId="1A179D5A" w14:textId="77777777" w:rsidR="00421DDB" w:rsidRPr="001F5426" w:rsidRDefault="00000000" w:rsidP="00B032AD">
      <w:pPr>
        <w:tabs>
          <w:tab w:val="center" w:pos="1470"/>
          <w:tab w:val="left" w:pos="5387"/>
        </w:tabs>
        <w:spacing w:after="120" w:line="240" w:lineRule="exact"/>
        <w:jc w:val="center"/>
        <w:outlineLvl w:val="0"/>
        <w:rPr>
          <w:rFonts w:ascii="Lato" w:hAnsi="Lato" w:cs="Times New Roman"/>
          <w:b/>
          <w:bCs/>
          <w:sz w:val="20"/>
          <w:szCs w:val="20"/>
        </w:rPr>
      </w:pPr>
      <w:r w:rsidRPr="001F5426">
        <w:rPr>
          <w:rFonts w:ascii="Lato" w:hAnsi="Lato" w:cs="Times New Roman"/>
          <w:b/>
          <w:bCs/>
          <w:sz w:val="20"/>
          <w:szCs w:val="20"/>
        </w:rPr>
        <w:t>Pouczenie</w:t>
      </w:r>
    </w:p>
    <w:p w14:paraId="16FC563F" w14:textId="77777777" w:rsidR="00421DDB" w:rsidRPr="001F5426" w:rsidRDefault="00000000" w:rsidP="00B032AD">
      <w:pPr>
        <w:tabs>
          <w:tab w:val="center" w:pos="1470"/>
          <w:tab w:val="left" w:pos="5387"/>
        </w:tabs>
        <w:spacing w:after="120" w:line="240" w:lineRule="exact"/>
        <w:outlineLvl w:val="0"/>
        <w:rPr>
          <w:rFonts w:ascii="Lato" w:hAnsi="Lato" w:cs="Times New Roman"/>
          <w:sz w:val="20"/>
          <w:szCs w:val="20"/>
        </w:rPr>
      </w:pPr>
      <w:r w:rsidRPr="001F5426">
        <w:rPr>
          <w:rFonts w:ascii="Lato" w:hAnsi="Lato" w:cs="Times New Roman"/>
          <w:sz w:val="20"/>
          <w:szCs w:val="20"/>
        </w:rPr>
        <w:t>Zgodnie z art. 13 ust. 2 ustawy o petycjach sposób załatwienia petycji nie może być przedmiotem skargi.</w:t>
      </w:r>
    </w:p>
    <w:p w14:paraId="69856C7A" w14:textId="77777777" w:rsidR="00421DDB" w:rsidRDefault="00000000" w:rsidP="00D31565">
      <w:pPr>
        <w:spacing w:after="120" w:line="240" w:lineRule="exact"/>
        <w:ind w:left="4253"/>
        <w:rPr>
          <w:rFonts w:ascii="Lato" w:hAnsi="Lato"/>
          <w:b/>
          <w:bCs/>
          <w:sz w:val="20"/>
        </w:rPr>
      </w:pPr>
      <w:r w:rsidRPr="0093525C">
        <w:rPr>
          <w:rFonts w:ascii="Lato" w:hAnsi="Lato"/>
          <w:b/>
          <w:bCs/>
          <w:sz w:val="20"/>
        </w:rPr>
        <w:t xml:space="preserve">Z </w:t>
      </w:r>
      <w:r>
        <w:rPr>
          <w:rFonts w:ascii="Lato" w:hAnsi="Lato"/>
          <w:b/>
          <w:bCs/>
          <w:sz w:val="20"/>
        </w:rPr>
        <w:t xml:space="preserve">upoważnienia, z </w:t>
      </w:r>
      <w:r w:rsidRPr="0093525C">
        <w:rPr>
          <w:rFonts w:ascii="Lato" w:hAnsi="Lato"/>
          <w:b/>
          <w:bCs/>
          <w:sz w:val="20"/>
        </w:rPr>
        <w:t>wyrazami szacunku</w:t>
      </w:r>
    </w:p>
    <w:p w14:paraId="3E9F6A00" w14:textId="77777777" w:rsidR="00421DDB" w:rsidRPr="00565D32" w:rsidRDefault="00000000" w:rsidP="00D31565">
      <w:pPr>
        <w:spacing w:after="120" w:line="240" w:lineRule="exact"/>
        <w:ind w:left="4253"/>
        <w:rPr>
          <w:rFonts w:ascii="Lato" w:hAnsi="Lato"/>
          <w:sz w:val="20"/>
        </w:rPr>
      </w:pPr>
      <w:bookmarkStart w:id="4" w:name="ezdPracownikNazwa"/>
      <w:r w:rsidRPr="00565D32">
        <w:rPr>
          <w:rFonts w:ascii="Lato" w:hAnsi="Lato"/>
          <w:sz w:val="20"/>
        </w:rPr>
        <w:t>Michał Jaros</w:t>
      </w:r>
      <w:bookmarkEnd w:id="4"/>
    </w:p>
    <w:p w14:paraId="04B24823" w14:textId="77777777" w:rsidR="00421DDB" w:rsidRPr="00565D32" w:rsidRDefault="00000000" w:rsidP="00D31565">
      <w:pPr>
        <w:spacing w:after="120" w:line="240" w:lineRule="exact"/>
        <w:ind w:left="4253"/>
        <w:rPr>
          <w:rFonts w:ascii="Lato" w:hAnsi="Lato"/>
          <w:sz w:val="20"/>
        </w:rPr>
      </w:pPr>
      <w:bookmarkStart w:id="5" w:name="ezdPracownikStanowisko"/>
      <w:r w:rsidRPr="00565D32">
        <w:rPr>
          <w:rFonts w:ascii="Lato" w:hAnsi="Lato"/>
          <w:sz w:val="20"/>
        </w:rPr>
        <w:t>Sekretarz Stanu</w:t>
      </w:r>
      <w:bookmarkEnd w:id="5"/>
    </w:p>
    <w:p w14:paraId="46861ACA" w14:textId="77777777" w:rsidR="00421DDB" w:rsidRDefault="00000000" w:rsidP="00D31565">
      <w:pPr>
        <w:spacing w:after="120" w:line="240" w:lineRule="exact"/>
        <w:ind w:left="4253"/>
        <w:rPr>
          <w:rFonts w:ascii="Lato" w:hAnsi="Lato"/>
          <w:sz w:val="20"/>
        </w:rPr>
      </w:pPr>
      <w:bookmarkStart w:id="6" w:name="ezdPracownikAtrybut3"/>
      <w:r w:rsidRPr="00565D32">
        <w:rPr>
          <w:rFonts w:ascii="Lato" w:hAnsi="Lato"/>
          <w:sz w:val="20"/>
        </w:rPr>
        <w:t>/ kwalifikowany podpis elektroniczny /</w:t>
      </w:r>
      <w:bookmarkEnd w:id="6"/>
    </w:p>
    <w:p w14:paraId="21BE9A71" w14:textId="77777777" w:rsidR="00421DDB" w:rsidRDefault="00421DDB" w:rsidP="005A7E5D">
      <w:pPr>
        <w:spacing w:after="120" w:line="240" w:lineRule="exact"/>
        <w:rPr>
          <w:rFonts w:ascii="Lato" w:hAnsi="Lato"/>
          <w:sz w:val="20"/>
        </w:rPr>
      </w:pPr>
    </w:p>
    <w:p w14:paraId="28379979" w14:textId="77777777" w:rsidR="00421DDB" w:rsidRPr="00F93BEA" w:rsidRDefault="00000000" w:rsidP="007442CE">
      <w:pPr>
        <w:spacing w:after="120" w:line="240" w:lineRule="exact"/>
        <w:rPr>
          <w:rFonts w:ascii="Lato" w:eastAsia="Calibri" w:hAnsi="Lato" w:cs="Calibri"/>
          <w:b/>
          <w:bCs/>
          <w:sz w:val="20"/>
          <w:szCs w:val="20"/>
          <w:u w:val="single"/>
        </w:rPr>
      </w:pPr>
      <w:r w:rsidRPr="00F93BEA">
        <w:rPr>
          <w:rFonts w:ascii="Lato" w:eastAsia="Calibri" w:hAnsi="Lato" w:cs="Calibri"/>
          <w:b/>
          <w:bCs/>
          <w:sz w:val="20"/>
          <w:szCs w:val="20"/>
          <w:u w:val="single"/>
        </w:rPr>
        <w:t>Informacja o przetwarzaniu danych osobowych w procesie rozpatrywania petycji</w:t>
      </w:r>
    </w:p>
    <w:p w14:paraId="7807882D" w14:textId="77777777" w:rsidR="00421DDB" w:rsidRPr="00F93BEA" w:rsidRDefault="00000000" w:rsidP="007442CE">
      <w:pPr>
        <w:spacing w:after="120" w:line="240" w:lineRule="exact"/>
        <w:rPr>
          <w:rFonts w:ascii="Lato" w:eastAsia="Calibri" w:hAnsi="Lato" w:cs="Calibri"/>
          <w:bCs/>
          <w:sz w:val="20"/>
          <w:szCs w:val="20"/>
        </w:rPr>
      </w:pPr>
      <w:r w:rsidRPr="00F93BEA">
        <w:rPr>
          <w:rFonts w:ascii="Lato" w:eastAsia="Calibri" w:hAnsi="Lato" w:cs="Calibri"/>
          <w:bCs/>
          <w:sz w:val="20"/>
          <w:szCs w:val="20"/>
        </w:rPr>
        <w:lastRenderedPageBreak/>
        <w:t>Zgodnie z art. 13 ust. 1 i 2 Rozporządzenia Parlamentu Europejskiego i Rady (UE) 2016/679 z dnia 27 kwietnia 2016 r. w sprawie ochrony osób fizycznych w związku z</w:t>
      </w:r>
      <w:r>
        <w:rPr>
          <w:rFonts w:ascii="Lato" w:eastAsia="Calibri" w:hAnsi="Lato" w:cs="Calibri"/>
          <w:bCs/>
          <w:sz w:val="20"/>
          <w:szCs w:val="20"/>
        </w:rPr>
        <w:t> </w:t>
      </w:r>
      <w:r w:rsidRPr="00F93BEA">
        <w:rPr>
          <w:rFonts w:ascii="Lato" w:eastAsia="Calibri" w:hAnsi="Lato" w:cs="Calibri"/>
          <w:bCs/>
          <w:sz w:val="20"/>
          <w:szCs w:val="20"/>
        </w:rPr>
        <w:t xml:space="preserve">przetwarzaniem danych osobowych i w sprawie swobodnego przepływu takich danych oraz uchylenia dyrektywy 95/46/WE (Dz. U. L 119 z 4 maja 2016 z </w:t>
      </w:r>
      <w:proofErr w:type="spellStart"/>
      <w:r w:rsidRPr="00F93BEA">
        <w:rPr>
          <w:rFonts w:ascii="Lato" w:eastAsia="Calibri" w:hAnsi="Lato" w:cs="Calibri"/>
          <w:bCs/>
          <w:sz w:val="20"/>
          <w:szCs w:val="20"/>
        </w:rPr>
        <w:t>późn</w:t>
      </w:r>
      <w:proofErr w:type="spellEnd"/>
      <w:r w:rsidRPr="00F93BEA">
        <w:rPr>
          <w:rFonts w:ascii="Lato" w:eastAsia="Calibri" w:hAnsi="Lato" w:cs="Calibri"/>
          <w:bCs/>
          <w:sz w:val="20"/>
          <w:szCs w:val="20"/>
        </w:rPr>
        <w:t>. zm.), zwanego dalej „RODO”, informuję, że:</w:t>
      </w:r>
    </w:p>
    <w:p w14:paraId="540022A7"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 xml:space="preserve">Administratorem Pani/Pana danych osobowych jest Minister Rozwoju i Technologii z siedzibą w Warszawie, przy Placu Trzech Krzyży 3/5, 00-507 Warszawa, e-mail: kancelaria@mrit.gov.pl, tel. +48 222 500 123, adres skrytki na </w:t>
      </w:r>
      <w:proofErr w:type="spellStart"/>
      <w:r w:rsidRPr="00F93BEA">
        <w:rPr>
          <w:rFonts w:ascii="Lato" w:eastAsia="Calibri" w:hAnsi="Lato" w:cs="Calibri"/>
          <w:bCs/>
          <w:sz w:val="20"/>
          <w:szCs w:val="20"/>
        </w:rPr>
        <w:t>ePUAP</w:t>
      </w:r>
      <w:proofErr w:type="spellEnd"/>
      <w:r w:rsidRPr="00F93BEA">
        <w:rPr>
          <w:rFonts w:ascii="Lato" w:eastAsia="Calibri" w:hAnsi="Lato" w:cs="Calibri"/>
          <w:bCs/>
          <w:sz w:val="20"/>
          <w:szCs w:val="20"/>
        </w:rPr>
        <w:t>: /</w:t>
      </w:r>
      <w:proofErr w:type="spellStart"/>
      <w:r w:rsidRPr="00F93BEA">
        <w:rPr>
          <w:rFonts w:ascii="Lato" w:eastAsia="Calibri" w:hAnsi="Lato" w:cs="Calibri"/>
          <w:bCs/>
          <w:sz w:val="20"/>
          <w:szCs w:val="20"/>
        </w:rPr>
        <w:t>MRPiT</w:t>
      </w:r>
      <w:proofErr w:type="spellEnd"/>
      <w:r w:rsidRPr="00F93BEA">
        <w:rPr>
          <w:rFonts w:ascii="Lato" w:eastAsia="Calibri" w:hAnsi="Lato" w:cs="Calibri"/>
          <w:bCs/>
          <w:sz w:val="20"/>
          <w:szCs w:val="20"/>
        </w:rPr>
        <w:t>/</w:t>
      </w:r>
      <w:proofErr w:type="spellStart"/>
      <w:r w:rsidRPr="00F93BEA">
        <w:rPr>
          <w:rFonts w:ascii="Lato" w:eastAsia="Calibri" w:hAnsi="Lato" w:cs="Calibri"/>
          <w:bCs/>
          <w:sz w:val="20"/>
          <w:szCs w:val="20"/>
        </w:rPr>
        <w:t>SkrytkaESP</w:t>
      </w:r>
      <w:proofErr w:type="spellEnd"/>
      <w:r w:rsidRPr="00F93BEA">
        <w:rPr>
          <w:rFonts w:ascii="Lato" w:eastAsia="Calibri" w:hAnsi="Lato" w:cs="Calibri"/>
          <w:bCs/>
          <w:sz w:val="20"/>
          <w:szCs w:val="20"/>
        </w:rPr>
        <w:t>.</w:t>
      </w:r>
      <w:r>
        <w:rPr>
          <w:rFonts w:ascii="Lato" w:eastAsia="Calibri" w:hAnsi="Lato" w:cs="Calibri"/>
          <w:bCs/>
          <w:sz w:val="20"/>
          <w:szCs w:val="20"/>
        </w:rPr>
        <w:t xml:space="preserve"> </w:t>
      </w:r>
      <w:r w:rsidRPr="00F93BEA">
        <w:rPr>
          <w:rFonts w:ascii="Lato" w:eastAsia="Calibri" w:hAnsi="Lato" w:cs="Calibri"/>
          <w:bCs/>
          <w:sz w:val="20"/>
          <w:szCs w:val="20"/>
        </w:rPr>
        <w:t>Wykonującym obowiązki Administratora jest Dyrektor Departamentu Architektury, Budownictwa i Geodezji.</w:t>
      </w:r>
    </w:p>
    <w:p w14:paraId="243E47B2"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Jeśli ma Pani/Pan pytania dotyczące przetwarzania Pani/Pana danych osobowych, a także przysługujących Pani/Panu praw, może się Pani/Pan kontaktować z Inspektorem Ochrony Danych w MRiT wysyłając informację na skrzynkę: iod@mrit.gov.pl.</w:t>
      </w:r>
    </w:p>
    <w:p w14:paraId="04514824"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Pani/Pana dane osobowe będą przetwarzane w oparciu o art. 6 ust. 1 lit. c) RODO tj. w celu wypełnienia obowiązku prawnego ciążącego na administratorze, na podstawie przepisów ustawy z dnia 11 lipca 2014 r. o petycjach (Dz.U. z 2018 r. poz. 870), w celu rozpatrzenia petycji.</w:t>
      </w:r>
    </w:p>
    <w:p w14:paraId="3D4943B4"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 xml:space="preserve">Odbiorcami Pani/Pana danych osobowych mogą być:  </w:t>
      </w:r>
    </w:p>
    <w:p w14:paraId="3EB713D4" w14:textId="77777777" w:rsidR="00421DDB" w:rsidRPr="00F93BEA" w:rsidRDefault="00000000" w:rsidP="007442CE">
      <w:pPr>
        <w:numPr>
          <w:ilvl w:val="1"/>
          <w:numId w:val="3"/>
        </w:numPr>
        <w:tabs>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 </w:t>
      </w:r>
    </w:p>
    <w:p w14:paraId="108071C7" w14:textId="77777777" w:rsidR="00421DDB" w:rsidRPr="00F93BEA" w:rsidRDefault="00000000" w:rsidP="007442CE">
      <w:pPr>
        <w:numPr>
          <w:ilvl w:val="1"/>
          <w:numId w:val="3"/>
        </w:numPr>
        <w:tabs>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inne podmioty, które na podstawie stosownych umów podpisanych z MRiT przetwarzają dane osobowe, dla których Administratorem jest Minister Rozwoju i Technologii (np. podmioty świadczące usługi prawne, dostawcy systemów informatycznych i usług IT oraz telekomunikacyjnych, operatorzy pocztowi i kurierzy).</w:t>
      </w:r>
    </w:p>
    <w:p w14:paraId="2A9996E4"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Pani/Pana dane osobowe będą przechowywane przez okres niezbędny do realizacji celu ich przetwarzania tj. do chwili załatwienia sprawy, w której zostały one zebrane, a następnie – w przypadkach, w których wymagają tego przepisy ustawy z dnia 14 lipca 1983 r. o narodowym zasobie archiwalnym i archiwach (Dz.U. z 2020 r. poz. 164 ze zm.) – przez czas określony w tych przepisach.</w:t>
      </w:r>
    </w:p>
    <w:p w14:paraId="613E7A20"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Pani/Pana dane osobowe nie będą podlegać zautomatyzowanemu podejmowaniu decyzji lub profilowaniu.</w:t>
      </w:r>
    </w:p>
    <w:p w14:paraId="34DFFA89"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Pani/Pana dane osobowe nie będą przekazywane do państwa trzeciego ani do organizacji międzynarodowych.</w:t>
      </w:r>
    </w:p>
    <w:p w14:paraId="0F9B3C9A"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Podanie danych jest dobrowolne, ale niezbędne do rozpatrzenia petycji.</w:t>
      </w:r>
    </w:p>
    <w:p w14:paraId="5170A9D3"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 xml:space="preserve">W związku z przetwarzaniem Pani/Pana danych osobowych przysługują Pani/Panu następujące prawa:  </w:t>
      </w:r>
    </w:p>
    <w:p w14:paraId="6A2FE13C" w14:textId="77777777" w:rsidR="00421DDB" w:rsidRPr="00F93BEA" w:rsidRDefault="00000000" w:rsidP="007442CE">
      <w:pPr>
        <w:numPr>
          <w:ilvl w:val="1"/>
          <w:numId w:val="3"/>
        </w:numPr>
        <w:tabs>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prawo dostępu do swoich danych oraz otrzymania ich kopii zgodnie z art. 15 RODO; </w:t>
      </w:r>
    </w:p>
    <w:p w14:paraId="49E0B5FB" w14:textId="77777777" w:rsidR="00421DDB" w:rsidRPr="00F93BEA" w:rsidRDefault="00000000" w:rsidP="007442CE">
      <w:pPr>
        <w:numPr>
          <w:ilvl w:val="1"/>
          <w:numId w:val="3"/>
        </w:numPr>
        <w:tabs>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prawo do sprostowania (poprawiania) swoich danych jeśli są błędne lub nieaktualne, zgodnie z art. 16 RODO; </w:t>
      </w:r>
    </w:p>
    <w:p w14:paraId="4CB22956" w14:textId="77777777" w:rsidR="00421DDB" w:rsidRPr="00F93BEA" w:rsidRDefault="00000000" w:rsidP="007442CE">
      <w:pPr>
        <w:numPr>
          <w:ilvl w:val="1"/>
          <w:numId w:val="3"/>
        </w:numPr>
        <w:tabs>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t>prawo do ograniczenia przetwarzania danych zgodnie z art. 18 RODO.</w:t>
      </w:r>
    </w:p>
    <w:p w14:paraId="69E8A932" w14:textId="77777777" w:rsidR="00421DDB" w:rsidRPr="00F93BEA" w:rsidRDefault="00000000" w:rsidP="007442CE">
      <w:pPr>
        <w:numPr>
          <w:ilvl w:val="0"/>
          <w:numId w:val="3"/>
        </w:numPr>
        <w:tabs>
          <w:tab w:val="clear" w:pos="720"/>
          <w:tab w:val="num" w:pos="426"/>
        </w:tabs>
        <w:spacing w:after="120" w:line="240" w:lineRule="exact"/>
        <w:ind w:left="426" w:hanging="426"/>
        <w:rPr>
          <w:rFonts w:ascii="Lato" w:eastAsia="Calibri" w:hAnsi="Lato" w:cs="Calibri"/>
          <w:bCs/>
          <w:sz w:val="20"/>
          <w:szCs w:val="20"/>
        </w:rPr>
      </w:pPr>
      <w:r w:rsidRPr="00F93BEA">
        <w:rPr>
          <w:rFonts w:ascii="Lato" w:eastAsia="Calibri" w:hAnsi="Lato" w:cs="Calibri"/>
          <w:bCs/>
          <w:sz w:val="20"/>
          <w:szCs w:val="20"/>
        </w:rPr>
        <w:lastRenderedPageBreak/>
        <w:t>W przypadku powzięcia informacji o niezgodnym z prawem przetwarzaniu w Ministerstwie Rozwoju i Technologii Pani/Pana danych osobowych, przysługuje Pani/Panu prawo wniesienia skargi do organu nadzorczego właściwego w sprawach ochrony danych osobowych, tj. Prezesa Urzędu Ochrony Danych Osobowych, ul. Stawki 2, 00-193 Warszawa.</w:t>
      </w:r>
    </w:p>
    <w:p w14:paraId="1DAFE504" w14:textId="77777777" w:rsidR="00421DDB" w:rsidRDefault="00421DDB" w:rsidP="007442CE">
      <w:pPr>
        <w:spacing w:after="120" w:line="240" w:lineRule="exact"/>
        <w:rPr>
          <w:rFonts w:ascii="Lato" w:hAnsi="Lato"/>
          <w:sz w:val="20"/>
        </w:rPr>
      </w:pPr>
    </w:p>
    <w:sectPr w:rsidR="00421DDB" w:rsidSect="003A1976">
      <w:headerReference w:type="even" r:id="rId8"/>
      <w:headerReference w:type="default" r:id="rId9"/>
      <w:footerReference w:type="even" r:id="rId10"/>
      <w:footerReference w:type="default" r:id="rId11"/>
      <w:headerReference w:type="first" r:id="rId12"/>
      <w:footerReference w:type="first" r:id="rId13"/>
      <w:pgSz w:w="11906" w:h="16838"/>
      <w:pgMar w:top="2268" w:right="1985" w:bottom="1985" w:left="1985"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AFBDD" w14:textId="77777777" w:rsidR="00D61C29" w:rsidRDefault="00D61C29">
      <w:pPr>
        <w:spacing w:after="0" w:line="240" w:lineRule="auto"/>
      </w:pPr>
      <w:r>
        <w:separator/>
      </w:r>
    </w:p>
  </w:endnote>
  <w:endnote w:type="continuationSeparator" w:id="0">
    <w:p w14:paraId="41E12BE7" w14:textId="77777777" w:rsidR="00D61C29" w:rsidRDefault="00D61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5671E475-7FB9-47C5-BF0D-A66555CF4A39}"/>
    <w:embedBold r:id="rId2" w:fontKey="{B5C832B5-3BA9-4B75-B32F-183039C102D3}"/>
    <w:embedItalic r:id="rId3" w:fontKey="{B3F60790-088B-4346-9FBB-8131BCC1C174}"/>
    <w:embedBoldItalic r:id="rId4" w:fontKey="{086A5540-9438-43FB-A1DC-3651BA7C19CF}"/>
  </w:font>
  <w:font w:name="Calibri Light">
    <w:panose1 w:val="020F0302020204030204"/>
    <w:charset w:val="EE"/>
    <w:family w:val="swiss"/>
    <w:pitch w:val="variable"/>
    <w:sig w:usb0="E4002EFF" w:usb1="C000247B" w:usb2="00000009" w:usb3="00000000" w:csb0="000001FF" w:csb1="00000000"/>
    <w:embedRegular r:id="rId5" w:fontKey="{33ECF87F-F603-424F-B553-EC26082A05AB}"/>
  </w:font>
  <w:font w:name="Lato">
    <w:charset w:val="00"/>
    <w:family w:val="swiss"/>
    <w:pitch w:val="variable"/>
    <w:sig w:usb0="E10002FF" w:usb1="5000ECFF" w:usb2="00000021" w:usb3="00000000" w:csb0="0000019F" w:csb1="00000000"/>
    <w:embedRegular r:id="rId6" w:fontKey="{A435D8B2-7AAC-4688-94C3-B234B7DB74DD}"/>
    <w:embedBold r:id="rId7" w:fontKey="{C4EDA3A9-EB49-42C2-B9F8-A5222CFF8B7A}"/>
    <w:embedItalic r:id="rId8" w:fontKey="{79C2D298-AD8B-4261-A18C-895433D24289}"/>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6BD9" w14:textId="77777777" w:rsidR="00421DDB" w:rsidRDefault="00421D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42CDF" w14:textId="77777777" w:rsidR="00421DDB" w:rsidRPr="001E1273" w:rsidRDefault="00000000" w:rsidP="003A1976">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0288" behindDoc="0" locked="0" layoutInCell="1" allowOverlap="1" wp14:anchorId="39E8476B" wp14:editId="1F08A000">
              <wp:simplePos x="0" y="0"/>
              <wp:positionH relativeFrom="margin">
                <wp:posOffset>0</wp:posOffset>
              </wp:positionH>
              <wp:positionV relativeFrom="paragraph">
                <wp:posOffset>-120650</wp:posOffset>
              </wp:positionV>
              <wp:extent cx="5040000" cy="0"/>
              <wp:effectExtent l="0" t="0" r="27305" b="19050"/>
              <wp:wrapNone/>
              <wp:docPr id="3" name="Łącznik prosty 3"/>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61312" from="0,-9.5pt" to="396.85pt,-9.5pt" strokecolor="black" strokeweight="0.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710A25E0" w14:textId="77777777" w:rsidR="00421DDB" w:rsidRPr="001E1273" w:rsidRDefault="00000000" w:rsidP="003A1976">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2D5BEB6D" w14:textId="77777777" w:rsidR="00421DDB" w:rsidRDefault="00000000" w:rsidP="003A1976">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Pr>
        <w:rFonts w:ascii="Lato" w:hAnsi="Lato"/>
        <w:sz w:val="14"/>
        <w:szCs w:val="14"/>
      </w:rPr>
      <w:tab/>
    </w:r>
    <w:r w:rsidRPr="001E1273">
      <w:rPr>
        <w:rFonts w:ascii="Lato" w:hAnsi="Lato"/>
        <w:sz w:val="14"/>
        <w:szCs w:val="14"/>
      </w:rPr>
      <w:t>Ministerstwo</w:t>
    </w:r>
    <w:r>
      <w:rPr>
        <w:rFonts w:ascii="Lato" w:hAnsi="Lato"/>
        <w:sz w:val="14"/>
        <w:szCs w:val="14"/>
      </w:rPr>
      <w:t xml:space="preserve"> </w:t>
    </w:r>
    <w:r>
      <w:rPr>
        <w:rFonts w:ascii="Lato" w:hAnsi="Lato"/>
        <w:sz w:val="14"/>
        <w:szCs w:val="14"/>
      </w:rPr>
      <w:br/>
    </w:r>
    <w:r w:rsidRPr="001E1273">
      <w:rPr>
        <w:rFonts w:ascii="Lato" w:hAnsi="Lato"/>
        <w:sz w:val="14"/>
        <w:szCs w:val="14"/>
      </w:rPr>
      <w:t>Rozwoju</w:t>
    </w:r>
    <w:r>
      <w:rPr>
        <w:rFonts w:ascii="Lato" w:hAnsi="Lato"/>
        <w:sz w:val="14"/>
        <w:szCs w:val="14"/>
      </w:rPr>
      <w:t xml:space="preserve"> </w:t>
    </w:r>
    <w:r w:rsidRPr="001E1273">
      <w:rPr>
        <w:rFonts w:ascii="Lato" w:hAnsi="Lato"/>
        <w:sz w:val="14"/>
        <w:szCs w:val="14"/>
      </w:rPr>
      <w:t>i</w:t>
    </w:r>
    <w:r>
      <w:rPr>
        <w:rFonts w:ascii="Lato" w:hAnsi="Lato"/>
        <w:sz w:val="14"/>
        <w:szCs w:val="14"/>
      </w:rPr>
      <w:t> </w:t>
    </w:r>
    <w:r w:rsidRPr="001E1273">
      <w:rPr>
        <w:rFonts w:ascii="Lato" w:hAnsi="Lato"/>
        <w:sz w:val="14"/>
        <w:szCs w:val="14"/>
      </w:rPr>
      <w:t>Technologii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0A0EA" w14:textId="77777777" w:rsidR="00421DDB" w:rsidRPr="001E1273" w:rsidRDefault="00000000"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58240" behindDoc="0" locked="0" layoutInCell="1" allowOverlap="1" wp14:anchorId="12837B0D" wp14:editId="591465D5">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1"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9.5pt" to="396.85pt,-9.5pt" strokecolor="black" strokeweight="0.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6BD9F4AA" w14:textId="77777777" w:rsidR="00421DDB" w:rsidRPr="001E1273" w:rsidRDefault="00000000"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238C1EC9" w14:textId="77777777" w:rsidR="00421DDB" w:rsidRDefault="00000000"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gov.pl/rozwoj-technologia</w:t>
    </w:r>
    <w:r>
      <w:rPr>
        <w:rFonts w:ascii="Lato" w:hAnsi="Lato"/>
        <w:sz w:val="14"/>
        <w:szCs w:val="14"/>
      </w:rPr>
      <w:tab/>
    </w:r>
    <w:r w:rsidRPr="001E1273">
      <w:rPr>
        <w:rFonts w:ascii="Lato" w:hAnsi="Lato"/>
        <w:sz w:val="14"/>
        <w:szCs w:val="14"/>
      </w:rPr>
      <w:t>Ministerstwo</w:t>
    </w:r>
    <w:r>
      <w:rPr>
        <w:rFonts w:ascii="Lato" w:hAnsi="Lato"/>
        <w:sz w:val="14"/>
        <w:szCs w:val="14"/>
      </w:rPr>
      <w:t xml:space="preserve"> </w:t>
    </w:r>
    <w:r>
      <w:rPr>
        <w:rFonts w:ascii="Lato" w:hAnsi="Lato"/>
        <w:sz w:val="14"/>
        <w:szCs w:val="14"/>
      </w:rPr>
      <w:br/>
    </w:r>
    <w:r w:rsidRPr="001E1273">
      <w:rPr>
        <w:rFonts w:ascii="Lato" w:hAnsi="Lato"/>
        <w:sz w:val="14"/>
        <w:szCs w:val="14"/>
      </w:rPr>
      <w:t>Rozwoju</w:t>
    </w:r>
    <w:r>
      <w:rPr>
        <w:rFonts w:ascii="Lato" w:hAnsi="Lato"/>
        <w:sz w:val="14"/>
        <w:szCs w:val="14"/>
      </w:rPr>
      <w:t xml:space="preserve"> </w:t>
    </w:r>
    <w:r w:rsidRPr="001E1273">
      <w:rPr>
        <w:rFonts w:ascii="Lato" w:hAnsi="Lato"/>
        <w:sz w:val="14"/>
        <w:szCs w:val="14"/>
      </w:rPr>
      <w:t>i</w:t>
    </w:r>
    <w:r>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FB77E" w14:textId="77777777" w:rsidR="00D61C29" w:rsidRDefault="00D61C29">
      <w:pPr>
        <w:spacing w:after="0" w:line="240" w:lineRule="auto"/>
      </w:pPr>
      <w:r>
        <w:separator/>
      </w:r>
    </w:p>
  </w:footnote>
  <w:footnote w:type="continuationSeparator" w:id="0">
    <w:p w14:paraId="20BF66DC" w14:textId="77777777" w:rsidR="00D61C29" w:rsidRDefault="00D61C29">
      <w:pPr>
        <w:spacing w:after="0" w:line="240" w:lineRule="auto"/>
      </w:pPr>
      <w:r>
        <w:continuationSeparator/>
      </w:r>
    </w:p>
  </w:footnote>
  <w:footnote w:id="1">
    <w:p w14:paraId="7E937A7C" w14:textId="77777777" w:rsidR="00421DDB" w:rsidRPr="007975D0" w:rsidRDefault="00000000" w:rsidP="007975D0">
      <w:pPr>
        <w:spacing w:after="0" w:line="240" w:lineRule="auto"/>
        <w:rPr>
          <w:rFonts w:ascii="Lato" w:hAnsi="Lato"/>
          <w:sz w:val="20"/>
          <w:szCs w:val="20"/>
        </w:rPr>
      </w:pPr>
      <w:r>
        <w:rPr>
          <w:rStyle w:val="Odwoanieprzypisudolnego"/>
        </w:rPr>
        <w:footnoteRef/>
      </w:r>
      <w:r>
        <w:t xml:space="preserve"> </w:t>
      </w:r>
      <w:r w:rsidRPr="00C67F69">
        <w:rPr>
          <w:rFonts w:ascii="Lato" w:hAnsi="Lato" w:cstheme="minorHAnsi"/>
          <w:bCs/>
          <w:sz w:val="20"/>
          <w:szCs w:val="20"/>
        </w:rPr>
        <w:t xml:space="preserve">Powyższe potwierdza również orzecznictwo sądowe: Wyrok Wojewódzkiego Sądu Administracyjnego w Łodzi z dnia 17 stycznia 2019 r., sygn. II SA/Łd 761/18, wyrok WSA </w:t>
      </w:r>
      <w:r w:rsidRPr="00C67F69">
        <w:rPr>
          <w:rFonts w:ascii="Lato" w:hAnsi="Lato" w:cstheme="minorHAnsi"/>
          <w:sz w:val="20"/>
          <w:szCs w:val="20"/>
        </w:rPr>
        <w:t xml:space="preserve">w Rzeszowie z dnia 11 marca 2021 r., sygn. akt II </w:t>
      </w:r>
      <w:hyperlink r:id="rId1" w:history="1">
        <w:r w:rsidRPr="00C67F69">
          <w:rPr>
            <w:rStyle w:val="Hipercze"/>
            <w:rFonts w:ascii="Lato" w:hAnsi="Lato" w:cstheme="minorHAnsi"/>
            <w:color w:val="auto"/>
            <w:sz w:val="20"/>
            <w:szCs w:val="20"/>
            <w:u w:val="none"/>
          </w:rPr>
          <w:t>SA/Rz 847/20</w:t>
        </w:r>
      </w:hyperlink>
      <w:r w:rsidRPr="00C67F69">
        <w:rPr>
          <w:rFonts w:ascii="Lato" w:hAnsi="Lato" w:cstheme="minorHAnsi"/>
          <w:sz w:val="20"/>
          <w:szCs w:val="20"/>
        </w:rPr>
        <w:t>, wyrok WSA w Warszawie z 26 września 2018 r., VII SA/Wa 2892/17.</w:t>
      </w:r>
    </w:p>
  </w:footnote>
  <w:footnote w:id="2">
    <w:p w14:paraId="7ACEECA4" w14:textId="77777777" w:rsidR="00421DDB" w:rsidRPr="00727991" w:rsidRDefault="00000000" w:rsidP="006770E9">
      <w:pPr>
        <w:pStyle w:val="Tekstprzypisudolnego"/>
        <w:rPr>
          <w:rFonts w:ascii="Lato" w:hAnsi="Lato"/>
        </w:rPr>
      </w:pPr>
      <w:r w:rsidRPr="00727991">
        <w:rPr>
          <w:rStyle w:val="Odwoanieprzypisudolnego"/>
          <w:rFonts w:ascii="Lato" w:hAnsi="Lato"/>
        </w:rPr>
        <w:footnoteRef/>
      </w:r>
      <w:r w:rsidRPr="00727991">
        <w:rPr>
          <w:rFonts w:ascii="Lato" w:hAnsi="Lato"/>
        </w:rPr>
        <w:t xml:space="preserve"> </w:t>
      </w:r>
      <w:r w:rsidRPr="00F4362C">
        <w:rPr>
          <w:rFonts w:ascii="Lato" w:hAnsi="Lato"/>
          <w:sz w:val="16"/>
          <w:szCs w:val="16"/>
        </w:rPr>
        <w:t>zgodnie z art. 16 ustawy z dnia 4 września 1997 r. o działach administracji rządowej (Dz. U. z 2024 r.poz.</w:t>
      </w:r>
      <w:r>
        <w:rPr>
          <w:rFonts w:ascii="Lato" w:hAnsi="Lato"/>
          <w:sz w:val="16"/>
          <w:szCs w:val="16"/>
        </w:rPr>
        <w:t>1370</w:t>
      </w:r>
      <w:r w:rsidRPr="00F4362C">
        <w:rPr>
          <w:rFonts w:ascii="Lato" w:hAnsi="Lato"/>
          <w:sz w:val="16"/>
          <w:szCs w:val="16"/>
        </w:rPr>
        <w:t xml:space="preserve"> ).</w:t>
      </w:r>
    </w:p>
  </w:footnote>
  <w:footnote w:id="3">
    <w:p w14:paraId="6F594AAF" w14:textId="77777777" w:rsidR="00421DDB" w:rsidRPr="00F4362C" w:rsidRDefault="00000000" w:rsidP="006770E9">
      <w:pPr>
        <w:pStyle w:val="Tekstprzypisudolnego"/>
        <w:rPr>
          <w:rFonts w:ascii="Lato" w:hAnsi="Lato"/>
          <w:sz w:val="16"/>
          <w:szCs w:val="16"/>
        </w:rPr>
      </w:pPr>
      <w:r w:rsidRPr="00727991">
        <w:rPr>
          <w:rStyle w:val="Odwoanieprzypisudolnego"/>
          <w:rFonts w:ascii="Lato" w:hAnsi="Lato"/>
        </w:rPr>
        <w:footnoteRef/>
      </w:r>
      <w:r w:rsidRPr="00727991">
        <w:rPr>
          <w:rFonts w:ascii="Lato" w:hAnsi="Lato"/>
        </w:rPr>
        <w:t xml:space="preserve"> </w:t>
      </w:r>
      <w:r w:rsidRPr="00F4362C">
        <w:rPr>
          <w:rFonts w:ascii="Lato" w:hAnsi="Lato"/>
          <w:sz w:val="16"/>
          <w:szCs w:val="16"/>
        </w:rPr>
        <w:t>zgodnie z rozporządzeniem Prezesa Rady Ministrów z dnia 16 maja 2024 r. w sprawie szczegółowego zakresu działania Ministra Aktywów Państwowych (Dz. U. poz. 741).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E1C83" w14:textId="77777777" w:rsidR="00421DDB" w:rsidRDefault="00421D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0D02C" w14:textId="77777777" w:rsidR="00421DDB" w:rsidRDefault="00421DDB" w:rsidP="009276B2">
    <w:pPr>
      <w:pStyle w:val="Nagwek"/>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DC69B" w14:textId="77777777" w:rsidR="00421DDB" w:rsidRDefault="00000000">
    <w:pPr>
      <w:pStyle w:val="Nagwek"/>
    </w:pPr>
    <w:r>
      <w:rPr>
        <w:noProof/>
        <w:lang w:eastAsia="pl-PL"/>
      </w:rPr>
      <w:drawing>
        <wp:anchor distT="0" distB="0" distL="114300" distR="114300" simplePos="0" relativeHeight="251662336" behindDoc="0" locked="0" layoutInCell="1" allowOverlap="1" wp14:anchorId="28EEE875" wp14:editId="70589CC7">
          <wp:simplePos x="0" y="0"/>
          <wp:positionH relativeFrom="column">
            <wp:posOffset>-888365</wp:posOffset>
          </wp:positionH>
          <wp:positionV relativeFrom="paragraph">
            <wp:posOffset>410845</wp:posOffset>
          </wp:positionV>
          <wp:extent cx="3172460" cy="1027430"/>
          <wp:effectExtent l="0" t="0" r="0" b="0"/>
          <wp:wrapThrough wrapText="bothSides">
            <wp:wrapPolygon edited="0">
              <wp:start x="2853" y="2403"/>
              <wp:lineTo x="1686" y="3604"/>
              <wp:lineTo x="778" y="6408"/>
              <wp:lineTo x="778" y="9612"/>
              <wp:lineTo x="1297" y="16020"/>
              <wp:lineTo x="1297" y="16821"/>
              <wp:lineTo x="2983" y="18823"/>
              <wp:lineTo x="20753" y="18823"/>
              <wp:lineTo x="21012" y="10413"/>
              <wp:lineTo x="19456" y="9612"/>
              <wp:lineTo x="11673" y="8811"/>
              <wp:lineTo x="11544" y="5206"/>
              <wp:lineTo x="3632" y="2403"/>
              <wp:lineTo x="2853" y="2403"/>
            </wp:wrapPolygon>
          </wp:wrapThrough>
          <wp:docPr id="5" name="Obraz 5" descr="Obraz zawierający symbol,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symbol, design&#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2460" cy="1027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33B51"/>
    <w:multiLevelType w:val="hybridMultilevel"/>
    <w:tmpl w:val="4462F3E4"/>
    <w:lvl w:ilvl="0" w:tplc="EC46D58C">
      <w:start w:val="1"/>
      <w:numFmt w:val="decimal"/>
      <w:lvlText w:val="%1."/>
      <w:lvlJc w:val="left"/>
      <w:pPr>
        <w:tabs>
          <w:tab w:val="num" w:pos="720"/>
        </w:tabs>
        <w:ind w:left="720" w:hanging="360"/>
      </w:pPr>
      <w:rPr>
        <w:rFonts w:cs="Times New Roman"/>
      </w:rPr>
    </w:lvl>
    <w:lvl w:ilvl="1" w:tplc="19729B78">
      <w:start w:val="1"/>
      <w:numFmt w:val="lowerLetter"/>
      <w:lvlText w:val="%2."/>
      <w:lvlJc w:val="left"/>
      <w:pPr>
        <w:tabs>
          <w:tab w:val="num" w:pos="1440"/>
        </w:tabs>
        <w:ind w:left="1440" w:hanging="360"/>
      </w:pPr>
      <w:rPr>
        <w:rFonts w:cs="Times New Roman"/>
      </w:rPr>
    </w:lvl>
    <w:lvl w:ilvl="2" w:tplc="C012FB38">
      <w:start w:val="1"/>
      <w:numFmt w:val="lowerRoman"/>
      <w:lvlText w:val="%3."/>
      <w:lvlJc w:val="right"/>
      <w:pPr>
        <w:tabs>
          <w:tab w:val="num" w:pos="2160"/>
        </w:tabs>
        <w:ind w:left="2160" w:hanging="180"/>
      </w:pPr>
      <w:rPr>
        <w:rFonts w:cs="Times New Roman"/>
      </w:rPr>
    </w:lvl>
    <w:lvl w:ilvl="3" w:tplc="317CBEA6">
      <w:start w:val="1"/>
      <w:numFmt w:val="decimal"/>
      <w:lvlText w:val="%4."/>
      <w:lvlJc w:val="left"/>
      <w:pPr>
        <w:tabs>
          <w:tab w:val="num" w:pos="2880"/>
        </w:tabs>
        <w:ind w:left="2880" w:hanging="360"/>
      </w:pPr>
      <w:rPr>
        <w:rFonts w:cs="Times New Roman"/>
      </w:rPr>
    </w:lvl>
    <w:lvl w:ilvl="4" w:tplc="7F929472">
      <w:start w:val="1"/>
      <w:numFmt w:val="lowerLetter"/>
      <w:lvlText w:val="%5."/>
      <w:lvlJc w:val="left"/>
      <w:pPr>
        <w:tabs>
          <w:tab w:val="num" w:pos="3600"/>
        </w:tabs>
        <w:ind w:left="3600" w:hanging="360"/>
      </w:pPr>
      <w:rPr>
        <w:rFonts w:cs="Times New Roman"/>
      </w:rPr>
    </w:lvl>
    <w:lvl w:ilvl="5" w:tplc="413634C0">
      <w:start w:val="1"/>
      <w:numFmt w:val="lowerRoman"/>
      <w:lvlText w:val="%6."/>
      <w:lvlJc w:val="right"/>
      <w:pPr>
        <w:tabs>
          <w:tab w:val="num" w:pos="4320"/>
        </w:tabs>
        <w:ind w:left="4320" w:hanging="180"/>
      </w:pPr>
      <w:rPr>
        <w:rFonts w:cs="Times New Roman"/>
      </w:rPr>
    </w:lvl>
    <w:lvl w:ilvl="6" w:tplc="1AA2292C">
      <w:start w:val="1"/>
      <w:numFmt w:val="decimal"/>
      <w:lvlText w:val="%7."/>
      <w:lvlJc w:val="left"/>
      <w:pPr>
        <w:tabs>
          <w:tab w:val="num" w:pos="5040"/>
        </w:tabs>
        <w:ind w:left="5040" w:hanging="360"/>
      </w:pPr>
      <w:rPr>
        <w:rFonts w:cs="Times New Roman"/>
      </w:rPr>
    </w:lvl>
    <w:lvl w:ilvl="7" w:tplc="DC7635D8">
      <w:start w:val="1"/>
      <w:numFmt w:val="lowerLetter"/>
      <w:lvlText w:val="%8."/>
      <w:lvlJc w:val="left"/>
      <w:pPr>
        <w:tabs>
          <w:tab w:val="num" w:pos="5760"/>
        </w:tabs>
        <w:ind w:left="5760" w:hanging="360"/>
      </w:pPr>
      <w:rPr>
        <w:rFonts w:cs="Times New Roman"/>
      </w:rPr>
    </w:lvl>
    <w:lvl w:ilvl="8" w:tplc="16948FD6">
      <w:start w:val="1"/>
      <w:numFmt w:val="lowerRoman"/>
      <w:lvlText w:val="%9."/>
      <w:lvlJc w:val="right"/>
      <w:pPr>
        <w:tabs>
          <w:tab w:val="num" w:pos="6480"/>
        </w:tabs>
        <w:ind w:left="6480" w:hanging="180"/>
      </w:pPr>
      <w:rPr>
        <w:rFonts w:cs="Times New Roman"/>
      </w:rPr>
    </w:lvl>
  </w:abstractNum>
  <w:abstractNum w:abstractNumId="1" w15:restartNumberingAfterBreak="0">
    <w:nsid w:val="26220F5E"/>
    <w:multiLevelType w:val="hybridMultilevel"/>
    <w:tmpl w:val="54640F68"/>
    <w:lvl w:ilvl="0" w:tplc="004CBB3C">
      <w:start w:val="1"/>
      <w:numFmt w:val="decimal"/>
      <w:lvlText w:val="%1."/>
      <w:lvlJc w:val="left"/>
      <w:pPr>
        <w:tabs>
          <w:tab w:val="num" w:pos="720"/>
        </w:tabs>
        <w:ind w:left="720" w:hanging="360"/>
      </w:pPr>
      <w:rPr>
        <w:rFonts w:cs="Times New Roman"/>
      </w:rPr>
    </w:lvl>
    <w:lvl w:ilvl="1" w:tplc="6FB01082">
      <w:start w:val="1"/>
      <w:numFmt w:val="lowerLetter"/>
      <w:lvlText w:val="%2."/>
      <w:lvlJc w:val="left"/>
      <w:pPr>
        <w:tabs>
          <w:tab w:val="num" w:pos="1440"/>
        </w:tabs>
        <w:ind w:left="1440" w:hanging="360"/>
      </w:pPr>
      <w:rPr>
        <w:rFonts w:cs="Times New Roman"/>
      </w:rPr>
    </w:lvl>
    <w:lvl w:ilvl="2" w:tplc="CBFCF852">
      <w:start w:val="1"/>
      <w:numFmt w:val="lowerRoman"/>
      <w:lvlText w:val="%3."/>
      <w:lvlJc w:val="right"/>
      <w:pPr>
        <w:tabs>
          <w:tab w:val="num" w:pos="2160"/>
        </w:tabs>
        <w:ind w:left="2160" w:hanging="180"/>
      </w:pPr>
      <w:rPr>
        <w:rFonts w:cs="Times New Roman"/>
      </w:rPr>
    </w:lvl>
    <w:lvl w:ilvl="3" w:tplc="FD16F8FA">
      <w:start w:val="1"/>
      <w:numFmt w:val="decimal"/>
      <w:lvlText w:val="%4."/>
      <w:lvlJc w:val="left"/>
      <w:pPr>
        <w:tabs>
          <w:tab w:val="num" w:pos="2880"/>
        </w:tabs>
        <w:ind w:left="2880" w:hanging="360"/>
      </w:pPr>
      <w:rPr>
        <w:rFonts w:cs="Times New Roman"/>
      </w:rPr>
    </w:lvl>
    <w:lvl w:ilvl="4" w:tplc="199E3E12">
      <w:start w:val="1"/>
      <w:numFmt w:val="lowerLetter"/>
      <w:lvlText w:val="%5."/>
      <w:lvlJc w:val="left"/>
      <w:pPr>
        <w:tabs>
          <w:tab w:val="num" w:pos="3600"/>
        </w:tabs>
        <w:ind w:left="3600" w:hanging="360"/>
      </w:pPr>
      <w:rPr>
        <w:rFonts w:cs="Times New Roman"/>
      </w:rPr>
    </w:lvl>
    <w:lvl w:ilvl="5" w:tplc="BDE0B114">
      <w:start w:val="1"/>
      <w:numFmt w:val="lowerRoman"/>
      <w:lvlText w:val="%6."/>
      <w:lvlJc w:val="right"/>
      <w:pPr>
        <w:tabs>
          <w:tab w:val="num" w:pos="4320"/>
        </w:tabs>
        <w:ind w:left="4320" w:hanging="180"/>
      </w:pPr>
      <w:rPr>
        <w:rFonts w:cs="Times New Roman"/>
      </w:rPr>
    </w:lvl>
    <w:lvl w:ilvl="6" w:tplc="BB24C9E0">
      <w:start w:val="1"/>
      <w:numFmt w:val="decimal"/>
      <w:lvlText w:val="%7."/>
      <w:lvlJc w:val="left"/>
      <w:pPr>
        <w:tabs>
          <w:tab w:val="num" w:pos="5040"/>
        </w:tabs>
        <w:ind w:left="5040" w:hanging="360"/>
      </w:pPr>
      <w:rPr>
        <w:rFonts w:cs="Times New Roman"/>
      </w:rPr>
    </w:lvl>
    <w:lvl w:ilvl="7" w:tplc="527E330E">
      <w:start w:val="1"/>
      <w:numFmt w:val="lowerLetter"/>
      <w:lvlText w:val="%8."/>
      <w:lvlJc w:val="left"/>
      <w:pPr>
        <w:tabs>
          <w:tab w:val="num" w:pos="5760"/>
        </w:tabs>
        <w:ind w:left="5760" w:hanging="360"/>
      </w:pPr>
      <w:rPr>
        <w:rFonts w:cs="Times New Roman"/>
      </w:rPr>
    </w:lvl>
    <w:lvl w:ilvl="8" w:tplc="31529940">
      <w:start w:val="1"/>
      <w:numFmt w:val="lowerRoman"/>
      <w:lvlText w:val="%9."/>
      <w:lvlJc w:val="right"/>
      <w:pPr>
        <w:tabs>
          <w:tab w:val="num" w:pos="6480"/>
        </w:tabs>
        <w:ind w:left="6480" w:hanging="180"/>
      </w:pPr>
      <w:rPr>
        <w:rFonts w:cs="Times New Roman"/>
      </w:rPr>
    </w:lvl>
  </w:abstractNum>
  <w:abstractNum w:abstractNumId="2" w15:restartNumberingAfterBreak="0">
    <w:nsid w:val="2E646266"/>
    <w:multiLevelType w:val="multilevel"/>
    <w:tmpl w:val="7568A7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5B4C8E"/>
    <w:multiLevelType w:val="hybridMultilevel"/>
    <w:tmpl w:val="63BA2F0E"/>
    <w:lvl w:ilvl="0" w:tplc="69C8A2D0">
      <w:start w:val="1"/>
      <w:numFmt w:val="decimal"/>
      <w:lvlText w:val="%1)"/>
      <w:lvlJc w:val="left"/>
      <w:pPr>
        <w:ind w:left="720" w:hanging="360"/>
      </w:pPr>
      <w:rPr>
        <w:rFonts w:hint="default"/>
      </w:rPr>
    </w:lvl>
    <w:lvl w:ilvl="1" w:tplc="9B742952" w:tentative="1">
      <w:start w:val="1"/>
      <w:numFmt w:val="lowerLetter"/>
      <w:lvlText w:val="%2."/>
      <w:lvlJc w:val="left"/>
      <w:pPr>
        <w:ind w:left="1440" w:hanging="360"/>
      </w:pPr>
    </w:lvl>
    <w:lvl w:ilvl="2" w:tplc="B7301F62" w:tentative="1">
      <w:start w:val="1"/>
      <w:numFmt w:val="lowerRoman"/>
      <w:lvlText w:val="%3."/>
      <w:lvlJc w:val="right"/>
      <w:pPr>
        <w:ind w:left="2160" w:hanging="180"/>
      </w:pPr>
    </w:lvl>
    <w:lvl w:ilvl="3" w:tplc="610C692E" w:tentative="1">
      <w:start w:val="1"/>
      <w:numFmt w:val="decimal"/>
      <w:lvlText w:val="%4."/>
      <w:lvlJc w:val="left"/>
      <w:pPr>
        <w:ind w:left="2880" w:hanging="360"/>
      </w:pPr>
    </w:lvl>
    <w:lvl w:ilvl="4" w:tplc="734C91C8" w:tentative="1">
      <w:start w:val="1"/>
      <w:numFmt w:val="lowerLetter"/>
      <w:lvlText w:val="%5."/>
      <w:lvlJc w:val="left"/>
      <w:pPr>
        <w:ind w:left="3600" w:hanging="360"/>
      </w:pPr>
    </w:lvl>
    <w:lvl w:ilvl="5" w:tplc="1B0881DE" w:tentative="1">
      <w:start w:val="1"/>
      <w:numFmt w:val="lowerRoman"/>
      <w:lvlText w:val="%6."/>
      <w:lvlJc w:val="right"/>
      <w:pPr>
        <w:ind w:left="4320" w:hanging="180"/>
      </w:pPr>
    </w:lvl>
    <w:lvl w:ilvl="6" w:tplc="CA1295EC" w:tentative="1">
      <w:start w:val="1"/>
      <w:numFmt w:val="decimal"/>
      <w:lvlText w:val="%7."/>
      <w:lvlJc w:val="left"/>
      <w:pPr>
        <w:ind w:left="5040" w:hanging="360"/>
      </w:pPr>
    </w:lvl>
    <w:lvl w:ilvl="7" w:tplc="2C1ED67C" w:tentative="1">
      <w:start w:val="1"/>
      <w:numFmt w:val="lowerLetter"/>
      <w:lvlText w:val="%8."/>
      <w:lvlJc w:val="left"/>
      <w:pPr>
        <w:ind w:left="5760" w:hanging="360"/>
      </w:pPr>
    </w:lvl>
    <w:lvl w:ilvl="8" w:tplc="E138BBA4" w:tentative="1">
      <w:start w:val="1"/>
      <w:numFmt w:val="lowerRoman"/>
      <w:lvlText w:val="%9."/>
      <w:lvlJc w:val="right"/>
      <w:pPr>
        <w:ind w:left="6480" w:hanging="180"/>
      </w:pPr>
    </w:lvl>
  </w:abstractNum>
  <w:abstractNum w:abstractNumId="4" w15:restartNumberingAfterBreak="0">
    <w:nsid w:val="71314073"/>
    <w:multiLevelType w:val="hybridMultilevel"/>
    <w:tmpl w:val="980A4806"/>
    <w:lvl w:ilvl="0" w:tplc="16227958">
      <w:start w:val="1"/>
      <w:numFmt w:val="decimal"/>
      <w:lvlText w:val="%1)"/>
      <w:lvlJc w:val="left"/>
      <w:pPr>
        <w:ind w:left="720" w:hanging="360"/>
      </w:pPr>
      <w:rPr>
        <w:rFonts w:hint="default"/>
      </w:rPr>
    </w:lvl>
    <w:lvl w:ilvl="1" w:tplc="C37C1A94" w:tentative="1">
      <w:start w:val="1"/>
      <w:numFmt w:val="lowerLetter"/>
      <w:lvlText w:val="%2."/>
      <w:lvlJc w:val="left"/>
      <w:pPr>
        <w:ind w:left="1440" w:hanging="360"/>
      </w:pPr>
    </w:lvl>
    <w:lvl w:ilvl="2" w:tplc="20C44F04" w:tentative="1">
      <w:start w:val="1"/>
      <w:numFmt w:val="lowerRoman"/>
      <w:lvlText w:val="%3."/>
      <w:lvlJc w:val="right"/>
      <w:pPr>
        <w:ind w:left="2160" w:hanging="180"/>
      </w:pPr>
    </w:lvl>
    <w:lvl w:ilvl="3" w:tplc="B5BEE9C4" w:tentative="1">
      <w:start w:val="1"/>
      <w:numFmt w:val="decimal"/>
      <w:lvlText w:val="%4."/>
      <w:lvlJc w:val="left"/>
      <w:pPr>
        <w:ind w:left="2880" w:hanging="360"/>
      </w:pPr>
    </w:lvl>
    <w:lvl w:ilvl="4" w:tplc="B9463F90" w:tentative="1">
      <w:start w:val="1"/>
      <w:numFmt w:val="lowerLetter"/>
      <w:lvlText w:val="%5."/>
      <w:lvlJc w:val="left"/>
      <w:pPr>
        <w:ind w:left="3600" w:hanging="360"/>
      </w:pPr>
    </w:lvl>
    <w:lvl w:ilvl="5" w:tplc="FC62BE4E" w:tentative="1">
      <w:start w:val="1"/>
      <w:numFmt w:val="lowerRoman"/>
      <w:lvlText w:val="%6."/>
      <w:lvlJc w:val="right"/>
      <w:pPr>
        <w:ind w:left="4320" w:hanging="180"/>
      </w:pPr>
    </w:lvl>
    <w:lvl w:ilvl="6" w:tplc="31C85572" w:tentative="1">
      <w:start w:val="1"/>
      <w:numFmt w:val="decimal"/>
      <w:lvlText w:val="%7."/>
      <w:lvlJc w:val="left"/>
      <w:pPr>
        <w:ind w:left="5040" w:hanging="360"/>
      </w:pPr>
    </w:lvl>
    <w:lvl w:ilvl="7" w:tplc="5F360436" w:tentative="1">
      <w:start w:val="1"/>
      <w:numFmt w:val="lowerLetter"/>
      <w:lvlText w:val="%8."/>
      <w:lvlJc w:val="left"/>
      <w:pPr>
        <w:ind w:left="5760" w:hanging="360"/>
      </w:pPr>
    </w:lvl>
    <w:lvl w:ilvl="8" w:tplc="D2A825B4" w:tentative="1">
      <w:start w:val="1"/>
      <w:numFmt w:val="lowerRoman"/>
      <w:lvlText w:val="%9."/>
      <w:lvlJc w:val="right"/>
      <w:pPr>
        <w:ind w:left="6480" w:hanging="180"/>
      </w:pPr>
    </w:lvl>
  </w:abstractNum>
  <w:num w:numId="1" w16cid:durableId="1981691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9134599">
    <w:abstractNumId w:val="0"/>
  </w:num>
  <w:num w:numId="3" w16cid:durableId="223293830">
    <w:abstractNumId w:val="2"/>
  </w:num>
  <w:num w:numId="4" w16cid:durableId="1723017110">
    <w:abstractNumId w:val="3"/>
  </w:num>
  <w:num w:numId="5" w16cid:durableId="1859927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3A"/>
    <w:rsid w:val="001721F5"/>
    <w:rsid w:val="00333A17"/>
    <w:rsid w:val="00421DDB"/>
    <w:rsid w:val="0053583A"/>
    <w:rsid w:val="008E086E"/>
    <w:rsid w:val="00942C24"/>
    <w:rsid w:val="00AC4CA3"/>
    <w:rsid w:val="00D61C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067A"/>
  <w15:docId w15:val="{6E183DD3-8907-424F-A53C-C39DDC8D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B613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C402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Akapitzlist">
    <w:name w:val="List Paragraph"/>
    <w:basedOn w:val="Normalny"/>
    <w:uiPriority w:val="34"/>
    <w:qFormat/>
    <w:rsid w:val="005E4FD8"/>
    <w:pPr>
      <w:ind w:left="720"/>
      <w:contextualSpacing/>
    </w:pPr>
  </w:style>
  <w:style w:type="paragraph" w:styleId="Tekstprzypisudolnego">
    <w:name w:val="footnote text"/>
    <w:basedOn w:val="Normalny"/>
    <w:link w:val="TekstprzypisudolnegoZnak"/>
    <w:uiPriority w:val="99"/>
    <w:semiHidden/>
    <w:unhideWhenUsed/>
    <w:rsid w:val="005E4FD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E4FD8"/>
    <w:rPr>
      <w:sz w:val="20"/>
      <w:szCs w:val="20"/>
    </w:rPr>
  </w:style>
  <w:style w:type="character" w:styleId="Odwoanieprzypisudolnego">
    <w:name w:val="footnote reference"/>
    <w:basedOn w:val="Domylnaczcionkaakapitu"/>
    <w:uiPriority w:val="99"/>
    <w:semiHidden/>
    <w:unhideWhenUsed/>
    <w:rsid w:val="005E4FD8"/>
    <w:rPr>
      <w:vertAlign w:val="superscript"/>
    </w:rPr>
  </w:style>
  <w:style w:type="character" w:customStyle="1" w:styleId="Nierozpoznanawzmianka2">
    <w:name w:val="Nierozpoznana wzmianka2"/>
    <w:basedOn w:val="Domylnaczcionkaakapitu"/>
    <w:uiPriority w:val="99"/>
    <w:rsid w:val="0011648D"/>
    <w:rPr>
      <w:color w:val="605E5C"/>
      <w:shd w:val="clear" w:color="auto" w:fill="E1DFDD"/>
    </w:rPr>
  </w:style>
  <w:style w:type="character" w:styleId="Odwoaniedokomentarza">
    <w:name w:val="annotation reference"/>
    <w:basedOn w:val="Domylnaczcionkaakapitu"/>
    <w:uiPriority w:val="99"/>
    <w:semiHidden/>
    <w:unhideWhenUsed/>
    <w:rsid w:val="007661E5"/>
    <w:rPr>
      <w:sz w:val="16"/>
      <w:szCs w:val="16"/>
    </w:rPr>
  </w:style>
  <w:style w:type="paragraph" w:styleId="Tekstkomentarza">
    <w:name w:val="annotation text"/>
    <w:basedOn w:val="Normalny"/>
    <w:link w:val="TekstkomentarzaZnak"/>
    <w:uiPriority w:val="99"/>
    <w:unhideWhenUsed/>
    <w:rsid w:val="007661E5"/>
    <w:pPr>
      <w:spacing w:line="240" w:lineRule="auto"/>
    </w:pPr>
    <w:rPr>
      <w:sz w:val="20"/>
      <w:szCs w:val="20"/>
    </w:rPr>
  </w:style>
  <w:style w:type="character" w:customStyle="1" w:styleId="TekstkomentarzaZnak">
    <w:name w:val="Tekst komentarza Znak"/>
    <w:basedOn w:val="Domylnaczcionkaakapitu"/>
    <w:link w:val="Tekstkomentarza"/>
    <w:uiPriority w:val="99"/>
    <w:rsid w:val="007661E5"/>
    <w:rPr>
      <w:sz w:val="20"/>
      <w:szCs w:val="20"/>
    </w:rPr>
  </w:style>
  <w:style w:type="paragraph" w:styleId="Tematkomentarza">
    <w:name w:val="annotation subject"/>
    <w:basedOn w:val="Tekstkomentarza"/>
    <w:next w:val="Tekstkomentarza"/>
    <w:link w:val="TematkomentarzaZnak"/>
    <w:uiPriority w:val="99"/>
    <w:semiHidden/>
    <w:unhideWhenUsed/>
    <w:rsid w:val="007661E5"/>
    <w:rPr>
      <w:b/>
      <w:bCs/>
    </w:rPr>
  </w:style>
  <w:style w:type="character" w:customStyle="1" w:styleId="TematkomentarzaZnak">
    <w:name w:val="Temat komentarza Znak"/>
    <w:basedOn w:val="TekstkomentarzaZnak"/>
    <w:link w:val="Tematkomentarza"/>
    <w:uiPriority w:val="99"/>
    <w:semiHidden/>
    <w:rsid w:val="007661E5"/>
    <w:rPr>
      <w:b/>
      <w:bCs/>
      <w:sz w:val="20"/>
      <w:szCs w:val="20"/>
    </w:rPr>
  </w:style>
  <w:style w:type="character" w:customStyle="1" w:styleId="Nagwek3Znak">
    <w:name w:val="Nagłówek 3 Znak"/>
    <w:basedOn w:val="Domylnaczcionkaakapitu"/>
    <w:link w:val="Nagwek3"/>
    <w:uiPriority w:val="9"/>
    <w:semiHidden/>
    <w:rsid w:val="00C402F7"/>
    <w:rPr>
      <w:rFonts w:asciiTheme="majorHAnsi" w:eastAsiaTheme="majorEastAsia" w:hAnsiTheme="majorHAnsi" w:cstheme="majorBidi"/>
      <w:color w:val="1F4D78" w:themeColor="accent1" w:themeShade="7F"/>
      <w:sz w:val="24"/>
      <w:szCs w:val="24"/>
    </w:rPr>
  </w:style>
  <w:style w:type="character" w:customStyle="1" w:styleId="Nagwek2Znak">
    <w:name w:val="Nagłówek 2 Znak"/>
    <w:basedOn w:val="Domylnaczcionkaakapitu"/>
    <w:link w:val="Nagwek2"/>
    <w:uiPriority w:val="9"/>
    <w:semiHidden/>
    <w:rsid w:val="00B6137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orzeczenia.nsa.gov.pl/doc/3F718444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3935</Words>
  <Characters>23614</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Szuszman Ewa</cp:lastModifiedBy>
  <cp:revision>2</cp:revision>
  <cp:lastPrinted>2022-09-08T13:34:00Z</cp:lastPrinted>
  <dcterms:created xsi:type="dcterms:W3CDTF">2024-11-26T11:21:00Z</dcterms:created>
  <dcterms:modified xsi:type="dcterms:W3CDTF">2024-11-26T11:21:00Z</dcterms:modified>
</cp:coreProperties>
</file>