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663"/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560"/>
        <w:gridCol w:w="644"/>
        <w:gridCol w:w="348"/>
        <w:gridCol w:w="538"/>
        <w:gridCol w:w="413"/>
        <w:gridCol w:w="155"/>
        <w:gridCol w:w="186"/>
        <w:gridCol w:w="382"/>
        <w:gridCol w:w="568"/>
        <w:gridCol w:w="24"/>
        <w:gridCol w:w="245"/>
        <w:gridCol w:w="299"/>
        <w:gridCol w:w="368"/>
        <w:gridCol w:w="200"/>
        <w:gridCol w:w="568"/>
        <w:gridCol w:w="80"/>
        <w:gridCol w:w="87"/>
        <w:gridCol w:w="401"/>
        <w:gridCol w:w="113"/>
        <w:gridCol w:w="454"/>
        <w:gridCol w:w="181"/>
        <w:gridCol w:w="387"/>
        <w:gridCol w:w="367"/>
        <w:gridCol w:w="201"/>
        <w:gridCol w:w="568"/>
        <w:gridCol w:w="165"/>
        <w:gridCol w:w="1293"/>
        <w:gridCol w:w="123"/>
      </w:tblGrid>
      <w:tr w:rsidR="006A701A" w:rsidRPr="00C00CCF" w14:paraId="68D3942B" w14:textId="77777777" w:rsidTr="000E0B30">
        <w:trPr>
          <w:trHeight w:val="1611"/>
        </w:trPr>
        <w:tc>
          <w:tcPr>
            <w:tcW w:w="6607" w:type="dxa"/>
            <w:gridSpan w:val="17"/>
            <w:shd w:val="clear" w:color="auto" w:fill="FFFFFF"/>
          </w:tcPr>
          <w:p w14:paraId="68D39419" w14:textId="0CD34FBE" w:rsidR="006A701A" w:rsidRPr="00C00CCF" w:rsidRDefault="006A701A" w:rsidP="00731A2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r w:rsidRPr="00C00CCF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C00CCF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62EF6BD2" w14:textId="1480F75C" w:rsidR="001F3899" w:rsidRDefault="001F3899" w:rsidP="00220CA2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Ustawa</w:t>
            </w:r>
            <w:r>
              <w:t xml:space="preserve"> </w:t>
            </w:r>
            <w:r w:rsidRPr="00FD5A27">
              <w:rPr>
                <w:rFonts w:ascii="Times New Roman" w:hAnsi="Times New Roman"/>
                <w:color w:val="000000"/>
              </w:rPr>
              <w:t xml:space="preserve">o zmianie </w:t>
            </w:r>
            <w:r w:rsidRPr="003A6AF0">
              <w:rPr>
                <w:rFonts w:ascii="Times New Roman" w:hAnsi="Times New Roman"/>
                <w:color w:val="000000"/>
              </w:rPr>
              <w:t xml:space="preserve">ustawy o </w:t>
            </w:r>
            <w:r w:rsidR="00D22FE0">
              <w:rPr>
                <w:rFonts w:ascii="Times New Roman" w:hAnsi="Times New Roman"/>
                <w:color w:val="000000"/>
              </w:rPr>
              <w:t>usługach zaufania oraz identyfikacji elektronicznej</w:t>
            </w:r>
          </w:p>
          <w:p w14:paraId="68D3941B" w14:textId="77777777" w:rsidR="006A701A" w:rsidRPr="00C00CCF" w:rsidRDefault="006A701A" w:rsidP="00731A29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70058E67" w14:textId="77777777" w:rsidR="00F36642" w:rsidRPr="00C00CCF" w:rsidRDefault="00B135D0" w:rsidP="00731A29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Ministerstwo Cyfryzacji</w:t>
            </w:r>
          </w:p>
          <w:p w14:paraId="68D3941D" w14:textId="2034F716" w:rsidR="001B3460" w:rsidRPr="00C00CCF" w:rsidRDefault="001B3460" w:rsidP="00731A2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68D3941E" w14:textId="0D589577" w:rsidR="00AC4A0D" w:rsidRPr="00C00CCF" w:rsidRDefault="00F36642" w:rsidP="00731A29">
            <w:pPr>
              <w:spacing w:after="120" w:line="240" w:lineRule="auto"/>
              <w:rPr>
                <w:rFonts w:ascii="Times New Roman" w:hAnsi="Times New Roman"/>
              </w:rPr>
            </w:pPr>
            <w:r w:rsidRPr="00C00CCF">
              <w:rPr>
                <w:rFonts w:ascii="Times New Roman" w:hAnsi="Times New Roman"/>
              </w:rPr>
              <w:t>Dariusz Standerski</w:t>
            </w:r>
            <w:r w:rsidR="002947AF" w:rsidRPr="00C00CCF">
              <w:rPr>
                <w:rFonts w:ascii="Times New Roman" w:hAnsi="Times New Roman"/>
              </w:rPr>
              <w:t xml:space="preserve">, </w:t>
            </w:r>
            <w:r w:rsidR="00AC4A0D" w:rsidRPr="00C00CCF">
              <w:rPr>
                <w:rFonts w:ascii="Times New Roman" w:hAnsi="Times New Roman"/>
              </w:rPr>
              <w:t>Sekretarz Stanu</w:t>
            </w:r>
            <w:r w:rsidR="00AA2ED2" w:rsidRPr="00C00CCF">
              <w:rPr>
                <w:rFonts w:ascii="Times New Roman" w:hAnsi="Times New Roman"/>
              </w:rPr>
              <w:t xml:space="preserve"> w Ministerstwie Cyfryzacji</w:t>
            </w:r>
          </w:p>
          <w:p w14:paraId="68D39420" w14:textId="77777777" w:rsidR="006A701A" w:rsidRPr="00C00CCF" w:rsidRDefault="006A701A" w:rsidP="00731A29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68D39422" w14:textId="158337C7" w:rsidR="006A701A" w:rsidRPr="00C00CCF" w:rsidRDefault="00A6215C" w:rsidP="00731A29">
            <w:pPr>
              <w:spacing w:line="240" w:lineRule="auto"/>
              <w:rPr>
                <w:rFonts w:ascii="Times New Roman" w:hAnsi="Times New Roman"/>
                <w:color w:val="000000"/>
                <w:lang w:val="it-IT"/>
              </w:rPr>
            </w:pPr>
            <w:r w:rsidRPr="00C00CCF">
              <w:rPr>
                <w:rFonts w:ascii="Times New Roman" w:hAnsi="Times New Roman"/>
                <w:color w:val="000000"/>
              </w:rPr>
              <w:t>Monika Małowiecka</w:t>
            </w:r>
            <w:r w:rsidR="00813178" w:rsidRPr="00C00CCF">
              <w:rPr>
                <w:rFonts w:ascii="Times New Roman" w:hAnsi="Times New Roman"/>
                <w:color w:val="000000"/>
              </w:rPr>
              <w:t xml:space="preserve">, </w:t>
            </w:r>
            <w:r w:rsidRPr="00C00CCF">
              <w:rPr>
                <w:rFonts w:ascii="Times New Roman" w:hAnsi="Times New Roman"/>
                <w:color w:val="000000"/>
              </w:rPr>
              <w:t xml:space="preserve">zastępca dyrektora Departamentu Transformacji Cyfrowej </w:t>
            </w:r>
            <w:r w:rsidR="00813178" w:rsidRPr="00C00CCF">
              <w:rPr>
                <w:rFonts w:ascii="Times New Roman" w:hAnsi="Times New Roman"/>
                <w:color w:val="000000"/>
              </w:rPr>
              <w:t xml:space="preserve">w </w:t>
            </w:r>
            <w:r w:rsidRPr="00C00CCF">
              <w:rPr>
                <w:rFonts w:ascii="Times New Roman" w:hAnsi="Times New Roman"/>
                <w:color w:val="000000"/>
              </w:rPr>
              <w:t>Ministerstw</w:t>
            </w:r>
            <w:r w:rsidR="00813178" w:rsidRPr="00C00CCF">
              <w:rPr>
                <w:rFonts w:ascii="Times New Roman" w:hAnsi="Times New Roman"/>
                <w:color w:val="000000"/>
              </w:rPr>
              <w:t>ie</w:t>
            </w:r>
            <w:r w:rsidRPr="00C00CCF">
              <w:rPr>
                <w:rFonts w:ascii="Times New Roman" w:hAnsi="Times New Roman"/>
                <w:color w:val="000000"/>
              </w:rPr>
              <w:t xml:space="preserve"> Cyfryzacji, </w:t>
            </w:r>
            <w:r w:rsidRPr="00C00CCF">
              <w:rPr>
                <w:rFonts w:ascii="Times New Roman" w:hAnsi="Times New Roman"/>
                <w:color w:val="000000"/>
                <w:lang w:val="it-IT"/>
              </w:rPr>
              <w:t xml:space="preserve">adres e-mail: </w:t>
            </w:r>
            <w:hyperlink r:id="rId8" w:history="1">
              <w:r w:rsidR="00A11AB0" w:rsidRPr="00C00CCF">
                <w:rPr>
                  <w:rStyle w:val="Hipercze"/>
                  <w:rFonts w:ascii="Times New Roman" w:hAnsi="Times New Roman"/>
                  <w:lang w:val="it-IT"/>
                </w:rPr>
                <w:t>monika.malowiecka3@cyfra.gov.pl</w:t>
              </w:r>
            </w:hyperlink>
          </w:p>
        </w:tc>
        <w:tc>
          <w:tcPr>
            <w:tcW w:w="4340" w:type="dxa"/>
            <w:gridSpan w:val="12"/>
            <w:shd w:val="clear" w:color="auto" w:fill="FFFFFF"/>
          </w:tcPr>
          <w:p w14:paraId="68D39423" w14:textId="4791E6D8" w:rsidR="001B3460" w:rsidRPr="00C00CCF" w:rsidRDefault="001B3460" w:rsidP="000E0B3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C00CCF">
              <w:rPr>
                <w:rFonts w:ascii="Times New Roman" w:hAnsi="Times New Roman"/>
                <w:b/>
              </w:rPr>
              <w:t>Data sporządzenia</w:t>
            </w:r>
            <w:r w:rsidRPr="00C00CCF">
              <w:rPr>
                <w:rFonts w:ascii="Times New Roman" w:hAnsi="Times New Roman"/>
                <w:b/>
              </w:rPr>
              <w:br/>
            </w:r>
            <w:r w:rsidR="00220CA2">
              <w:rPr>
                <w:rFonts w:ascii="Times New Roman" w:hAnsi="Times New Roman"/>
                <w:bCs/>
              </w:rPr>
              <w:t>01.06</w:t>
            </w:r>
            <w:r w:rsidR="00A6215C" w:rsidRPr="00C00CCF">
              <w:rPr>
                <w:rFonts w:ascii="Times New Roman" w:hAnsi="Times New Roman"/>
                <w:bCs/>
              </w:rPr>
              <w:t>.202</w:t>
            </w:r>
            <w:r w:rsidR="00485E07">
              <w:rPr>
                <w:rFonts w:ascii="Times New Roman" w:hAnsi="Times New Roman"/>
                <w:bCs/>
              </w:rPr>
              <w:t>6</w:t>
            </w:r>
          </w:p>
          <w:p w14:paraId="68D39425" w14:textId="77777777" w:rsidR="00F76884" w:rsidRPr="00C00CCF" w:rsidRDefault="00F76884" w:rsidP="000E0B3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</w:rPr>
            </w:pPr>
            <w:r w:rsidRPr="00C00CC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5C53E874" w14:textId="097FB312" w:rsidR="00E31D91" w:rsidRPr="00C00CCF" w:rsidRDefault="000D2830" w:rsidP="000E0B30">
            <w:pPr>
              <w:shd w:val="clear" w:color="auto" w:fill="FFFFFF"/>
              <w:spacing w:after="120" w:line="240" w:lineRule="auto"/>
              <w:rPr>
                <w:rFonts w:ascii="Times New Roman" w:hAnsi="Times New Roman"/>
              </w:rPr>
            </w:pPr>
            <w:r w:rsidRPr="00C00CCF">
              <w:rPr>
                <w:rFonts w:ascii="Times New Roman" w:hAnsi="Times New Roman"/>
              </w:rPr>
              <w:t>inicjatywa własna</w:t>
            </w:r>
          </w:p>
          <w:p w14:paraId="68D39428" w14:textId="3ABCF5BC" w:rsidR="006A701A" w:rsidRPr="00C00CCF" w:rsidRDefault="006A701A" w:rsidP="000E0B3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C00CCF">
              <w:rPr>
                <w:rFonts w:ascii="Times New Roman" w:hAnsi="Times New Roman"/>
                <w:b/>
                <w:color w:val="000000"/>
              </w:rPr>
              <w:t>w</w:t>
            </w:r>
            <w:r w:rsidRPr="00C00CCF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C00CCF">
              <w:rPr>
                <w:rFonts w:ascii="Times New Roman" w:hAnsi="Times New Roman"/>
                <w:b/>
                <w:color w:val="000000"/>
              </w:rPr>
              <w:t>ie</w:t>
            </w:r>
            <w:r w:rsidRPr="00C00CCF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14:paraId="68D39429" w14:textId="68E6DF9B" w:rsidR="006A701A" w:rsidRPr="00C00CCF" w:rsidRDefault="00485E07" w:rsidP="000E0B3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UD352</w:t>
            </w:r>
          </w:p>
          <w:p w14:paraId="68D3942A" w14:textId="77777777" w:rsidR="006A701A" w:rsidRPr="00C00CCF" w:rsidRDefault="006A701A" w:rsidP="000E0B3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C00CCF" w14:paraId="68D3942D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68D3942C" w14:textId="77777777" w:rsidR="006A701A" w:rsidRPr="00C00CCF" w:rsidRDefault="006A701A" w:rsidP="000E0B30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00CCF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6A701A" w:rsidRPr="00C00CCF" w14:paraId="68D3942F" w14:textId="77777777" w:rsidTr="000E0B30">
        <w:trPr>
          <w:trHeight w:val="333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8D3942E" w14:textId="77777777" w:rsidR="006A701A" w:rsidRPr="00C00CCF" w:rsidRDefault="003D12F6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C00CCF">
              <w:rPr>
                <w:rFonts w:ascii="Times New Roman" w:hAnsi="Times New Roman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C00CCF" w14:paraId="68D3943D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3A4C5D43" w14:textId="4F8A4C42" w:rsidR="00D212C8" w:rsidRPr="00D22FE0" w:rsidRDefault="00D212C8" w:rsidP="00D22FE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D212C8">
              <w:rPr>
                <w:rFonts w:ascii="Times New Roman" w:hAnsi="Times New Roman"/>
              </w:rPr>
              <w:t>Zgodnie z art. 27 ust. 1 ustawy z dnia 5 września 2016 r. o usługach zaufania oraz identyfikacji elektronicznej (Dz. U. z</w:t>
            </w:r>
            <w:r w:rsidR="00731A29">
              <w:rPr>
                <w:rFonts w:ascii="Times New Roman" w:hAnsi="Times New Roman"/>
              </w:rPr>
              <w:t> </w:t>
            </w:r>
            <w:r w:rsidRPr="00D212C8">
              <w:rPr>
                <w:rFonts w:ascii="Times New Roman" w:hAnsi="Times New Roman"/>
              </w:rPr>
              <w:t>2024 r. poz. 1725</w:t>
            </w:r>
            <w:r w:rsidR="009264AA">
              <w:rPr>
                <w:rFonts w:ascii="Times New Roman" w:hAnsi="Times New Roman"/>
              </w:rPr>
              <w:t xml:space="preserve"> oraz 2026 r. poz. 252</w:t>
            </w:r>
            <w:r w:rsidRPr="00D212C8">
              <w:rPr>
                <w:rFonts w:ascii="Times New Roman" w:hAnsi="Times New Roman"/>
              </w:rPr>
              <w:t>) minister właściwy do spraw informatyzacji sprawuje nadzór nad dostawcami usług zaufania, w ramach którego podejmuje działania określone w art. 27 ust. 2 tej ustawy. W szczególności minister może przeprowadzić audyt lub uczestniczyć w charakterze obserwatora w audycie przeprowadzanym przez jednostkę oceniającą zgodność, o czym mowa w art. 31</w:t>
            </w:r>
            <w:r w:rsidR="00E23575">
              <w:rPr>
                <w:rFonts w:ascii="Times New Roman" w:hAnsi="Times New Roman"/>
              </w:rPr>
              <w:t xml:space="preserve"> tej ustawy</w:t>
            </w:r>
            <w:r w:rsidRPr="00D212C8">
              <w:rPr>
                <w:rFonts w:ascii="Times New Roman" w:hAnsi="Times New Roman"/>
              </w:rPr>
              <w:t>. Zgodnie z art. 39a ustawy z dnia 5 września 2016 r. o usługach zaufania oraz identyfikacji elektronicznej nadzór nad krajowym schematem identyfikacji elektronicznej sprawuje minister właściwy do spraw informatyzacji.</w:t>
            </w:r>
          </w:p>
          <w:p w14:paraId="1EA2B1D4" w14:textId="1D8EB361" w:rsidR="00D212C8" w:rsidRPr="00D212C8" w:rsidRDefault="00D212C8" w:rsidP="00F5125B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D212C8">
              <w:rPr>
                <w:rFonts w:ascii="Times New Roman" w:hAnsi="Times New Roman"/>
              </w:rPr>
              <w:t>Praktyczna realizacja tych zadań napotyka na przeszkody, w szczególności minister</w:t>
            </w:r>
            <w:r w:rsidR="00E23575" w:rsidRPr="00D212C8">
              <w:rPr>
                <w:rFonts w:ascii="Times New Roman" w:hAnsi="Times New Roman"/>
              </w:rPr>
              <w:t xml:space="preserve"> właściwy do spraw informatyzacji </w:t>
            </w:r>
            <w:r w:rsidRPr="00D212C8">
              <w:rPr>
                <w:rFonts w:ascii="Times New Roman" w:hAnsi="Times New Roman"/>
              </w:rPr>
              <w:t>nie może obecnie:</w:t>
            </w:r>
          </w:p>
          <w:p w14:paraId="521653F3" w14:textId="6CC080A7" w:rsidR="002D606A" w:rsidRDefault="00D212C8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212C8">
              <w:rPr>
                <w:rFonts w:ascii="Times New Roman" w:hAnsi="Times New Roman"/>
              </w:rPr>
              <w:t xml:space="preserve"> wyznaczyć do audytu, o którym mowa w art. 31</w:t>
            </w:r>
            <w:r w:rsidR="00E23575" w:rsidRPr="00D212C8">
              <w:rPr>
                <w:rFonts w:ascii="Times New Roman" w:hAnsi="Times New Roman"/>
              </w:rPr>
              <w:t xml:space="preserve"> ustawy z dnia 5 września 2016 r. o usługach zaufania oraz identyfikacji elektronicznej</w:t>
            </w:r>
            <w:r w:rsidRPr="00D212C8">
              <w:rPr>
                <w:rFonts w:ascii="Times New Roman" w:hAnsi="Times New Roman"/>
              </w:rPr>
              <w:t>, oraz do kontroli spełniania przez systemy identyfikacji elektronicznej i systemy, w których udostępniane są usługi online, wymagań, o których mowa w rozdziale 5a</w:t>
            </w:r>
            <w:r w:rsidR="00E23575">
              <w:rPr>
                <w:rFonts w:ascii="Times New Roman" w:hAnsi="Times New Roman"/>
              </w:rPr>
              <w:t xml:space="preserve"> tej ustawy</w:t>
            </w:r>
            <w:r w:rsidRPr="00D212C8">
              <w:rPr>
                <w:rFonts w:ascii="Times New Roman" w:hAnsi="Times New Roman"/>
              </w:rPr>
              <w:t>,</w:t>
            </w:r>
            <w:r w:rsidR="00EF08C5">
              <w:rPr>
                <w:rFonts w:ascii="Times New Roman" w:hAnsi="Times New Roman"/>
              </w:rPr>
              <w:t xml:space="preserve"> </w:t>
            </w:r>
            <w:r w:rsidRPr="00D212C8">
              <w:rPr>
                <w:rFonts w:ascii="Times New Roman" w:hAnsi="Times New Roman"/>
              </w:rPr>
              <w:t>pracowników urzęd</w:t>
            </w:r>
            <w:r w:rsidR="009F111C">
              <w:rPr>
                <w:rFonts w:ascii="Times New Roman" w:hAnsi="Times New Roman"/>
              </w:rPr>
              <w:t>u</w:t>
            </w:r>
            <w:r w:rsidRPr="00D212C8">
              <w:rPr>
                <w:rFonts w:ascii="Times New Roman" w:hAnsi="Times New Roman"/>
              </w:rPr>
              <w:t xml:space="preserve"> obsługując</w:t>
            </w:r>
            <w:r w:rsidR="009F111C">
              <w:rPr>
                <w:rFonts w:ascii="Times New Roman" w:hAnsi="Times New Roman"/>
              </w:rPr>
              <w:t>ego</w:t>
            </w:r>
            <w:r w:rsidRPr="00D212C8">
              <w:rPr>
                <w:rFonts w:ascii="Times New Roman" w:hAnsi="Times New Roman"/>
              </w:rPr>
              <w:t xml:space="preserve"> organ </w:t>
            </w:r>
            <w:r w:rsidR="009F111C">
              <w:rPr>
                <w:rFonts w:ascii="Times New Roman" w:hAnsi="Times New Roman"/>
              </w:rPr>
              <w:t>nadzorowany przez</w:t>
            </w:r>
            <w:r w:rsidRPr="00D212C8">
              <w:rPr>
                <w:rFonts w:ascii="Times New Roman" w:hAnsi="Times New Roman"/>
              </w:rPr>
              <w:t xml:space="preserve"> </w:t>
            </w:r>
            <w:r w:rsidR="009F111C">
              <w:rPr>
                <w:rFonts w:ascii="Times New Roman" w:hAnsi="Times New Roman"/>
              </w:rPr>
              <w:t>Ministr</w:t>
            </w:r>
            <w:r w:rsidR="00EA7689">
              <w:rPr>
                <w:rFonts w:ascii="Times New Roman" w:hAnsi="Times New Roman"/>
              </w:rPr>
              <w:t>a</w:t>
            </w:r>
            <w:r w:rsidR="009F111C">
              <w:rPr>
                <w:rFonts w:ascii="Times New Roman" w:hAnsi="Times New Roman"/>
              </w:rPr>
              <w:t xml:space="preserve"> Cyfryzacji</w:t>
            </w:r>
            <w:r w:rsidR="009C06EA" w:rsidRPr="00D212C8">
              <w:rPr>
                <w:rFonts w:ascii="Times New Roman" w:hAnsi="Times New Roman"/>
              </w:rPr>
              <w:t xml:space="preserve"> </w:t>
            </w:r>
            <w:r w:rsidRPr="00D212C8">
              <w:rPr>
                <w:rFonts w:ascii="Times New Roman" w:hAnsi="Times New Roman"/>
              </w:rPr>
              <w:t>oraz</w:t>
            </w:r>
            <w:r w:rsidR="00EA7689">
              <w:rPr>
                <w:rFonts w:ascii="Times New Roman" w:hAnsi="Times New Roman"/>
              </w:rPr>
              <w:t xml:space="preserve"> pracowników</w:t>
            </w:r>
            <w:r w:rsidRPr="00D212C8">
              <w:rPr>
                <w:rFonts w:ascii="Times New Roman" w:hAnsi="Times New Roman"/>
              </w:rPr>
              <w:t xml:space="preserve"> jednostek organizacyjnych podległych</w:t>
            </w:r>
            <w:r w:rsidR="009F111C">
              <w:rPr>
                <w:rFonts w:ascii="Times New Roman" w:hAnsi="Times New Roman"/>
              </w:rPr>
              <w:t xml:space="preserve"> Ministrowi Cyfryzacji</w:t>
            </w:r>
            <w:r w:rsidRPr="00D212C8">
              <w:rPr>
                <w:rFonts w:ascii="Times New Roman" w:hAnsi="Times New Roman"/>
              </w:rPr>
              <w:t xml:space="preserve"> lub </w:t>
            </w:r>
            <w:r w:rsidR="009264AA">
              <w:rPr>
                <w:rFonts w:ascii="Times New Roman" w:hAnsi="Times New Roman"/>
              </w:rPr>
              <w:t xml:space="preserve">przez niego </w:t>
            </w:r>
            <w:r w:rsidRPr="00D212C8">
              <w:rPr>
                <w:rFonts w:ascii="Times New Roman" w:hAnsi="Times New Roman"/>
              </w:rPr>
              <w:t>nadzorowanych</w:t>
            </w:r>
            <w:r w:rsidR="001F1C91">
              <w:rPr>
                <w:rFonts w:ascii="Times New Roman" w:hAnsi="Times New Roman"/>
              </w:rPr>
              <w:t xml:space="preserve">, mając na uwadze konieczność zapewnienia stałego i skutecznego kontrolowania podmiotów przyłączonych do </w:t>
            </w:r>
            <w:r w:rsidR="00EF08C5">
              <w:rPr>
                <w:rFonts w:ascii="Times New Roman" w:hAnsi="Times New Roman"/>
              </w:rPr>
              <w:t>w</w:t>
            </w:r>
            <w:r w:rsidR="001F1C91">
              <w:rPr>
                <w:rFonts w:ascii="Times New Roman" w:hAnsi="Times New Roman"/>
              </w:rPr>
              <w:t xml:space="preserve">ęzła </w:t>
            </w:r>
            <w:r w:rsidR="00EF08C5">
              <w:rPr>
                <w:rFonts w:ascii="Times New Roman" w:hAnsi="Times New Roman"/>
              </w:rPr>
              <w:t>k</w:t>
            </w:r>
            <w:r w:rsidR="001F1C91">
              <w:rPr>
                <w:rFonts w:ascii="Times New Roman" w:hAnsi="Times New Roman"/>
              </w:rPr>
              <w:t xml:space="preserve">rajowego, do którego podłączonych jest około 2257 usług zintegrowanych z </w:t>
            </w:r>
            <w:r w:rsidR="00EF08C5">
              <w:rPr>
                <w:rFonts w:ascii="Times New Roman" w:hAnsi="Times New Roman"/>
              </w:rPr>
              <w:t>w</w:t>
            </w:r>
            <w:r w:rsidR="001F1C91">
              <w:rPr>
                <w:rFonts w:ascii="Times New Roman" w:hAnsi="Times New Roman"/>
              </w:rPr>
              <w:t xml:space="preserve">ęzłem </w:t>
            </w:r>
            <w:r w:rsidR="00EF08C5">
              <w:rPr>
                <w:rFonts w:ascii="Times New Roman" w:hAnsi="Times New Roman"/>
              </w:rPr>
              <w:t>k</w:t>
            </w:r>
            <w:r w:rsidR="001F1C91">
              <w:rPr>
                <w:rFonts w:ascii="Times New Roman" w:hAnsi="Times New Roman"/>
              </w:rPr>
              <w:t>rajowym oraz około 529 systemów identyfikacji elektronicznej. Kontrola</w:t>
            </w:r>
            <w:r w:rsidR="00204ADB">
              <w:rPr>
                <w:rFonts w:ascii="Times New Roman" w:hAnsi="Times New Roman"/>
              </w:rPr>
              <w:t>,</w:t>
            </w:r>
            <w:r w:rsidR="001F1C91">
              <w:rPr>
                <w:rFonts w:ascii="Times New Roman" w:hAnsi="Times New Roman"/>
              </w:rPr>
              <w:t xml:space="preserve"> o której mowa w art. 39b ust</w:t>
            </w:r>
            <w:r w:rsidR="00204ADB">
              <w:rPr>
                <w:rFonts w:ascii="Times New Roman" w:hAnsi="Times New Roman"/>
              </w:rPr>
              <w:t>.</w:t>
            </w:r>
            <w:r w:rsidR="001F1C91">
              <w:rPr>
                <w:rFonts w:ascii="Times New Roman" w:hAnsi="Times New Roman"/>
              </w:rPr>
              <w:t xml:space="preserve"> 1 pkt 1</w:t>
            </w:r>
            <w:r w:rsidR="00204ADB">
              <w:rPr>
                <w:rFonts w:ascii="Times New Roman" w:hAnsi="Times New Roman"/>
              </w:rPr>
              <w:t>,</w:t>
            </w:r>
            <w:r w:rsidR="001F1C91">
              <w:rPr>
                <w:rFonts w:ascii="Times New Roman" w:hAnsi="Times New Roman"/>
              </w:rPr>
              <w:t xml:space="preserve"> powinna być przeprowadzana przez </w:t>
            </w:r>
            <w:r w:rsidR="009264AA">
              <w:rPr>
                <w:rFonts w:ascii="Times New Roman" w:hAnsi="Times New Roman"/>
              </w:rPr>
              <w:t>m</w:t>
            </w:r>
            <w:r w:rsidR="001F1C91">
              <w:rPr>
                <w:rFonts w:ascii="Times New Roman" w:hAnsi="Times New Roman"/>
              </w:rPr>
              <w:t>inistra właściwego do spraw informatyzacji, w tym za pośrednictwem podmiotów oraz osób działających z jego upoważnienia w ramach zespołów kontrolnych składających się z co najmniej dwóch osób</w:t>
            </w:r>
            <w:r>
              <w:rPr>
                <w:rFonts w:ascii="Times New Roman" w:hAnsi="Times New Roman"/>
              </w:rPr>
              <w:t>;</w:t>
            </w:r>
          </w:p>
          <w:p w14:paraId="1960095E" w14:textId="2BC878FD" w:rsidR="00A94DB6" w:rsidRPr="002D606A" w:rsidRDefault="00D212C8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D212C8">
              <w:rPr>
                <w:rFonts w:ascii="Times New Roman" w:hAnsi="Times New Roman"/>
              </w:rPr>
              <w:t xml:space="preserve"> natychmiastowo wstrzymać na czas określony świadczenia usług zaufania przez kwalifikowanych dostawców usług zaufania, w </w:t>
            </w:r>
            <w:r w:rsidR="00253D9C" w:rsidRPr="00D212C8">
              <w:rPr>
                <w:rFonts w:ascii="Times New Roman" w:hAnsi="Times New Roman"/>
              </w:rPr>
              <w:t>przypadku,</w:t>
            </w:r>
            <w:r w:rsidRPr="00D212C8">
              <w:rPr>
                <w:rFonts w:ascii="Times New Roman" w:hAnsi="Times New Roman"/>
              </w:rPr>
              <w:t xml:space="preserve"> gdy groziłoby to nieodwracalnymi skutkami lub</w:t>
            </w:r>
            <w:r w:rsidR="009E0B3C">
              <w:rPr>
                <w:rFonts w:ascii="Times New Roman" w:hAnsi="Times New Roman"/>
              </w:rPr>
              <w:t xml:space="preserve"> było</w:t>
            </w:r>
            <w:r w:rsidRPr="00D212C8">
              <w:rPr>
                <w:rFonts w:ascii="Times New Roman" w:hAnsi="Times New Roman"/>
              </w:rPr>
              <w:t xml:space="preserve"> konieczne dla zapewnienia ochrony interesów innych dostawców usług zaufania oraz użytkowników usług</w:t>
            </w:r>
            <w:r w:rsidR="002D606A">
              <w:rPr>
                <w:rFonts w:ascii="Times New Roman" w:hAnsi="Times New Roman"/>
                <w:u w:val="single"/>
              </w:rPr>
              <w:t>,</w:t>
            </w:r>
            <w:r w:rsidR="00A94DB6" w:rsidRPr="002D606A">
              <w:rPr>
                <w:rFonts w:ascii="Times New Roman" w:hAnsi="Times New Roman"/>
              </w:rPr>
              <w:t xml:space="preserve"> w szczególności w sytuacji gdy: </w:t>
            </w:r>
          </w:p>
          <w:p w14:paraId="14542AF3" w14:textId="0650394F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- w toku czynności nadzorczych, w tym audytu, zostaną zidentyfikowane istotne nieprawidłowości w działalności dostawcy, mogące prowadzić do zagrożenia bezpieczeństwa obrotu prawnego lub technicznego</w:t>
            </w:r>
            <w:r w:rsidR="009C4DBA">
              <w:rPr>
                <w:rFonts w:ascii="Times New Roman" w:hAnsi="Times New Roman"/>
              </w:rPr>
              <w:t>,</w:t>
            </w:r>
          </w:p>
          <w:p w14:paraId="7C0070E9" w14:textId="24A25E3A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- dalsze świadczenie usług mogłoby skutkować nieodwracalnymi skutkami, w szczególności naruszeniem integralności, autentyczności lub wiarygodności usług zaufania</w:t>
            </w:r>
            <w:r w:rsidR="009C4DBA">
              <w:rPr>
                <w:rFonts w:ascii="Times New Roman" w:hAnsi="Times New Roman"/>
              </w:rPr>
              <w:t>,</w:t>
            </w:r>
            <w:r w:rsidRPr="002D606A">
              <w:rPr>
                <w:rFonts w:ascii="Times New Roman" w:hAnsi="Times New Roman"/>
              </w:rPr>
              <w:t> </w:t>
            </w:r>
          </w:p>
          <w:p w14:paraId="37F8832C" w14:textId="5D1D8BE1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- wystąpieni</w:t>
            </w:r>
            <w:r w:rsidR="00204ADB" w:rsidRPr="002D606A">
              <w:rPr>
                <w:rFonts w:ascii="Times New Roman" w:hAnsi="Times New Roman"/>
              </w:rPr>
              <w:t>a</w:t>
            </w:r>
            <w:r w:rsidRPr="002D606A">
              <w:rPr>
                <w:rFonts w:ascii="Times New Roman" w:hAnsi="Times New Roman"/>
              </w:rPr>
              <w:t xml:space="preserve"> skutecznego ataku cybernetycznego lub fizycznego na infrastrukturę kwalifikowanego dostawcy usług zaufania, skutkującego nieprawidłowościami w świadczeniu usług zaufania</w:t>
            </w:r>
            <w:r w:rsidR="009C4DBA">
              <w:rPr>
                <w:rFonts w:ascii="Times New Roman" w:hAnsi="Times New Roman"/>
              </w:rPr>
              <w:t>,</w:t>
            </w:r>
          </w:p>
          <w:p w14:paraId="53CCF172" w14:textId="57DE5305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 xml:space="preserve">- </w:t>
            </w:r>
            <w:r w:rsidR="00204ADB" w:rsidRPr="002D606A">
              <w:rPr>
                <w:rFonts w:ascii="Times New Roman" w:hAnsi="Times New Roman"/>
              </w:rPr>
              <w:t>nie zrealizowano</w:t>
            </w:r>
            <w:r w:rsidRPr="002D606A">
              <w:rPr>
                <w:rFonts w:ascii="Times New Roman" w:hAnsi="Times New Roman"/>
              </w:rPr>
              <w:t xml:space="preserve"> zaleceń audytowych w wyznaczonym terminie, stwierdz</w:t>
            </w:r>
            <w:r w:rsidR="00204ADB" w:rsidRPr="002D606A">
              <w:rPr>
                <w:rFonts w:ascii="Times New Roman" w:hAnsi="Times New Roman"/>
              </w:rPr>
              <w:t>ono</w:t>
            </w:r>
            <w:r w:rsidRPr="002D606A">
              <w:rPr>
                <w:rFonts w:ascii="Times New Roman" w:hAnsi="Times New Roman"/>
              </w:rPr>
              <w:t xml:space="preserve"> rażąc</w:t>
            </w:r>
            <w:r w:rsidR="00204ADB" w:rsidRPr="002D606A">
              <w:rPr>
                <w:rFonts w:ascii="Times New Roman" w:hAnsi="Times New Roman"/>
              </w:rPr>
              <w:t>e</w:t>
            </w:r>
            <w:r w:rsidRPr="002D606A">
              <w:rPr>
                <w:rFonts w:ascii="Times New Roman" w:hAnsi="Times New Roman"/>
              </w:rPr>
              <w:t xml:space="preserve"> uchybie</w:t>
            </w:r>
            <w:r w:rsidR="00204ADB" w:rsidRPr="002D606A">
              <w:rPr>
                <w:rFonts w:ascii="Times New Roman" w:hAnsi="Times New Roman"/>
              </w:rPr>
              <w:t>nia</w:t>
            </w:r>
            <w:r w:rsidRPr="002D606A">
              <w:rPr>
                <w:rFonts w:ascii="Times New Roman" w:hAnsi="Times New Roman"/>
              </w:rPr>
              <w:t xml:space="preserve"> organizacyjn</w:t>
            </w:r>
            <w:r w:rsidR="00204ADB" w:rsidRPr="002D606A">
              <w:rPr>
                <w:rFonts w:ascii="Times New Roman" w:hAnsi="Times New Roman"/>
              </w:rPr>
              <w:t>e</w:t>
            </w:r>
            <w:r w:rsidRPr="002D606A">
              <w:rPr>
                <w:rFonts w:ascii="Times New Roman" w:hAnsi="Times New Roman"/>
              </w:rPr>
              <w:t xml:space="preserve"> lub techniczn</w:t>
            </w:r>
            <w:r w:rsidR="00204ADB" w:rsidRPr="002D606A">
              <w:rPr>
                <w:rFonts w:ascii="Times New Roman" w:hAnsi="Times New Roman"/>
              </w:rPr>
              <w:t>e</w:t>
            </w:r>
            <w:r w:rsidRPr="002D606A">
              <w:rPr>
                <w:rFonts w:ascii="Times New Roman" w:hAnsi="Times New Roman"/>
              </w:rPr>
              <w:t xml:space="preserve"> mając</w:t>
            </w:r>
            <w:r w:rsidR="00204ADB" w:rsidRPr="002D606A">
              <w:rPr>
                <w:rFonts w:ascii="Times New Roman" w:hAnsi="Times New Roman"/>
              </w:rPr>
              <w:t>e</w:t>
            </w:r>
            <w:r w:rsidRPr="002D606A">
              <w:rPr>
                <w:rFonts w:ascii="Times New Roman" w:hAnsi="Times New Roman"/>
              </w:rPr>
              <w:t xml:space="preserve"> wpływ na świadczone usługi zaufania. </w:t>
            </w:r>
          </w:p>
          <w:p w14:paraId="785780AC" w14:textId="0F2607F4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 xml:space="preserve">W przypadku upływu </w:t>
            </w:r>
            <w:r w:rsidR="00F10B35">
              <w:rPr>
                <w:rFonts w:ascii="Times New Roman" w:hAnsi="Times New Roman"/>
              </w:rPr>
              <w:t>14 dniowego</w:t>
            </w:r>
            <w:r w:rsidRPr="002D606A">
              <w:rPr>
                <w:rFonts w:ascii="Times New Roman" w:hAnsi="Times New Roman"/>
              </w:rPr>
              <w:t xml:space="preserve"> okresu wstrzymania świadczenia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usług zaufania,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nie przewiduje się automatycznego przedłużania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tego okresu.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Minister właściwy do spraw informatyzacji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dokonuje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ponownej oceny sytuacji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 xml:space="preserve">kwalifikowanego </w:t>
            </w:r>
            <w:r w:rsidRPr="002D606A">
              <w:rPr>
                <w:rFonts w:ascii="Times New Roman" w:hAnsi="Times New Roman"/>
              </w:rPr>
              <w:lastRenderedPageBreak/>
              <w:t>dostawcy usług zaufania, w szczególności w oparciu o wyniki audytu oraz informacje uzyskane w toku czynności nadzorczych. </w:t>
            </w:r>
          </w:p>
          <w:p w14:paraId="4FF033A7" w14:textId="352D4A90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W przypadku gdy wymagane jest ponowne czasowe wstrzymanie świadczenia określonych usług zaufania, środek ten może zostać zastosowany wyłącznie w oparciu o nowe lub nadal aktualne stwierdzone niezgodności.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 xml:space="preserve">Jeżeli ocena wykaże, że przyczyny zastosowania środka nie zostały usunięte, </w:t>
            </w:r>
            <w:r w:rsidR="00220CA2">
              <w:rPr>
                <w:rFonts w:ascii="Times New Roman" w:hAnsi="Times New Roman"/>
              </w:rPr>
              <w:t>m</w:t>
            </w:r>
            <w:r w:rsidRPr="002D606A">
              <w:rPr>
                <w:rFonts w:ascii="Times New Roman" w:hAnsi="Times New Roman"/>
              </w:rPr>
              <w:t>inister może zastosować inne środki nadzorcze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przewidziane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w</w:t>
            </w:r>
            <w:r w:rsidR="00220CA2">
              <w:rPr>
                <w:rFonts w:ascii="Times New Roman" w:hAnsi="Times New Roman"/>
              </w:rPr>
              <w:t> </w:t>
            </w:r>
            <w:r w:rsidRPr="002D606A">
              <w:rPr>
                <w:rFonts w:ascii="Times New Roman" w:hAnsi="Times New Roman"/>
              </w:rPr>
              <w:t>ustawie, w tym wszcząć procedurę cofnięcia statusu kwalifikowanego dostawcy usług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zaufania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lub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ograniczenia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zakresu świadczonych usług.</w:t>
            </w:r>
          </w:p>
          <w:p w14:paraId="4121CCB4" w14:textId="2592497C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Zastosowanie tego środka pozwoli na:</w:t>
            </w:r>
          </w:p>
          <w:p w14:paraId="48B6F36D" w14:textId="1EB34848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- zapobieżenie wystąpieniu nieodwracalnych skutków wynikających z dalszego świadczenia usług w</w:t>
            </w:r>
            <w:r w:rsidR="004033C2">
              <w:rPr>
                <w:rFonts w:ascii="Times New Roman" w:hAnsi="Times New Roman"/>
              </w:rPr>
              <w:t xml:space="preserve"> sytuacji</w:t>
            </w:r>
            <w:r w:rsidRPr="002D606A">
              <w:rPr>
                <w:rFonts w:ascii="Times New Roman" w:hAnsi="Times New Roman"/>
              </w:rPr>
              <w:t xml:space="preserve"> istotnych nieprawidłowości organizacyjnych, technicznych i bezpieczeństwa</w:t>
            </w:r>
            <w:r w:rsidR="009C4DBA">
              <w:rPr>
                <w:rFonts w:ascii="Times New Roman" w:hAnsi="Times New Roman"/>
              </w:rPr>
              <w:t>,</w:t>
            </w:r>
          </w:p>
          <w:p w14:paraId="2DA574DD" w14:textId="35C78F49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- ochronę wiarygodności usług zaufania, a tym samym utrzymanie zaufania do systemu usług zaufania</w:t>
            </w:r>
            <w:r w:rsidR="009C4DBA">
              <w:rPr>
                <w:rFonts w:ascii="Times New Roman" w:hAnsi="Times New Roman"/>
              </w:rPr>
              <w:t>,</w:t>
            </w:r>
          </w:p>
          <w:p w14:paraId="3F811B13" w14:textId="20F330F2" w:rsidR="00A94DB6" w:rsidRPr="002D606A" w:rsidRDefault="00A94DB6" w:rsidP="00A94DB6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- zwiększenie dyscypliny regulacyjnej dostawców usług zaufania poprzez powiązanie wyników audytów i realizacji zaleceń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poaudytowych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z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szybko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egzekwowanymi środkami nadzorczymi</w:t>
            </w:r>
            <w:r w:rsidR="009C4DBA">
              <w:rPr>
                <w:rFonts w:ascii="Times New Roman" w:hAnsi="Times New Roman"/>
              </w:rPr>
              <w:t>,</w:t>
            </w:r>
          </w:p>
          <w:p w14:paraId="4DC92136" w14:textId="5D6C7769" w:rsidR="00D212C8" w:rsidRDefault="00A94DB6" w:rsidP="007732DB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2D606A">
              <w:rPr>
                <w:rFonts w:ascii="Times New Roman" w:hAnsi="Times New Roman"/>
              </w:rPr>
              <w:t>-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w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przypadku wystąpienia</w:t>
            </w:r>
            <w:r w:rsidR="00220CA2">
              <w:rPr>
                <w:rFonts w:ascii="Times New Roman" w:hAnsi="Times New Roman"/>
              </w:rPr>
              <w:t xml:space="preserve"> </w:t>
            </w:r>
            <w:r w:rsidRPr="002D606A">
              <w:rPr>
                <w:rFonts w:ascii="Times New Roman" w:hAnsi="Times New Roman"/>
              </w:rPr>
              <w:t>skutecznego ataku cybernetycznego lub fizycznego na infrastrukturę kwalifikowanego dostawcy usług zaufania, środek ten pozwoli na szybkie odseparowanie zagrożonego środowiska, ograniczenie skutków incydentu oraz stworzenie warunków do rzetelnej oceny skali naruszeń i wdrożenia działań naprawczych.</w:t>
            </w:r>
          </w:p>
          <w:p w14:paraId="68D3943C" w14:textId="2971C531" w:rsidR="008D4D7E" w:rsidRPr="00C00CCF" w:rsidRDefault="00D212C8" w:rsidP="00D22FE0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 w:rsidRPr="00C11AF2">
              <w:rPr>
                <w:rFonts w:ascii="Times New Roman" w:hAnsi="Times New Roman"/>
              </w:rPr>
              <w:t>Wobec powyższego zachodzi konieczność nowelizacji obowiązujących przepisów ustawy</w:t>
            </w:r>
            <w:r w:rsidRPr="00D212C8">
              <w:rPr>
                <w:rFonts w:ascii="Times New Roman" w:hAnsi="Times New Roman"/>
              </w:rPr>
              <w:t xml:space="preserve"> z dnia 5 września 2016 r. o</w:t>
            </w:r>
            <w:r w:rsidR="0002567A">
              <w:rPr>
                <w:rFonts w:ascii="Times New Roman" w:hAnsi="Times New Roman"/>
              </w:rPr>
              <w:t> </w:t>
            </w:r>
            <w:r w:rsidRPr="00D212C8">
              <w:rPr>
                <w:rFonts w:ascii="Times New Roman" w:hAnsi="Times New Roman"/>
              </w:rPr>
              <w:t>usługach zaufania oraz identyfikacji elektronicznej w celu przyznania Ministrowi Cyfryzacji dodatkowych uprawnień.</w:t>
            </w:r>
          </w:p>
        </w:tc>
      </w:tr>
      <w:tr w:rsidR="006A701A" w:rsidRPr="00C00CCF" w14:paraId="68D3943F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8D3943E" w14:textId="77777777" w:rsidR="006A701A" w:rsidRPr="00C00CCF" w:rsidRDefault="0013216E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>Rekomendowane rozwiązanie, w tym planowane narzędzia interwencji, i oczekiwany efekt</w:t>
            </w:r>
          </w:p>
        </w:tc>
      </w:tr>
      <w:tr w:rsidR="006A701A" w:rsidRPr="00C00CCF" w14:paraId="68D3944C" w14:textId="77777777" w:rsidTr="000E0B30">
        <w:trPr>
          <w:trHeight w:val="142"/>
        </w:trPr>
        <w:tc>
          <w:tcPr>
            <w:tcW w:w="10947" w:type="dxa"/>
            <w:gridSpan w:val="29"/>
          </w:tcPr>
          <w:p w14:paraId="609B6924" w14:textId="11503FA4" w:rsidR="00FC5F1E" w:rsidRPr="00FC5F1E" w:rsidRDefault="00FC5F1E" w:rsidP="001F7852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Proponowanym rozwiązaniem</w:t>
            </w:r>
            <w:r w:rsidRPr="00FC5F1E">
              <w:rPr>
                <w:rFonts w:ascii="Times New Roman" w:hAnsi="Times New Roman"/>
              </w:rPr>
              <w:t xml:space="preserve"> jest usprawnienie czynności nadzorczych oraz procesu organizacyjnego realizacji kontroli w ramach nadzoru ministra właściwego do spraw informatyzacji nad kwalifikowanymi dostawcami usług zaufania oraz nad krajowym schematem identyfikacji elektronicznej, w tym przeprowadzania przez ministra właściwego do spraw informatyzacji audytu kwalifikowanych dostawców usług zaufania i uczestniczenia osób upoważnionych przez ministra w</w:t>
            </w:r>
            <w:r w:rsidR="00731A29">
              <w:rPr>
                <w:rFonts w:ascii="Times New Roman" w:hAnsi="Times New Roman"/>
              </w:rPr>
              <w:t> </w:t>
            </w:r>
            <w:r w:rsidRPr="00FC5F1E">
              <w:rPr>
                <w:rFonts w:ascii="Times New Roman" w:hAnsi="Times New Roman"/>
              </w:rPr>
              <w:t>audycie takich dostawców, przeprowadzanym przez jednostkę oceniającą zgodność.</w:t>
            </w:r>
          </w:p>
          <w:p w14:paraId="5685BAEB" w14:textId="43288675" w:rsidR="00FC5F1E" w:rsidRPr="00FC5F1E" w:rsidRDefault="00FC5F1E" w:rsidP="001F7852">
            <w:p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 w:rsidRPr="00FC5F1E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lanowane</w:t>
            </w:r>
            <w:r w:rsidRPr="00FC5F1E">
              <w:rPr>
                <w:rFonts w:ascii="Times New Roman" w:hAnsi="Times New Roman"/>
              </w:rPr>
              <w:t xml:space="preserve"> zmiany w ustawie z dnia 5 września 2016 r</w:t>
            </w:r>
            <w:r w:rsidR="0002567A">
              <w:rPr>
                <w:rFonts w:ascii="Times New Roman" w:hAnsi="Times New Roman"/>
              </w:rPr>
              <w:t>.</w:t>
            </w:r>
            <w:r w:rsidRPr="00FC5F1E" w:rsidDel="002D547B">
              <w:rPr>
                <w:rFonts w:ascii="Times New Roman" w:hAnsi="Times New Roman"/>
              </w:rPr>
              <w:t xml:space="preserve"> </w:t>
            </w:r>
            <w:r w:rsidRPr="00FC5F1E">
              <w:rPr>
                <w:rFonts w:ascii="Times New Roman" w:hAnsi="Times New Roman"/>
              </w:rPr>
              <w:t xml:space="preserve">o usługach zaufania oraz identyfikacji elektronicznej </w:t>
            </w:r>
            <w:r w:rsidRPr="00FC5F1E">
              <w:rPr>
                <w:rFonts w:ascii="Times New Roman" w:hAnsi="Times New Roman"/>
                <w:bCs/>
              </w:rPr>
              <w:t>przewiduj</w:t>
            </w:r>
            <w:r w:rsidR="00C547F0">
              <w:rPr>
                <w:rFonts w:ascii="Times New Roman" w:hAnsi="Times New Roman"/>
                <w:bCs/>
              </w:rPr>
              <w:t>ą</w:t>
            </w:r>
            <w:r w:rsidRPr="00FC5F1E">
              <w:rPr>
                <w:rFonts w:ascii="Times New Roman" w:hAnsi="Times New Roman"/>
                <w:bCs/>
              </w:rPr>
              <w:t>:</w:t>
            </w:r>
          </w:p>
          <w:p w14:paraId="6360B424" w14:textId="5A62AF49" w:rsidR="00FC5F1E" w:rsidRPr="00FC5F1E" w:rsidRDefault="00220CA2" w:rsidP="00B52A69">
            <w:pPr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="00FC5F1E" w:rsidRPr="00FC5F1E">
              <w:rPr>
                <w:rFonts w:ascii="Times New Roman" w:hAnsi="Times New Roman"/>
                <w:bCs/>
              </w:rPr>
              <w:t xml:space="preserve">rzyznanie ministrowi właściwemu do spraw informatyzacji dodatkowego uprawnienia, polegającego na możliwości wstrzymania, na czas określony, nie dłuższy niż </w:t>
            </w:r>
            <w:r w:rsidR="00F10B35">
              <w:rPr>
                <w:rFonts w:ascii="Times New Roman" w:hAnsi="Times New Roman"/>
                <w:bCs/>
              </w:rPr>
              <w:t>14 dni</w:t>
            </w:r>
            <w:r w:rsidR="00FC5F1E" w:rsidRPr="00FC5F1E">
              <w:rPr>
                <w:rFonts w:ascii="Times New Roman" w:hAnsi="Times New Roman"/>
                <w:bCs/>
              </w:rPr>
              <w:t>, świadczenia określonych usług zaufania przez kwalifikowanego dostawcę usług zaufania, o ile niezastosowanie tego środka groziłoby nieodwracalnymi skutkami lub jest konieczne dla zapewnienia ochrony interesów innych dostawców usług zaufania oraz użytkowników usług, a inne środki wydają się niewystarczające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0FEBC311" w14:textId="26F926C2" w:rsidR="00FC5F1E" w:rsidRPr="004033C2" w:rsidRDefault="00220CA2" w:rsidP="00B52A69">
            <w:pPr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="00FC5F1E" w:rsidRPr="004033C2">
              <w:rPr>
                <w:rFonts w:ascii="Times New Roman" w:hAnsi="Times New Roman"/>
                <w:bCs/>
              </w:rPr>
              <w:t xml:space="preserve">oprecyzowanie przepisów dotyczących procedury przeprowadzania audytu usług zaufania </w:t>
            </w:r>
            <w:r w:rsidR="00B52A69" w:rsidRPr="004033C2">
              <w:rPr>
                <w:rFonts w:ascii="Times New Roman" w:hAnsi="Times New Roman"/>
                <w:bCs/>
              </w:rPr>
              <w:t>przez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52A69" w:rsidRPr="004033C2">
              <w:rPr>
                <w:rFonts w:ascii="Times New Roman" w:hAnsi="Times New Roman"/>
                <w:bCs/>
              </w:rPr>
              <w:t>umożliwienie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C4DBA">
              <w:rPr>
                <w:rFonts w:ascii="Times New Roman" w:hAnsi="Times New Roman"/>
                <w:bCs/>
              </w:rPr>
              <w:t>m</w:t>
            </w:r>
            <w:r w:rsidR="00B52A69" w:rsidRPr="004033C2">
              <w:rPr>
                <w:rFonts w:ascii="Times New Roman" w:hAnsi="Times New Roman"/>
                <w:bCs/>
              </w:rPr>
              <w:t>inistrowi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52A69" w:rsidRPr="004033C2">
              <w:rPr>
                <w:rFonts w:ascii="Times New Roman" w:hAnsi="Times New Roman"/>
                <w:bCs/>
              </w:rPr>
              <w:t>właściwemu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52A69" w:rsidRPr="004033C2">
              <w:rPr>
                <w:rFonts w:ascii="Times New Roman" w:hAnsi="Times New Roman"/>
                <w:bCs/>
              </w:rPr>
              <w:t xml:space="preserve">do spraw </w:t>
            </w:r>
            <w:r w:rsidR="009C4DBA">
              <w:rPr>
                <w:rFonts w:ascii="Times New Roman" w:hAnsi="Times New Roman"/>
                <w:bCs/>
              </w:rPr>
              <w:t>informatyzacji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52A69" w:rsidRPr="004033C2">
              <w:rPr>
                <w:rFonts w:ascii="Times New Roman" w:hAnsi="Times New Roman"/>
                <w:bCs/>
              </w:rPr>
              <w:t>wyb</w:t>
            </w:r>
            <w:r>
              <w:rPr>
                <w:rFonts w:ascii="Times New Roman" w:hAnsi="Times New Roman"/>
                <w:bCs/>
              </w:rPr>
              <w:t xml:space="preserve">oru </w:t>
            </w:r>
            <w:r w:rsidR="00B52A69" w:rsidRPr="004033C2">
              <w:rPr>
                <w:rFonts w:ascii="Times New Roman" w:hAnsi="Times New Roman"/>
                <w:bCs/>
              </w:rPr>
              <w:t>audytora</w:t>
            </w:r>
            <w:r w:rsidR="00204ADB" w:rsidRPr="004033C2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52A69" w:rsidRPr="004033C2">
              <w:rPr>
                <w:rFonts w:ascii="Times New Roman" w:hAnsi="Times New Roman"/>
                <w:bCs/>
              </w:rPr>
              <w:t>który przeprowadzi audyt nadzorczy u</w:t>
            </w:r>
            <w:r>
              <w:rPr>
                <w:rFonts w:ascii="Times New Roman" w:hAnsi="Times New Roman"/>
                <w:bCs/>
              </w:rPr>
              <w:t> </w:t>
            </w:r>
            <w:r w:rsidR="00B52A69" w:rsidRPr="004033C2">
              <w:rPr>
                <w:rFonts w:ascii="Times New Roman" w:hAnsi="Times New Roman"/>
                <w:bCs/>
              </w:rPr>
              <w:t xml:space="preserve">dostawcy usług zaufania </w:t>
            </w:r>
            <w:r w:rsidR="00FC5F1E" w:rsidRPr="004033C2">
              <w:rPr>
                <w:rFonts w:ascii="Times New Roman" w:hAnsi="Times New Roman"/>
                <w:bCs/>
              </w:rPr>
              <w:t>oraz kontroli w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FC5F1E" w:rsidRPr="004033C2">
              <w:rPr>
                <w:rFonts w:ascii="Times New Roman" w:hAnsi="Times New Roman"/>
                <w:bCs/>
              </w:rPr>
              <w:t>ramach nadzoru ministra właściwego do spraw informatyzacji nad krajowym schematem identyfikacji elektronicznej</w:t>
            </w:r>
            <w:r w:rsidR="004033C2">
              <w:rPr>
                <w:rFonts w:ascii="Times New Roman" w:hAnsi="Times New Roman"/>
                <w:bCs/>
              </w:rPr>
              <w:t>.</w:t>
            </w:r>
          </w:p>
          <w:p w14:paraId="79D80FB6" w14:textId="6D560F2E" w:rsidR="00F047AF" w:rsidRPr="00F047AF" w:rsidRDefault="00B52A69" w:rsidP="00F94DBB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F047AF">
              <w:rPr>
                <w:rStyle w:val="normaltextrun"/>
                <w:rFonts w:ascii="Times New Roman" w:hAnsi="Times New Roman"/>
              </w:rPr>
              <w:t>Regulacja ta zapewni</w:t>
            </w:r>
            <w:r w:rsidR="00204ADB" w:rsidRPr="00F047AF">
              <w:rPr>
                <w:rStyle w:val="normaltextrun"/>
                <w:rFonts w:ascii="Times New Roman" w:hAnsi="Times New Roman"/>
              </w:rPr>
              <w:t xml:space="preserve"> </w:t>
            </w:r>
            <w:r w:rsidRPr="00F047AF">
              <w:rPr>
                <w:rStyle w:val="normaltextrun"/>
                <w:rFonts w:ascii="Times New Roman" w:hAnsi="Times New Roman"/>
              </w:rPr>
              <w:t xml:space="preserve">usprawnienie realizacji nadzoru ministra </w:t>
            </w:r>
            <w:r w:rsidR="00692D83">
              <w:rPr>
                <w:rStyle w:val="normaltextrun"/>
                <w:rFonts w:ascii="Times New Roman" w:hAnsi="Times New Roman"/>
              </w:rPr>
              <w:t xml:space="preserve">właściwego do spraw informatyzacji </w:t>
            </w:r>
            <w:r w:rsidRPr="00F047AF">
              <w:rPr>
                <w:rStyle w:val="normaltextrun"/>
                <w:rFonts w:ascii="Times New Roman" w:hAnsi="Times New Roman"/>
              </w:rPr>
              <w:t>nad dostawcami usług zaufania oraz krajowym schematem identyfikacji elektronicznej</w:t>
            </w:r>
            <w:r w:rsidR="00220CA2">
              <w:rPr>
                <w:rStyle w:val="normaltextrun"/>
                <w:rFonts w:ascii="Times New Roman" w:hAnsi="Times New Roman"/>
              </w:rPr>
              <w:t xml:space="preserve"> </w:t>
            </w:r>
            <w:r w:rsidRPr="00F047AF">
              <w:rPr>
                <w:rStyle w:val="normaltextrun"/>
                <w:rFonts w:ascii="Times New Roman" w:hAnsi="Times New Roman"/>
              </w:rPr>
              <w:t>przez</w:t>
            </w:r>
            <w:r w:rsidR="00220CA2">
              <w:rPr>
                <w:rStyle w:val="normaltextrun"/>
                <w:rFonts w:ascii="Times New Roman" w:hAnsi="Times New Roman"/>
              </w:rPr>
              <w:t xml:space="preserve"> dokonanie </w:t>
            </w:r>
            <w:r w:rsidRPr="00F047AF">
              <w:rPr>
                <w:rStyle w:val="normaltextrun"/>
                <w:rFonts w:ascii="Times New Roman" w:hAnsi="Times New Roman"/>
              </w:rPr>
              <w:t>wyboru audytor</w:t>
            </w:r>
            <w:r w:rsidR="00F047AF" w:rsidRPr="00F047AF">
              <w:rPr>
                <w:rStyle w:val="normaltextrun"/>
                <w:rFonts w:ascii="Times New Roman" w:hAnsi="Times New Roman"/>
              </w:rPr>
              <w:t xml:space="preserve">ów </w:t>
            </w:r>
            <w:r w:rsidR="00F047AF" w:rsidRPr="00F047AF">
              <w:rPr>
                <w:rFonts w:ascii="Times New Roman" w:hAnsi="Times New Roman"/>
                <w:bCs/>
              </w:rPr>
              <w:t xml:space="preserve">spośród pracowników: </w:t>
            </w:r>
          </w:p>
          <w:p w14:paraId="70DF9FD7" w14:textId="5A57E9B1" w:rsidR="00F047AF" w:rsidRPr="00F047AF" w:rsidRDefault="00F047AF" w:rsidP="00F047AF">
            <w:pPr>
              <w:spacing w:before="120" w:line="240" w:lineRule="auto"/>
              <w:ind w:left="1014" w:hanging="283"/>
              <w:jc w:val="both"/>
              <w:rPr>
                <w:rFonts w:ascii="Times New Roman" w:hAnsi="Times New Roman"/>
                <w:bCs/>
              </w:rPr>
            </w:pPr>
            <w:r w:rsidRPr="00F047AF">
              <w:rPr>
                <w:rFonts w:ascii="Times New Roman" w:hAnsi="Times New Roman"/>
                <w:bCs/>
              </w:rPr>
              <w:t xml:space="preserve">a) urzędu obsługującego </w:t>
            </w:r>
            <w:r w:rsidR="00D928AB">
              <w:rPr>
                <w:rFonts w:ascii="Times New Roman" w:hAnsi="Times New Roman"/>
                <w:bCs/>
              </w:rPr>
              <w:t>tego m</w:t>
            </w:r>
            <w:r w:rsidRPr="00F047AF">
              <w:rPr>
                <w:rFonts w:ascii="Times New Roman" w:hAnsi="Times New Roman"/>
                <w:bCs/>
              </w:rPr>
              <w:t xml:space="preserve">inistra, </w:t>
            </w:r>
          </w:p>
          <w:p w14:paraId="4E03FC82" w14:textId="3927A381" w:rsidR="00F047AF" w:rsidRPr="00F047AF" w:rsidRDefault="00F047AF" w:rsidP="00F047AF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 w:rsidRPr="00F047AF">
              <w:rPr>
                <w:rFonts w:ascii="Times New Roman" w:hAnsi="Times New Roman"/>
                <w:bCs/>
              </w:rPr>
              <w:t>b) urzęd</w:t>
            </w:r>
            <w:r w:rsidR="009F111C">
              <w:rPr>
                <w:rFonts w:ascii="Times New Roman" w:hAnsi="Times New Roman"/>
                <w:bCs/>
              </w:rPr>
              <w:t>u</w:t>
            </w:r>
            <w:r w:rsidRPr="00F047AF">
              <w:rPr>
                <w:rFonts w:ascii="Times New Roman" w:hAnsi="Times New Roman"/>
                <w:bCs/>
              </w:rPr>
              <w:t xml:space="preserve"> obsługując</w:t>
            </w:r>
            <w:r w:rsidR="00692D83">
              <w:rPr>
                <w:rFonts w:ascii="Times New Roman" w:hAnsi="Times New Roman"/>
                <w:bCs/>
              </w:rPr>
              <w:t>ego</w:t>
            </w:r>
            <w:r w:rsidRPr="00F047AF">
              <w:rPr>
                <w:rFonts w:ascii="Times New Roman" w:hAnsi="Times New Roman"/>
                <w:bCs/>
              </w:rPr>
              <w:t xml:space="preserve"> organ nadzorowan</w:t>
            </w:r>
            <w:r w:rsidR="009F111C">
              <w:rPr>
                <w:rFonts w:ascii="Times New Roman" w:hAnsi="Times New Roman"/>
                <w:bCs/>
              </w:rPr>
              <w:t>y</w:t>
            </w:r>
            <w:r w:rsidR="004858C3">
              <w:rPr>
                <w:rFonts w:ascii="Times New Roman" w:hAnsi="Times New Roman"/>
                <w:bCs/>
              </w:rPr>
              <w:t xml:space="preserve"> przez </w:t>
            </w:r>
            <w:r w:rsidR="00D928AB">
              <w:rPr>
                <w:rFonts w:ascii="Times New Roman" w:hAnsi="Times New Roman"/>
                <w:bCs/>
              </w:rPr>
              <w:t>tego m</w:t>
            </w:r>
            <w:r w:rsidR="004858C3">
              <w:rPr>
                <w:rFonts w:ascii="Times New Roman" w:hAnsi="Times New Roman"/>
                <w:bCs/>
              </w:rPr>
              <w:t>inistra</w:t>
            </w:r>
            <w:r w:rsidRPr="00F047AF">
              <w:rPr>
                <w:rFonts w:ascii="Times New Roman" w:hAnsi="Times New Roman"/>
                <w:bCs/>
              </w:rPr>
              <w:t xml:space="preserve">, </w:t>
            </w:r>
          </w:p>
          <w:p w14:paraId="09FAD561" w14:textId="3DC40C47" w:rsidR="00F047AF" w:rsidRPr="00F047AF" w:rsidRDefault="00F047AF" w:rsidP="00F047AF">
            <w:pPr>
              <w:spacing w:before="120" w:line="240" w:lineRule="auto"/>
              <w:ind w:left="315" w:firstLine="416"/>
              <w:jc w:val="both"/>
              <w:rPr>
                <w:rFonts w:ascii="Times New Roman" w:hAnsi="Times New Roman"/>
                <w:bCs/>
              </w:rPr>
            </w:pPr>
            <w:r w:rsidRPr="00F047AF">
              <w:rPr>
                <w:rFonts w:ascii="Times New Roman" w:hAnsi="Times New Roman"/>
                <w:bCs/>
              </w:rPr>
              <w:t xml:space="preserve">c) jednostek organizacyjnych podległych </w:t>
            </w:r>
            <w:r w:rsidR="00D928AB">
              <w:rPr>
                <w:rFonts w:ascii="Times New Roman" w:hAnsi="Times New Roman"/>
                <w:bCs/>
              </w:rPr>
              <w:t>temu m</w:t>
            </w:r>
            <w:r w:rsidR="009C4DBA">
              <w:rPr>
                <w:rFonts w:ascii="Times New Roman" w:hAnsi="Times New Roman"/>
                <w:bCs/>
              </w:rPr>
              <w:t>inistrowi</w:t>
            </w:r>
            <w:r w:rsidR="004858C3">
              <w:rPr>
                <w:rFonts w:ascii="Times New Roman" w:hAnsi="Times New Roman"/>
                <w:bCs/>
              </w:rPr>
              <w:t xml:space="preserve"> </w:t>
            </w:r>
            <w:r w:rsidRPr="00F047AF">
              <w:rPr>
                <w:rFonts w:ascii="Times New Roman" w:hAnsi="Times New Roman"/>
                <w:bCs/>
              </w:rPr>
              <w:t xml:space="preserve">lub </w:t>
            </w:r>
            <w:r w:rsidR="009C4DBA">
              <w:rPr>
                <w:rFonts w:ascii="Times New Roman" w:hAnsi="Times New Roman"/>
                <w:bCs/>
              </w:rPr>
              <w:t xml:space="preserve">przez niego </w:t>
            </w:r>
            <w:r w:rsidRPr="00F047AF">
              <w:rPr>
                <w:rFonts w:ascii="Times New Roman" w:hAnsi="Times New Roman"/>
                <w:bCs/>
              </w:rPr>
              <w:t xml:space="preserve">nadzorowanych </w:t>
            </w:r>
          </w:p>
          <w:p w14:paraId="491D32E5" w14:textId="78175B7A" w:rsidR="00B52A69" w:rsidRPr="00D928AB" w:rsidRDefault="00F047AF" w:rsidP="00D928AB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 w:rsidRPr="00F047AF">
              <w:rPr>
                <w:rFonts w:ascii="Times New Roman" w:hAnsi="Times New Roman"/>
                <w:bCs/>
              </w:rPr>
              <w:t>– posiadających wiedzę specjalistyczną i doświadczenie zawodowe niezbędne do przeprowadzenia audytu</w:t>
            </w:r>
            <w:r w:rsidR="00220CA2">
              <w:rPr>
                <w:rFonts w:ascii="Times New Roman" w:hAnsi="Times New Roman"/>
                <w:bCs/>
              </w:rPr>
              <w:t>.</w:t>
            </w:r>
          </w:p>
          <w:p w14:paraId="62A70B8F" w14:textId="08A216C5" w:rsidR="00FC5F1E" w:rsidRPr="00FC5F1E" w:rsidRDefault="00220CA2" w:rsidP="00B52A69">
            <w:pPr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P</w:t>
            </w:r>
            <w:r w:rsidR="00FC5F1E" w:rsidRPr="00FC5F1E">
              <w:rPr>
                <w:rFonts w:ascii="Times New Roman" w:hAnsi="Times New Roman"/>
                <w:bCs/>
              </w:rPr>
              <w:t>rzyznanie ministrowi właściwemu do spraw informatyzacji możliwości upoważnienia do przeprowadzenia kontroli w</w:t>
            </w:r>
            <w:r w:rsidR="0002567A">
              <w:rPr>
                <w:rFonts w:ascii="Times New Roman" w:hAnsi="Times New Roman"/>
                <w:bCs/>
              </w:rPr>
              <w:t> </w:t>
            </w:r>
            <w:r w:rsidR="00FC5F1E" w:rsidRPr="00FC5F1E">
              <w:rPr>
                <w:rFonts w:ascii="Times New Roman" w:hAnsi="Times New Roman"/>
                <w:bCs/>
              </w:rPr>
              <w:t xml:space="preserve">zakresie nadzoru nad krajowym schematem identyfikacji elektronicznej lub audytu kwalifikowanych dostawców usług zaufania albo uczestniczenia w audycie takich dostawców przeprowadzanym przez jednostkę oceniającą zgodność przez pracowników: </w:t>
            </w:r>
          </w:p>
          <w:p w14:paraId="3D73697B" w14:textId="77777777" w:rsidR="00FC5F1E" w:rsidRPr="00FC5F1E" w:rsidRDefault="00FC5F1E" w:rsidP="004033C2">
            <w:pPr>
              <w:spacing w:before="120" w:line="240" w:lineRule="auto"/>
              <w:ind w:left="1014" w:hanging="283"/>
              <w:jc w:val="both"/>
              <w:rPr>
                <w:rFonts w:ascii="Times New Roman" w:hAnsi="Times New Roman"/>
                <w:bCs/>
              </w:rPr>
            </w:pPr>
            <w:r w:rsidRPr="00FC5F1E">
              <w:rPr>
                <w:rFonts w:ascii="Times New Roman" w:hAnsi="Times New Roman"/>
                <w:bCs/>
              </w:rPr>
              <w:t xml:space="preserve">a) urzędu obsługującego tego ministra, </w:t>
            </w:r>
          </w:p>
          <w:p w14:paraId="0FA2692E" w14:textId="3E30EBDD" w:rsidR="00FC5F1E" w:rsidRPr="00FC5F1E" w:rsidRDefault="00FC5F1E" w:rsidP="002D606A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 w:rsidRPr="00FC5F1E">
              <w:rPr>
                <w:rFonts w:ascii="Times New Roman" w:hAnsi="Times New Roman"/>
                <w:bCs/>
              </w:rPr>
              <w:t>b) urzęd</w:t>
            </w:r>
            <w:r w:rsidR="00692D83">
              <w:rPr>
                <w:rFonts w:ascii="Times New Roman" w:hAnsi="Times New Roman"/>
                <w:bCs/>
              </w:rPr>
              <w:t xml:space="preserve">u </w:t>
            </w:r>
            <w:r w:rsidRPr="00FC5F1E">
              <w:rPr>
                <w:rFonts w:ascii="Times New Roman" w:hAnsi="Times New Roman"/>
                <w:bCs/>
              </w:rPr>
              <w:t>obsługując</w:t>
            </w:r>
            <w:r w:rsidR="00692D83">
              <w:rPr>
                <w:rFonts w:ascii="Times New Roman" w:hAnsi="Times New Roman"/>
                <w:bCs/>
              </w:rPr>
              <w:t>ego</w:t>
            </w:r>
            <w:r w:rsidRPr="00FC5F1E">
              <w:rPr>
                <w:rFonts w:ascii="Times New Roman" w:hAnsi="Times New Roman"/>
                <w:bCs/>
              </w:rPr>
              <w:t xml:space="preserve"> organ nadzorowan</w:t>
            </w:r>
            <w:r w:rsidR="00692D83">
              <w:rPr>
                <w:rFonts w:ascii="Times New Roman" w:hAnsi="Times New Roman"/>
                <w:bCs/>
              </w:rPr>
              <w:t>y</w:t>
            </w:r>
            <w:r w:rsidRPr="00FC5F1E">
              <w:rPr>
                <w:rFonts w:ascii="Times New Roman" w:hAnsi="Times New Roman"/>
                <w:bCs/>
              </w:rPr>
              <w:t xml:space="preserve"> przez </w:t>
            </w:r>
            <w:r w:rsidR="00D928AB">
              <w:rPr>
                <w:rFonts w:ascii="Times New Roman" w:hAnsi="Times New Roman"/>
                <w:bCs/>
              </w:rPr>
              <w:t>tego m</w:t>
            </w:r>
            <w:r w:rsidR="00692D83">
              <w:rPr>
                <w:rFonts w:ascii="Times New Roman" w:hAnsi="Times New Roman"/>
                <w:bCs/>
              </w:rPr>
              <w:t>inistra</w:t>
            </w:r>
            <w:r w:rsidRPr="00FC5F1E">
              <w:rPr>
                <w:rFonts w:ascii="Times New Roman" w:hAnsi="Times New Roman"/>
                <w:bCs/>
              </w:rPr>
              <w:t xml:space="preserve">, </w:t>
            </w:r>
          </w:p>
          <w:p w14:paraId="64A9C6DA" w14:textId="713E84AB" w:rsidR="00FC5F1E" w:rsidRPr="00FC5F1E" w:rsidRDefault="000D02A8" w:rsidP="004033C2">
            <w:pPr>
              <w:spacing w:before="120" w:line="240" w:lineRule="auto"/>
              <w:ind w:left="315" w:firstLine="41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  <w:r w:rsidR="00FC5F1E" w:rsidRPr="00FC5F1E">
              <w:rPr>
                <w:rFonts w:ascii="Times New Roman" w:hAnsi="Times New Roman"/>
                <w:bCs/>
              </w:rPr>
              <w:t>) jednostek organizacyjnych podległych</w:t>
            </w:r>
            <w:r w:rsidR="00692D83">
              <w:rPr>
                <w:rFonts w:ascii="Times New Roman" w:hAnsi="Times New Roman"/>
                <w:bCs/>
              </w:rPr>
              <w:t xml:space="preserve"> </w:t>
            </w:r>
            <w:r w:rsidR="00D928AB">
              <w:rPr>
                <w:rFonts w:ascii="Times New Roman" w:hAnsi="Times New Roman"/>
                <w:bCs/>
              </w:rPr>
              <w:t>temu m</w:t>
            </w:r>
            <w:r w:rsidR="00692D83">
              <w:rPr>
                <w:rFonts w:ascii="Times New Roman" w:hAnsi="Times New Roman"/>
                <w:bCs/>
              </w:rPr>
              <w:t>inistrowi</w:t>
            </w:r>
            <w:r w:rsidR="00D928AB">
              <w:rPr>
                <w:rFonts w:ascii="Times New Roman" w:hAnsi="Times New Roman"/>
                <w:bCs/>
              </w:rPr>
              <w:t xml:space="preserve"> </w:t>
            </w:r>
            <w:r w:rsidR="00FC5F1E" w:rsidRPr="00FC5F1E">
              <w:rPr>
                <w:rFonts w:ascii="Times New Roman" w:hAnsi="Times New Roman"/>
                <w:bCs/>
              </w:rPr>
              <w:t>lub</w:t>
            </w:r>
            <w:r w:rsidR="00692D83">
              <w:rPr>
                <w:rFonts w:ascii="Times New Roman" w:hAnsi="Times New Roman"/>
                <w:bCs/>
              </w:rPr>
              <w:t xml:space="preserve"> przez niego</w:t>
            </w:r>
            <w:r w:rsidR="00FC5F1E" w:rsidRPr="00FC5F1E">
              <w:rPr>
                <w:rFonts w:ascii="Times New Roman" w:hAnsi="Times New Roman"/>
                <w:bCs/>
              </w:rPr>
              <w:t xml:space="preserve"> nadzorowanych</w:t>
            </w:r>
          </w:p>
          <w:p w14:paraId="603E7B6D" w14:textId="1BDD75D5" w:rsidR="00FC5F1E" w:rsidRPr="00FC5F1E" w:rsidRDefault="00FC5F1E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 w:rsidRPr="00FC5F1E">
              <w:rPr>
                <w:rFonts w:ascii="Times New Roman" w:hAnsi="Times New Roman"/>
                <w:bCs/>
              </w:rPr>
              <w:t>– posiadających wiedzę specjalistyczną i doświadczenie zawodowe niezbędne do przeprowadzenia audytu</w:t>
            </w:r>
            <w:r w:rsidR="00220CA2">
              <w:rPr>
                <w:rFonts w:ascii="Times New Roman" w:hAnsi="Times New Roman"/>
                <w:bCs/>
              </w:rPr>
              <w:t>.</w:t>
            </w:r>
          </w:p>
          <w:p w14:paraId="2BB5435A" w14:textId="4549C408" w:rsidR="002D606A" w:rsidRPr="004033C2" w:rsidRDefault="00220CA2" w:rsidP="00B52A69">
            <w:pPr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="00FC5F1E" w:rsidRPr="004033C2">
              <w:rPr>
                <w:rFonts w:ascii="Times New Roman" w:hAnsi="Times New Roman"/>
                <w:bCs/>
              </w:rPr>
              <w:t>oprecyzowanie przepisu określającego zakazane zachowanie wobec działań nadzorczych w zakresie audytów</w:t>
            </w:r>
            <w:r w:rsidR="00D928AB">
              <w:rPr>
                <w:rFonts w:ascii="Times New Roman" w:hAnsi="Times New Roman"/>
                <w:bCs/>
              </w:rPr>
              <w:t>.</w:t>
            </w:r>
          </w:p>
          <w:p w14:paraId="12DD1421" w14:textId="6D015F53" w:rsidR="002D606A" w:rsidRPr="002D606A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 w:rsidRPr="002D606A">
              <w:rPr>
                <w:rFonts w:ascii="Times New Roman" w:hAnsi="Times New Roman"/>
                <w:bCs/>
              </w:rPr>
              <w:t>Kwalifikowany dostawca usług zaufania przyjmuje do wiadomości, że brak współpracy z organem nadzoru, w</w:t>
            </w:r>
            <w:r w:rsidR="00220CA2">
              <w:rPr>
                <w:rFonts w:ascii="Times New Roman" w:hAnsi="Times New Roman"/>
                <w:bCs/>
              </w:rPr>
              <w:t> </w:t>
            </w:r>
            <w:r w:rsidRPr="002D606A">
              <w:rPr>
                <w:rFonts w:ascii="Times New Roman" w:hAnsi="Times New Roman"/>
                <w:bCs/>
              </w:rPr>
              <w:t>tym w szczególności utrudnianie audytu lub udziału organu nadzoru w audycie w charakterze obserwatora, może skutkować nałożeniem administracyjnej kary pieniężnej oraz zastosowaniem środków nadzorczych przewidzianych w ustawie.</w:t>
            </w:r>
          </w:p>
          <w:p w14:paraId="4659F574" w14:textId="77FD25E0" w:rsidR="002D606A" w:rsidRPr="002D606A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 w:rsidRPr="002D606A">
              <w:rPr>
                <w:rFonts w:ascii="Times New Roman" w:hAnsi="Times New Roman"/>
                <w:bCs/>
              </w:rPr>
              <w:t>Za uniemożliwienie lub utrudnianie wykonywania czynności nadzorczych uznaje się w szczególności:</w:t>
            </w:r>
          </w:p>
          <w:p w14:paraId="042A3737" w14:textId="60C0C474" w:rsidR="002D606A" w:rsidRPr="002D606A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 w:rsidRPr="002D606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06A">
              <w:rPr>
                <w:rFonts w:ascii="Times New Roman" w:hAnsi="Times New Roman"/>
                <w:bCs/>
              </w:rPr>
              <w:t>brak przekazania informacji o planowym audycie kwalifikowanych usług zaufania w terminie co najmniej 30 dni przed jego rozpoczęciem lub przekazanie informacji niepełnej lub nierzetelnej;</w:t>
            </w:r>
          </w:p>
          <w:p w14:paraId="6294E4D0" w14:textId="3C699DDB" w:rsidR="002D606A" w:rsidRPr="002D606A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2D606A">
              <w:rPr>
                <w:rFonts w:ascii="Times New Roman" w:hAnsi="Times New Roman"/>
                <w:bCs/>
              </w:rPr>
              <w:t xml:space="preserve"> odmowę dopuszczenia audytora organu nadzoru lub obserwatora organu nadzoru do udziału w audycie;</w:t>
            </w:r>
          </w:p>
          <w:p w14:paraId="051AE35F" w14:textId="3162FC15" w:rsidR="002D606A" w:rsidRPr="002D606A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o</w:t>
            </w:r>
            <w:r w:rsidRPr="002D606A">
              <w:rPr>
                <w:rFonts w:ascii="Times New Roman" w:hAnsi="Times New Roman"/>
                <w:bCs/>
              </w:rPr>
              <w:t>dmowę udostępniania dokumentów, danych, systemów teleinformatycznych lub infrastruktury technicznej, w</w:t>
            </w:r>
            <w:r w:rsidR="00220CA2">
              <w:rPr>
                <w:rFonts w:ascii="Times New Roman" w:hAnsi="Times New Roman"/>
                <w:bCs/>
              </w:rPr>
              <w:t> </w:t>
            </w:r>
            <w:r w:rsidRPr="002D606A">
              <w:rPr>
                <w:rFonts w:ascii="Times New Roman" w:hAnsi="Times New Roman"/>
                <w:bCs/>
              </w:rPr>
              <w:t>zakresie niezbędnym do przeprowadzenia audytu lub oceny zgodności;</w:t>
            </w:r>
          </w:p>
          <w:p w14:paraId="739164E3" w14:textId="10253DFC" w:rsidR="002D606A" w:rsidRPr="002D606A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u</w:t>
            </w:r>
            <w:r w:rsidRPr="002D606A">
              <w:rPr>
                <w:rFonts w:ascii="Times New Roman" w:hAnsi="Times New Roman"/>
                <w:bCs/>
              </w:rPr>
              <w:t>dzielanie informacji nieprawdziwych, niepełnych lub wprowadzających w błąd</w:t>
            </w:r>
            <w:r>
              <w:rPr>
                <w:rFonts w:ascii="Times New Roman" w:hAnsi="Times New Roman"/>
                <w:bCs/>
              </w:rPr>
              <w:t>,</w:t>
            </w:r>
            <w:r w:rsidRPr="002D606A">
              <w:rPr>
                <w:rFonts w:ascii="Times New Roman" w:hAnsi="Times New Roman"/>
                <w:bCs/>
              </w:rPr>
              <w:t xml:space="preserve"> jeżeli mogą one mieć wpływ na ustalenia audytowe lub ocenę spełnienia wymogów;</w:t>
            </w:r>
          </w:p>
          <w:p w14:paraId="2BD84D34" w14:textId="13600CD2" w:rsidR="002D606A" w:rsidRPr="002D606A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o</w:t>
            </w:r>
            <w:r w:rsidRPr="002D606A">
              <w:rPr>
                <w:rFonts w:ascii="Times New Roman" w:hAnsi="Times New Roman"/>
                <w:bCs/>
              </w:rPr>
              <w:t>późnianie czynności audytowych, w szczególności poprzez nieuzasadnione przekładanie terminów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5811E375" w14:textId="24169DBB" w:rsidR="00FC5F1E" w:rsidRPr="004033C2" w:rsidRDefault="002D606A" w:rsidP="004033C2">
            <w:pPr>
              <w:spacing w:before="120" w:line="240" w:lineRule="auto"/>
              <w:ind w:left="731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2D606A">
              <w:rPr>
                <w:rFonts w:ascii="Times New Roman" w:hAnsi="Times New Roman"/>
                <w:bCs/>
              </w:rPr>
              <w:t>Uniemożliwienie lub utrudnienie udziału organu nadzoru w audycie w charakterze obserwatora</w:t>
            </w:r>
          </w:p>
          <w:p w14:paraId="58B18FF0" w14:textId="1E994654" w:rsidR="00B52A69" w:rsidRPr="00B52A69" w:rsidRDefault="00220CA2" w:rsidP="00B52A69">
            <w:pPr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</w:t>
            </w:r>
            <w:r w:rsidR="00FC5F1E" w:rsidRPr="00FC5F1E">
              <w:rPr>
                <w:rFonts w:ascii="Times New Roman" w:hAnsi="Times New Roman"/>
                <w:bCs/>
              </w:rPr>
              <w:t>ałożenie na kwalifikowanych dostawców usług zaufania obowiązku informowania ministra właściwego do spraw informatyzacji o przeprowadzanych audytach</w:t>
            </w:r>
            <w:r w:rsidR="004033C2">
              <w:rPr>
                <w:rFonts w:ascii="Times New Roman" w:hAnsi="Times New Roman"/>
                <w:bCs/>
              </w:rPr>
              <w:t>. O</w:t>
            </w:r>
            <w:r w:rsidR="00B52A69" w:rsidRPr="00B52A69">
              <w:rPr>
                <w:rFonts w:ascii="Times New Roman" w:hAnsi="Times New Roman"/>
                <w:bCs/>
              </w:rPr>
              <w:t xml:space="preserve">bowiązek ten będzie realizowany w formie pisemnej, przesłanej drogą elektroniczną do </w:t>
            </w:r>
            <w:r w:rsidR="00E00906">
              <w:rPr>
                <w:rFonts w:ascii="Times New Roman" w:hAnsi="Times New Roman"/>
                <w:bCs/>
              </w:rPr>
              <w:t>m</w:t>
            </w:r>
            <w:r w:rsidR="00B52A69" w:rsidRPr="00B52A69">
              <w:rPr>
                <w:rFonts w:ascii="Times New Roman" w:hAnsi="Times New Roman"/>
                <w:bCs/>
              </w:rPr>
              <w:t xml:space="preserve">inistra właściwego do spraw informatyzacji z zachowaniem terminu co najmniej 30 dni przed planowanym rozpoczęciem audytu. </w:t>
            </w:r>
          </w:p>
          <w:p w14:paraId="2EEBCF7E" w14:textId="77777777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 xml:space="preserve">Obowiązek informacyjny dotyczy poinformowania o: </w:t>
            </w:r>
          </w:p>
          <w:p w14:paraId="08F8EAA5" w14:textId="67C3D13B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>- terminie rozpoczęcia i zakończenia audytu</w:t>
            </w:r>
            <w:r w:rsidR="00E00906">
              <w:rPr>
                <w:rFonts w:ascii="Times New Roman" w:hAnsi="Times New Roman"/>
                <w:bCs/>
              </w:rPr>
              <w:t>,</w:t>
            </w:r>
          </w:p>
          <w:p w14:paraId="6D2EE0DE" w14:textId="295C3BF9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>- podmio</w:t>
            </w:r>
            <w:r w:rsidR="00204ADB">
              <w:rPr>
                <w:rFonts w:ascii="Times New Roman" w:hAnsi="Times New Roman"/>
                <w:bCs/>
              </w:rPr>
              <w:t>cie</w:t>
            </w:r>
            <w:r w:rsidRPr="00B52A69">
              <w:rPr>
                <w:rFonts w:ascii="Times New Roman" w:hAnsi="Times New Roman"/>
                <w:bCs/>
              </w:rPr>
              <w:t xml:space="preserve"> przeprowadzający</w:t>
            </w:r>
            <w:r w:rsidR="00204ADB">
              <w:rPr>
                <w:rFonts w:ascii="Times New Roman" w:hAnsi="Times New Roman"/>
                <w:bCs/>
              </w:rPr>
              <w:t>m</w:t>
            </w:r>
            <w:r w:rsidRPr="00B52A69">
              <w:rPr>
                <w:rFonts w:ascii="Times New Roman" w:hAnsi="Times New Roman"/>
                <w:bCs/>
              </w:rPr>
              <w:t xml:space="preserve"> audyt</w:t>
            </w:r>
            <w:r w:rsidR="00E00906">
              <w:rPr>
                <w:rFonts w:ascii="Times New Roman" w:hAnsi="Times New Roman"/>
                <w:bCs/>
              </w:rPr>
              <w:t>,</w:t>
            </w:r>
          </w:p>
          <w:p w14:paraId="4B28B4A3" w14:textId="067F8739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>- rodzaj</w:t>
            </w:r>
            <w:r w:rsidR="00204ADB">
              <w:rPr>
                <w:rFonts w:ascii="Times New Roman" w:hAnsi="Times New Roman"/>
                <w:bCs/>
              </w:rPr>
              <w:t>u,</w:t>
            </w:r>
            <w:r w:rsidRPr="00B52A69">
              <w:rPr>
                <w:rFonts w:ascii="Times New Roman" w:hAnsi="Times New Roman"/>
                <w:bCs/>
              </w:rPr>
              <w:t xml:space="preserve"> zakres</w:t>
            </w:r>
            <w:r w:rsidR="00204ADB">
              <w:rPr>
                <w:rFonts w:ascii="Times New Roman" w:hAnsi="Times New Roman"/>
                <w:bCs/>
              </w:rPr>
              <w:t>ie</w:t>
            </w:r>
            <w:r w:rsidRPr="00B52A69">
              <w:rPr>
                <w:rFonts w:ascii="Times New Roman" w:hAnsi="Times New Roman"/>
                <w:bCs/>
              </w:rPr>
              <w:t xml:space="preserve"> i przedmio</w:t>
            </w:r>
            <w:r w:rsidR="00204ADB">
              <w:rPr>
                <w:rFonts w:ascii="Times New Roman" w:hAnsi="Times New Roman"/>
                <w:bCs/>
              </w:rPr>
              <w:t>cie</w:t>
            </w:r>
            <w:r w:rsidRPr="00B52A69">
              <w:rPr>
                <w:rFonts w:ascii="Times New Roman" w:hAnsi="Times New Roman"/>
                <w:bCs/>
              </w:rPr>
              <w:t xml:space="preserve"> audytu</w:t>
            </w:r>
            <w:r w:rsidR="004033C2">
              <w:rPr>
                <w:rFonts w:ascii="Times New Roman" w:hAnsi="Times New Roman"/>
                <w:bCs/>
              </w:rPr>
              <w:t>.</w:t>
            </w:r>
            <w:r w:rsidRPr="00B52A69">
              <w:rPr>
                <w:rFonts w:ascii="Times New Roman" w:hAnsi="Times New Roman"/>
                <w:bCs/>
              </w:rPr>
              <w:t xml:space="preserve"> </w:t>
            </w:r>
          </w:p>
          <w:p w14:paraId="5AF1B5C9" w14:textId="1DA8B82A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>Zakres audytów objętych obowiązkiem informacyjnym obejmuje wszystkie audyty przeprowadzane u</w:t>
            </w:r>
            <w:r w:rsidR="00220CA2">
              <w:rPr>
                <w:rFonts w:ascii="Times New Roman" w:hAnsi="Times New Roman"/>
                <w:bCs/>
              </w:rPr>
              <w:t> </w:t>
            </w:r>
            <w:r w:rsidRPr="00B52A69">
              <w:rPr>
                <w:rFonts w:ascii="Times New Roman" w:hAnsi="Times New Roman"/>
                <w:bCs/>
              </w:rPr>
              <w:t xml:space="preserve">kwalifikowanego dostawcy usług zaufania. </w:t>
            </w:r>
          </w:p>
          <w:p w14:paraId="3FE53FE3" w14:textId="52001C66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>Wyłącz</w:t>
            </w:r>
            <w:r w:rsidR="00204ADB">
              <w:rPr>
                <w:rFonts w:ascii="Times New Roman" w:hAnsi="Times New Roman"/>
                <w:bCs/>
              </w:rPr>
              <w:t>one</w:t>
            </w:r>
            <w:r w:rsidRPr="00B52A69">
              <w:rPr>
                <w:rFonts w:ascii="Times New Roman" w:hAnsi="Times New Roman"/>
                <w:bCs/>
              </w:rPr>
              <w:t xml:space="preserve"> z tego obowiązku są audyty inicjowane przez </w:t>
            </w:r>
            <w:r w:rsidR="00E00906">
              <w:rPr>
                <w:rFonts w:ascii="Times New Roman" w:hAnsi="Times New Roman"/>
                <w:bCs/>
              </w:rPr>
              <w:t>m</w:t>
            </w:r>
            <w:r w:rsidRPr="00B52A69">
              <w:rPr>
                <w:rFonts w:ascii="Times New Roman" w:hAnsi="Times New Roman"/>
                <w:bCs/>
              </w:rPr>
              <w:t xml:space="preserve">inistra właściwego do spraw informatyzacji.  </w:t>
            </w:r>
          </w:p>
          <w:p w14:paraId="0E19F89E" w14:textId="1E1B0AFB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>Cel</w:t>
            </w:r>
            <w:r w:rsidR="004033C2">
              <w:rPr>
                <w:rFonts w:ascii="Times New Roman" w:hAnsi="Times New Roman"/>
                <w:bCs/>
              </w:rPr>
              <w:t>em</w:t>
            </w:r>
            <w:r w:rsidRPr="00B52A69">
              <w:rPr>
                <w:rFonts w:ascii="Times New Roman" w:hAnsi="Times New Roman"/>
                <w:bCs/>
              </w:rPr>
              <w:t xml:space="preserve"> obowiązku informacyjnego</w:t>
            </w:r>
            <w:r w:rsidR="004033C2">
              <w:rPr>
                <w:rFonts w:ascii="Times New Roman" w:hAnsi="Times New Roman"/>
                <w:bCs/>
              </w:rPr>
              <w:t xml:space="preserve"> jest z</w:t>
            </w:r>
            <w:r w:rsidRPr="00B52A69">
              <w:rPr>
                <w:rFonts w:ascii="Times New Roman" w:hAnsi="Times New Roman"/>
                <w:bCs/>
              </w:rPr>
              <w:t>apewnienie</w:t>
            </w:r>
            <w:r w:rsidR="00E00906">
              <w:rPr>
                <w:rFonts w:ascii="Times New Roman" w:hAnsi="Times New Roman"/>
                <w:bCs/>
              </w:rPr>
              <w:t xml:space="preserve"> ministrowi właściwemu do spraw informatyzacji</w:t>
            </w:r>
            <w:r w:rsidRPr="00B52A69">
              <w:rPr>
                <w:rFonts w:ascii="Times New Roman" w:hAnsi="Times New Roman"/>
                <w:bCs/>
              </w:rPr>
              <w:t xml:space="preserve"> możliwości udziału w audytach dostawców usług zaufania w formie obserwatora organu nadzoru. </w:t>
            </w:r>
          </w:p>
          <w:p w14:paraId="22608F39" w14:textId="77777777" w:rsidR="00B52A69" w:rsidRPr="00B52A69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t xml:space="preserve">Kwalifikowany dostawca usług zaufania, który nie dopełnia obowiązku informowania ministra o planowanym audycie, w szczególności nie przekazuje informacji w formie pisemnej drogą elektroniczną lub nie zachowuje terminu co najmniej 30 dni przed planowanym rozpoczęciem audytu, podlega karze pieniężnej. </w:t>
            </w:r>
          </w:p>
          <w:p w14:paraId="414FD7B2" w14:textId="15ACB859" w:rsidR="00FC5F1E" w:rsidRPr="00FC5F1E" w:rsidRDefault="00B52A69" w:rsidP="004033C2">
            <w:pPr>
              <w:spacing w:before="12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B52A69">
              <w:rPr>
                <w:rFonts w:ascii="Times New Roman" w:hAnsi="Times New Roman"/>
                <w:bCs/>
              </w:rPr>
              <w:lastRenderedPageBreak/>
              <w:t>Karę pieniężną, w drodze decyzji administracyjnej, nakłada minister właściwy do spraw informatyzacji, uwzględniając w szczególności zakres naruszenia, jego charakter oraz wpływ na wykonywanie nadzoru.</w:t>
            </w:r>
          </w:p>
          <w:p w14:paraId="03A8B355" w14:textId="2CB18EA3" w:rsidR="009D7BF9" w:rsidRDefault="00220CA2" w:rsidP="00B52A69">
            <w:pPr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</w:t>
            </w:r>
            <w:r w:rsidR="00FC5F1E" w:rsidRPr="00FC5F1E">
              <w:rPr>
                <w:rFonts w:ascii="Times New Roman" w:hAnsi="Times New Roman"/>
                <w:bCs/>
              </w:rPr>
              <w:t>prowadzenie prawidłowych odesłań do rozporządzenia Parlamentu Europejskiego i Rady (UE) nr 910/2014 z</w:t>
            </w:r>
            <w:r>
              <w:rPr>
                <w:rFonts w:ascii="Times New Roman" w:hAnsi="Times New Roman"/>
                <w:bCs/>
              </w:rPr>
              <w:t> </w:t>
            </w:r>
            <w:r w:rsidR="00FC5F1E" w:rsidRPr="00FC5F1E">
              <w:rPr>
                <w:rFonts w:ascii="Times New Roman" w:hAnsi="Times New Roman"/>
                <w:bCs/>
              </w:rPr>
              <w:t>dnia 23</w:t>
            </w:r>
            <w:r w:rsidR="0002567A">
              <w:rPr>
                <w:rFonts w:ascii="Times New Roman" w:hAnsi="Times New Roman"/>
                <w:bCs/>
              </w:rPr>
              <w:t> </w:t>
            </w:r>
            <w:r w:rsidR="00FC5F1E" w:rsidRPr="00FC5F1E">
              <w:rPr>
                <w:rFonts w:ascii="Times New Roman" w:hAnsi="Times New Roman"/>
                <w:bCs/>
              </w:rPr>
              <w:t xml:space="preserve">lipca 2014 r. w sprawie identyfikacji elektronicznej i usług zaufania w odniesieniu do transakcji elektronicznych na rynku wewnętrznym oraz uchylającego dyrektywę 1999/93/WE </w:t>
            </w:r>
            <w:bookmarkStart w:id="3" w:name="_Hlk206588078"/>
            <w:r w:rsidR="00FC5F1E" w:rsidRPr="00FC5F1E">
              <w:rPr>
                <w:rFonts w:ascii="Times New Roman" w:hAnsi="Times New Roman"/>
                <w:bCs/>
              </w:rPr>
              <w:t>(Dz. Urz. UE</w:t>
            </w:r>
            <w:r w:rsidR="009E0B3C">
              <w:rPr>
                <w:rFonts w:ascii="Times New Roman" w:hAnsi="Times New Roman"/>
                <w:bCs/>
              </w:rPr>
              <w:t>.</w:t>
            </w:r>
            <w:r w:rsidR="00FC5F1E" w:rsidRPr="00FC5F1E">
              <w:rPr>
                <w:rFonts w:ascii="Times New Roman" w:hAnsi="Times New Roman"/>
                <w:bCs/>
              </w:rPr>
              <w:t xml:space="preserve"> L 257 z 28.08.2014, str. 73, </w:t>
            </w:r>
            <w:r w:rsidR="00367B28" w:rsidRPr="00FC5F1E">
              <w:rPr>
                <w:rFonts w:ascii="Times New Roman" w:hAnsi="Times New Roman"/>
                <w:bCs/>
              </w:rPr>
              <w:t xml:space="preserve"> </w:t>
            </w:r>
            <w:r w:rsidR="00E00906">
              <w:rPr>
                <w:rFonts w:ascii="Times New Roman" w:hAnsi="Times New Roman"/>
                <w:bCs/>
              </w:rPr>
              <w:t>z późn. zm.</w:t>
            </w:r>
            <w:r w:rsidR="00FC5F1E" w:rsidRPr="00FC5F1E">
              <w:rPr>
                <w:rFonts w:ascii="Times New Roman" w:hAnsi="Times New Roman"/>
                <w:bCs/>
              </w:rPr>
              <w:t>).</w:t>
            </w:r>
            <w:bookmarkEnd w:id="3"/>
          </w:p>
          <w:p w14:paraId="68D3944B" w14:textId="67EA9921" w:rsidR="00C21341" w:rsidRPr="00D22FE0" w:rsidRDefault="00220CA2" w:rsidP="00220CA2">
            <w:pPr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="00C21341" w:rsidRPr="00C21341">
              <w:rPr>
                <w:rFonts w:ascii="Times New Roman" w:hAnsi="Times New Roman"/>
                <w:bCs/>
              </w:rPr>
              <w:t>odan</w:t>
            </w:r>
            <w:r w:rsidR="00D928AB">
              <w:rPr>
                <w:rFonts w:ascii="Times New Roman" w:hAnsi="Times New Roman"/>
                <w:bCs/>
              </w:rPr>
              <w:t>ie</w:t>
            </w:r>
            <w:r w:rsidR="00C21341" w:rsidRPr="00C21341">
              <w:rPr>
                <w:rFonts w:ascii="Times New Roman" w:hAnsi="Times New Roman"/>
                <w:bCs/>
              </w:rPr>
              <w:t xml:space="preserve"> w art. 46 pkt 1</w:t>
            </w:r>
            <w:r w:rsidR="00BA3994">
              <w:rPr>
                <w:rFonts w:ascii="Times New Roman" w:hAnsi="Times New Roman"/>
                <w:bCs/>
              </w:rPr>
              <w:t>3</w:t>
            </w:r>
            <w:r w:rsidR="00C21341" w:rsidRPr="00C21341">
              <w:rPr>
                <w:rFonts w:ascii="Times New Roman" w:hAnsi="Times New Roman"/>
                <w:bCs/>
              </w:rPr>
              <w:t xml:space="preserve"> ww. ustawy </w:t>
            </w:r>
            <w:r w:rsidR="00C21341">
              <w:rPr>
                <w:rFonts w:ascii="Times New Roman" w:hAnsi="Times New Roman"/>
                <w:bCs/>
              </w:rPr>
              <w:t>–</w:t>
            </w:r>
            <w:r w:rsidR="00C21341" w:rsidRPr="00C21341">
              <w:rPr>
                <w:rFonts w:ascii="Times New Roman" w:hAnsi="Times New Roman"/>
                <w:bCs/>
              </w:rPr>
              <w:t xml:space="preserve"> </w:t>
            </w:r>
            <w:r w:rsidR="00C21341">
              <w:rPr>
                <w:rFonts w:ascii="Times New Roman" w:hAnsi="Times New Roman"/>
                <w:bCs/>
              </w:rPr>
              <w:t>z uwagi na</w:t>
            </w:r>
            <w:r w:rsidR="00C21341" w:rsidRPr="00C21341">
              <w:rPr>
                <w:rFonts w:ascii="Times New Roman" w:hAnsi="Times New Roman"/>
                <w:bCs/>
              </w:rPr>
              <w:t xml:space="preserve"> przypadki, kiedy naruszenia i podatności mają wpływ na innych dostawców</w:t>
            </w:r>
            <w:r w:rsidR="00C21341">
              <w:rPr>
                <w:rFonts w:ascii="Times New Roman" w:hAnsi="Times New Roman"/>
                <w:bCs/>
              </w:rPr>
              <w:t xml:space="preserve"> usług zaufania</w:t>
            </w:r>
            <w:r w:rsidR="00C21341" w:rsidRPr="00C21341">
              <w:rPr>
                <w:rFonts w:ascii="Times New Roman" w:hAnsi="Times New Roman"/>
                <w:bCs/>
              </w:rPr>
              <w:t xml:space="preserve"> oraz mogą być groźne z punktu widzenie bezpieczeństwa obrotu gospodarczego, a nie można zakwalifikować zdarzenia jako incydent wg ustawy </w:t>
            </w:r>
            <w:r>
              <w:rPr>
                <w:rFonts w:ascii="Times New Roman" w:hAnsi="Times New Roman"/>
                <w:bCs/>
              </w:rPr>
              <w:t>z</w:t>
            </w:r>
            <w:r w:rsidRPr="00220CA2">
              <w:rPr>
                <w:rFonts w:ascii="Times New Roman" w:hAnsi="Times New Roman"/>
                <w:bCs/>
              </w:rPr>
              <w:t xml:space="preserve"> dnia 5 lipca 2018 r. o krajowym systemie cyberbezpieczeństwa</w:t>
            </w:r>
            <w:r>
              <w:rPr>
                <w:rFonts w:ascii="Times New Roman" w:hAnsi="Times New Roman"/>
                <w:bCs/>
              </w:rPr>
              <w:t xml:space="preserve"> (Dz. U. </w:t>
            </w:r>
            <w:r w:rsidRPr="00220CA2">
              <w:rPr>
                <w:rFonts w:ascii="Times New Roman" w:hAnsi="Times New Roman"/>
                <w:bCs/>
              </w:rPr>
              <w:t>z 2026 r.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20CA2">
              <w:rPr>
                <w:rFonts w:ascii="Times New Roman" w:hAnsi="Times New Roman"/>
                <w:bCs/>
              </w:rPr>
              <w:t>poz. 20</w:t>
            </w:r>
            <w:r>
              <w:rPr>
                <w:rFonts w:ascii="Times New Roman" w:hAnsi="Times New Roman"/>
                <w:bCs/>
              </w:rPr>
              <w:t xml:space="preserve"> i</w:t>
            </w:r>
            <w:r w:rsidRPr="00220CA2">
              <w:rPr>
                <w:rFonts w:ascii="Times New Roman" w:hAnsi="Times New Roman"/>
                <w:bCs/>
              </w:rPr>
              <w:t xml:space="preserve"> 252</w:t>
            </w:r>
            <w:r>
              <w:rPr>
                <w:rFonts w:ascii="Times New Roman" w:hAnsi="Times New Roman"/>
                <w:bCs/>
              </w:rPr>
              <w:t>).</w:t>
            </w:r>
          </w:p>
        </w:tc>
      </w:tr>
      <w:tr w:rsidR="006A701A" w:rsidRPr="00C00CCF" w14:paraId="68D3944E" w14:textId="77777777" w:rsidTr="000E0B30">
        <w:trPr>
          <w:trHeight w:val="307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8D3944D" w14:textId="77777777" w:rsidR="006A701A" w:rsidRPr="00C00CCF" w:rsidRDefault="009E3C4B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C00CCF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C00CCF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76656D" w:rsidRPr="00C00CCF" w14:paraId="68D39455" w14:textId="77777777" w:rsidTr="000E0B30">
        <w:trPr>
          <w:trHeight w:val="142"/>
        </w:trPr>
        <w:tc>
          <w:tcPr>
            <w:tcW w:w="10947" w:type="dxa"/>
            <w:gridSpan w:val="29"/>
          </w:tcPr>
          <w:p w14:paraId="68D39454" w14:textId="35942A90" w:rsidR="001F3899" w:rsidRPr="005266DC" w:rsidRDefault="001F3899" w:rsidP="000E0B3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</w:t>
            </w:r>
            <w:r w:rsidR="007A3649" w:rsidRPr="00C00CCF">
              <w:rPr>
                <w:rFonts w:ascii="Times New Roman" w:hAnsi="Times New Roman"/>
                <w:color w:val="000000" w:themeColor="text1"/>
              </w:rPr>
              <w:t>ie dotyczy – wprowadzone zmiany dotyczą wyłącznie rozwiązań krajowych.</w:t>
            </w:r>
          </w:p>
        </w:tc>
      </w:tr>
      <w:tr w:rsidR="0076656D" w:rsidRPr="00C00CCF" w14:paraId="68D39457" w14:textId="77777777" w:rsidTr="000E0B30">
        <w:trPr>
          <w:trHeight w:val="359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8D39456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6F4069" w:rsidRPr="00B37C80" w14:paraId="19DCD847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47BA1908" w14:textId="28053DDB" w:rsidR="006F4069" w:rsidRPr="00C00CCF" w:rsidRDefault="006F4069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66" w:type="dxa"/>
            <w:gridSpan w:val="7"/>
          </w:tcPr>
          <w:p w14:paraId="495F203F" w14:textId="149DEC7E" w:rsidR="006F4069" w:rsidRPr="00C00CCF" w:rsidRDefault="006F4069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1"/>
          </w:tcPr>
          <w:p w14:paraId="6164F0A5" w14:textId="4DCC8123" w:rsidR="006F4069" w:rsidRPr="00C00CCF" w:rsidRDefault="006F4069" w:rsidP="000E0B30">
            <w:pPr>
              <w:spacing w:before="60" w:after="6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</w:p>
        </w:tc>
        <w:tc>
          <w:tcPr>
            <w:tcW w:w="2981" w:type="dxa"/>
            <w:gridSpan w:val="6"/>
          </w:tcPr>
          <w:p w14:paraId="7870C906" w14:textId="6251B8D4" w:rsidR="006F4069" w:rsidRPr="00C00CCF" w:rsidRDefault="006F4069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854D51" w:rsidRPr="00B37C80" w14:paraId="3E61FD9F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53014359" w14:textId="6B33531A" w:rsidR="00854D51" w:rsidRPr="008B4FE6" w:rsidRDefault="00D22771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22771">
              <w:rPr>
                <w:rFonts w:ascii="Times New Roman" w:hAnsi="Times New Roman"/>
                <w:color w:val="000000"/>
              </w:rPr>
              <w:t>Minister właściwy do spraw informatyzacji</w:t>
            </w:r>
          </w:p>
        </w:tc>
        <w:tc>
          <w:tcPr>
            <w:tcW w:w="2266" w:type="dxa"/>
            <w:gridSpan w:val="7"/>
          </w:tcPr>
          <w:p w14:paraId="7281987A" w14:textId="77777777" w:rsidR="00854D51" w:rsidRPr="00B37C80" w:rsidRDefault="00854D51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1"/>
          </w:tcPr>
          <w:p w14:paraId="70C376C7" w14:textId="5D831FBF" w:rsidR="00854D51" w:rsidRPr="00B37C80" w:rsidRDefault="00854D51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ogólnodostępne</w:t>
            </w:r>
          </w:p>
        </w:tc>
        <w:tc>
          <w:tcPr>
            <w:tcW w:w="2981" w:type="dxa"/>
            <w:gridSpan w:val="6"/>
          </w:tcPr>
          <w:p w14:paraId="37727E3F" w14:textId="71EC387D" w:rsidR="00D22771" w:rsidRPr="00B37C80" w:rsidRDefault="00D22771" w:rsidP="00D2277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22771">
              <w:rPr>
                <w:rFonts w:ascii="Times New Roman" w:hAnsi="Times New Roman"/>
                <w:color w:val="000000"/>
                <w:spacing w:val="-2"/>
              </w:rPr>
              <w:t>Realizacja kontroli nad krajowym schematem identyfikacji elektronicznej</w:t>
            </w:r>
            <w:r w:rsidR="00EC186E">
              <w:rPr>
                <w:rFonts w:ascii="Times New Roman" w:hAnsi="Times New Roman"/>
                <w:color w:val="000000"/>
                <w:spacing w:val="-2"/>
              </w:rPr>
              <w:t xml:space="preserve"> oraz kwalifikowanymi usługami zaufania</w:t>
            </w:r>
            <w:r w:rsidR="002A63B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057844" w:rsidRPr="008F70E6" w14:paraId="078535B8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0AA61A20" w14:textId="0ED11AF2" w:rsidR="00057844" w:rsidRPr="00057844" w:rsidRDefault="00057844" w:rsidP="000E0B30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7844">
              <w:rPr>
                <w:rFonts w:ascii="Times New Roman" w:hAnsi="Times New Roman"/>
                <w:spacing w:val="-2"/>
              </w:rPr>
              <w:t xml:space="preserve">Krajowa Izba Rozliczeniowa </w:t>
            </w:r>
          </w:p>
        </w:tc>
        <w:tc>
          <w:tcPr>
            <w:tcW w:w="2266" w:type="dxa"/>
            <w:gridSpan w:val="7"/>
          </w:tcPr>
          <w:p w14:paraId="2144E111" w14:textId="070372E9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1"/>
          </w:tcPr>
          <w:p w14:paraId="6A7B1FCA" w14:textId="7EC261C1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</w:rPr>
              <w:t xml:space="preserve">Podmiot wymieniony w rejestrze dostawców środka identyfikacji elektronicznej przyłączonych do węzła krajowego udostępnianym przez Ministra Cyfryzacji pod adresem: </w:t>
            </w:r>
            <w:hyperlink r:id="rId9" w:history="1">
              <w:r w:rsidRPr="00057844">
                <w:rPr>
                  <w:rStyle w:val="Hipercze"/>
                  <w:rFonts w:ascii="Times New Roman" w:hAnsi="Times New Roman"/>
                </w:rPr>
                <w:t>https://mc.bip.gov.pl/wezel-krajowy-zintegrowani-dostawcy-srodka-identyfikacji/rejestr-dostawcow-srodka-identyfikacji-elektronicznej-przylaczonych-do-wezla-krajowego.html</w:t>
              </w:r>
            </w:hyperlink>
          </w:p>
        </w:tc>
        <w:tc>
          <w:tcPr>
            <w:tcW w:w="2981" w:type="dxa"/>
            <w:gridSpan w:val="6"/>
          </w:tcPr>
          <w:p w14:paraId="107F87B0" w14:textId="6CF5B198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Podmiot podlegający kontroli jako odpowiedzialny za system moje ID</w:t>
            </w:r>
            <w:r w:rsidR="002A63BE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057844" w:rsidRPr="008F70E6" w14:paraId="2C408670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20363D0B" w14:textId="53DC344E" w:rsidR="00057844" w:rsidRPr="00057844" w:rsidRDefault="00057844" w:rsidP="000E0B30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7844">
              <w:rPr>
                <w:rFonts w:ascii="Times New Roman" w:hAnsi="Times New Roman"/>
                <w:spacing w:val="-2"/>
              </w:rPr>
              <w:t>Podmioty wydające środki identyfikacji elektronicznej w ramach systemów identyfikacji przyłączonych do węzła krajowego</w:t>
            </w:r>
          </w:p>
        </w:tc>
        <w:tc>
          <w:tcPr>
            <w:tcW w:w="2266" w:type="dxa"/>
            <w:gridSpan w:val="7"/>
          </w:tcPr>
          <w:p w14:paraId="5BD090A2" w14:textId="41CF6D33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531</w:t>
            </w:r>
          </w:p>
        </w:tc>
        <w:tc>
          <w:tcPr>
            <w:tcW w:w="2996" w:type="dxa"/>
            <w:gridSpan w:val="11"/>
          </w:tcPr>
          <w:p w14:paraId="4D9D27B3" w14:textId="300A149A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 xml:space="preserve">Podmioty wymienione są w rejestrze dostawców środka identyfikacji elektronicznej przyłączonych do węzła krajowego udostępnianym przez Ministra Cyfryzacji pod adresem: </w:t>
            </w:r>
          </w:p>
          <w:p w14:paraId="6B49752F" w14:textId="22BE29AA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hyperlink r:id="rId10" w:history="1">
              <w:r w:rsidRPr="00057844">
                <w:rPr>
                  <w:rStyle w:val="Hipercze"/>
                  <w:rFonts w:ascii="Times New Roman" w:hAnsi="Times New Roman"/>
                </w:rPr>
                <w:t>https://mc.bip.gov.pl/wezel-krajowy-zintegrowani-dostawcy-srodka-identyfikacji/rejestr-dostawcow-srodka-identyfikacji-elektronicznej-</w:t>
              </w:r>
              <w:r w:rsidRPr="00057844">
                <w:rPr>
                  <w:rStyle w:val="Hipercze"/>
                  <w:rFonts w:ascii="Times New Roman" w:hAnsi="Times New Roman"/>
                </w:rPr>
                <w:lastRenderedPageBreak/>
                <w:t>przylaczonych-do-wezla-krajowego.html</w:t>
              </w:r>
            </w:hyperlink>
          </w:p>
        </w:tc>
        <w:tc>
          <w:tcPr>
            <w:tcW w:w="2981" w:type="dxa"/>
            <w:gridSpan w:val="6"/>
          </w:tcPr>
          <w:p w14:paraId="7C218036" w14:textId="3B5329EE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lastRenderedPageBreak/>
              <w:t>Podmioty podlegające kontroli</w:t>
            </w:r>
            <w:r w:rsidR="002A63BE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057844" w:rsidRPr="008F70E6" w14:paraId="62819D96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3156EF7F" w14:textId="41B29B08" w:rsidR="00057844" w:rsidRPr="00057844" w:rsidRDefault="00057844" w:rsidP="000E0B30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7844">
              <w:rPr>
                <w:rFonts w:ascii="Times New Roman" w:hAnsi="Times New Roman"/>
                <w:spacing w:val="-2"/>
              </w:rPr>
              <w:t>Krajowe punkty potwierdzające profil zaufany</w:t>
            </w:r>
          </w:p>
        </w:tc>
        <w:tc>
          <w:tcPr>
            <w:tcW w:w="2266" w:type="dxa"/>
            <w:gridSpan w:val="7"/>
          </w:tcPr>
          <w:p w14:paraId="6F2E9AD3" w14:textId="7BF2585F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2234</w:t>
            </w:r>
          </w:p>
        </w:tc>
        <w:tc>
          <w:tcPr>
            <w:tcW w:w="2996" w:type="dxa"/>
            <w:gridSpan w:val="11"/>
          </w:tcPr>
          <w:p w14:paraId="1B3525E1" w14:textId="3822C143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Podmioty ustalone, według określonych kryteriów, przy użyciu usługi udostępnianej pod adres:</w:t>
            </w:r>
          </w:p>
          <w:p w14:paraId="69F679A0" w14:textId="4E459D24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hyperlink r:id="rId11" w:history="1">
              <w:r w:rsidRPr="00057844">
                <w:rPr>
                  <w:rStyle w:val="Hipercze"/>
                  <w:rFonts w:ascii="Times New Roman" w:hAnsi="Times New Roman"/>
                </w:rPr>
                <w:t>https://pz.gov.pl/pz/confirmationPointAddressesList</w:t>
              </w:r>
            </w:hyperlink>
          </w:p>
        </w:tc>
        <w:tc>
          <w:tcPr>
            <w:tcW w:w="2981" w:type="dxa"/>
            <w:gridSpan w:val="6"/>
          </w:tcPr>
          <w:p w14:paraId="2FA4DB66" w14:textId="412C3C38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Podmioty podlegające kontroli</w:t>
            </w:r>
            <w:r w:rsidR="002A63BE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057844" w:rsidRPr="008F70E6" w14:paraId="60FBB4A7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3876FE5D" w14:textId="0F6843C9" w:rsidR="00057844" w:rsidRPr="00057844" w:rsidRDefault="003411CF" w:rsidP="000E0B30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-2"/>
              </w:rPr>
              <w:t>Jednostki organizacyjne</w:t>
            </w:r>
            <w:r w:rsidR="00057844" w:rsidRPr="00057844">
              <w:rPr>
                <w:rFonts w:ascii="Times New Roman" w:hAnsi="Times New Roman"/>
                <w:spacing w:val="-2"/>
              </w:rPr>
              <w:t xml:space="preserve"> podległe </w:t>
            </w:r>
            <w:r>
              <w:rPr>
                <w:rFonts w:ascii="Times New Roman" w:hAnsi="Times New Roman"/>
                <w:spacing w:val="-2"/>
              </w:rPr>
              <w:t xml:space="preserve">Ministrowi Cyfryzacji </w:t>
            </w:r>
            <w:r w:rsidR="00057844" w:rsidRPr="00057844">
              <w:rPr>
                <w:rFonts w:ascii="Times New Roman" w:hAnsi="Times New Roman"/>
                <w:spacing w:val="-2"/>
              </w:rPr>
              <w:t xml:space="preserve">lub </w:t>
            </w:r>
            <w:r>
              <w:rPr>
                <w:rFonts w:ascii="Times New Roman" w:hAnsi="Times New Roman"/>
                <w:spacing w:val="-2"/>
              </w:rPr>
              <w:t>przez niego nadzorowane</w:t>
            </w:r>
            <w:r w:rsidR="00057844" w:rsidRPr="00057844">
              <w:rPr>
                <w:rFonts w:ascii="Times New Roman" w:hAnsi="Times New Roman"/>
                <w:spacing w:val="-2"/>
              </w:rPr>
              <w:t xml:space="preserve"> oraz organ nadzorowan</w:t>
            </w:r>
            <w:r>
              <w:rPr>
                <w:rFonts w:ascii="Times New Roman" w:hAnsi="Times New Roman"/>
                <w:spacing w:val="-2"/>
              </w:rPr>
              <w:t>y</w:t>
            </w:r>
            <w:r w:rsidR="00057844" w:rsidRPr="00057844">
              <w:rPr>
                <w:rFonts w:ascii="Times New Roman" w:hAnsi="Times New Roman"/>
                <w:spacing w:val="-2"/>
              </w:rPr>
              <w:t xml:space="preserve"> przez </w:t>
            </w:r>
            <w:r>
              <w:rPr>
                <w:rFonts w:ascii="Times New Roman" w:hAnsi="Times New Roman"/>
                <w:spacing w:val="-2"/>
              </w:rPr>
              <w:t>Ministra Cyfryzacji</w:t>
            </w:r>
          </w:p>
        </w:tc>
        <w:tc>
          <w:tcPr>
            <w:tcW w:w="2266" w:type="dxa"/>
            <w:gridSpan w:val="7"/>
          </w:tcPr>
          <w:p w14:paraId="48090DC0" w14:textId="3C3FB63E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996" w:type="dxa"/>
            <w:gridSpan w:val="11"/>
          </w:tcPr>
          <w:p w14:paraId="733F3E50" w14:textId="77777777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Organ nadzorowany przez Ministra Cyfryzacji:</w:t>
            </w:r>
          </w:p>
          <w:p w14:paraId="5C468270" w14:textId="4111E840" w:rsidR="00057844" w:rsidRPr="003E78BE" w:rsidRDefault="00057844" w:rsidP="005B3EB3">
            <w:pPr>
              <w:spacing w:line="240" w:lineRule="auto"/>
              <w:rPr>
                <w:rFonts w:ascii="Times New Roman" w:hAnsi="Times New Roman"/>
              </w:rPr>
            </w:pPr>
            <w:r w:rsidRPr="003E78BE">
              <w:rPr>
                <w:rFonts w:ascii="Times New Roman" w:hAnsi="Times New Roman"/>
              </w:rPr>
              <w:t>Prezes Urzędu Komunikacji Elektronicznej</w:t>
            </w:r>
            <w:r w:rsidR="00D22771">
              <w:rPr>
                <w:rFonts w:ascii="Times New Roman" w:hAnsi="Times New Roman"/>
              </w:rPr>
              <w:t>.</w:t>
            </w:r>
          </w:p>
          <w:p w14:paraId="1806FACD" w14:textId="77777777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Jednostka podległa:</w:t>
            </w:r>
          </w:p>
          <w:p w14:paraId="5ED04477" w14:textId="0C550FCA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Centrum Projektów Polska Cyfrowa.</w:t>
            </w:r>
          </w:p>
          <w:p w14:paraId="76DF79B2" w14:textId="77777777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Jednostki nadzorowane:</w:t>
            </w:r>
          </w:p>
          <w:p w14:paraId="764C9427" w14:textId="77777777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a) Centralny Ośrodek Informatyki;</w:t>
            </w:r>
          </w:p>
          <w:p w14:paraId="72DC8AFC" w14:textId="77777777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b) Instytut Łączności - Państwowy Instytut Badawczy;</w:t>
            </w:r>
          </w:p>
          <w:p w14:paraId="11CCD844" w14:textId="77777777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c) Instytut Technik Innowacyjnych EMAG;</w:t>
            </w:r>
          </w:p>
          <w:p w14:paraId="7A915FC6" w14:textId="77777777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</w:rPr>
            </w:pPr>
            <w:r w:rsidRPr="00057844">
              <w:rPr>
                <w:rFonts w:ascii="Times New Roman" w:hAnsi="Times New Roman"/>
              </w:rPr>
              <w:t>d) Naukowa i Akademicka Sieć Komputerowa - Państwowy Instytut Badawczy.</w:t>
            </w:r>
          </w:p>
          <w:p w14:paraId="1E616208" w14:textId="36141C2D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hyperlink r:id="rId12" w:history="1">
              <w:r w:rsidRPr="00057844">
                <w:rPr>
                  <w:rStyle w:val="Hipercze"/>
                  <w:rFonts w:ascii="Times New Roman" w:hAnsi="Times New Roman"/>
                </w:rPr>
                <w:t>https://www.gov.pl/web/cyfryzacja/podmioty-podlegle-nadzorowane-i-objete-nadzorem-wlascicielskim-ministra</w:t>
              </w:r>
            </w:hyperlink>
            <w:r w:rsidRPr="00057844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18FA9A3C" w14:textId="488973AA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Pracownicy tych podmiotów mogą zostać upoważnieni do przeprowadzenia kontroli</w:t>
            </w:r>
            <w:r w:rsidR="009B3A27">
              <w:rPr>
                <w:rFonts w:ascii="Times New Roman" w:hAnsi="Times New Roman"/>
                <w:spacing w:val="-2"/>
              </w:rPr>
              <w:t xml:space="preserve"> i audytów</w:t>
            </w:r>
            <w:r w:rsidR="002A63BE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057844" w:rsidRPr="008F70E6" w14:paraId="7FA1EC26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4E7A271A" w14:textId="0B46C1FA" w:rsidR="00057844" w:rsidRPr="00057844" w:rsidRDefault="00057844" w:rsidP="000E0B30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7844">
              <w:rPr>
                <w:rFonts w:ascii="Times New Roman" w:hAnsi="Times New Roman"/>
                <w:spacing w:val="-2"/>
              </w:rPr>
              <w:t xml:space="preserve">Kwalifikowani dostawcy usług zaufania </w:t>
            </w:r>
          </w:p>
        </w:tc>
        <w:tc>
          <w:tcPr>
            <w:tcW w:w="2266" w:type="dxa"/>
            <w:gridSpan w:val="7"/>
          </w:tcPr>
          <w:p w14:paraId="3F3AFDEA" w14:textId="348C47BF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996" w:type="dxa"/>
            <w:gridSpan w:val="11"/>
          </w:tcPr>
          <w:p w14:paraId="04A93F82" w14:textId="03866CF0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 xml:space="preserve">Rejestr usług zaufania oraz dostawców tych usług prowadzony jest przez Narodowe </w:t>
            </w:r>
            <w:r w:rsidR="00D22771">
              <w:rPr>
                <w:rFonts w:ascii="Times New Roman" w:hAnsi="Times New Roman"/>
                <w:spacing w:val="-2"/>
              </w:rPr>
              <w:t>C</w:t>
            </w:r>
            <w:r w:rsidRPr="00057844">
              <w:rPr>
                <w:rFonts w:ascii="Times New Roman" w:hAnsi="Times New Roman"/>
                <w:spacing w:val="-2"/>
              </w:rPr>
              <w:t xml:space="preserve">entrum </w:t>
            </w:r>
            <w:r w:rsidR="00D22771">
              <w:rPr>
                <w:rFonts w:ascii="Times New Roman" w:hAnsi="Times New Roman"/>
                <w:spacing w:val="-2"/>
              </w:rPr>
              <w:t>C</w:t>
            </w:r>
            <w:r w:rsidRPr="00057844">
              <w:rPr>
                <w:rFonts w:ascii="Times New Roman" w:hAnsi="Times New Roman"/>
                <w:spacing w:val="-2"/>
              </w:rPr>
              <w:t>ertyfikacji – aktualnie Narodowy Bank Polski – pod</w:t>
            </w:r>
            <w:r w:rsidR="00731A29">
              <w:rPr>
                <w:rFonts w:ascii="Times New Roman" w:hAnsi="Times New Roman"/>
                <w:spacing w:val="-2"/>
              </w:rPr>
              <w:t xml:space="preserve"> </w:t>
            </w:r>
            <w:r w:rsidRPr="00057844">
              <w:rPr>
                <w:rFonts w:ascii="Times New Roman" w:hAnsi="Times New Roman"/>
                <w:spacing w:val="-2"/>
              </w:rPr>
              <w:t xml:space="preserve">adresem: </w:t>
            </w:r>
          </w:p>
          <w:p w14:paraId="552BE24F" w14:textId="5BEC8043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hyperlink r:id="rId13" w:history="1">
              <w:r w:rsidRPr="00057844">
                <w:rPr>
                  <w:rStyle w:val="Hipercze"/>
                  <w:rFonts w:ascii="Times New Roman" w:hAnsi="Times New Roman"/>
                  <w:spacing w:val="-2"/>
                </w:rPr>
                <w:t>https://www.nccert.pl/uslugi.htm</w:t>
              </w:r>
            </w:hyperlink>
          </w:p>
        </w:tc>
        <w:tc>
          <w:tcPr>
            <w:tcW w:w="2981" w:type="dxa"/>
            <w:gridSpan w:val="6"/>
          </w:tcPr>
          <w:p w14:paraId="0A797F2A" w14:textId="77777777" w:rsidR="00057844" w:rsidRDefault="00057844" w:rsidP="000E0B3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Podmioty podlegające audytowi</w:t>
            </w:r>
          </w:p>
          <w:p w14:paraId="4B731B6D" w14:textId="7E57FA65" w:rsidR="00B52A69" w:rsidRPr="004033C2" w:rsidRDefault="00B52A69" w:rsidP="00B52A6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- obowiązek informowania </w:t>
            </w:r>
            <w:r w:rsidR="003411CF">
              <w:rPr>
                <w:rFonts w:ascii="Times New Roman" w:hAnsi="Times New Roman"/>
                <w:color w:val="000000"/>
                <w:spacing w:val="-2"/>
              </w:rPr>
              <w:t>m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inistra o </w:t>
            </w:r>
            <w:r w:rsidR="009B3A27" w:rsidRPr="004033C2">
              <w:rPr>
                <w:rFonts w:ascii="Times New Roman" w:hAnsi="Times New Roman"/>
                <w:color w:val="000000"/>
                <w:spacing w:val="-2"/>
              </w:rPr>
              <w:t xml:space="preserve">planowanym 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audycie u dostawcy usług zaufania; </w:t>
            </w:r>
          </w:p>
          <w:p w14:paraId="19F00C4D" w14:textId="1430AFC6" w:rsidR="00B52A69" w:rsidRPr="004033C2" w:rsidRDefault="00B52A69" w:rsidP="00B52A6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="003411CF">
              <w:rPr>
                <w:rFonts w:ascii="Times New Roman" w:hAnsi="Times New Roman"/>
                <w:color w:val="000000"/>
                <w:spacing w:val="-2"/>
              </w:rPr>
              <w:t>m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inister</w:t>
            </w:r>
            <w:r w:rsidR="002A63BE" w:rsidRPr="004033C2">
              <w:rPr>
                <w:rFonts w:ascii="Times New Roman" w:hAnsi="Times New Roman"/>
                <w:color w:val="000000"/>
                <w:spacing w:val="-2"/>
              </w:rPr>
              <w:t xml:space="preserve"> może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 wstrzym</w:t>
            </w:r>
            <w:r w:rsidR="002A63BE" w:rsidRPr="004033C2">
              <w:rPr>
                <w:rFonts w:ascii="Times New Roman" w:hAnsi="Times New Roman"/>
                <w:color w:val="000000"/>
                <w:spacing w:val="-2"/>
              </w:rPr>
              <w:t>ać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 na czas określony świadczeni</w:t>
            </w:r>
            <w:r w:rsidR="002A63BE" w:rsidRPr="004033C2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 usług zaufania przez kwalifikowanych dostawców usług zaufania; </w:t>
            </w:r>
          </w:p>
          <w:p w14:paraId="0F95C48C" w14:textId="082844A5" w:rsidR="00B52A69" w:rsidRPr="00057844" w:rsidRDefault="00B52A69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="003411CF">
              <w:rPr>
                <w:rFonts w:ascii="Times New Roman" w:hAnsi="Times New Roman"/>
                <w:color w:val="000000"/>
                <w:spacing w:val="-2"/>
              </w:rPr>
              <w:t>m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inister </w:t>
            </w:r>
            <w:r w:rsidR="002A63BE" w:rsidRPr="004033C2">
              <w:rPr>
                <w:rFonts w:ascii="Times New Roman" w:hAnsi="Times New Roman"/>
                <w:color w:val="000000"/>
                <w:spacing w:val="-2"/>
              </w:rPr>
              <w:t xml:space="preserve">może 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wskaz</w:t>
            </w:r>
            <w:r w:rsidR="002A63BE" w:rsidRPr="004033C2">
              <w:rPr>
                <w:rFonts w:ascii="Times New Roman" w:hAnsi="Times New Roman"/>
                <w:color w:val="000000"/>
                <w:spacing w:val="-2"/>
              </w:rPr>
              <w:t>ać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 audytora</w:t>
            </w:r>
            <w:r w:rsidR="002A63BE" w:rsidRPr="004033C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 który przeprowadzi audyt kwalifikowanego dostawcy usług zaufania</w:t>
            </w:r>
            <w:r w:rsidR="002A63BE" w:rsidRPr="004033C2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057844" w:rsidRPr="008F70E6" w14:paraId="2C0E7E7A" w14:textId="77777777" w:rsidTr="000E0B30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27F84FE5" w14:textId="4ECF241C" w:rsidR="00057844" w:rsidRPr="00057844" w:rsidRDefault="00057844" w:rsidP="000E0B30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7844">
              <w:rPr>
                <w:rFonts w:ascii="Times New Roman" w:hAnsi="Times New Roman"/>
                <w:spacing w:val="-2"/>
              </w:rPr>
              <w:t>Podmioty świadczące usługi online przyłączone do węzła krajowego</w:t>
            </w:r>
          </w:p>
        </w:tc>
        <w:tc>
          <w:tcPr>
            <w:tcW w:w="2266" w:type="dxa"/>
            <w:gridSpan w:val="7"/>
          </w:tcPr>
          <w:p w14:paraId="7C1DB963" w14:textId="7BA9178A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t>2042</w:t>
            </w:r>
          </w:p>
        </w:tc>
        <w:tc>
          <w:tcPr>
            <w:tcW w:w="2996" w:type="dxa"/>
            <w:gridSpan w:val="11"/>
          </w:tcPr>
          <w:p w14:paraId="20F91361" w14:textId="7B332C75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57844">
              <w:rPr>
                <w:rFonts w:ascii="Times New Roman" w:hAnsi="Times New Roman"/>
              </w:rPr>
              <w:t xml:space="preserve">Podmioty wymienione w rejestrze systemów teleinformatycznych przyłączonych do węzła krajowego, w których udostępnione są usługi online, </w:t>
            </w:r>
            <w:r w:rsidRPr="00057844">
              <w:rPr>
                <w:rFonts w:ascii="Times New Roman" w:hAnsi="Times New Roman"/>
              </w:rPr>
              <w:lastRenderedPageBreak/>
              <w:t>udostępnianym przez Ministra Cyfryzacji pod adresem:</w:t>
            </w:r>
          </w:p>
          <w:p w14:paraId="1B5E09D2" w14:textId="67AFE97D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hyperlink r:id="rId14" w:history="1">
              <w:r w:rsidRPr="00057844">
                <w:rPr>
                  <w:rStyle w:val="Hipercze"/>
                  <w:rFonts w:ascii="Times New Roman" w:hAnsi="Times New Roman"/>
                  <w:spacing w:val="-2"/>
                </w:rPr>
                <w:t>https://mc.bip.gov.pl/wezel-krajowy-zintegrowani-dostawcy-uslug/wezel-krajowy-zintegrowani-dostawcy-uslug.html</w:t>
              </w:r>
            </w:hyperlink>
          </w:p>
        </w:tc>
        <w:tc>
          <w:tcPr>
            <w:tcW w:w="2981" w:type="dxa"/>
            <w:gridSpan w:val="6"/>
          </w:tcPr>
          <w:p w14:paraId="01AB84B3" w14:textId="72E4B20B" w:rsidR="00057844" w:rsidRPr="00057844" w:rsidRDefault="00057844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7844">
              <w:rPr>
                <w:rFonts w:ascii="Times New Roman" w:hAnsi="Times New Roman"/>
                <w:spacing w:val="-2"/>
              </w:rPr>
              <w:lastRenderedPageBreak/>
              <w:t>Podmioty podlegające kontroli</w:t>
            </w:r>
          </w:p>
        </w:tc>
      </w:tr>
      <w:tr w:rsidR="0076656D" w:rsidRPr="00C00CCF" w14:paraId="68D3947F" w14:textId="77777777" w:rsidTr="000E0B30">
        <w:trPr>
          <w:trHeight w:val="30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8D3947E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76656D" w:rsidRPr="00C00CCF" w14:paraId="68D39487" w14:textId="77777777" w:rsidTr="000E0B30">
        <w:trPr>
          <w:trHeight w:val="342"/>
        </w:trPr>
        <w:tc>
          <w:tcPr>
            <w:tcW w:w="10947" w:type="dxa"/>
            <w:gridSpan w:val="29"/>
            <w:shd w:val="clear" w:color="auto" w:fill="FFFFFF"/>
          </w:tcPr>
          <w:p w14:paraId="7284D09C" w14:textId="40BAFA2C" w:rsidR="004F32B6" w:rsidRPr="004F32B6" w:rsidRDefault="004F32B6" w:rsidP="000E0B30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bookmarkStart w:id="4" w:name="_Hlk193486161"/>
            <w:r w:rsidRPr="004F32B6">
              <w:rPr>
                <w:rFonts w:ascii="Times New Roman" w:hAnsi="Times New Roman"/>
                <w:color w:val="000000"/>
                <w:spacing w:val="-2"/>
              </w:rPr>
              <w:t xml:space="preserve">Stosownie do postanowień art. 5 ustawy z dnia 7 lipca 2005 r. o działalności lobbingowej w procesie stanowienia prawa </w:t>
            </w:r>
            <w:bookmarkStart w:id="5" w:name="_Hlk206591940"/>
            <w:r w:rsidRPr="004F32B6">
              <w:rPr>
                <w:rFonts w:ascii="Times New Roman" w:hAnsi="Times New Roman"/>
                <w:color w:val="000000"/>
                <w:spacing w:val="-2"/>
              </w:rPr>
              <w:t>(Dz.</w:t>
            </w:r>
            <w:r w:rsidR="0002567A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>U. z 2025 r. poz. 677</w:t>
            </w:r>
            <w:r w:rsidR="003411CF">
              <w:rPr>
                <w:rFonts w:ascii="Times New Roman" w:hAnsi="Times New Roman"/>
                <w:color w:val="000000"/>
                <w:spacing w:val="-2"/>
              </w:rPr>
              <w:t xml:space="preserve"> oraz z 2026 r. poz. 160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>)</w:t>
            </w:r>
            <w:bookmarkEnd w:id="5"/>
            <w:r w:rsidR="002A63B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 xml:space="preserve"> projekt zosta</w:t>
            </w:r>
            <w:r w:rsidR="00D928AB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</w:t>
            </w:r>
            <w:r w:rsidR="001E557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31A29">
              <w:rPr>
                <w:rFonts w:ascii="Times New Roman" w:hAnsi="Times New Roman"/>
                <w:color w:val="000000"/>
                <w:spacing w:val="-2"/>
              </w:rPr>
              <w:t xml:space="preserve">na stronie podmiotowej </w:t>
            </w:r>
            <w:r w:rsidR="001E5579">
              <w:rPr>
                <w:rFonts w:ascii="Times New Roman" w:hAnsi="Times New Roman"/>
                <w:color w:val="000000"/>
                <w:spacing w:val="-2"/>
              </w:rPr>
              <w:t>Ministra Cyfryzacji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6C43F046" w14:textId="2E017EBA" w:rsidR="004F32B6" w:rsidRPr="004F32B6" w:rsidRDefault="004F32B6" w:rsidP="000E0B30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bookmarkStart w:id="6" w:name="_Hlk206591997"/>
            <w:r w:rsidRPr="004F32B6">
              <w:rPr>
                <w:rFonts w:ascii="Times New Roman" w:hAnsi="Times New Roman"/>
                <w:color w:val="000000"/>
                <w:spacing w:val="-2"/>
              </w:rPr>
              <w:t>Ponadto, zgodnie z § 52 ust. 1 uchwały nr 190 Rady Ministrów z dnia 29 października 2013 r. – Regulamin pracy Rady Ministrów (M.P. z 202</w:t>
            </w:r>
            <w:r w:rsidR="00D928AB">
              <w:rPr>
                <w:rFonts w:ascii="Times New Roman" w:hAnsi="Times New Roman"/>
                <w:color w:val="000000"/>
                <w:spacing w:val="-2"/>
              </w:rPr>
              <w:t>6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 xml:space="preserve"> r. poz. 40</w:t>
            </w:r>
            <w:r w:rsidR="00D928AB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>), projekt zosta</w:t>
            </w:r>
            <w:r w:rsidR="00D928AB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4F32B6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 na stronie podmiotowej Rządowego Centrum Legislacji w serwisie Rządowy Proces Legislacyjny.</w:t>
            </w:r>
          </w:p>
          <w:bookmarkEnd w:id="4"/>
          <w:bookmarkEnd w:id="6"/>
          <w:p w14:paraId="4E867C0B" w14:textId="6C6B313A" w:rsidR="0076656D" w:rsidRPr="00C00CCF" w:rsidRDefault="0076656D" w:rsidP="000E0B3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 xml:space="preserve">Projekt ustawy zostanie przekazany do konsultacji </w:t>
            </w:r>
            <w:r w:rsidR="0085117E" w:rsidRPr="00C00CCF">
              <w:rPr>
                <w:rFonts w:ascii="Times New Roman" w:hAnsi="Times New Roman"/>
                <w:color w:val="000000"/>
                <w:spacing w:val="-2"/>
              </w:rPr>
              <w:t xml:space="preserve">publicznych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w terminie</w:t>
            </w:r>
            <w:r w:rsidR="00E36B66" w:rsidRPr="00C00CC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867BB">
              <w:rPr>
                <w:rFonts w:ascii="Times New Roman" w:hAnsi="Times New Roman"/>
                <w:color w:val="000000"/>
                <w:spacing w:val="-2"/>
              </w:rPr>
              <w:t>21</w:t>
            </w:r>
            <w:r w:rsidR="000A61D8" w:rsidRPr="00C00CC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dni następującym podmiot</w:t>
            </w:r>
            <w:r w:rsidR="002A63BE">
              <w:rPr>
                <w:rFonts w:ascii="Times New Roman" w:hAnsi="Times New Roman"/>
                <w:color w:val="000000"/>
                <w:spacing w:val="-2"/>
              </w:rPr>
              <w:t>om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1851A29E" w14:textId="473BA9F5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Związek Banków Polskich;</w:t>
            </w:r>
          </w:p>
          <w:p w14:paraId="186014A9" w14:textId="1F8DD1EA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Centrum Cyfrowe Projekt: Polska;</w:t>
            </w:r>
          </w:p>
          <w:p w14:paraId="1EEA5296" w14:textId="1EBAD36E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Fundacja Bezpieczeństwa Informacji Polska;</w:t>
            </w:r>
          </w:p>
          <w:p w14:paraId="1E6F05AF" w14:textId="004DD923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Fundacja Bezpieczna Cyberprzestrzeń;</w:t>
            </w:r>
          </w:p>
          <w:p w14:paraId="2439BF1A" w14:textId="458FD3B4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Fundacja Dobra Sieć;</w:t>
            </w:r>
          </w:p>
          <w:p w14:paraId="56650895" w14:textId="39B97EE1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Fundacja ePaństwo;</w:t>
            </w:r>
          </w:p>
          <w:p w14:paraId="16AB7CB2" w14:textId="1C45417A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Fundacja Nowoczesna Polska;</w:t>
            </w:r>
          </w:p>
          <w:p w14:paraId="6E14937A" w14:textId="229F9F9F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Krajowa Izba Gospodarcza;</w:t>
            </w:r>
          </w:p>
          <w:p w14:paraId="266A90BB" w14:textId="60BB6822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Krajowa Izba Gospodarcza Elektroniki i Telekomunikacji;</w:t>
            </w:r>
          </w:p>
          <w:p w14:paraId="613F0E81" w14:textId="1096C43C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Krajowa Izba Gospodarki Cyfrowej;</w:t>
            </w:r>
          </w:p>
          <w:p w14:paraId="175095E2" w14:textId="02F2EA26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Ogólnopolska Federacja Przedsiębiorców i Pracodawców Przedsiębiorcy.pl;</w:t>
            </w:r>
          </w:p>
          <w:p w14:paraId="0992C071" w14:textId="5CFB436A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Ogólnopolskie Porozumienie Organizacji Samorządowych</w:t>
            </w:r>
            <w:r w:rsidR="005408B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DED7183" w14:textId="3F1CDA27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Polska Izba Informatyki i Telekomunikacji;</w:t>
            </w:r>
          </w:p>
          <w:p w14:paraId="79288CD9" w14:textId="50E9CE21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Polska Izba Gospodarcza Zaawansowanych Technologii;</w:t>
            </w:r>
          </w:p>
          <w:p w14:paraId="23B04E01" w14:textId="69FB445E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Polska Izba Komunikacji Elektronicznej;</w:t>
            </w:r>
          </w:p>
          <w:p w14:paraId="3DAD48DE" w14:textId="3495982A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Polska Rada Biznesu;</w:t>
            </w:r>
          </w:p>
          <w:p w14:paraId="6367FF29" w14:textId="677AC46E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Polskie Towarzystwo Informatyczne;</w:t>
            </w:r>
          </w:p>
          <w:p w14:paraId="4FDF5A6A" w14:textId="2B3F2A5A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Naczelna Rada Adwokacka</w:t>
            </w:r>
            <w:r w:rsidR="0049578B" w:rsidRPr="00C00CC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C2D7165" w14:textId="6042C7BE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Krajowa Izba Radców Prawnych</w:t>
            </w:r>
            <w:r w:rsidR="0049578B" w:rsidRPr="00C00CC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87C4F22" w14:textId="500DB3A7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Krajowa Rada Notarialna</w:t>
            </w:r>
            <w:r w:rsidR="0049578B" w:rsidRPr="00C00CC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79A3A26" w14:textId="53950DCF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Krajowa Izba Doradców Podatkowych</w:t>
            </w:r>
            <w:r w:rsidR="0049578B" w:rsidRPr="00C00CC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B89924A" w14:textId="2D1FE234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Polska Izba Rzeczników Patentowych</w:t>
            </w:r>
            <w:r w:rsidR="0049578B" w:rsidRPr="00C00CC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6C57E25" w14:textId="508F9784" w:rsidR="0076656D" w:rsidRPr="00C00CCF" w:rsidRDefault="0076656D" w:rsidP="000E0B30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Poczta Polska S.A.</w:t>
            </w:r>
          </w:p>
          <w:p w14:paraId="4F0B811E" w14:textId="57825DEA" w:rsidR="00CE5279" w:rsidRPr="00C00CCF" w:rsidRDefault="00CE5279" w:rsidP="000E0B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Projekt ustawy zostanie przekazany do zaopiniowania w terminie</w:t>
            </w:r>
            <w:r w:rsidR="00D2277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867BB">
              <w:rPr>
                <w:rFonts w:ascii="Times New Roman" w:hAnsi="Times New Roman"/>
                <w:color w:val="000000"/>
                <w:spacing w:val="-2"/>
              </w:rPr>
              <w:t>21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 xml:space="preserve"> dni przez:</w:t>
            </w:r>
          </w:p>
          <w:p w14:paraId="07654973" w14:textId="77777777" w:rsidR="00CE5279" w:rsidRPr="00C00CCF" w:rsidRDefault="00CE5279" w:rsidP="000E0B30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Urząd Ochrony Danych Osobowych;</w:t>
            </w:r>
          </w:p>
          <w:p w14:paraId="53BF6352" w14:textId="77777777" w:rsidR="00CE5279" w:rsidRPr="00C00CCF" w:rsidRDefault="00CE5279" w:rsidP="000E0B30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Urząd Ochrony Konkurencji i Konsumentów;</w:t>
            </w:r>
          </w:p>
          <w:p w14:paraId="70521083" w14:textId="77777777" w:rsidR="00CE5279" w:rsidRPr="00C00CCF" w:rsidRDefault="00CE5279" w:rsidP="000E0B30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Prokuratorię Generalną RP;</w:t>
            </w:r>
          </w:p>
          <w:p w14:paraId="02614AEC" w14:textId="77777777" w:rsidR="0076656D" w:rsidRDefault="00CE5279" w:rsidP="000E0B30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Główny Urząd Statystyczny. </w:t>
            </w:r>
          </w:p>
          <w:p w14:paraId="68D39486" w14:textId="0A676317" w:rsidR="00910072" w:rsidRPr="00910072" w:rsidRDefault="009F7D7B" w:rsidP="009100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Biorąc pod uwagę zakres regulacji projektu</w:t>
            </w:r>
            <w:r w:rsidR="00910072" w:rsidRPr="00910072">
              <w:rPr>
                <w:rFonts w:ascii="Times New Roman" w:hAnsi="Times New Roman"/>
                <w:color w:val="000000"/>
                <w:spacing w:val="-2"/>
              </w:rPr>
              <w:t xml:space="preserve"> nie zachodzi potrzeba przekazania </w:t>
            </w:r>
            <w:r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="00910072" w:rsidRPr="00910072">
              <w:rPr>
                <w:rFonts w:ascii="Times New Roman" w:hAnsi="Times New Roman"/>
                <w:color w:val="000000"/>
                <w:spacing w:val="-2"/>
              </w:rPr>
              <w:t xml:space="preserve"> do opinii Komisji Wspólnej Rządu i</w:t>
            </w:r>
            <w:r w:rsidR="00731A29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910072" w:rsidRPr="00910072">
              <w:rPr>
                <w:rFonts w:ascii="Times New Roman" w:hAnsi="Times New Roman"/>
                <w:color w:val="000000"/>
                <w:spacing w:val="-2"/>
              </w:rPr>
              <w:t>Samorządu Terytorialnego.</w:t>
            </w:r>
          </w:p>
        </w:tc>
      </w:tr>
      <w:tr w:rsidR="0076656D" w:rsidRPr="00C00CCF" w14:paraId="68D39489" w14:textId="77777777" w:rsidTr="000E0B30">
        <w:trPr>
          <w:trHeight w:val="363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8D39488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76656D" w:rsidRPr="00C00CCF" w14:paraId="68D3948C" w14:textId="77777777" w:rsidTr="000E0B30">
        <w:trPr>
          <w:trHeight w:val="142"/>
        </w:trPr>
        <w:tc>
          <w:tcPr>
            <w:tcW w:w="3119" w:type="dxa"/>
            <w:gridSpan w:val="5"/>
            <w:vMerge w:val="restart"/>
            <w:shd w:val="clear" w:color="auto" w:fill="FFFFFF"/>
          </w:tcPr>
          <w:p w14:paraId="68D3948A" w14:textId="77777777" w:rsidR="0076656D" w:rsidRPr="00C00CCF" w:rsidRDefault="0076656D" w:rsidP="000E0B30">
            <w:pPr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lastRenderedPageBreak/>
              <w:t>(ceny stałe z …… r.)</w:t>
            </w:r>
          </w:p>
        </w:tc>
        <w:tc>
          <w:tcPr>
            <w:tcW w:w="7828" w:type="dxa"/>
            <w:gridSpan w:val="24"/>
            <w:shd w:val="clear" w:color="auto" w:fill="FFFFFF"/>
          </w:tcPr>
          <w:p w14:paraId="68D3948B" w14:textId="77777777" w:rsidR="0076656D" w:rsidRPr="00C00CCF" w:rsidRDefault="0076656D" w:rsidP="000E0B30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76656D" w:rsidRPr="00C00CCF" w14:paraId="68D3949A" w14:textId="77777777" w:rsidTr="000E0B30">
        <w:trPr>
          <w:trHeight w:val="142"/>
        </w:trPr>
        <w:tc>
          <w:tcPr>
            <w:tcW w:w="3119" w:type="dxa"/>
            <w:gridSpan w:val="5"/>
            <w:vMerge/>
            <w:shd w:val="clear" w:color="auto" w:fill="FFFFFF"/>
          </w:tcPr>
          <w:p w14:paraId="68D3948D" w14:textId="77777777" w:rsidR="0076656D" w:rsidRPr="00C00CCF" w:rsidRDefault="0076656D" w:rsidP="000E0B30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8" w:type="dxa"/>
            <w:gridSpan w:val="2"/>
            <w:shd w:val="clear" w:color="auto" w:fill="FFFFFF"/>
          </w:tcPr>
          <w:p w14:paraId="68D3948E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8F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8" w:type="dxa"/>
            <w:shd w:val="clear" w:color="auto" w:fill="FFFFFF"/>
          </w:tcPr>
          <w:p w14:paraId="68D39490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91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92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8" w:type="dxa"/>
            <w:shd w:val="clear" w:color="auto" w:fill="FFFFFF"/>
          </w:tcPr>
          <w:p w14:paraId="68D39493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94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95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96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97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8" w:type="dxa"/>
            <w:shd w:val="clear" w:color="auto" w:fill="FFFFFF"/>
          </w:tcPr>
          <w:p w14:paraId="68D39498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99" w14:textId="77777777" w:rsidR="0076656D" w:rsidRPr="00C00CCF" w:rsidRDefault="0076656D" w:rsidP="000E0B30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76656D" w:rsidRPr="00C00CCF" w14:paraId="68D394A8" w14:textId="77777777" w:rsidTr="000E0B30">
        <w:trPr>
          <w:trHeight w:val="32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9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9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9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9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9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A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A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A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A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A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A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A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A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76656D" w:rsidRPr="00C00CCF" w14:paraId="68D394B6" w14:textId="77777777" w:rsidTr="000E0B30">
        <w:trPr>
          <w:trHeight w:val="32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A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A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A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A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A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A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A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B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B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B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B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B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B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76656D" w:rsidRPr="00C00CCF" w14:paraId="68D394C4" w14:textId="77777777" w:rsidTr="000E0B30">
        <w:trPr>
          <w:trHeight w:val="344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B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B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B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B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B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B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B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B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B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C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C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C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C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4D2" w14:textId="77777777" w:rsidTr="000E0B30">
        <w:trPr>
          <w:trHeight w:val="344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C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C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C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C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C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C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C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C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C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C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C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D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D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4E0" w14:textId="77777777" w:rsidTr="000E0B30">
        <w:trPr>
          <w:trHeight w:val="33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D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D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D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D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D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D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D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D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D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D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D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D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D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4EE" w14:textId="77777777" w:rsidTr="000E0B30">
        <w:trPr>
          <w:trHeight w:val="33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E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E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E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E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E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E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E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E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E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E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E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E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E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4FC" w14:textId="77777777" w:rsidTr="000E0B30">
        <w:trPr>
          <w:trHeight w:val="35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E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F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F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F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F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F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F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4F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4F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F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F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4F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4F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50A" w14:textId="77777777" w:rsidTr="000E0B30">
        <w:trPr>
          <w:trHeight w:val="35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4F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F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4F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0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0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0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0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0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50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0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0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0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50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518" w14:textId="77777777" w:rsidTr="000E0B30">
        <w:trPr>
          <w:trHeight w:val="36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50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0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0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0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0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1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1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1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51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1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1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1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51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526" w14:textId="77777777" w:rsidTr="000E0B30">
        <w:trPr>
          <w:trHeight w:val="36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51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1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1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1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1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1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1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2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52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2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2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2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52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534" w14:textId="77777777" w:rsidTr="000E0B30">
        <w:trPr>
          <w:trHeight w:val="357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52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2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2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2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2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2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2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2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52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3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3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8D3953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53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656D" w:rsidRPr="00C00CCF" w14:paraId="68D39542" w14:textId="77777777" w:rsidTr="000E0B30">
        <w:trPr>
          <w:trHeight w:val="357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8D3953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3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3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14:paraId="68D3953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3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3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14:paraId="68D3953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8D3953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8D3953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3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8D3953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14:paraId="68D3954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8D3954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6656D" w:rsidRPr="00C00CCF" w14:paraId="68D39547" w14:textId="77777777" w:rsidTr="000E0B30">
        <w:trPr>
          <w:trHeight w:val="348"/>
        </w:trPr>
        <w:tc>
          <w:tcPr>
            <w:tcW w:w="2233" w:type="dxa"/>
            <w:gridSpan w:val="3"/>
            <w:shd w:val="clear" w:color="auto" w:fill="FFFFFF"/>
            <w:vAlign w:val="center"/>
          </w:tcPr>
          <w:p w14:paraId="68D3954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714" w:type="dxa"/>
            <w:gridSpan w:val="26"/>
            <w:shd w:val="clear" w:color="auto" w:fill="FFFFFF"/>
            <w:vAlign w:val="center"/>
          </w:tcPr>
          <w:p w14:paraId="08A0DE1C" w14:textId="4B4C92C9" w:rsidR="005E7B90" w:rsidRDefault="005E7B90" w:rsidP="000E0B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7B90">
              <w:rPr>
                <w:rFonts w:ascii="Times New Roman" w:hAnsi="Times New Roman"/>
                <w:color w:val="000000"/>
              </w:rPr>
              <w:t xml:space="preserve">Zmiana </w:t>
            </w:r>
            <w:r w:rsidRPr="005E7B90">
              <w:rPr>
                <w:rFonts w:ascii="Times New Roman" w:hAnsi="Times New Roman"/>
                <w:bCs/>
                <w:color w:val="000000"/>
                <w:spacing w:val="-2"/>
              </w:rPr>
              <w:t xml:space="preserve">ustawy z dnia 5 września 2016 r. o usługach zaufania oraz identyfikacji elektronicznej </w:t>
            </w:r>
            <w:r w:rsidRPr="005E7B90">
              <w:rPr>
                <w:rFonts w:ascii="Times New Roman" w:hAnsi="Times New Roman"/>
                <w:color w:val="000000"/>
              </w:rPr>
              <w:t xml:space="preserve">nie wpłynie na finanse publiczne – dotyczy realizacji uprawnień ministra </w:t>
            </w:r>
            <w:r w:rsidR="00F3209D">
              <w:rPr>
                <w:rFonts w:ascii="Times New Roman" w:hAnsi="Times New Roman"/>
                <w:color w:val="000000"/>
              </w:rPr>
              <w:t xml:space="preserve">właściwego do spraw informatyzacji </w:t>
            </w:r>
            <w:r w:rsidRPr="005E7B90">
              <w:rPr>
                <w:rFonts w:ascii="Times New Roman" w:hAnsi="Times New Roman"/>
                <w:color w:val="000000"/>
              </w:rPr>
              <w:t xml:space="preserve">wobec </w:t>
            </w:r>
            <w:r w:rsidR="00F3209D">
              <w:rPr>
                <w:rFonts w:ascii="Times New Roman" w:hAnsi="Times New Roman"/>
                <w:color w:val="000000"/>
              </w:rPr>
              <w:t>organów</w:t>
            </w:r>
            <w:r w:rsidRPr="005E7B90">
              <w:rPr>
                <w:rFonts w:ascii="Times New Roman" w:hAnsi="Times New Roman"/>
                <w:color w:val="000000"/>
              </w:rPr>
              <w:t xml:space="preserve"> już podlegających nadzorowi</w:t>
            </w:r>
            <w:r w:rsidR="00F3209D">
              <w:rPr>
                <w:rFonts w:ascii="Times New Roman" w:hAnsi="Times New Roman"/>
                <w:color w:val="000000"/>
              </w:rPr>
              <w:t xml:space="preserve"> oraz jednostek organizacyjnych podległych temu ministrowi lub przez niego nadzorowanych</w:t>
            </w:r>
            <w:r w:rsidRPr="005E7B90">
              <w:rPr>
                <w:rFonts w:ascii="Times New Roman" w:hAnsi="Times New Roman"/>
                <w:color w:val="000000"/>
              </w:rPr>
              <w:t>. Doprecyzowuje jedynie zakres osób mogących realizować kontrole oraz sposób ich wykonywania.</w:t>
            </w:r>
          </w:p>
          <w:p w14:paraId="68D39546" w14:textId="53004686" w:rsidR="005E7B90" w:rsidRPr="005E7B90" w:rsidRDefault="00F12475" w:rsidP="00C8437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2475">
              <w:rPr>
                <w:rFonts w:ascii="Times New Roman" w:hAnsi="Times New Roman"/>
                <w:color w:val="000000"/>
              </w:rPr>
              <w:t>Wydatki wynikające z wejścia w życie rozwiązań przewidzianych w ustawie zostaną sfinansowane w ramach dostępnego limitów wydatków części budżetowej 27 (informatyzacja), bez konieczności ubiegania się o dodatkowe środki z budżetu w roku bieżącym, jak i w kolejnych latach. Projektowana regulacja nie będzie mieć wpływu na budżety jednostek samorządu terytorialnego</w:t>
            </w:r>
          </w:p>
        </w:tc>
      </w:tr>
      <w:tr w:rsidR="0076656D" w:rsidRPr="00C00CCF" w14:paraId="68D3954C" w14:textId="77777777" w:rsidTr="000E0B30">
        <w:trPr>
          <w:trHeight w:val="1408"/>
        </w:trPr>
        <w:tc>
          <w:tcPr>
            <w:tcW w:w="2233" w:type="dxa"/>
            <w:gridSpan w:val="3"/>
            <w:shd w:val="clear" w:color="auto" w:fill="FFFFFF"/>
          </w:tcPr>
          <w:p w14:paraId="68D3954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714" w:type="dxa"/>
            <w:gridSpan w:val="26"/>
            <w:shd w:val="clear" w:color="auto" w:fill="FFFFFF"/>
          </w:tcPr>
          <w:p w14:paraId="68D3954B" w14:textId="4FA8D09F" w:rsidR="004A6B5F" w:rsidRPr="00C00CCF" w:rsidRDefault="004A6B5F" w:rsidP="000E0B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6656D" w:rsidRPr="00C00CCF" w14:paraId="68D3954E" w14:textId="77777777" w:rsidTr="000E0B30">
        <w:trPr>
          <w:trHeight w:val="345"/>
        </w:trPr>
        <w:tc>
          <w:tcPr>
            <w:tcW w:w="10947" w:type="dxa"/>
            <w:gridSpan w:val="29"/>
            <w:shd w:val="clear" w:color="auto" w:fill="99CCFF"/>
          </w:tcPr>
          <w:p w14:paraId="68D3954D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C00CCF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76656D" w:rsidRPr="00C00CCF" w14:paraId="68D39550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68D3954F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76656D" w:rsidRPr="00C00CCF" w14:paraId="68D39559" w14:textId="77777777" w:rsidTr="000E0B30">
        <w:trPr>
          <w:trHeight w:val="142"/>
        </w:trPr>
        <w:tc>
          <w:tcPr>
            <w:tcW w:w="3873" w:type="dxa"/>
            <w:gridSpan w:val="8"/>
            <w:shd w:val="clear" w:color="auto" w:fill="FFFFFF"/>
          </w:tcPr>
          <w:p w14:paraId="68D3955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68D39552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68D39553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5" w:type="dxa"/>
            <w:gridSpan w:val="4"/>
            <w:shd w:val="clear" w:color="auto" w:fill="FFFFFF"/>
          </w:tcPr>
          <w:p w14:paraId="68D39554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8" w:type="dxa"/>
            <w:gridSpan w:val="3"/>
            <w:shd w:val="clear" w:color="auto" w:fill="FFFFFF"/>
          </w:tcPr>
          <w:p w14:paraId="68D39555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68D39556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4" w:type="dxa"/>
            <w:gridSpan w:val="3"/>
            <w:shd w:val="clear" w:color="auto" w:fill="FFFFFF"/>
          </w:tcPr>
          <w:p w14:paraId="68D39557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6" w:type="dxa"/>
            <w:gridSpan w:val="2"/>
            <w:shd w:val="clear" w:color="auto" w:fill="FFFFFF"/>
          </w:tcPr>
          <w:p w14:paraId="68D39558" w14:textId="77777777" w:rsidR="0076656D" w:rsidRPr="00C00CCF" w:rsidRDefault="0076656D" w:rsidP="000E0B3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C00CCF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C00CCF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76656D" w:rsidRPr="00C00CCF" w14:paraId="68D39565" w14:textId="77777777" w:rsidTr="000E0B30">
        <w:trPr>
          <w:trHeight w:val="142"/>
        </w:trPr>
        <w:tc>
          <w:tcPr>
            <w:tcW w:w="1589" w:type="dxa"/>
            <w:gridSpan w:val="2"/>
            <w:vMerge w:val="restart"/>
            <w:shd w:val="clear" w:color="auto" w:fill="FFFFFF"/>
          </w:tcPr>
          <w:p w14:paraId="68D3955A" w14:textId="77777777" w:rsidR="0076656D" w:rsidRPr="00C00CCF" w:rsidRDefault="0076656D" w:rsidP="000E0B30">
            <w:pPr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68D3955B" w14:textId="77777777" w:rsidR="0076656D" w:rsidRPr="00C00CCF" w:rsidRDefault="0076656D" w:rsidP="000E0B30">
            <w:pPr>
              <w:rPr>
                <w:rFonts w:ascii="Times New Roman" w:hAnsi="Times New Roman"/>
                <w:spacing w:val="-2"/>
              </w:rPr>
            </w:pPr>
            <w:r w:rsidRPr="00C00CCF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68D3955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84" w:type="dxa"/>
            <w:gridSpan w:val="6"/>
            <w:shd w:val="clear" w:color="auto" w:fill="FFFFFF"/>
          </w:tcPr>
          <w:p w14:paraId="68D3955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68D3955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 xml:space="preserve">Brak danych 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68D3955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4"/>
            <w:shd w:val="clear" w:color="auto" w:fill="FFFFFF"/>
          </w:tcPr>
          <w:p w14:paraId="68D3956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gridSpan w:val="3"/>
            <w:shd w:val="clear" w:color="auto" w:fill="FFFFFF"/>
          </w:tcPr>
          <w:p w14:paraId="68D3956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3"/>
            <w:shd w:val="clear" w:color="auto" w:fill="FFFFFF"/>
          </w:tcPr>
          <w:p w14:paraId="68D3956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4" w:type="dxa"/>
            <w:gridSpan w:val="3"/>
            <w:shd w:val="clear" w:color="auto" w:fill="FFFFFF"/>
          </w:tcPr>
          <w:p w14:paraId="68D3956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gridSpan w:val="2"/>
            <w:shd w:val="clear" w:color="auto" w:fill="FFFFFF"/>
          </w:tcPr>
          <w:p w14:paraId="68D3956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6656D" w:rsidRPr="00C00CCF" w14:paraId="68D3956F" w14:textId="77777777" w:rsidTr="000E0B30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68D3956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68D3956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68D3956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Brak danych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68D3956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4"/>
            <w:shd w:val="clear" w:color="auto" w:fill="FFFFFF"/>
          </w:tcPr>
          <w:p w14:paraId="68D3956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gridSpan w:val="3"/>
            <w:shd w:val="clear" w:color="auto" w:fill="FFFFFF"/>
          </w:tcPr>
          <w:p w14:paraId="68D3956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3"/>
            <w:shd w:val="clear" w:color="auto" w:fill="FFFFFF"/>
          </w:tcPr>
          <w:p w14:paraId="68D3956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4" w:type="dxa"/>
            <w:gridSpan w:val="3"/>
            <w:shd w:val="clear" w:color="auto" w:fill="FFFFFF"/>
          </w:tcPr>
          <w:p w14:paraId="68D3956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gridSpan w:val="2"/>
            <w:shd w:val="clear" w:color="auto" w:fill="FFFFFF"/>
          </w:tcPr>
          <w:p w14:paraId="68D3956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6656D" w:rsidRPr="00C00CCF" w14:paraId="68D39579" w14:textId="77777777" w:rsidTr="000E0B30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68D3957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68D39571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68D3957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Brak danych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68D3957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4"/>
            <w:shd w:val="clear" w:color="auto" w:fill="FFFFFF"/>
          </w:tcPr>
          <w:p w14:paraId="68D39574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gridSpan w:val="3"/>
            <w:shd w:val="clear" w:color="auto" w:fill="FFFFFF"/>
          </w:tcPr>
          <w:p w14:paraId="68D39575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3"/>
            <w:shd w:val="clear" w:color="auto" w:fill="FFFFFF"/>
          </w:tcPr>
          <w:p w14:paraId="68D3957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4" w:type="dxa"/>
            <w:gridSpan w:val="3"/>
            <w:shd w:val="clear" w:color="auto" w:fill="FFFFFF"/>
          </w:tcPr>
          <w:p w14:paraId="68D39577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gridSpan w:val="2"/>
            <w:shd w:val="clear" w:color="auto" w:fill="FFFFFF"/>
          </w:tcPr>
          <w:p w14:paraId="68D3957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6656D" w:rsidRPr="00C00CCF" w14:paraId="68D3957D" w14:textId="77777777" w:rsidTr="000E0B30">
        <w:trPr>
          <w:trHeight w:val="142"/>
        </w:trPr>
        <w:tc>
          <w:tcPr>
            <w:tcW w:w="1589" w:type="dxa"/>
            <w:gridSpan w:val="2"/>
            <w:vMerge w:val="restart"/>
            <w:shd w:val="clear" w:color="auto" w:fill="FFFFFF"/>
          </w:tcPr>
          <w:p w14:paraId="68D3957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lastRenderedPageBreak/>
              <w:t>W ujęciu niepieniężnym</w:t>
            </w:r>
          </w:p>
        </w:tc>
        <w:tc>
          <w:tcPr>
            <w:tcW w:w="2284" w:type="dxa"/>
            <w:gridSpan w:val="6"/>
            <w:shd w:val="clear" w:color="auto" w:fill="FFFFFF"/>
          </w:tcPr>
          <w:p w14:paraId="68D3957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6C8A371F" w14:textId="0DBD56E3" w:rsidR="005A1891" w:rsidRDefault="005A1891" w:rsidP="005A1891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1891">
              <w:rPr>
                <w:rFonts w:ascii="Times New Roman" w:hAnsi="Times New Roman"/>
                <w:color w:val="000000"/>
              </w:rPr>
              <w:t xml:space="preserve">W przypadku stwierdzenia nieprawidłowości prowadzenia działalności świadczenia usług zaufania, o ile będzie to uzasadnione należytymi względami, możliwe będzie nałożenie na przedsiębiorcę obowiązku wstrzymania świadczenia kwalifikowanej usługi zaufania, na czas nie dłuższy niż </w:t>
            </w:r>
            <w:r w:rsidR="00F10B35">
              <w:rPr>
                <w:rFonts w:ascii="Times New Roman" w:hAnsi="Times New Roman"/>
                <w:color w:val="000000"/>
              </w:rPr>
              <w:t>14 dni</w:t>
            </w:r>
            <w:r w:rsidRPr="005A1891">
              <w:rPr>
                <w:rFonts w:ascii="Times New Roman" w:hAnsi="Times New Roman"/>
                <w:color w:val="000000"/>
              </w:rPr>
              <w:t>.</w:t>
            </w:r>
          </w:p>
          <w:p w14:paraId="3D58CB32" w14:textId="5E0879AC" w:rsidR="005A1891" w:rsidRDefault="005A1891" w:rsidP="00B249C5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Doprecyzowanie zasad procesu kontroli i audyty w objętych regulacją jednostkach.</w:t>
            </w:r>
          </w:p>
          <w:p w14:paraId="47D404EB" w14:textId="56585DD2" w:rsidR="00B52A69" w:rsidRPr="004033C2" w:rsidRDefault="00B52A69" w:rsidP="00B52A69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Wykorzystanie kompetencji i zasobów </w:t>
            </w:r>
            <w:r w:rsidR="00F3209D">
              <w:rPr>
                <w:rFonts w:ascii="Times New Roman" w:hAnsi="Times New Roman"/>
                <w:color w:val="000000"/>
                <w:spacing w:val="-2"/>
              </w:rPr>
              <w:t>organów nadzorowanych przez Ministra Cyfryzacji oraz jednostek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3209D">
              <w:rPr>
                <w:rFonts w:ascii="Times New Roman" w:hAnsi="Times New Roman"/>
                <w:color w:val="000000"/>
                <w:spacing w:val="-2"/>
              </w:rPr>
              <w:t xml:space="preserve">organizacyjnych 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podległych</w:t>
            </w:r>
            <w:r w:rsidR="00F3209D">
              <w:rPr>
                <w:rFonts w:ascii="Times New Roman" w:hAnsi="Times New Roman"/>
                <w:color w:val="000000"/>
                <w:spacing w:val="-2"/>
              </w:rPr>
              <w:t xml:space="preserve"> temu 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 ministrowi</w:t>
            </w:r>
            <w:r w:rsidR="00F3209D">
              <w:rPr>
                <w:rFonts w:ascii="Times New Roman" w:hAnsi="Times New Roman"/>
                <w:color w:val="000000"/>
                <w:spacing w:val="-2"/>
              </w:rPr>
              <w:t xml:space="preserve"> lub przez niego nadzorowanych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>, posiadających odpowiednie doświadczenie i wiedzę specjalistyczną w sytuacjach wymagających niezwłocznej reakcji. </w:t>
            </w:r>
          </w:p>
          <w:p w14:paraId="25A268E5" w14:textId="7833FE65" w:rsidR="00B52A69" w:rsidRPr="004033C2" w:rsidRDefault="00B52A69" w:rsidP="00B249C5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Nałożenie na kwalifikowanych dostawców usług zaufania obowiązku informowania ministra właściwego do spraw informatyzacji o </w:t>
            </w:r>
            <w:r w:rsidR="009B3A27" w:rsidRPr="004033C2">
              <w:rPr>
                <w:rFonts w:ascii="Times New Roman" w:hAnsi="Times New Roman"/>
                <w:color w:val="000000"/>
                <w:spacing w:val="-2"/>
              </w:rPr>
              <w:t>planowanych</w:t>
            </w:r>
            <w:r w:rsidRPr="004033C2">
              <w:rPr>
                <w:rFonts w:ascii="Times New Roman" w:hAnsi="Times New Roman"/>
                <w:color w:val="000000"/>
                <w:spacing w:val="-2"/>
              </w:rPr>
              <w:t xml:space="preserve"> audytach. </w:t>
            </w:r>
          </w:p>
          <w:p w14:paraId="68D3957C" w14:textId="488688DF" w:rsidR="0076656D" w:rsidRPr="006F4069" w:rsidRDefault="005A1891" w:rsidP="005A1891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1891">
              <w:rPr>
                <w:rFonts w:ascii="Times New Roman" w:hAnsi="Times New Roman"/>
                <w:color w:val="000000"/>
              </w:rPr>
              <w:t>Przedmiotowy projekt nie określa zasad podejmowania, wykonywania lub zakończenia działalności gospodarczej, w związku z czym odstąpiono od analiz i oceny przewidywanych skutków społeczno-gospodarczych, wskazanych w art. 66 ust. 1 ustawy z dnia 6 marca 2018 r. – Prawo przedsiębiorców (Dz.</w:t>
            </w:r>
            <w:r w:rsidR="00731A29">
              <w:rPr>
                <w:rFonts w:ascii="Times New Roman" w:hAnsi="Times New Roman"/>
                <w:color w:val="000000"/>
              </w:rPr>
              <w:t xml:space="preserve"> </w:t>
            </w:r>
            <w:r w:rsidRPr="005A1891">
              <w:rPr>
                <w:rFonts w:ascii="Times New Roman" w:hAnsi="Times New Roman"/>
                <w:color w:val="000000"/>
              </w:rPr>
              <w:t xml:space="preserve">U. z 2025 r. poz. </w:t>
            </w:r>
            <w:r w:rsidR="009F7D7B">
              <w:rPr>
                <w:rFonts w:ascii="Times New Roman" w:hAnsi="Times New Roman"/>
                <w:color w:val="000000"/>
              </w:rPr>
              <w:t>1480</w:t>
            </w:r>
            <w:r w:rsidR="00F3209D">
              <w:rPr>
                <w:rFonts w:ascii="Times New Roman" w:hAnsi="Times New Roman"/>
                <w:color w:val="000000"/>
              </w:rPr>
              <w:t>, 1795 i 1826 oraz z 2026 r. poz. 507</w:t>
            </w:r>
            <w:r w:rsidRPr="005A1891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76656D" w:rsidRPr="00C00CCF" w14:paraId="68D39581" w14:textId="77777777" w:rsidTr="000E0B30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68D3957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68D3957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3ADFDCE8" w14:textId="4C31EE14" w:rsidR="00D24E88" w:rsidRDefault="00D24E88" w:rsidP="003E78BE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24E88">
              <w:rPr>
                <w:rFonts w:ascii="Times New Roman" w:hAnsi="Times New Roman"/>
                <w:color w:val="000000"/>
                <w:spacing w:val="-2"/>
              </w:rPr>
              <w:t>W przypadku stwierdzenia nieprawidłowości prowadzenia działalności świadczenia usług zaufania, o ile będzie to uzasadnione należytymi względami, możliwe będzie nałożenie na przedsiębiorcę</w:t>
            </w:r>
            <w:r w:rsidR="0070339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03397" w:rsidRPr="00D24E88">
              <w:rPr>
                <w:rFonts w:ascii="Times New Roman" w:hAnsi="Times New Roman"/>
                <w:color w:val="000000"/>
                <w:spacing w:val="-2"/>
              </w:rPr>
              <w:t xml:space="preserve">obowiązku </w:t>
            </w:r>
            <w:r w:rsidRPr="00D24E88">
              <w:rPr>
                <w:rFonts w:ascii="Times New Roman" w:hAnsi="Times New Roman"/>
                <w:color w:val="000000"/>
                <w:spacing w:val="-2"/>
              </w:rPr>
              <w:t xml:space="preserve">wstrzymania świadczenia kwalifikowanej usługi zaufania, na czas nie dłuższy niż </w:t>
            </w:r>
            <w:r w:rsidR="00F10B35">
              <w:rPr>
                <w:rFonts w:ascii="Times New Roman" w:hAnsi="Times New Roman"/>
                <w:color w:val="000000"/>
                <w:spacing w:val="-2"/>
              </w:rPr>
              <w:t>14 dni</w:t>
            </w:r>
            <w:r w:rsidRPr="00D24E88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5AB07BF4" w14:textId="5978FF30" w:rsidR="00B52A69" w:rsidRPr="0099329B" w:rsidRDefault="005A1891" w:rsidP="00B52A69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Doprecyzowanie zasad procesu kontroli i audyty w objętych regulacją jednostkach.</w:t>
            </w:r>
            <w:r w:rsidR="004033C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52A69" w:rsidRPr="0099329B">
              <w:rPr>
                <w:rFonts w:ascii="Times New Roman" w:hAnsi="Times New Roman"/>
                <w:color w:val="000000"/>
                <w:spacing w:val="-2"/>
              </w:rPr>
              <w:t>Wykorzystanie kompetencji i zasobów</w:t>
            </w:r>
            <w:r w:rsidR="00F3209D" w:rsidRPr="00F3209D">
              <w:rPr>
                <w:rFonts w:ascii="Times New Roman" w:hAnsi="Times New Roman"/>
                <w:color w:val="000000"/>
                <w:spacing w:val="-2"/>
              </w:rPr>
              <w:t xml:space="preserve"> organów nadzorowanych przez Ministra Cyfryzacji oraz jednostek organizacyjnych podległych temu  ministrowi lub przez niego nadzorowanych,</w:t>
            </w:r>
            <w:r w:rsidR="00B52A69" w:rsidRPr="0099329B">
              <w:rPr>
                <w:rFonts w:ascii="Times New Roman" w:hAnsi="Times New Roman"/>
                <w:color w:val="000000"/>
                <w:spacing w:val="-2"/>
              </w:rPr>
              <w:t xml:space="preserve"> posiadających odpowiednie doświadczenie i wiedzę specjalistyczną w sytuacjach wymagających niezwłocznej reakcji. </w:t>
            </w:r>
          </w:p>
          <w:p w14:paraId="3F901DC0" w14:textId="1B8CB941" w:rsidR="00B52A69" w:rsidRPr="0099329B" w:rsidRDefault="00B52A69" w:rsidP="00B52A69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9329B">
              <w:rPr>
                <w:rFonts w:ascii="Times New Roman" w:hAnsi="Times New Roman"/>
                <w:color w:val="000000"/>
                <w:spacing w:val="-2"/>
              </w:rPr>
              <w:t xml:space="preserve">Nałożenie na kwalifikowanych dostawców usług zaufania obowiązku informowania ministra właściwego do spraw informatyzacji o </w:t>
            </w:r>
            <w:r w:rsidR="009B3A27" w:rsidRPr="0099329B">
              <w:rPr>
                <w:rFonts w:ascii="Times New Roman" w:hAnsi="Times New Roman"/>
                <w:color w:val="000000"/>
                <w:spacing w:val="-2"/>
              </w:rPr>
              <w:t>planowanych</w:t>
            </w:r>
            <w:r w:rsidRPr="0099329B">
              <w:rPr>
                <w:rFonts w:ascii="Times New Roman" w:hAnsi="Times New Roman"/>
                <w:color w:val="000000"/>
                <w:spacing w:val="-2"/>
              </w:rPr>
              <w:t xml:space="preserve"> audytach. </w:t>
            </w:r>
          </w:p>
          <w:p w14:paraId="68D39580" w14:textId="2C863A80" w:rsidR="0076656D" w:rsidRPr="002D606A" w:rsidRDefault="00854D51" w:rsidP="004033C2">
            <w:pPr>
              <w:spacing w:before="120" w:line="240" w:lineRule="auto"/>
              <w:jc w:val="both"/>
            </w:pPr>
            <w:r w:rsidRPr="004033C2">
              <w:rPr>
                <w:rFonts w:ascii="Times New Roman" w:hAnsi="Times New Roman"/>
              </w:rPr>
              <w:t xml:space="preserve">Przedmiotowy projekt nie określa zasad podejmowania, wykonywania lub zakończenia działalności gospodarczej, w związku z czym odstąpiono od analiz i oceny przewidywanych skutków społeczno-gospodarczych, wskazanych w art. 66 ust. 1 ustawy z dnia 6 marca 2018 r. – Prawo przedsiębiorców. </w:t>
            </w:r>
          </w:p>
        </w:tc>
      </w:tr>
      <w:tr w:rsidR="0076656D" w:rsidRPr="00C00CCF" w14:paraId="68D39585" w14:textId="77777777" w:rsidTr="000E0B30">
        <w:trPr>
          <w:trHeight w:val="596"/>
        </w:trPr>
        <w:tc>
          <w:tcPr>
            <w:tcW w:w="1589" w:type="dxa"/>
            <w:gridSpan w:val="2"/>
            <w:vMerge/>
            <w:shd w:val="clear" w:color="auto" w:fill="FFFFFF"/>
          </w:tcPr>
          <w:p w14:paraId="68D3958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68D39583" w14:textId="77777777" w:rsidR="0076656D" w:rsidRPr="00C00CCF" w:rsidRDefault="0076656D" w:rsidP="000E0B30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</w:rPr>
              <w:t>rodzina, obywatele oraz gospodarstwa domowe</w:t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68D39584" w14:textId="33DE322C" w:rsidR="00854D51" w:rsidRPr="006C444C" w:rsidRDefault="005A1891" w:rsidP="003E78BE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76656D" w:rsidRPr="00C00CCF" w14:paraId="68D39589" w14:textId="77777777" w:rsidTr="000E0B30">
        <w:trPr>
          <w:trHeight w:val="240"/>
        </w:trPr>
        <w:tc>
          <w:tcPr>
            <w:tcW w:w="1589" w:type="dxa"/>
            <w:gridSpan w:val="2"/>
            <w:vMerge/>
            <w:shd w:val="clear" w:color="auto" w:fill="FFFFFF"/>
          </w:tcPr>
          <w:p w14:paraId="68D3958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68D39587" w14:textId="77777777" w:rsidR="0076656D" w:rsidRPr="00C00CCF" w:rsidRDefault="0076656D" w:rsidP="000E0B30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68D39588" w14:textId="77777777" w:rsidR="0076656D" w:rsidRPr="00C00CCF" w:rsidRDefault="0076656D" w:rsidP="000E0B30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6656D" w:rsidRPr="00C00CCF" w14:paraId="68D3958D" w14:textId="77777777" w:rsidTr="000E0B30">
        <w:trPr>
          <w:trHeight w:val="142"/>
        </w:trPr>
        <w:tc>
          <w:tcPr>
            <w:tcW w:w="1589" w:type="dxa"/>
            <w:gridSpan w:val="2"/>
            <w:vMerge w:val="restart"/>
            <w:shd w:val="clear" w:color="auto" w:fill="FFFFFF"/>
          </w:tcPr>
          <w:p w14:paraId="68D3958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84" w:type="dxa"/>
            <w:gridSpan w:val="6"/>
            <w:shd w:val="clear" w:color="auto" w:fill="FFFFFF"/>
          </w:tcPr>
          <w:p w14:paraId="68D3958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68D3958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6656D" w:rsidRPr="00C00CCF" w14:paraId="68D39591" w14:textId="77777777" w:rsidTr="000E0B30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68D3958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68D3958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68D3959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6656D" w:rsidRPr="00C00CCF" w14:paraId="68D3959C" w14:textId="77777777" w:rsidTr="000E0B30">
        <w:trPr>
          <w:trHeight w:val="1643"/>
        </w:trPr>
        <w:tc>
          <w:tcPr>
            <w:tcW w:w="2233" w:type="dxa"/>
            <w:gridSpan w:val="3"/>
            <w:shd w:val="clear" w:color="auto" w:fill="FFFFFF"/>
          </w:tcPr>
          <w:p w14:paraId="68D3959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lastRenderedPageBreak/>
              <w:t xml:space="preserve">Dodatkowe informacje, w tym wskazanie źródeł danych i przyjętych do obliczeń założeń </w:t>
            </w:r>
          </w:p>
        </w:tc>
        <w:tc>
          <w:tcPr>
            <w:tcW w:w="8714" w:type="dxa"/>
            <w:gridSpan w:val="26"/>
            <w:shd w:val="clear" w:color="auto" w:fill="FFFFFF"/>
            <w:vAlign w:val="center"/>
          </w:tcPr>
          <w:p w14:paraId="68D3959B" w14:textId="0BF14B6B" w:rsidR="0076656D" w:rsidRPr="00C00CCF" w:rsidRDefault="0076656D" w:rsidP="000E0B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6656D" w:rsidRPr="00C00CCF" w14:paraId="68D3959E" w14:textId="77777777" w:rsidTr="000E0B30">
        <w:trPr>
          <w:trHeight w:val="34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8D3959D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76656D" w:rsidRPr="00C00CCF" w14:paraId="68D395A0" w14:textId="77777777" w:rsidTr="000E0B30">
        <w:trPr>
          <w:trHeight w:val="151"/>
        </w:trPr>
        <w:tc>
          <w:tcPr>
            <w:tcW w:w="10947" w:type="dxa"/>
            <w:gridSpan w:val="29"/>
            <w:shd w:val="clear" w:color="auto" w:fill="FFFFFF"/>
          </w:tcPr>
          <w:p w14:paraId="68D3959F" w14:textId="5AC2AC57" w:rsidR="0076656D" w:rsidRPr="00C00CCF" w:rsidRDefault="00E36B66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="0076656D"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="0076656D" w:rsidRPr="00C00CCF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76656D" w:rsidRPr="00C00CCF" w14:paraId="68D395A5" w14:textId="77777777" w:rsidTr="000E0B30">
        <w:trPr>
          <w:trHeight w:val="946"/>
        </w:trPr>
        <w:tc>
          <w:tcPr>
            <w:tcW w:w="5092" w:type="dxa"/>
            <w:gridSpan w:val="12"/>
            <w:shd w:val="clear" w:color="auto" w:fill="FFFFFF"/>
          </w:tcPr>
          <w:p w14:paraId="68D395A1" w14:textId="77777777" w:rsidR="0076656D" w:rsidRPr="00C00CCF" w:rsidRDefault="0076656D" w:rsidP="000E0B30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C00CCF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55" w:type="dxa"/>
            <w:gridSpan w:val="17"/>
            <w:shd w:val="clear" w:color="auto" w:fill="FFFFFF"/>
          </w:tcPr>
          <w:p w14:paraId="68D395A2" w14:textId="02E2FB80" w:rsidR="0076656D" w:rsidRPr="00C00CCF" w:rsidRDefault="00002F78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76656D" w:rsidRPr="00C00CCF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8D395A3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8D395A4" w14:textId="780CB3FF" w:rsidR="0076656D" w:rsidRPr="00C00CCF" w:rsidRDefault="00002F78" w:rsidP="000E0B3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76656D" w:rsidRPr="00C00CCF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76656D" w:rsidRPr="00C00CCF" w14:paraId="68D395AF" w14:textId="77777777" w:rsidTr="000E0B30">
        <w:trPr>
          <w:trHeight w:val="1245"/>
        </w:trPr>
        <w:tc>
          <w:tcPr>
            <w:tcW w:w="5092" w:type="dxa"/>
            <w:gridSpan w:val="12"/>
            <w:shd w:val="clear" w:color="auto" w:fill="FFFFFF"/>
          </w:tcPr>
          <w:p w14:paraId="44A2FB86" w14:textId="38817EB5" w:rsidR="0030288A" w:rsidRDefault="00AA35A9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6656D" w:rsidRPr="00C00CCF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0834439C" w14:textId="7B58A7A4" w:rsidR="0030288A" w:rsidRDefault="0030288A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="00AA35A9">
              <w:rPr>
                <w:rFonts w:ascii="Times New Roman" w:hAnsi="Times New Roman"/>
                <w:color w:val="000000"/>
              </w:rPr>
              <w:t xml:space="preserve"> </w:t>
            </w:r>
            <w:r w:rsidR="0076656D" w:rsidRPr="00C00CCF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68D395A8" w14:textId="3DF418E8" w:rsidR="0076656D" w:rsidRPr="00C00CCF" w:rsidRDefault="00AA35A9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="00A145E5"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="0076656D" w:rsidRPr="00C00CCF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68D395A9" w14:textId="77777777" w:rsidR="0076656D" w:rsidRPr="00C00CCF" w:rsidRDefault="0076656D" w:rsidP="000E0B30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55" w:type="dxa"/>
            <w:gridSpan w:val="17"/>
            <w:shd w:val="clear" w:color="auto" w:fill="FFFFFF"/>
          </w:tcPr>
          <w:p w14:paraId="68D395A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68D395A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68D395A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68D395AE" w14:textId="5D5278EB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76656D" w:rsidRPr="00C00CCF" w14:paraId="68D395B5" w14:textId="77777777" w:rsidTr="000E0B30">
        <w:trPr>
          <w:trHeight w:val="870"/>
        </w:trPr>
        <w:tc>
          <w:tcPr>
            <w:tcW w:w="5092" w:type="dxa"/>
            <w:gridSpan w:val="12"/>
            <w:shd w:val="clear" w:color="auto" w:fill="FFFFFF"/>
          </w:tcPr>
          <w:p w14:paraId="68D395B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55" w:type="dxa"/>
            <w:gridSpan w:val="17"/>
            <w:shd w:val="clear" w:color="auto" w:fill="FFFFFF"/>
          </w:tcPr>
          <w:p w14:paraId="68D395B1" w14:textId="517EDA75" w:rsidR="0076656D" w:rsidRPr="00C00CCF" w:rsidRDefault="00002F78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76656D" w:rsidRPr="00C00CCF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8D395B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8D395B4" w14:textId="32C59B25" w:rsidR="0076656D" w:rsidRPr="00C00CCF" w:rsidRDefault="00002F78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76656D" w:rsidRPr="00C00CCF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76656D" w:rsidRPr="00C00CCF" w14:paraId="68D395BB" w14:textId="77777777" w:rsidTr="000E0B30">
        <w:trPr>
          <w:trHeight w:val="630"/>
        </w:trPr>
        <w:tc>
          <w:tcPr>
            <w:tcW w:w="10947" w:type="dxa"/>
            <w:gridSpan w:val="29"/>
            <w:shd w:val="clear" w:color="auto" w:fill="FFFFFF"/>
          </w:tcPr>
          <w:p w14:paraId="069608FA" w14:textId="77777777" w:rsidR="004A6B5F" w:rsidRDefault="0076656D" w:rsidP="00C8437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 xml:space="preserve">Komentarz: </w:t>
            </w:r>
          </w:p>
          <w:p w14:paraId="68D395BA" w14:textId="1616A716" w:rsidR="005A1891" w:rsidRPr="00C00CCF" w:rsidRDefault="00B2703A" w:rsidP="00C8437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703A">
              <w:rPr>
                <w:rFonts w:ascii="Times New Roman" w:hAnsi="Times New Roman"/>
                <w:color w:val="000000"/>
              </w:rPr>
              <w:t>Wprowadzono obowiązek informacyjny organu nadzoru na co najmniej miesiąc przed jakimkolwiek planowanym audytem kwalifikowanych usług zaufania.</w:t>
            </w:r>
            <w:r w:rsidR="00B52A69">
              <w:rPr>
                <w:rFonts w:ascii="Times New Roman" w:hAnsi="Times New Roman"/>
                <w:color w:val="000000"/>
              </w:rPr>
              <w:t xml:space="preserve"> 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Dostawcy </w:t>
            </w:r>
            <w:r w:rsidR="002A63BE" w:rsidRPr="0099329B">
              <w:rPr>
                <w:rFonts w:ascii="Times New Roman" w:hAnsi="Times New Roman"/>
                <w:color w:val="000000"/>
              </w:rPr>
              <w:t>u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sług </w:t>
            </w:r>
            <w:r w:rsidR="002A63BE" w:rsidRPr="0099329B">
              <w:rPr>
                <w:rFonts w:ascii="Times New Roman" w:hAnsi="Times New Roman"/>
                <w:color w:val="000000"/>
              </w:rPr>
              <w:t>z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aufania w obowiązujących przepisach nie mieli obowiązku informowania </w:t>
            </w:r>
            <w:r w:rsidR="00F3209D">
              <w:rPr>
                <w:rFonts w:ascii="Times New Roman" w:hAnsi="Times New Roman"/>
                <w:color w:val="000000"/>
              </w:rPr>
              <w:t>m</w:t>
            </w:r>
            <w:r w:rsidR="00B52A69" w:rsidRPr="0099329B">
              <w:rPr>
                <w:rFonts w:ascii="Times New Roman" w:hAnsi="Times New Roman"/>
                <w:color w:val="000000"/>
              </w:rPr>
              <w:t>inistra</w:t>
            </w:r>
            <w:r w:rsidR="00F3209D">
              <w:rPr>
                <w:rFonts w:ascii="Times New Roman" w:hAnsi="Times New Roman"/>
                <w:color w:val="000000"/>
              </w:rPr>
              <w:t xml:space="preserve"> właściwego do spraw informatyzacji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, nie wszyscy </w:t>
            </w:r>
            <w:r w:rsidR="002A63BE" w:rsidRPr="0099329B">
              <w:rPr>
                <w:rFonts w:ascii="Times New Roman" w:hAnsi="Times New Roman"/>
                <w:color w:val="000000"/>
              </w:rPr>
              <w:t>d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ostawcy </w:t>
            </w:r>
            <w:r w:rsidR="002A63BE" w:rsidRPr="0099329B">
              <w:rPr>
                <w:rFonts w:ascii="Times New Roman" w:hAnsi="Times New Roman"/>
                <w:color w:val="000000"/>
              </w:rPr>
              <w:t>u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sług </w:t>
            </w:r>
            <w:r w:rsidR="002A63BE" w:rsidRPr="0099329B">
              <w:rPr>
                <w:rFonts w:ascii="Times New Roman" w:hAnsi="Times New Roman"/>
                <w:color w:val="000000"/>
              </w:rPr>
              <w:t>z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aufania informowali </w:t>
            </w:r>
            <w:r w:rsidR="00F3209D">
              <w:rPr>
                <w:rFonts w:ascii="Times New Roman" w:hAnsi="Times New Roman"/>
                <w:color w:val="000000"/>
              </w:rPr>
              <w:t>m</w:t>
            </w:r>
            <w:r w:rsidR="00B52A69" w:rsidRPr="0099329B">
              <w:rPr>
                <w:rFonts w:ascii="Times New Roman" w:hAnsi="Times New Roman"/>
                <w:color w:val="000000"/>
              </w:rPr>
              <w:t>inistra o planowanym audycie</w:t>
            </w:r>
            <w:r w:rsidR="002A63BE" w:rsidRPr="0099329B">
              <w:rPr>
                <w:rFonts w:ascii="Times New Roman" w:hAnsi="Times New Roman"/>
                <w:color w:val="000000"/>
              </w:rPr>
              <w:t>,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 co uniemożliwia </w:t>
            </w:r>
            <w:r w:rsidR="00F3209D">
              <w:rPr>
                <w:rFonts w:ascii="Times New Roman" w:hAnsi="Times New Roman"/>
                <w:color w:val="000000"/>
              </w:rPr>
              <w:t>m</w:t>
            </w:r>
            <w:r w:rsidR="00B52A69" w:rsidRPr="0099329B">
              <w:rPr>
                <w:rFonts w:ascii="Times New Roman" w:hAnsi="Times New Roman"/>
                <w:color w:val="000000"/>
              </w:rPr>
              <w:t>inistrowi jako organowi nadzoru prowadz</w:t>
            </w:r>
            <w:r w:rsidR="002A63BE" w:rsidRPr="0099329B">
              <w:rPr>
                <w:rFonts w:ascii="Times New Roman" w:hAnsi="Times New Roman"/>
                <w:color w:val="000000"/>
              </w:rPr>
              <w:t>enie</w:t>
            </w:r>
            <w:r w:rsidR="00B52A69" w:rsidRPr="0099329B">
              <w:rPr>
                <w:rFonts w:ascii="Times New Roman" w:hAnsi="Times New Roman"/>
                <w:color w:val="000000"/>
              </w:rPr>
              <w:t xml:space="preserve"> skutecznej polityki nadzoru nad tymi dostawcami.</w:t>
            </w:r>
          </w:p>
        </w:tc>
      </w:tr>
      <w:tr w:rsidR="0076656D" w:rsidRPr="00C00CCF" w14:paraId="68D395BD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68D395BC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76656D" w:rsidRPr="00C00CCF" w14:paraId="68D395C3" w14:textId="77777777" w:rsidTr="000E0B30">
        <w:trPr>
          <w:trHeight w:val="142"/>
        </w:trPr>
        <w:tc>
          <w:tcPr>
            <w:tcW w:w="10947" w:type="dxa"/>
            <w:gridSpan w:val="29"/>
          </w:tcPr>
          <w:p w14:paraId="68D395C2" w14:textId="39D940EB" w:rsidR="0076656D" w:rsidRPr="00C00CCF" w:rsidRDefault="0076656D" w:rsidP="000E0B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 xml:space="preserve">Brak wpływu </w:t>
            </w:r>
          </w:p>
        </w:tc>
      </w:tr>
      <w:tr w:rsidR="0076656D" w:rsidRPr="00C00CCF" w14:paraId="68D395C5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68D395C4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76656D" w:rsidRPr="00C00CCF" w14:paraId="68D395D1" w14:textId="77777777" w:rsidTr="000E0B30">
        <w:trPr>
          <w:trHeight w:val="1031"/>
        </w:trPr>
        <w:tc>
          <w:tcPr>
            <w:tcW w:w="3532" w:type="dxa"/>
            <w:gridSpan w:val="6"/>
            <w:shd w:val="clear" w:color="auto" w:fill="FFFFFF"/>
          </w:tcPr>
          <w:p w14:paraId="68D395C6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8D395C7" w14:textId="491F8D4F" w:rsidR="0076656D" w:rsidRPr="00C00CCF" w:rsidRDefault="001D6472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D647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47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1D6472">
              <w:rPr>
                <w:rFonts w:ascii="Times New Roman" w:hAnsi="Times New Roman"/>
                <w:color w:val="000000"/>
              </w:rPr>
            </w:r>
            <w:r w:rsidRPr="001D6472">
              <w:rPr>
                <w:rFonts w:ascii="Times New Roman" w:hAnsi="Times New Roman"/>
                <w:color w:val="000000"/>
              </w:rPr>
              <w:fldChar w:fldCharType="separate"/>
            </w:r>
            <w:r w:rsidRPr="001D6472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6656D" w:rsidRPr="00C00CCF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8D395C8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68D395C9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76" w:type="dxa"/>
            <w:gridSpan w:val="14"/>
            <w:shd w:val="clear" w:color="auto" w:fill="FFFFFF"/>
          </w:tcPr>
          <w:p w14:paraId="68D395CA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8D395CB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68D395CC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68D395CD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noProof/>
                <w:color w:val="000000"/>
              </w:rPr>
              <w:t> </w:t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39" w:type="dxa"/>
            <w:gridSpan w:val="9"/>
            <w:shd w:val="clear" w:color="auto" w:fill="FFFFFF"/>
          </w:tcPr>
          <w:p w14:paraId="68D395CE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8D395CF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68D395D0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C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C00CCF">
              <w:rPr>
                <w:rFonts w:ascii="Times New Roman" w:hAnsi="Times New Roman"/>
                <w:color w:val="000000"/>
              </w:rPr>
            </w:r>
            <w:r w:rsidRPr="00C00CCF">
              <w:rPr>
                <w:rFonts w:ascii="Times New Roman" w:hAnsi="Times New Roman"/>
                <w:color w:val="000000"/>
              </w:rPr>
              <w:fldChar w:fldCharType="separate"/>
            </w:r>
            <w:r w:rsidRPr="00C00CCF">
              <w:rPr>
                <w:rFonts w:ascii="Times New Roman" w:hAnsi="Times New Roman"/>
                <w:color w:val="000000"/>
              </w:rPr>
              <w:fldChar w:fldCharType="end"/>
            </w:r>
            <w:r w:rsidRPr="00C00CCF">
              <w:rPr>
                <w:rFonts w:ascii="Times New Roman" w:hAnsi="Times New Roman"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76656D" w:rsidRPr="00C00CCF" w14:paraId="68D395D7" w14:textId="77777777" w:rsidTr="000E0B30">
        <w:trPr>
          <w:trHeight w:val="712"/>
        </w:trPr>
        <w:tc>
          <w:tcPr>
            <w:tcW w:w="2233" w:type="dxa"/>
            <w:gridSpan w:val="3"/>
            <w:shd w:val="clear" w:color="auto" w:fill="FFFFFF"/>
            <w:vAlign w:val="center"/>
          </w:tcPr>
          <w:p w14:paraId="68D395D2" w14:textId="77777777" w:rsidR="0076656D" w:rsidRPr="00C00CCF" w:rsidRDefault="0076656D" w:rsidP="000E0B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0CCF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714" w:type="dxa"/>
            <w:gridSpan w:val="26"/>
            <w:shd w:val="clear" w:color="auto" w:fill="FFFFFF"/>
            <w:vAlign w:val="center"/>
          </w:tcPr>
          <w:p w14:paraId="68D395D6" w14:textId="373D88A8" w:rsidR="00B454E2" w:rsidRPr="00C00CCF" w:rsidRDefault="005A1891" w:rsidP="000E0B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Wzmocnienie </w:t>
            </w:r>
            <w:r w:rsidR="001454AE">
              <w:rPr>
                <w:rFonts w:ascii="Times New Roman" w:hAnsi="Times New Roman"/>
                <w:color w:val="000000"/>
              </w:rPr>
              <w:t xml:space="preserve">nadzoru nad </w:t>
            </w:r>
            <w:r>
              <w:rPr>
                <w:rFonts w:ascii="Times New Roman" w:hAnsi="Times New Roman"/>
                <w:color w:val="000000"/>
              </w:rPr>
              <w:t>usług</w:t>
            </w:r>
            <w:r w:rsidR="001454AE">
              <w:rPr>
                <w:rFonts w:ascii="Times New Roman" w:hAnsi="Times New Roman"/>
                <w:color w:val="000000"/>
              </w:rPr>
              <w:t>ami</w:t>
            </w:r>
            <w:r>
              <w:rPr>
                <w:rFonts w:ascii="Times New Roman" w:hAnsi="Times New Roman"/>
                <w:color w:val="000000"/>
              </w:rPr>
              <w:t xml:space="preserve"> zaufania oraz</w:t>
            </w:r>
            <w:r w:rsidR="009F7D7B">
              <w:rPr>
                <w:rFonts w:ascii="Times New Roman" w:hAnsi="Times New Roman"/>
                <w:color w:val="000000"/>
              </w:rPr>
              <w:t xml:space="preserve"> </w:t>
            </w:r>
            <w:r w:rsidR="00C34F8F" w:rsidRPr="00D22771">
              <w:rPr>
                <w:rFonts w:ascii="Times New Roman" w:hAnsi="Times New Roman"/>
                <w:color w:val="000000"/>
                <w:spacing w:val="-2"/>
              </w:rPr>
              <w:t>krajowym schematem identyfikacji</w:t>
            </w:r>
            <w:r w:rsidR="009F7D7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34F8F" w:rsidRPr="00D22771">
              <w:rPr>
                <w:rFonts w:ascii="Times New Roman" w:hAnsi="Times New Roman"/>
                <w:color w:val="000000"/>
                <w:spacing w:val="-2"/>
              </w:rPr>
              <w:t>elektronicznej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6656D" w:rsidRPr="00C00CCF" w14:paraId="68D395D9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68D395D8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C00CCF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76656D" w:rsidRPr="00C00CCF" w14:paraId="68D395DF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68D395DE" w14:textId="5FFE125C" w:rsidR="0076656D" w:rsidRPr="00C00CCF" w:rsidRDefault="0076656D" w:rsidP="000E0B30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C00CCF">
              <w:rPr>
                <w:rFonts w:ascii="Times New Roman" w:hAnsi="Times New Roman"/>
                <w:spacing w:val="-2"/>
              </w:rPr>
              <w:t>Ustawa wejdzie w życie po upływie 14 dnia od dnia ogłoszenia</w:t>
            </w:r>
            <w:r w:rsidR="00AA35A9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76656D" w:rsidRPr="00C00CCF" w14:paraId="68D395E1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68D395E0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00CC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00CCF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76656D" w:rsidRPr="00C00CCF" w14:paraId="68D395F0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68D395EF" w14:textId="5692E2B1" w:rsidR="0076656D" w:rsidRPr="00C00CCF" w:rsidRDefault="0076656D" w:rsidP="000E0B30">
            <w:pPr>
              <w:spacing w:after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  <w:tr w:rsidR="0076656D" w:rsidRPr="00C00CCF" w14:paraId="68D395F2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68D395F1" w14:textId="77777777" w:rsidR="0076656D" w:rsidRPr="00C00CCF" w:rsidRDefault="0076656D" w:rsidP="000E0B3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C00CCF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C00CCF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76656D" w:rsidRPr="00044CE5" w14:paraId="68D395F8" w14:textId="77777777" w:rsidTr="000E0B30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68D395F7" w14:textId="30546A4F" w:rsidR="0076656D" w:rsidRPr="00044CE5" w:rsidRDefault="0076656D" w:rsidP="000E0B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0CCF">
              <w:rPr>
                <w:rFonts w:ascii="Times New Roman" w:hAnsi="Times New Roman"/>
                <w:color w:val="000000"/>
                <w:spacing w:val="-2"/>
              </w:rPr>
              <w:t>Nie dotyczy</w:t>
            </w:r>
            <w:r w:rsidRPr="00044CE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14:paraId="68D395F9" w14:textId="77777777" w:rsidR="006176ED" w:rsidRPr="00044CE5" w:rsidRDefault="006176ED" w:rsidP="000B0E86">
      <w:pPr>
        <w:pStyle w:val="Nagwek1"/>
        <w:rPr>
          <w:rFonts w:ascii="Times New Roman" w:hAnsi="Times New Roman" w:cs="Times New Roman"/>
          <w:sz w:val="22"/>
          <w:szCs w:val="22"/>
        </w:rPr>
      </w:pPr>
    </w:p>
    <w:sectPr w:rsidR="006176ED" w:rsidRPr="00044CE5" w:rsidSect="008D4D7E">
      <w:pgSz w:w="12240" w:h="15840" w:code="1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7D6D" w14:textId="77777777" w:rsidR="00AD0A80" w:rsidRDefault="00AD0A80" w:rsidP="00044739">
      <w:pPr>
        <w:spacing w:line="240" w:lineRule="auto"/>
      </w:pPr>
      <w:r>
        <w:separator/>
      </w:r>
    </w:p>
  </w:endnote>
  <w:endnote w:type="continuationSeparator" w:id="0">
    <w:p w14:paraId="67756BA6" w14:textId="77777777" w:rsidR="00AD0A80" w:rsidRDefault="00AD0A80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1FB1" w14:textId="77777777" w:rsidR="00AD0A80" w:rsidRDefault="00AD0A80" w:rsidP="00044739">
      <w:pPr>
        <w:spacing w:line="240" w:lineRule="auto"/>
      </w:pPr>
      <w:r>
        <w:separator/>
      </w:r>
    </w:p>
  </w:footnote>
  <w:footnote w:type="continuationSeparator" w:id="0">
    <w:p w14:paraId="524B89A1" w14:textId="77777777" w:rsidR="00AD0A80" w:rsidRDefault="00AD0A80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618F"/>
    <w:multiLevelType w:val="hybridMultilevel"/>
    <w:tmpl w:val="328A276C"/>
    <w:lvl w:ilvl="0" w:tplc="E54E8804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417B3"/>
    <w:multiLevelType w:val="hybridMultilevel"/>
    <w:tmpl w:val="BF48D02C"/>
    <w:lvl w:ilvl="0" w:tplc="DCDCA1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BE25E0"/>
    <w:multiLevelType w:val="hybridMultilevel"/>
    <w:tmpl w:val="7A8A5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C64"/>
    <w:multiLevelType w:val="hybridMultilevel"/>
    <w:tmpl w:val="42AAD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6225"/>
    <w:multiLevelType w:val="hybridMultilevel"/>
    <w:tmpl w:val="A358FBEC"/>
    <w:lvl w:ilvl="0" w:tplc="04150017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2F161A3B"/>
    <w:multiLevelType w:val="hybridMultilevel"/>
    <w:tmpl w:val="350A5014"/>
    <w:lvl w:ilvl="0" w:tplc="7B8637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24ED5"/>
    <w:multiLevelType w:val="multilevel"/>
    <w:tmpl w:val="2DD0F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824D1"/>
    <w:multiLevelType w:val="hybridMultilevel"/>
    <w:tmpl w:val="42AAD7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6EA5"/>
    <w:multiLevelType w:val="hybridMultilevel"/>
    <w:tmpl w:val="FAD2C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E2CBC"/>
    <w:multiLevelType w:val="hybridMultilevel"/>
    <w:tmpl w:val="BFD24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A6FEE"/>
    <w:multiLevelType w:val="hybridMultilevel"/>
    <w:tmpl w:val="42AAD7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90316">
    <w:abstractNumId w:val="8"/>
  </w:num>
  <w:num w:numId="2" w16cid:durableId="1588346097">
    <w:abstractNumId w:val="9"/>
  </w:num>
  <w:num w:numId="3" w16cid:durableId="642806518">
    <w:abstractNumId w:val="3"/>
  </w:num>
  <w:num w:numId="4" w16cid:durableId="1363551409">
    <w:abstractNumId w:val="11"/>
  </w:num>
  <w:num w:numId="5" w16cid:durableId="625158269">
    <w:abstractNumId w:val="7"/>
  </w:num>
  <w:num w:numId="6" w16cid:durableId="344133576">
    <w:abstractNumId w:val="0"/>
  </w:num>
  <w:num w:numId="7" w16cid:durableId="2032106682">
    <w:abstractNumId w:val="2"/>
  </w:num>
  <w:num w:numId="8" w16cid:durableId="1518932774">
    <w:abstractNumId w:val="5"/>
  </w:num>
  <w:num w:numId="9" w16cid:durableId="354817009">
    <w:abstractNumId w:val="10"/>
  </w:num>
  <w:num w:numId="10" w16cid:durableId="550653786">
    <w:abstractNumId w:val="1"/>
  </w:num>
  <w:num w:numId="11" w16cid:durableId="755519528">
    <w:abstractNumId w:val="4"/>
  </w:num>
  <w:num w:numId="12" w16cid:durableId="6889154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2F78"/>
    <w:rsid w:val="00004C6A"/>
    <w:rsid w:val="000067F4"/>
    <w:rsid w:val="00012D11"/>
    <w:rsid w:val="00013EB5"/>
    <w:rsid w:val="00022C6C"/>
    <w:rsid w:val="00023836"/>
    <w:rsid w:val="00023FE5"/>
    <w:rsid w:val="0002567A"/>
    <w:rsid w:val="00025BF2"/>
    <w:rsid w:val="000356A9"/>
    <w:rsid w:val="0004294E"/>
    <w:rsid w:val="00044133"/>
    <w:rsid w:val="00044138"/>
    <w:rsid w:val="00044739"/>
    <w:rsid w:val="00044CE5"/>
    <w:rsid w:val="00046FF3"/>
    <w:rsid w:val="00051637"/>
    <w:rsid w:val="00055EBC"/>
    <w:rsid w:val="00056681"/>
    <w:rsid w:val="00057844"/>
    <w:rsid w:val="00061B95"/>
    <w:rsid w:val="00061EAD"/>
    <w:rsid w:val="000648A7"/>
    <w:rsid w:val="0006618B"/>
    <w:rsid w:val="000670C0"/>
    <w:rsid w:val="000700D8"/>
    <w:rsid w:val="00071B99"/>
    <w:rsid w:val="00073351"/>
    <w:rsid w:val="000756E5"/>
    <w:rsid w:val="0007704E"/>
    <w:rsid w:val="00077257"/>
    <w:rsid w:val="00080EC8"/>
    <w:rsid w:val="00082D65"/>
    <w:rsid w:val="000944AC"/>
    <w:rsid w:val="00094C45"/>
    <w:rsid w:val="00094CB9"/>
    <w:rsid w:val="000956B2"/>
    <w:rsid w:val="000969E7"/>
    <w:rsid w:val="000A23DE"/>
    <w:rsid w:val="000A30AB"/>
    <w:rsid w:val="000A4020"/>
    <w:rsid w:val="000A4D40"/>
    <w:rsid w:val="000A61D8"/>
    <w:rsid w:val="000A78BF"/>
    <w:rsid w:val="000B0E86"/>
    <w:rsid w:val="000B54FB"/>
    <w:rsid w:val="000B6498"/>
    <w:rsid w:val="000B7F38"/>
    <w:rsid w:val="000C29B0"/>
    <w:rsid w:val="000C71A4"/>
    <w:rsid w:val="000C76FC"/>
    <w:rsid w:val="000D02A8"/>
    <w:rsid w:val="000D0CF9"/>
    <w:rsid w:val="000D22E1"/>
    <w:rsid w:val="000D2830"/>
    <w:rsid w:val="000D38FC"/>
    <w:rsid w:val="000D465E"/>
    <w:rsid w:val="000D4D90"/>
    <w:rsid w:val="000D7D37"/>
    <w:rsid w:val="000E0AFC"/>
    <w:rsid w:val="000E0B30"/>
    <w:rsid w:val="000E2D10"/>
    <w:rsid w:val="000E5782"/>
    <w:rsid w:val="000E5A3F"/>
    <w:rsid w:val="000E6950"/>
    <w:rsid w:val="000F0FA4"/>
    <w:rsid w:val="000F1597"/>
    <w:rsid w:val="000F2623"/>
    <w:rsid w:val="000F2F09"/>
    <w:rsid w:val="000F3204"/>
    <w:rsid w:val="00102A42"/>
    <w:rsid w:val="001049E7"/>
    <w:rsid w:val="0010548B"/>
    <w:rsid w:val="001072D1"/>
    <w:rsid w:val="0011087A"/>
    <w:rsid w:val="001113E0"/>
    <w:rsid w:val="00116613"/>
    <w:rsid w:val="00117017"/>
    <w:rsid w:val="0012509D"/>
    <w:rsid w:val="00125FAF"/>
    <w:rsid w:val="00127E07"/>
    <w:rsid w:val="00130E8E"/>
    <w:rsid w:val="0013168F"/>
    <w:rsid w:val="0013216E"/>
    <w:rsid w:val="00132FB0"/>
    <w:rsid w:val="00134ACA"/>
    <w:rsid w:val="00134B47"/>
    <w:rsid w:val="001401B5"/>
    <w:rsid w:val="001422B9"/>
    <w:rsid w:val="00142D34"/>
    <w:rsid w:val="001454AE"/>
    <w:rsid w:val="001459DF"/>
    <w:rsid w:val="00145B61"/>
    <w:rsid w:val="0014665F"/>
    <w:rsid w:val="00152C09"/>
    <w:rsid w:val="00153464"/>
    <w:rsid w:val="001541B3"/>
    <w:rsid w:val="00155B15"/>
    <w:rsid w:val="001625BE"/>
    <w:rsid w:val="001643A4"/>
    <w:rsid w:val="00166E60"/>
    <w:rsid w:val="00167795"/>
    <w:rsid w:val="001712FA"/>
    <w:rsid w:val="001727BB"/>
    <w:rsid w:val="00173938"/>
    <w:rsid w:val="00174158"/>
    <w:rsid w:val="001768DF"/>
    <w:rsid w:val="00180D25"/>
    <w:rsid w:val="001825DB"/>
    <w:rsid w:val="0018318D"/>
    <w:rsid w:val="0018572C"/>
    <w:rsid w:val="001867BB"/>
    <w:rsid w:val="001871C4"/>
    <w:rsid w:val="00187B1F"/>
    <w:rsid w:val="00187BEF"/>
    <w:rsid w:val="00187E78"/>
    <w:rsid w:val="00187E79"/>
    <w:rsid w:val="00187F0D"/>
    <w:rsid w:val="001921B6"/>
    <w:rsid w:val="00192CC5"/>
    <w:rsid w:val="001956A7"/>
    <w:rsid w:val="001972C0"/>
    <w:rsid w:val="001A026F"/>
    <w:rsid w:val="001A0A9F"/>
    <w:rsid w:val="001A118A"/>
    <w:rsid w:val="001A1C43"/>
    <w:rsid w:val="001A27F4"/>
    <w:rsid w:val="001A2D95"/>
    <w:rsid w:val="001A4920"/>
    <w:rsid w:val="001B3460"/>
    <w:rsid w:val="001B4CA1"/>
    <w:rsid w:val="001B75D8"/>
    <w:rsid w:val="001C0AA0"/>
    <w:rsid w:val="001C1060"/>
    <w:rsid w:val="001C2DB6"/>
    <w:rsid w:val="001C3C63"/>
    <w:rsid w:val="001D06E5"/>
    <w:rsid w:val="001D2AE3"/>
    <w:rsid w:val="001D3501"/>
    <w:rsid w:val="001D3611"/>
    <w:rsid w:val="001D4313"/>
    <w:rsid w:val="001D4732"/>
    <w:rsid w:val="001D5CA1"/>
    <w:rsid w:val="001D636A"/>
    <w:rsid w:val="001D6472"/>
    <w:rsid w:val="001D6A3C"/>
    <w:rsid w:val="001D6D51"/>
    <w:rsid w:val="001E204C"/>
    <w:rsid w:val="001E23B7"/>
    <w:rsid w:val="001E5579"/>
    <w:rsid w:val="001E680A"/>
    <w:rsid w:val="001E6BD2"/>
    <w:rsid w:val="001E7331"/>
    <w:rsid w:val="001E73E4"/>
    <w:rsid w:val="001F1C91"/>
    <w:rsid w:val="001F3899"/>
    <w:rsid w:val="001F3B2A"/>
    <w:rsid w:val="001F653A"/>
    <w:rsid w:val="001F6979"/>
    <w:rsid w:val="001F7852"/>
    <w:rsid w:val="00201CAF"/>
    <w:rsid w:val="00202BC6"/>
    <w:rsid w:val="00204ADB"/>
    <w:rsid w:val="00205141"/>
    <w:rsid w:val="0020516B"/>
    <w:rsid w:val="00207FCD"/>
    <w:rsid w:val="00213559"/>
    <w:rsid w:val="00213EFD"/>
    <w:rsid w:val="002172F1"/>
    <w:rsid w:val="0021795D"/>
    <w:rsid w:val="00220CA2"/>
    <w:rsid w:val="00223485"/>
    <w:rsid w:val="00223C7B"/>
    <w:rsid w:val="00224AB1"/>
    <w:rsid w:val="0022687A"/>
    <w:rsid w:val="002301BD"/>
    <w:rsid w:val="00230728"/>
    <w:rsid w:val="002310ED"/>
    <w:rsid w:val="00234040"/>
    <w:rsid w:val="0023559E"/>
    <w:rsid w:val="00235CD2"/>
    <w:rsid w:val="0023689D"/>
    <w:rsid w:val="002405A0"/>
    <w:rsid w:val="00241183"/>
    <w:rsid w:val="002412AF"/>
    <w:rsid w:val="00245218"/>
    <w:rsid w:val="002469AA"/>
    <w:rsid w:val="00251784"/>
    <w:rsid w:val="00251F09"/>
    <w:rsid w:val="002523AC"/>
    <w:rsid w:val="00253D9C"/>
    <w:rsid w:val="00253DCD"/>
    <w:rsid w:val="002541AC"/>
    <w:rsid w:val="00254934"/>
    <w:rsid w:val="00254DED"/>
    <w:rsid w:val="00254EB4"/>
    <w:rsid w:val="00255619"/>
    <w:rsid w:val="00255DAD"/>
    <w:rsid w:val="00256108"/>
    <w:rsid w:val="00256E5E"/>
    <w:rsid w:val="00257969"/>
    <w:rsid w:val="0026051E"/>
    <w:rsid w:val="00260F33"/>
    <w:rsid w:val="002613BD"/>
    <w:rsid w:val="00261C7E"/>
    <w:rsid w:val="002624F1"/>
    <w:rsid w:val="00270C81"/>
    <w:rsid w:val="00271558"/>
    <w:rsid w:val="002724F9"/>
    <w:rsid w:val="00273ED7"/>
    <w:rsid w:val="00274862"/>
    <w:rsid w:val="0027764D"/>
    <w:rsid w:val="00277AE9"/>
    <w:rsid w:val="00277E77"/>
    <w:rsid w:val="00280760"/>
    <w:rsid w:val="00282D72"/>
    <w:rsid w:val="00283402"/>
    <w:rsid w:val="00286542"/>
    <w:rsid w:val="0028789E"/>
    <w:rsid w:val="00290FD6"/>
    <w:rsid w:val="002914AF"/>
    <w:rsid w:val="00294259"/>
    <w:rsid w:val="002947AF"/>
    <w:rsid w:val="00297807"/>
    <w:rsid w:val="002A1B15"/>
    <w:rsid w:val="002A2C81"/>
    <w:rsid w:val="002A433A"/>
    <w:rsid w:val="002A63BE"/>
    <w:rsid w:val="002A7363"/>
    <w:rsid w:val="002B12C3"/>
    <w:rsid w:val="002B333B"/>
    <w:rsid w:val="002B3D1A"/>
    <w:rsid w:val="002C2506"/>
    <w:rsid w:val="002C27D0"/>
    <w:rsid w:val="002C2C9B"/>
    <w:rsid w:val="002D17D6"/>
    <w:rsid w:val="002D18D7"/>
    <w:rsid w:val="002D1F29"/>
    <w:rsid w:val="002D21CE"/>
    <w:rsid w:val="002D30E6"/>
    <w:rsid w:val="002D606A"/>
    <w:rsid w:val="002E1FEA"/>
    <w:rsid w:val="002E3DA3"/>
    <w:rsid w:val="002E450F"/>
    <w:rsid w:val="002E5051"/>
    <w:rsid w:val="002E6B38"/>
    <w:rsid w:val="002E6D63"/>
    <w:rsid w:val="002E6E2B"/>
    <w:rsid w:val="002E6E4A"/>
    <w:rsid w:val="002E73F5"/>
    <w:rsid w:val="002F500B"/>
    <w:rsid w:val="002F71B2"/>
    <w:rsid w:val="00300991"/>
    <w:rsid w:val="00301959"/>
    <w:rsid w:val="0030288A"/>
    <w:rsid w:val="003035B5"/>
    <w:rsid w:val="00303D05"/>
    <w:rsid w:val="00305668"/>
    <w:rsid w:val="00305B8A"/>
    <w:rsid w:val="003216D2"/>
    <w:rsid w:val="0033001F"/>
    <w:rsid w:val="00331BF9"/>
    <w:rsid w:val="0033495E"/>
    <w:rsid w:val="00334A79"/>
    <w:rsid w:val="00334D8D"/>
    <w:rsid w:val="00337345"/>
    <w:rsid w:val="00337DD2"/>
    <w:rsid w:val="003404D1"/>
    <w:rsid w:val="00340E1B"/>
    <w:rsid w:val="003411CF"/>
    <w:rsid w:val="0034207A"/>
    <w:rsid w:val="003443FF"/>
    <w:rsid w:val="00355808"/>
    <w:rsid w:val="00362C7E"/>
    <w:rsid w:val="00363309"/>
    <w:rsid w:val="00363601"/>
    <w:rsid w:val="00367B28"/>
    <w:rsid w:val="00371620"/>
    <w:rsid w:val="003724A4"/>
    <w:rsid w:val="00376AC9"/>
    <w:rsid w:val="00377D73"/>
    <w:rsid w:val="00381F7D"/>
    <w:rsid w:val="003826C7"/>
    <w:rsid w:val="0038338E"/>
    <w:rsid w:val="003867D2"/>
    <w:rsid w:val="00393032"/>
    <w:rsid w:val="00393908"/>
    <w:rsid w:val="003941F7"/>
    <w:rsid w:val="00394B69"/>
    <w:rsid w:val="00397078"/>
    <w:rsid w:val="0039747F"/>
    <w:rsid w:val="00397D67"/>
    <w:rsid w:val="003A01C3"/>
    <w:rsid w:val="003A4391"/>
    <w:rsid w:val="003A6953"/>
    <w:rsid w:val="003B3A17"/>
    <w:rsid w:val="003B501F"/>
    <w:rsid w:val="003B6083"/>
    <w:rsid w:val="003C13B8"/>
    <w:rsid w:val="003C3838"/>
    <w:rsid w:val="003C43F6"/>
    <w:rsid w:val="003C5847"/>
    <w:rsid w:val="003C63C1"/>
    <w:rsid w:val="003C67C4"/>
    <w:rsid w:val="003D0681"/>
    <w:rsid w:val="003D12F6"/>
    <w:rsid w:val="003D1426"/>
    <w:rsid w:val="003D1EDF"/>
    <w:rsid w:val="003E2540"/>
    <w:rsid w:val="003E2F4E"/>
    <w:rsid w:val="003E4FFB"/>
    <w:rsid w:val="003E519B"/>
    <w:rsid w:val="003E720A"/>
    <w:rsid w:val="003E78BE"/>
    <w:rsid w:val="003F16CE"/>
    <w:rsid w:val="003F7334"/>
    <w:rsid w:val="004033C2"/>
    <w:rsid w:val="00403E6E"/>
    <w:rsid w:val="00406C2D"/>
    <w:rsid w:val="00412047"/>
    <w:rsid w:val="004129B4"/>
    <w:rsid w:val="00415CAB"/>
    <w:rsid w:val="0041686A"/>
    <w:rsid w:val="00417EF0"/>
    <w:rsid w:val="00422181"/>
    <w:rsid w:val="004229A8"/>
    <w:rsid w:val="004244A8"/>
    <w:rsid w:val="004251B5"/>
    <w:rsid w:val="00425F72"/>
    <w:rsid w:val="004267B6"/>
    <w:rsid w:val="00427736"/>
    <w:rsid w:val="00433CE7"/>
    <w:rsid w:val="0043602B"/>
    <w:rsid w:val="00436CAF"/>
    <w:rsid w:val="00441787"/>
    <w:rsid w:val="00442C68"/>
    <w:rsid w:val="00444F2D"/>
    <w:rsid w:val="00445514"/>
    <w:rsid w:val="00446C09"/>
    <w:rsid w:val="00451CCF"/>
    <w:rsid w:val="00452034"/>
    <w:rsid w:val="00452532"/>
    <w:rsid w:val="00455FA6"/>
    <w:rsid w:val="00460CDE"/>
    <w:rsid w:val="00461682"/>
    <w:rsid w:val="00464D4C"/>
    <w:rsid w:val="00465781"/>
    <w:rsid w:val="00465BFC"/>
    <w:rsid w:val="00466C70"/>
    <w:rsid w:val="00466D7A"/>
    <w:rsid w:val="004702C9"/>
    <w:rsid w:val="00470D89"/>
    <w:rsid w:val="00472E45"/>
    <w:rsid w:val="00473FEA"/>
    <w:rsid w:val="00474C91"/>
    <w:rsid w:val="0047579D"/>
    <w:rsid w:val="004820C1"/>
    <w:rsid w:val="00483262"/>
    <w:rsid w:val="00483B6F"/>
    <w:rsid w:val="00484107"/>
    <w:rsid w:val="0048531D"/>
    <w:rsid w:val="004858C3"/>
    <w:rsid w:val="00485CC5"/>
    <w:rsid w:val="00485E07"/>
    <w:rsid w:val="00485E46"/>
    <w:rsid w:val="00490152"/>
    <w:rsid w:val="00490F0C"/>
    <w:rsid w:val="00491F83"/>
    <w:rsid w:val="00493295"/>
    <w:rsid w:val="0049343F"/>
    <w:rsid w:val="004936E3"/>
    <w:rsid w:val="00493963"/>
    <w:rsid w:val="0049578B"/>
    <w:rsid w:val="004964FC"/>
    <w:rsid w:val="004A010E"/>
    <w:rsid w:val="004A145E"/>
    <w:rsid w:val="004A1F15"/>
    <w:rsid w:val="004A2A81"/>
    <w:rsid w:val="004A45EF"/>
    <w:rsid w:val="004A6B5F"/>
    <w:rsid w:val="004A7BD7"/>
    <w:rsid w:val="004A7E42"/>
    <w:rsid w:val="004B407D"/>
    <w:rsid w:val="004B6A5E"/>
    <w:rsid w:val="004C019F"/>
    <w:rsid w:val="004C15C2"/>
    <w:rsid w:val="004C36D8"/>
    <w:rsid w:val="004C3F0F"/>
    <w:rsid w:val="004C3FFA"/>
    <w:rsid w:val="004C6A0C"/>
    <w:rsid w:val="004C6B93"/>
    <w:rsid w:val="004C6F3A"/>
    <w:rsid w:val="004D0173"/>
    <w:rsid w:val="004D1124"/>
    <w:rsid w:val="004D1248"/>
    <w:rsid w:val="004D1301"/>
    <w:rsid w:val="004D1E3C"/>
    <w:rsid w:val="004D4169"/>
    <w:rsid w:val="004D639F"/>
    <w:rsid w:val="004D6E14"/>
    <w:rsid w:val="004E0374"/>
    <w:rsid w:val="004E510C"/>
    <w:rsid w:val="004E72AE"/>
    <w:rsid w:val="004F1B21"/>
    <w:rsid w:val="004F32B6"/>
    <w:rsid w:val="004F42D6"/>
    <w:rsid w:val="004F4E17"/>
    <w:rsid w:val="004F54DC"/>
    <w:rsid w:val="004F6A17"/>
    <w:rsid w:val="0050082F"/>
    <w:rsid w:val="00500C56"/>
    <w:rsid w:val="00501713"/>
    <w:rsid w:val="00502458"/>
    <w:rsid w:val="00504A0F"/>
    <w:rsid w:val="00506568"/>
    <w:rsid w:val="00507B01"/>
    <w:rsid w:val="00507DFF"/>
    <w:rsid w:val="00513C45"/>
    <w:rsid w:val="00513CC1"/>
    <w:rsid w:val="00514CEA"/>
    <w:rsid w:val="0051545F"/>
    <w:rsid w:val="0051551B"/>
    <w:rsid w:val="00520C57"/>
    <w:rsid w:val="0052289E"/>
    <w:rsid w:val="00522D94"/>
    <w:rsid w:val="00525D8F"/>
    <w:rsid w:val="005266DC"/>
    <w:rsid w:val="00531B9C"/>
    <w:rsid w:val="00533D89"/>
    <w:rsid w:val="00536564"/>
    <w:rsid w:val="00540582"/>
    <w:rsid w:val="005408B7"/>
    <w:rsid w:val="00541691"/>
    <w:rsid w:val="00544597"/>
    <w:rsid w:val="00544FFE"/>
    <w:rsid w:val="00547173"/>
    <w:rsid w:val="005473F5"/>
    <w:rsid w:val="005477E7"/>
    <w:rsid w:val="00552794"/>
    <w:rsid w:val="00553DFD"/>
    <w:rsid w:val="00554489"/>
    <w:rsid w:val="00555022"/>
    <w:rsid w:val="00563199"/>
    <w:rsid w:val="00563EC2"/>
    <w:rsid w:val="00564874"/>
    <w:rsid w:val="005662DA"/>
    <w:rsid w:val="00566D95"/>
    <w:rsid w:val="00567478"/>
    <w:rsid w:val="00567963"/>
    <w:rsid w:val="0057009A"/>
    <w:rsid w:val="00571260"/>
    <w:rsid w:val="0057189C"/>
    <w:rsid w:val="00573FC1"/>
    <w:rsid w:val="005741EE"/>
    <w:rsid w:val="0057668E"/>
    <w:rsid w:val="00580CB5"/>
    <w:rsid w:val="00584DA1"/>
    <w:rsid w:val="00585021"/>
    <w:rsid w:val="00587D41"/>
    <w:rsid w:val="00595E83"/>
    <w:rsid w:val="00595F72"/>
    <w:rsid w:val="00596530"/>
    <w:rsid w:val="005965D8"/>
    <w:rsid w:val="005967F3"/>
    <w:rsid w:val="0059781D"/>
    <w:rsid w:val="005A06DF"/>
    <w:rsid w:val="005A1891"/>
    <w:rsid w:val="005A27B1"/>
    <w:rsid w:val="005A298F"/>
    <w:rsid w:val="005A5527"/>
    <w:rsid w:val="005A55CC"/>
    <w:rsid w:val="005A5AE6"/>
    <w:rsid w:val="005A6AE5"/>
    <w:rsid w:val="005A6C8E"/>
    <w:rsid w:val="005B1206"/>
    <w:rsid w:val="005B37E8"/>
    <w:rsid w:val="005B3EB3"/>
    <w:rsid w:val="005B454E"/>
    <w:rsid w:val="005C0056"/>
    <w:rsid w:val="005C10DE"/>
    <w:rsid w:val="005C3190"/>
    <w:rsid w:val="005C54DE"/>
    <w:rsid w:val="005C58DA"/>
    <w:rsid w:val="005C6D3C"/>
    <w:rsid w:val="005D0008"/>
    <w:rsid w:val="005D5268"/>
    <w:rsid w:val="005D61D6"/>
    <w:rsid w:val="005D66D6"/>
    <w:rsid w:val="005E09C8"/>
    <w:rsid w:val="005E0D13"/>
    <w:rsid w:val="005E351B"/>
    <w:rsid w:val="005E5047"/>
    <w:rsid w:val="005E62CC"/>
    <w:rsid w:val="005E7149"/>
    <w:rsid w:val="005E7205"/>
    <w:rsid w:val="005E7371"/>
    <w:rsid w:val="005E7B90"/>
    <w:rsid w:val="005F0839"/>
    <w:rsid w:val="005F0E1D"/>
    <w:rsid w:val="005F116C"/>
    <w:rsid w:val="005F1E79"/>
    <w:rsid w:val="005F2131"/>
    <w:rsid w:val="005F298C"/>
    <w:rsid w:val="005F2ED2"/>
    <w:rsid w:val="0060159A"/>
    <w:rsid w:val="00604B84"/>
    <w:rsid w:val="00605EF6"/>
    <w:rsid w:val="00606455"/>
    <w:rsid w:val="00614929"/>
    <w:rsid w:val="00614BD6"/>
    <w:rsid w:val="00615FD1"/>
    <w:rsid w:val="00616511"/>
    <w:rsid w:val="006168F7"/>
    <w:rsid w:val="006176ED"/>
    <w:rsid w:val="006202F3"/>
    <w:rsid w:val="0062097A"/>
    <w:rsid w:val="0062198A"/>
    <w:rsid w:val="00621DA6"/>
    <w:rsid w:val="00623CFE"/>
    <w:rsid w:val="00627221"/>
    <w:rsid w:val="00627EE8"/>
    <w:rsid w:val="006316FA"/>
    <w:rsid w:val="006370D2"/>
    <w:rsid w:val="0063774C"/>
    <w:rsid w:val="0064074F"/>
    <w:rsid w:val="00641F55"/>
    <w:rsid w:val="00645403"/>
    <w:rsid w:val="00645E4A"/>
    <w:rsid w:val="00646DCA"/>
    <w:rsid w:val="006514D3"/>
    <w:rsid w:val="00653688"/>
    <w:rsid w:val="00654D1E"/>
    <w:rsid w:val="0066091B"/>
    <w:rsid w:val="006660E9"/>
    <w:rsid w:val="00667249"/>
    <w:rsid w:val="00667558"/>
    <w:rsid w:val="00671254"/>
    <w:rsid w:val="00671523"/>
    <w:rsid w:val="006754EF"/>
    <w:rsid w:val="00676C8D"/>
    <w:rsid w:val="00676F1F"/>
    <w:rsid w:val="00677381"/>
    <w:rsid w:val="00677414"/>
    <w:rsid w:val="006819CF"/>
    <w:rsid w:val="0068260C"/>
    <w:rsid w:val="006832CF"/>
    <w:rsid w:val="00683A3A"/>
    <w:rsid w:val="006842C8"/>
    <w:rsid w:val="0068601E"/>
    <w:rsid w:val="00692C8E"/>
    <w:rsid w:val="00692D83"/>
    <w:rsid w:val="0069486B"/>
    <w:rsid w:val="006955DA"/>
    <w:rsid w:val="006A00EE"/>
    <w:rsid w:val="006A3360"/>
    <w:rsid w:val="006A4904"/>
    <w:rsid w:val="006A548F"/>
    <w:rsid w:val="006A65A9"/>
    <w:rsid w:val="006A672B"/>
    <w:rsid w:val="006A6B11"/>
    <w:rsid w:val="006A701A"/>
    <w:rsid w:val="006B01AC"/>
    <w:rsid w:val="006B06FE"/>
    <w:rsid w:val="006B0E63"/>
    <w:rsid w:val="006B0EBE"/>
    <w:rsid w:val="006B64DC"/>
    <w:rsid w:val="006B73C1"/>
    <w:rsid w:val="006B7A91"/>
    <w:rsid w:val="006C444C"/>
    <w:rsid w:val="006D016D"/>
    <w:rsid w:val="006D03FC"/>
    <w:rsid w:val="006D46C4"/>
    <w:rsid w:val="006D4704"/>
    <w:rsid w:val="006D5DEE"/>
    <w:rsid w:val="006D6A2D"/>
    <w:rsid w:val="006D7C1E"/>
    <w:rsid w:val="006E1E18"/>
    <w:rsid w:val="006E30E3"/>
    <w:rsid w:val="006E31CE"/>
    <w:rsid w:val="006E34D3"/>
    <w:rsid w:val="006F1435"/>
    <w:rsid w:val="006F4069"/>
    <w:rsid w:val="006F40AB"/>
    <w:rsid w:val="006F4832"/>
    <w:rsid w:val="006F7512"/>
    <w:rsid w:val="006F78C4"/>
    <w:rsid w:val="006F7B01"/>
    <w:rsid w:val="007003DF"/>
    <w:rsid w:val="007024B3"/>
    <w:rsid w:val="007031A0"/>
    <w:rsid w:val="00703397"/>
    <w:rsid w:val="007048E3"/>
    <w:rsid w:val="00705A29"/>
    <w:rsid w:val="007061D1"/>
    <w:rsid w:val="00707498"/>
    <w:rsid w:val="00711A65"/>
    <w:rsid w:val="00714133"/>
    <w:rsid w:val="00714DA4"/>
    <w:rsid w:val="00714FDD"/>
    <w:rsid w:val="0071518B"/>
    <w:rsid w:val="007158B2"/>
    <w:rsid w:val="00716081"/>
    <w:rsid w:val="00722B48"/>
    <w:rsid w:val="007239FC"/>
    <w:rsid w:val="00724164"/>
    <w:rsid w:val="00725DE7"/>
    <w:rsid w:val="0072636A"/>
    <w:rsid w:val="00726B44"/>
    <w:rsid w:val="00726B8D"/>
    <w:rsid w:val="007301F5"/>
    <w:rsid w:val="00730AA4"/>
    <w:rsid w:val="007318DD"/>
    <w:rsid w:val="00731A29"/>
    <w:rsid w:val="00733167"/>
    <w:rsid w:val="007347EC"/>
    <w:rsid w:val="00740D2C"/>
    <w:rsid w:val="0074360D"/>
    <w:rsid w:val="00744BF9"/>
    <w:rsid w:val="007454CF"/>
    <w:rsid w:val="007503F0"/>
    <w:rsid w:val="00752623"/>
    <w:rsid w:val="007551EE"/>
    <w:rsid w:val="0076033C"/>
    <w:rsid w:val="00760F1F"/>
    <w:rsid w:val="0076423E"/>
    <w:rsid w:val="007646CB"/>
    <w:rsid w:val="0076656D"/>
    <w:rsid w:val="0076658F"/>
    <w:rsid w:val="00767FD1"/>
    <w:rsid w:val="0077040A"/>
    <w:rsid w:val="0077185C"/>
    <w:rsid w:val="0077235F"/>
    <w:rsid w:val="00772D20"/>
    <w:rsid w:val="00772D64"/>
    <w:rsid w:val="007732DB"/>
    <w:rsid w:val="00787C79"/>
    <w:rsid w:val="00792609"/>
    <w:rsid w:val="00792887"/>
    <w:rsid w:val="007943E2"/>
    <w:rsid w:val="00794F2C"/>
    <w:rsid w:val="007959F8"/>
    <w:rsid w:val="00796460"/>
    <w:rsid w:val="007A258B"/>
    <w:rsid w:val="007A3649"/>
    <w:rsid w:val="007A36B8"/>
    <w:rsid w:val="007A3BC7"/>
    <w:rsid w:val="007A5AC4"/>
    <w:rsid w:val="007B0FDD"/>
    <w:rsid w:val="007B22F3"/>
    <w:rsid w:val="007B23FD"/>
    <w:rsid w:val="007B4802"/>
    <w:rsid w:val="007B5283"/>
    <w:rsid w:val="007B5EBD"/>
    <w:rsid w:val="007B6668"/>
    <w:rsid w:val="007B6B33"/>
    <w:rsid w:val="007C03BC"/>
    <w:rsid w:val="007C122A"/>
    <w:rsid w:val="007C199B"/>
    <w:rsid w:val="007C2701"/>
    <w:rsid w:val="007C34FE"/>
    <w:rsid w:val="007C38A1"/>
    <w:rsid w:val="007D2119"/>
    <w:rsid w:val="007D2192"/>
    <w:rsid w:val="007D34F0"/>
    <w:rsid w:val="007D3D69"/>
    <w:rsid w:val="007D5546"/>
    <w:rsid w:val="007E11BE"/>
    <w:rsid w:val="007E3139"/>
    <w:rsid w:val="007E4EAE"/>
    <w:rsid w:val="007E6EE6"/>
    <w:rsid w:val="007E793E"/>
    <w:rsid w:val="007F0021"/>
    <w:rsid w:val="007F1905"/>
    <w:rsid w:val="007F2654"/>
    <w:rsid w:val="007F2F52"/>
    <w:rsid w:val="007F350C"/>
    <w:rsid w:val="00800608"/>
    <w:rsid w:val="00801F71"/>
    <w:rsid w:val="00803A59"/>
    <w:rsid w:val="00805F28"/>
    <w:rsid w:val="0080749F"/>
    <w:rsid w:val="00810EEE"/>
    <w:rsid w:val="00811291"/>
    <w:rsid w:val="008118BC"/>
    <w:rsid w:val="00811D46"/>
    <w:rsid w:val="008125B0"/>
    <w:rsid w:val="00813178"/>
    <w:rsid w:val="008144CB"/>
    <w:rsid w:val="00815EEF"/>
    <w:rsid w:val="008162A7"/>
    <w:rsid w:val="0082007F"/>
    <w:rsid w:val="00821717"/>
    <w:rsid w:val="0082352F"/>
    <w:rsid w:val="00824210"/>
    <w:rsid w:val="008263C0"/>
    <w:rsid w:val="008379A5"/>
    <w:rsid w:val="00841422"/>
    <w:rsid w:val="00841D3B"/>
    <w:rsid w:val="00842A48"/>
    <w:rsid w:val="0084314C"/>
    <w:rsid w:val="00843171"/>
    <w:rsid w:val="008453EF"/>
    <w:rsid w:val="0085117E"/>
    <w:rsid w:val="008530BC"/>
    <w:rsid w:val="00853A38"/>
    <w:rsid w:val="00854D51"/>
    <w:rsid w:val="00856807"/>
    <w:rsid w:val="00856D49"/>
    <w:rsid w:val="008575C3"/>
    <w:rsid w:val="0086382E"/>
    <w:rsid w:val="00863D28"/>
    <w:rsid w:val="008648C3"/>
    <w:rsid w:val="00867238"/>
    <w:rsid w:val="00870356"/>
    <w:rsid w:val="008710ED"/>
    <w:rsid w:val="008712E9"/>
    <w:rsid w:val="00872023"/>
    <w:rsid w:val="00873EA8"/>
    <w:rsid w:val="00876C70"/>
    <w:rsid w:val="00880F26"/>
    <w:rsid w:val="00883369"/>
    <w:rsid w:val="008848FD"/>
    <w:rsid w:val="0089208A"/>
    <w:rsid w:val="008934A9"/>
    <w:rsid w:val="008952D7"/>
    <w:rsid w:val="00896C2E"/>
    <w:rsid w:val="00897525"/>
    <w:rsid w:val="008A5095"/>
    <w:rsid w:val="008A608F"/>
    <w:rsid w:val="008A6534"/>
    <w:rsid w:val="008B0D00"/>
    <w:rsid w:val="008B1A9A"/>
    <w:rsid w:val="008B4FE6"/>
    <w:rsid w:val="008B6C37"/>
    <w:rsid w:val="008C17C9"/>
    <w:rsid w:val="008C3940"/>
    <w:rsid w:val="008C6582"/>
    <w:rsid w:val="008C66D3"/>
    <w:rsid w:val="008D10C7"/>
    <w:rsid w:val="008D1AD2"/>
    <w:rsid w:val="008D4D7E"/>
    <w:rsid w:val="008D5EB1"/>
    <w:rsid w:val="008D6CAA"/>
    <w:rsid w:val="008D6CE5"/>
    <w:rsid w:val="008E18F7"/>
    <w:rsid w:val="008E1E10"/>
    <w:rsid w:val="008E291B"/>
    <w:rsid w:val="008E4F2F"/>
    <w:rsid w:val="008E60C3"/>
    <w:rsid w:val="008E74B0"/>
    <w:rsid w:val="008F19BB"/>
    <w:rsid w:val="008F2496"/>
    <w:rsid w:val="008F2E92"/>
    <w:rsid w:val="008F2FE3"/>
    <w:rsid w:val="008F501C"/>
    <w:rsid w:val="009008A8"/>
    <w:rsid w:val="009022F7"/>
    <w:rsid w:val="00902472"/>
    <w:rsid w:val="00903552"/>
    <w:rsid w:val="009063B0"/>
    <w:rsid w:val="00907106"/>
    <w:rsid w:val="00907410"/>
    <w:rsid w:val="00910072"/>
    <w:rsid w:val="00910355"/>
    <w:rsid w:val="009107FD"/>
    <w:rsid w:val="0091137C"/>
    <w:rsid w:val="00911567"/>
    <w:rsid w:val="00915070"/>
    <w:rsid w:val="00915B93"/>
    <w:rsid w:val="00916F6F"/>
    <w:rsid w:val="00917AAE"/>
    <w:rsid w:val="00922E27"/>
    <w:rsid w:val="009251A9"/>
    <w:rsid w:val="009264AA"/>
    <w:rsid w:val="00930699"/>
    <w:rsid w:val="00931F69"/>
    <w:rsid w:val="00933C77"/>
    <w:rsid w:val="00934123"/>
    <w:rsid w:val="00937BB3"/>
    <w:rsid w:val="009417F3"/>
    <w:rsid w:val="00946C8A"/>
    <w:rsid w:val="009506EF"/>
    <w:rsid w:val="009509D2"/>
    <w:rsid w:val="00955774"/>
    <w:rsid w:val="009560B5"/>
    <w:rsid w:val="00956839"/>
    <w:rsid w:val="00957AB9"/>
    <w:rsid w:val="00957FE4"/>
    <w:rsid w:val="00960CB6"/>
    <w:rsid w:val="009633B4"/>
    <w:rsid w:val="009675E1"/>
    <w:rsid w:val="00967D8F"/>
    <w:rsid w:val="009703D6"/>
    <w:rsid w:val="0097181B"/>
    <w:rsid w:val="0097531C"/>
    <w:rsid w:val="00975928"/>
    <w:rsid w:val="00976DC5"/>
    <w:rsid w:val="00977951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329B"/>
    <w:rsid w:val="00996F0A"/>
    <w:rsid w:val="009A1D86"/>
    <w:rsid w:val="009A6701"/>
    <w:rsid w:val="009B049C"/>
    <w:rsid w:val="009B11C8"/>
    <w:rsid w:val="009B2BCF"/>
    <w:rsid w:val="009B2FF8"/>
    <w:rsid w:val="009B3A27"/>
    <w:rsid w:val="009B4A2A"/>
    <w:rsid w:val="009B531A"/>
    <w:rsid w:val="009B5BA3"/>
    <w:rsid w:val="009C06EA"/>
    <w:rsid w:val="009C07FA"/>
    <w:rsid w:val="009C1A77"/>
    <w:rsid w:val="009C4DBA"/>
    <w:rsid w:val="009D0027"/>
    <w:rsid w:val="009D0655"/>
    <w:rsid w:val="009D456C"/>
    <w:rsid w:val="009D7220"/>
    <w:rsid w:val="009D7BF9"/>
    <w:rsid w:val="009E0B3C"/>
    <w:rsid w:val="009E1E98"/>
    <w:rsid w:val="009E204F"/>
    <w:rsid w:val="009E219E"/>
    <w:rsid w:val="009E3ABE"/>
    <w:rsid w:val="009E3C4B"/>
    <w:rsid w:val="009E635E"/>
    <w:rsid w:val="009F0637"/>
    <w:rsid w:val="009F111C"/>
    <w:rsid w:val="009F2692"/>
    <w:rsid w:val="009F2726"/>
    <w:rsid w:val="009F62A6"/>
    <w:rsid w:val="009F674F"/>
    <w:rsid w:val="009F799E"/>
    <w:rsid w:val="009F7D7B"/>
    <w:rsid w:val="00A01C4C"/>
    <w:rsid w:val="00A02020"/>
    <w:rsid w:val="00A056CB"/>
    <w:rsid w:val="00A07A29"/>
    <w:rsid w:val="00A10FF1"/>
    <w:rsid w:val="00A11AB0"/>
    <w:rsid w:val="00A145E5"/>
    <w:rsid w:val="00A1506B"/>
    <w:rsid w:val="00A16460"/>
    <w:rsid w:val="00A17CB2"/>
    <w:rsid w:val="00A23191"/>
    <w:rsid w:val="00A237CE"/>
    <w:rsid w:val="00A250F1"/>
    <w:rsid w:val="00A30E61"/>
    <w:rsid w:val="00A30F1A"/>
    <w:rsid w:val="00A319C0"/>
    <w:rsid w:val="00A32CC8"/>
    <w:rsid w:val="00A33560"/>
    <w:rsid w:val="00A35E85"/>
    <w:rsid w:val="00A364E4"/>
    <w:rsid w:val="00A371A5"/>
    <w:rsid w:val="00A37FDA"/>
    <w:rsid w:val="00A449E6"/>
    <w:rsid w:val="00A47BDF"/>
    <w:rsid w:val="00A51CD7"/>
    <w:rsid w:val="00A52ADB"/>
    <w:rsid w:val="00A533E8"/>
    <w:rsid w:val="00A53860"/>
    <w:rsid w:val="00A53871"/>
    <w:rsid w:val="00A542D9"/>
    <w:rsid w:val="00A56E64"/>
    <w:rsid w:val="00A6215C"/>
    <w:rsid w:val="00A624C3"/>
    <w:rsid w:val="00A62B51"/>
    <w:rsid w:val="00A64BE8"/>
    <w:rsid w:val="00A6641C"/>
    <w:rsid w:val="00A701D3"/>
    <w:rsid w:val="00A7373C"/>
    <w:rsid w:val="00A767D2"/>
    <w:rsid w:val="00A770E4"/>
    <w:rsid w:val="00A77616"/>
    <w:rsid w:val="00A777F4"/>
    <w:rsid w:val="00A805DA"/>
    <w:rsid w:val="00A811B4"/>
    <w:rsid w:val="00A84FFE"/>
    <w:rsid w:val="00A87CDE"/>
    <w:rsid w:val="00A9071B"/>
    <w:rsid w:val="00A91FD3"/>
    <w:rsid w:val="00A92BAF"/>
    <w:rsid w:val="00A940D5"/>
    <w:rsid w:val="00A94737"/>
    <w:rsid w:val="00A94BA3"/>
    <w:rsid w:val="00A94DB6"/>
    <w:rsid w:val="00A96CBA"/>
    <w:rsid w:val="00A97B70"/>
    <w:rsid w:val="00AA1C3A"/>
    <w:rsid w:val="00AA2A2F"/>
    <w:rsid w:val="00AA2ED2"/>
    <w:rsid w:val="00AA35A9"/>
    <w:rsid w:val="00AA35CA"/>
    <w:rsid w:val="00AB1583"/>
    <w:rsid w:val="00AB1ACD"/>
    <w:rsid w:val="00AB277F"/>
    <w:rsid w:val="00AB4099"/>
    <w:rsid w:val="00AB449A"/>
    <w:rsid w:val="00AC0A68"/>
    <w:rsid w:val="00AC4A0D"/>
    <w:rsid w:val="00AD0A80"/>
    <w:rsid w:val="00AD14F9"/>
    <w:rsid w:val="00AD35D6"/>
    <w:rsid w:val="00AD58C5"/>
    <w:rsid w:val="00AE17A8"/>
    <w:rsid w:val="00AE36C4"/>
    <w:rsid w:val="00AE472C"/>
    <w:rsid w:val="00AE5375"/>
    <w:rsid w:val="00AE6CF8"/>
    <w:rsid w:val="00AF4CAC"/>
    <w:rsid w:val="00AF753C"/>
    <w:rsid w:val="00AF7945"/>
    <w:rsid w:val="00B0149A"/>
    <w:rsid w:val="00B01A08"/>
    <w:rsid w:val="00B01D8F"/>
    <w:rsid w:val="00B03AEF"/>
    <w:rsid w:val="00B03E0D"/>
    <w:rsid w:val="00B04AA9"/>
    <w:rsid w:val="00B054F8"/>
    <w:rsid w:val="00B1168B"/>
    <w:rsid w:val="00B134F6"/>
    <w:rsid w:val="00B135D0"/>
    <w:rsid w:val="00B156B4"/>
    <w:rsid w:val="00B2219A"/>
    <w:rsid w:val="00B249C5"/>
    <w:rsid w:val="00B2703A"/>
    <w:rsid w:val="00B3581B"/>
    <w:rsid w:val="00B35F99"/>
    <w:rsid w:val="00B36B81"/>
    <w:rsid w:val="00B36FEE"/>
    <w:rsid w:val="00B3709D"/>
    <w:rsid w:val="00B37AFD"/>
    <w:rsid w:val="00B37C80"/>
    <w:rsid w:val="00B454E2"/>
    <w:rsid w:val="00B5092B"/>
    <w:rsid w:val="00B5194E"/>
    <w:rsid w:val="00B51AF5"/>
    <w:rsid w:val="00B5235F"/>
    <w:rsid w:val="00B52A69"/>
    <w:rsid w:val="00B531FC"/>
    <w:rsid w:val="00B5408C"/>
    <w:rsid w:val="00B55347"/>
    <w:rsid w:val="00B57E5E"/>
    <w:rsid w:val="00B61F37"/>
    <w:rsid w:val="00B625FA"/>
    <w:rsid w:val="00B655EB"/>
    <w:rsid w:val="00B67BDD"/>
    <w:rsid w:val="00B72014"/>
    <w:rsid w:val="00B73E43"/>
    <w:rsid w:val="00B7770F"/>
    <w:rsid w:val="00B77A89"/>
    <w:rsid w:val="00B77B27"/>
    <w:rsid w:val="00B8134E"/>
    <w:rsid w:val="00B81B55"/>
    <w:rsid w:val="00B82602"/>
    <w:rsid w:val="00B84613"/>
    <w:rsid w:val="00B87AF0"/>
    <w:rsid w:val="00B9037B"/>
    <w:rsid w:val="00B910BD"/>
    <w:rsid w:val="00B93639"/>
    <w:rsid w:val="00B93834"/>
    <w:rsid w:val="00B94ACA"/>
    <w:rsid w:val="00B96469"/>
    <w:rsid w:val="00BA0DA2"/>
    <w:rsid w:val="00BA1D6C"/>
    <w:rsid w:val="00BA2981"/>
    <w:rsid w:val="00BA2F4D"/>
    <w:rsid w:val="00BA3994"/>
    <w:rsid w:val="00BA42EE"/>
    <w:rsid w:val="00BA48F9"/>
    <w:rsid w:val="00BA6AA8"/>
    <w:rsid w:val="00BA72D3"/>
    <w:rsid w:val="00BB0DCA"/>
    <w:rsid w:val="00BB2666"/>
    <w:rsid w:val="00BB4C81"/>
    <w:rsid w:val="00BB6B80"/>
    <w:rsid w:val="00BC1A4C"/>
    <w:rsid w:val="00BC3773"/>
    <w:rsid w:val="00BC381A"/>
    <w:rsid w:val="00BC7E14"/>
    <w:rsid w:val="00BD0962"/>
    <w:rsid w:val="00BD13B7"/>
    <w:rsid w:val="00BD1EED"/>
    <w:rsid w:val="00BD2732"/>
    <w:rsid w:val="00BE044D"/>
    <w:rsid w:val="00BF0DA2"/>
    <w:rsid w:val="00BF109C"/>
    <w:rsid w:val="00BF22A5"/>
    <w:rsid w:val="00BF33E4"/>
    <w:rsid w:val="00BF34FA"/>
    <w:rsid w:val="00BF39B3"/>
    <w:rsid w:val="00BF6667"/>
    <w:rsid w:val="00BF6DA5"/>
    <w:rsid w:val="00C004B6"/>
    <w:rsid w:val="00C00CCF"/>
    <w:rsid w:val="00C0319B"/>
    <w:rsid w:val="00C04244"/>
    <w:rsid w:val="00C047A7"/>
    <w:rsid w:val="00C05DE5"/>
    <w:rsid w:val="00C11AF2"/>
    <w:rsid w:val="00C125AF"/>
    <w:rsid w:val="00C21341"/>
    <w:rsid w:val="00C21DA6"/>
    <w:rsid w:val="00C25087"/>
    <w:rsid w:val="00C25FA3"/>
    <w:rsid w:val="00C2607C"/>
    <w:rsid w:val="00C27F2C"/>
    <w:rsid w:val="00C33027"/>
    <w:rsid w:val="00C34F8F"/>
    <w:rsid w:val="00C36641"/>
    <w:rsid w:val="00C368AE"/>
    <w:rsid w:val="00C36A68"/>
    <w:rsid w:val="00C37667"/>
    <w:rsid w:val="00C411B4"/>
    <w:rsid w:val="00C41254"/>
    <w:rsid w:val="00C42CA2"/>
    <w:rsid w:val="00C435DB"/>
    <w:rsid w:val="00C44D73"/>
    <w:rsid w:val="00C455BF"/>
    <w:rsid w:val="00C4566C"/>
    <w:rsid w:val="00C508DE"/>
    <w:rsid w:val="00C50B42"/>
    <w:rsid w:val="00C516FF"/>
    <w:rsid w:val="00C52BFA"/>
    <w:rsid w:val="00C52C2F"/>
    <w:rsid w:val="00C53D1D"/>
    <w:rsid w:val="00C53F26"/>
    <w:rsid w:val="00C540BC"/>
    <w:rsid w:val="00C547F0"/>
    <w:rsid w:val="00C64CF1"/>
    <w:rsid w:val="00C64F7D"/>
    <w:rsid w:val="00C67309"/>
    <w:rsid w:val="00C67C9E"/>
    <w:rsid w:val="00C70E9A"/>
    <w:rsid w:val="00C722A2"/>
    <w:rsid w:val="00C73A7C"/>
    <w:rsid w:val="00C7614E"/>
    <w:rsid w:val="00C77BF1"/>
    <w:rsid w:val="00C80D60"/>
    <w:rsid w:val="00C80DDF"/>
    <w:rsid w:val="00C82FBD"/>
    <w:rsid w:val="00C84374"/>
    <w:rsid w:val="00C85267"/>
    <w:rsid w:val="00C8721B"/>
    <w:rsid w:val="00C9372C"/>
    <w:rsid w:val="00C9470E"/>
    <w:rsid w:val="00C95CEB"/>
    <w:rsid w:val="00C96997"/>
    <w:rsid w:val="00C97643"/>
    <w:rsid w:val="00CA1054"/>
    <w:rsid w:val="00CA63EB"/>
    <w:rsid w:val="00CA685D"/>
    <w:rsid w:val="00CA69F1"/>
    <w:rsid w:val="00CA7CB9"/>
    <w:rsid w:val="00CA7CF2"/>
    <w:rsid w:val="00CB6764"/>
    <w:rsid w:val="00CB6991"/>
    <w:rsid w:val="00CB758F"/>
    <w:rsid w:val="00CB7A1D"/>
    <w:rsid w:val="00CC3AE4"/>
    <w:rsid w:val="00CC6194"/>
    <w:rsid w:val="00CC6305"/>
    <w:rsid w:val="00CC78A5"/>
    <w:rsid w:val="00CD0516"/>
    <w:rsid w:val="00CD42F3"/>
    <w:rsid w:val="00CD6054"/>
    <w:rsid w:val="00CD69F4"/>
    <w:rsid w:val="00CD7351"/>
    <w:rsid w:val="00CD756B"/>
    <w:rsid w:val="00CE3946"/>
    <w:rsid w:val="00CE5279"/>
    <w:rsid w:val="00CE5AA6"/>
    <w:rsid w:val="00CE734F"/>
    <w:rsid w:val="00CF112E"/>
    <w:rsid w:val="00CF161D"/>
    <w:rsid w:val="00CF57E3"/>
    <w:rsid w:val="00CF5F4F"/>
    <w:rsid w:val="00CF64AE"/>
    <w:rsid w:val="00CF77E8"/>
    <w:rsid w:val="00D0132C"/>
    <w:rsid w:val="00D016AD"/>
    <w:rsid w:val="00D043D6"/>
    <w:rsid w:val="00D05EFC"/>
    <w:rsid w:val="00D06212"/>
    <w:rsid w:val="00D06CBB"/>
    <w:rsid w:val="00D07B15"/>
    <w:rsid w:val="00D12EA9"/>
    <w:rsid w:val="00D14CE6"/>
    <w:rsid w:val="00D1646A"/>
    <w:rsid w:val="00D212C8"/>
    <w:rsid w:val="00D218DC"/>
    <w:rsid w:val="00D21F55"/>
    <w:rsid w:val="00D22771"/>
    <w:rsid w:val="00D22FE0"/>
    <w:rsid w:val="00D24E56"/>
    <w:rsid w:val="00D24E88"/>
    <w:rsid w:val="00D31643"/>
    <w:rsid w:val="00D31AEB"/>
    <w:rsid w:val="00D32084"/>
    <w:rsid w:val="00D324D9"/>
    <w:rsid w:val="00D32ECD"/>
    <w:rsid w:val="00D361E4"/>
    <w:rsid w:val="00D378B2"/>
    <w:rsid w:val="00D3796C"/>
    <w:rsid w:val="00D42668"/>
    <w:rsid w:val="00D42A8F"/>
    <w:rsid w:val="00D4303B"/>
    <w:rsid w:val="00D439F6"/>
    <w:rsid w:val="00D459C6"/>
    <w:rsid w:val="00D46EC5"/>
    <w:rsid w:val="00D47556"/>
    <w:rsid w:val="00D50729"/>
    <w:rsid w:val="00D50C19"/>
    <w:rsid w:val="00D50DB4"/>
    <w:rsid w:val="00D52204"/>
    <w:rsid w:val="00D52762"/>
    <w:rsid w:val="00D5379E"/>
    <w:rsid w:val="00D53EA6"/>
    <w:rsid w:val="00D548D3"/>
    <w:rsid w:val="00D57859"/>
    <w:rsid w:val="00D609D4"/>
    <w:rsid w:val="00D61CA5"/>
    <w:rsid w:val="00D62643"/>
    <w:rsid w:val="00D633BE"/>
    <w:rsid w:val="00D64C0F"/>
    <w:rsid w:val="00D72EFE"/>
    <w:rsid w:val="00D7563D"/>
    <w:rsid w:val="00D76227"/>
    <w:rsid w:val="00D77DF1"/>
    <w:rsid w:val="00D80ED8"/>
    <w:rsid w:val="00D814CF"/>
    <w:rsid w:val="00D861C9"/>
    <w:rsid w:val="00D86AFF"/>
    <w:rsid w:val="00D928AB"/>
    <w:rsid w:val="00D93C2B"/>
    <w:rsid w:val="00D95A44"/>
    <w:rsid w:val="00D95D16"/>
    <w:rsid w:val="00D97C76"/>
    <w:rsid w:val="00DA02C2"/>
    <w:rsid w:val="00DA64A4"/>
    <w:rsid w:val="00DB02B4"/>
    <w:rsid w:val="00DB538D"/>
    <w:rsid w:val="00DC275C"/>
    <w:rsid w:val="00DC2C9E"/>
    <w:rsid w:val="00DC3735"/>
    <w:rsid w:val="00DC4B0D"/>
    <w:rsid w:val="00DC57AB"/>
    <w:rsid w:val="00DC7577"/>
    <w:rsid w:val="00DC7FE1"/>
    <w:rsid w:val="00DD084D"/>
    <w:rsid w:val="00DD0B88"/>
    <w:rsid w:val="00DD1228"/>
    <w:rsid w:val="00DD29FE"/>
    <w:rsid w:val="00DD3F3F"/>
    <w:rsid w:val="00DD5572"/>
    <w:rsid w:val="00DE0BCC"/>
    <w:rsid w:val="00DE2086"/>
    <w:rsid w:val="00DE3530"/>
    <w:rsid w:val="00DE49FC"/>
    <w:rsid w:val="00DE5D80"/>
    <w:rsid w:val="00DF3CB8"/>
    <w:rsid w:val="00DF4C0C"/>
    <w:rsid w:val="00DF58CD"/>
    <w:rsid w:val="00DF65DE"/>
    <w:rsid w:val="00DF66F9"/>
    <w:rsid w:val="00E00906"/>
    <w:rsid w:val="00E00B62"/>
    <w:rsid w:val="00E019A5"/>
    <w:rsid w:val="00E02EC8"/>
    <w:rsid w:val="00E037F5"/>
    <w:rsid w:val="00E04ECB"/>
    <w:rsid w:val="00E05A09"/>
    <w:rsid w:val="00E06CA1"/>
    <w:rsid w:val="00E12F7E"/>
    <w:rsid w:val="00E13CD2"/>
    <w:rsid w:val="00E15B76"/>
    <w:rsid w:val="00E172B8"/>
    <w:rsid w:val="00E17FB4"/>
    <w:rsid w:val="00E20B72"/>
    <w:rsid w:val="00E20B75"/>
    <w:rsid w:val="00E214F2"/>
    <w:rsid w:val="00E23575"/>
    <w:rsid w:val="00E2371E"/>
    <w:rsid w:val="00E24BD7"/>
    <w:rsid w:val="00E26523"/>
    <w:rsid w:val="00E26809"/>
    <w:rsid w:val="00E31D91"/>
    <w:rsid w:val="00E330B3"/>
    <w:rsid w:val="00E335DC"/>
    <w:rsid w:val="00E33A49"/>
    <w:rsid w:val="00E33A59"/>
    <w:rsid w:val="00E3412D"/>
    <w:rsid w:val="00E36B66"/>
    <w:rsid w:val="00E474E8"/>
    <w:rsid w:val="00E4751A"/>
    <w:rsid w:val="00E5121F"/>
    <w:rsid w:val="00E51D2B"/>
    <w:rsid w:val="00E57322"/>
    <w:rsid w:val="00E579E1"/>
    <w:rsid w:val="00E61069"/>
    <w:rsid w:val="00E628CB"/>
    <w:rsid w:val="00E62AD9"/>
    <w:rsid w:val="00E638C8"/>
    <w:rsid w:val="00E6710E"/>
    <w:rsid w:val="00E70B33"/>
    <w:rsid w:val="00E71C7C"/>
    <w:rsid w:val="00E7509B"/>
    <w:rsid w:val="00E761A3"/>
    <w:rsid w:val="00E76DAB"/>
    <w:rsid w:val="00E821D4"/>
    <w:rsid w:val="00E8345A"/>
    <w:rsid w:val="00E83E27"/>
    <w:rsid w:val="00E85188"/>
    <w:rsid w:val="00E8573D"/>
    <w:rsid w:val="00E86590"/>
    <w:rsid w:val="00E907FF"/>
    <w:rsid w:val="00E91EE6"/>
    <w:rsid w:val="00E92EF6"/>
    <w:rsid w:val="00E93CB7"/>
    <w:rsid w:val="00E94739"/>
    <w:rsid w:val="00E95E4B"/>
    <w:rsid w:val="00E97734"/>
    <w:rsid w:val="00EA15B3"/>
    <w:rsid w:val="00EA382E"/>
    <w:rsid w:val="00EA42D1"/>
    <w:rsid w:val="00EA42EF"/>
    <w:rsid w:val="00EA7689"/>
    <w:rsid w:val="00EB2DD1"/>
    <w:rsid w:val="00EB35E0"/>
    <w:rsid w:val="00EB6B37"/>
    <w:rsid w:val="00EB6D55"/>
    <w:rsid w:val="00EC0670"/>
    <w:rsid w:val="00EC092E"/>
    <w:rsid w:val="00EC13E2"/>
    <w:rsid w:val="00EC186E"/>
    <w:rsid w:val="00EC29FE"/>
    <w:rsid w:val="00EC3C70"/>
    <w:rsid w:val="00ED3A3D"/>
    <w:rsid w:val="00ED3D17"/>
    <w:rsid w:val="00ED538A"/>
    <w:rsid w:val="00ED6FBC"/>
    <w:rsid w:val="00EE0DD4"/>
    <w:rsid w:val="00EE16CC"/>
    <w:rsid w:val="00EE2F16"/>
    <w:rsid w:val="00EE3861"/>
    <w:rsid w:val="00EE575D"/>
    <w:rsid w:val="00EE5D39"/>
    <w:rsid w:val="00EE6580"/>
    <w:rsid w:val="00EE67F2"/>
    <w:rsid w:val="00EF02F5"/>
    <w:rsid w:val="00EF08C5"/>
    <w:rsid w:val="00EF112D"/>
    <w:rsid w:val="00EF2E73"/>
    <w:rsid w:val="00EF3554"/>
    <w:rsid w:val="00EF5918"/>
    <w:rsid w:val="00EF7683"/>
    <w:rsid w:val="00EF7A2D"/>
    <w:rsid w:val="00F047AF"/>
    <w:rsid w:val="00F04F8D"/>
    <w:rsid w:val="00F06312"/>
    <w:rsid w:val="00F0704A"/>
    <w:rsid w:val="00F10621"/>
    <w:rsid w:val="00F10AD0"/>
    <w:rsid w:val="00F10B35"/>
    <w:rsid w:val="00F114BB"/>
    <w:rsid w:val="00F116CC"/>
    <w:rsid w:val="00F12475"/>
    <w:rsid w:val="00F12BD1"/>
    <w:rsid w:val="00F14EC4"/>
    <w:rsid w:val="00F15327"/>
    <w:rsid w:val="00F168CF"/>
    <w:rsid w:val="00F22425"/>
    <w:rsid w:val="00F2555C"/>
    <w:rsid w:val="00F319F5"/>
    <w:rsid w:val="00F31DCE"/>
    <w:rsid w:val="00F31DF3"/>
    <w:rsid w:val="00F3209D"/>
    <w:rsid w:val="00F33AE5"/>
    <w:rsid w:val="00F3597D"/>
    <w:rsid w:val="00F36642"/>
    <w:rsid w:val="00F40A0A"/>
    <w:rsid w:val="00F4242E"/>
    <w:rsid w:val="00F43532"/>
    <w:rsid w:val="00F4376D"/>
    <w:rsid w:val="00F45399"/>
    <w:rsid w:val="00F465EA"/>
    <w:rsid w:val="00F5125B"/>
    <w:rsid w:val="00F54E7B"/>
    <w:rsid w:val="00F55A88"/>
    <w:rsid w:val="00F71930"/>
    <w:rsid w:val="00F72075"/>
    <w:rsid w:val="00F733B8"/>
    <w:rsid w:val="00F74005"/>
    <w:rsid w:val="00F7469A"/>
    <w:rsid w:val="00F74957"/>
    <w:rsid w:val="00F75AE5"/>
    <w:rsid w:val="00F76884"/>
    <w:rsid w:val="00F80E87"/>
    <w:rsid w:val="00F83CAD"/>
    <w:rsid w:val="00F83D24"/>
    <w:rsid w:val="00F83DD9"/>
    <w:rsid w:val="00F83F40"/>
    <w:rsid w:val="00F86917"/>
    <w:rsid w:val="00F91361"/>
    <w:rsid w:val="00F94DBB"/>
    <w:rsid w:val="00F95707"/>
    <w:rsid w:val="00F95EAF"/>
    <w:rsid w:val="00FA117A"/>
    <w:rsid w:val="00FA16CF"/>
    <w:rsid w:val="00FA21BC"/>
    <w:rsid w:val="00FA6EA8"/>
    <w:rsid w:val="00FB1F57"/>
    <w:rsid w:val="00FB386A"/>
    <w:rsid w:val="00FB65F9"/>
    <w:rsid w:val="00FC0786"/>
    <w:rsid w:val="00FC0DA6"/>
    <w:rsid w:val="00FC49EF"/>
    <w:rsid w:val="00FC4F3E"/>
    <w:rsid w:val="00FC597D"/>
    <w:rsid w:val="00FC5F1E"/>
    <w:rsid w:val="00FD03F1"/>
    <w:rsid w:val="00FD0DF1"/>
    <w:rsid w:val="00FD3041"/>
    <w:rsid w:val="00FD7A6C"/>
    <w:rsid w:val="00FE337A"/>
    <w:rsid w:val="00FE36E2"/>
    <w:rsid w:val="00FF11AD"/>
    <w:rsid w:val="00FF1B45"/>
    <w:rsid w:val="00FF2302"/>
    <w:rsid w:val="00FF2971"/>
    <w:rsid w:val="00FF34D4"/>
    <w:rsid w:val="00FF3663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39419"/>
  <w15:chartTrackingRefBased/>
  <w15:docId w15:val="{4F87CBA8-0877-4C25-9747-F9D3CAB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99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A2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152C09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167795"/>
    <w:rPr>
      <w:sz w:val="22"/>
      <w:szCs w:val="22"/>
      <w:lang w:eastAsia="en-US"/>
    </w:rPr>
  </w:style>
  <w:style w:type="character" w:styleId="Pogrubienie">
    <w:name w:val="Strong"/>
    <w:uiPriority w:val="22"/>
    <w:qFormat/>
    <w:locked/>
    <w:rsid w:val="00567478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BA2F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ui-provider">
    <w:name w:val="ui-provider"/>
    <w:basedOn w:val="Domylnaczcionkaakapitu"/>
    <w:rsid w:val="005C6D3C"/>
  </w:style>
  <w:style w:type="character" w:styleId="Nierozpoznanawzmianka">
    <w:name w:val="Unresolved Mention"/>
    <w:basedOn w:val="Domylnaczcionkaakapitu"/>
    <w:uiPriority w:val="99"/>
    <w:semiHidden/>
    <w:unhideWhenUsed/>
    <w:rsid w:val="00A91FD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9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54D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customStyle="1" w:styleId="paragraph">
    <w:name w:val="paragraph"/>
    <w:basedOn w:val="Normalny"/>
    <w:rsid w:val="00B52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52A69"/>
  </w:style>
  <w:style w:type="character" w:customStyle="1" w:styleId="eop">
    <w:name w:val="eop"/>
    <w:basedOn w:val="Domylnaczcionkaakapitu"/>
    <w:rsid w:val="00B5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0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malowiecka3@cyfra.gov.pl" TargetMode="External"/><Relationship Id="rId13" Type="http://schemas.openxmlformats.org/officeDocument/2006/relationships/hyperlink" Target="https://www.nccert.pl/uslug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cyfryzacja/podmioty-podlegle-nadzorowane-i-objete-nadzorem-wlascicielskim-ministr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z.gov.pl/pz/confirmationPointAddresses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c.bip.gov.pl/wezel-krajowy-zintegrowani-dostawcy-srodka-identyfikacji/rejestr-dostawcow-srodka-identyfikacji-elektronicznej-przylaczonych-do-wezla-krajoweg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.bip.gov.pl/wezel-krajowy-zintegrowani-dostawcy-srodka-identyfikacji/rejestr-dostawcow-srodka-identyfikacji-elektronicznej-przylaczonych-do-wezla-krajowego.html" TargetMode="External"/><Relationship Id="rId14" Type="http://schemas.openxmlformats.org/officeDocument/2006/relationships/hyperlink" Target="https://mc.bip.gov.pl/wezel-krajowy-zintegrowani-dostawcy-uslug/wezel-krajowy-zintegrowani-dostawcy-uslu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EFF7-AA29-4763-B941-F4CE03FF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3482</Words>
  <Characters>20895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Iwona</dc:creator>
  <cp:keywords/>
  <cp:lastModifiedBy>Witkowska-Krzymowska Magdalena</cp:lastModifiedBy>
  <cp:revision>4</cp:revision>
  <dcterms:created xsi:type="dcterms:W3CDTF">2026-05-27T14:20:00Z</dcterms:created>
  <dcterms:modified xsi:type="dcterms:W3CDTF">2026-06-01T07:12:00Z</dcterms:modified>
</cp:coreProperties>
</file>