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974" w:rsidRPr="00D67974" w:rsidRDefault="00D67974" w:rsidP="00D679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7974">
        <w:rPr>
          <w:rFonts w:ascii="Times New Roman" w:eastAsia="Times New Roman" w:hAnsi="Times New Roman" w:cs="Times New Roman"/>
          <w:sz w:val="24"/>
          <w:szCs w:val="24"/>
          <w:lang w:eastAsia="pl-PL"/>
        </w:rPr>
        <w:t>Bilans oraz Rachunek zysków i strat dostępny jest na wniosek</w:t>
      </w:r>
    </w:p>
    <w:p w:rsidR="00B03DA7" w:rsidRDefault="00B03DA7">
      <w:bookmarkStart w:id="0" w:name="_GoBack"/>
      <w:bookmarkEnd w:id="0"/>
    </w:p>
    <w:sectPr w:rsidR="00B03D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974"/>
    <w:rsid w:val="00B03DA7"/>
    <w:rsid w:val="00D6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7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4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Cisna</dc:creator>
  <cp:lastModifiedBy>Nadleśnictwo Cisna</cp:lastModifiedBy>
  <cp:revision>1</cp:revision>
  <dcterms:created xsi:type="dcterms:W3CDTF">2021-08-21T05:17:00Z</dcterms:created>
  <dcterms:modified xsi:type="dcterms:W3CDTF">2021-08-21T05:18:00Z</dcterms:modified>
</cp:coreProperties>
</file>