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243B8" w14:textId="0138E621" w:rsidR="00D36B5F" w:rsidRPr="00D36B5F" w:rsidRDefault="00D36B5F" w:rsidP="00D36B5F">
      <w:pPr>
        <w:rPr>
          <w:sz w:val="22"/>
          <w:szCs w:val="22"/>
        </w:rPr>
      </w:pPr>
      <w:r w:rsidRPr="00D36B5F">
        <w:rPr>
          <w:sz w:val="22"/>
          <w:szCs w:val="22"/>
        </w:rPr>
        <w:t>Załącznik</w:t>
      </w:r>
      <w:r w:rsidR="003B1A48">
        <w:rPr>
          <w:sz w:val="22"/>
          <w:szCs w:val="22"/>
        </w:rPr>
        <w:t xml:space="preserve"> </w:t>
      </w:r>
      <w:r w:rsidRPr="00D36B5F">
        <w:rPr>
          <w:sz w:val="22"/>
          <w:szCs w:val="22"/>
        </w:rPr>
        <w:t>B.</w:t>
      </w:r>
      <w:r>
        <w:rPr>
          <w:sz w:val="22"/>
          <w:szCs w:val="22"/>
        </w:rPr>
        <w:t>5</w:t>
      </w:r>
      <w:r w:rsidRPr="00D36B5F">
        <w:rPr>
          <w:sz w:val="22"/>
          <w:szCs w:val="22"/>
        </w:rPr>
        <w:t>.</w:t>
      </w:r>
    </w:p>
    <w:p w14:paraId="14ACA484" w14:textId="77777777" w:rsidR="008F4C9F" w:rsidRPr="00D36B5F" w:rsidRDefault="008F4C9F" w:rsidP="00DA4E81">
      <w:pPr>
        <w:autoSpaceDE w:val="0"/>
        <w:autoSpaceDN w:val="0"/>
        <w:adjustRightInd w:val="0"/>
        <w:rPr>
          <w:sz w:val="22"/>
          <w:szCs w:val="22"/>
        </w:rPr>
      </w:pPr>
    </w:p>
    <w:p w14:paraId="3E30180C" w14:textId="1ED8FEA5" w:rsidR="00743C43" w:rsidRPr="00495260" w:rsidRDefault="006E7AE1" w:rsidP="00317D60">
      <w:pPr>
        <w:autoSpaceDE w:val="0"/>
        <w:autoSpaceDN w:val="0"/>
        <w:adjustRightInd w:val="0"/>
        <w:spacing w:after="240"/>
        <w:rPr>
          <w:sz w:val="40"/>
        </w:rPr>
      </w:pPr>
      <w:r w:rsidRPr="00495260">
        <w:rPr>
          <w:b/>
          <w:sz w:val="28"/>
          <w:szCs w:val="18"/>
        </w:rPr>
        <w:t>LECZENIE</w:t>
      </w:r>
      <w:r w:rsidR="003B1A48">
        <w:rPr>
          <w:b/>
          <w:sz w:val="28"/>
          <w:szCs w:val="18"/>
        </w:rPr>
        <w:t xml:space="preserve"> </w:t>
      </w:r>
      <w:r w:rsidRPr="00495260">
        <w:rPr>
          <w:b/>
          <w:sz w:val="28"/>
          <w:szCs w:val="18"/>
        </w:rPr>
        <w:t>RAKA</w:t>
      </w:r>
      <w:r w:rsidR="003B1A48">
        <w:rPr>
          <w:b/>
          <w:sz w:val="28"/>
          <w:szCs w:val="18"/>
        </w:rPr>
        <w:t xml:space="preserve"> </w:t>
      </w:r>
      <w:r w:rsidRPr="00495260">
        <w:rPr>
          <w:b/>
          <w:sz w:val="28"/>
          <w:szCs w:val="18"/>
        </w:rPr>
        <w:t>WĄTROBO</w:t>
      </w:r>
      <w:r w:rsidR="008F4C9F">
        <w:rPr>
          <w:b/>
          <w:sz w:val="28"/>
          <w:szCs w:val="18"/>
        </w:rPr>
        <w:t>WO</w:t>
      </w:r>
      <w:r w:rsidRPr="00495260">
        <w:rPr>
          <w:b/>
          <w:sz w:val="28"/>
          <w:szCs w:val="18"/>
        </w:rPr>
        <w:t>KOMÓRKOWEGO</w:t>
      </w:r>
      <w:r w:rsidR="003B1A48">
        <w:rPr>
          <w:b/>
          <w:sz w:val="28"/>
          <w:szCs w:val="18"/>
        </w:rPr>
        <w:t xml:space="preserve"> </w:t>
      </w:r>
      <w:r w:rsidRPr="00495260">
        <w:rPr>
          <w:b/>
          <w:sz w:val="28"/>
          <w:szCs w:val="18"/>
        </w:rPr>
        <w:t>(ICD-10</w:t>
      </w:r>
      <w:r w:rsidR="003B1A48">
        <w:rPr>
          <w:b/>
          <w:sz w:val="28"/>
          <w:szCs w:val="18"/>
        </w:rPr>
        <w:t xml:space="preserve"> </w:t>
      </w:r>
      <w:r w:rsidR="00D36B5F">
        <w:rPr>
          <w:b/>
          <w:sz w:val="28"/>
          <w:szCs w:val="18"/>
        </w:rPr>
        <w:t>C</w:t>
      </w:r>
      <w:r w:rsidR="003B1A48">
        <w:rPr>
          <w:b/>
          <w:sz w:val="28"/>
          <w:szCs w:val="18"/>
        </w:rPr>
        <w:t xml:space="preserve"> </w:t>
      </w:r>
      <w:r w:rsidR="004B0AE2">
        <w:rPr>
          <w:b/>
          <w:sz w:val="28"/>
          <w:szCs w:val="18"/>
        </w:rPr>
        <w:t>22.0</w:t>
      </w:r>
      <w:r w:rsidRPr="00495260">
        <w:rPr>
          <w:b/>
          <w:sz w:val="28"/>
          <w:szCs w:val="18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  <w:gridCol w:w="4395"/>
        <w:gridCol w:w="5469"/>
      </w:tblGrid>
      <w:tr w:rsidR="004B0AE2" w:rsidRPr="006E7AE1" w14:paraId="5B1AE9F7" w14:textId="77777777" w:rsidTr="00303B4B">
        <w:trPr>
          <w:trHeight w:val="567"/>
        </w:trPr>
        <w:tc>
          <w:tcPr>
            <w:tcW w:w="5000" w:type="pct"/>
            <w:gridSpan w:val="3"/>
            <w:vAlign w:val="center"/>
          </w:tcPr>
          <w:p w14:paraId="561768C3" w14:textId="0FAFA437" w:rsidR="004B0AE2" w:rsidRPr="006E7AE1" w:rsidRDefault="004B0AE2" w:rsidP="00303B4B">
            <w:pPr>
              <w:jc w:val="center"/>
              <w:rPr>
                <w:b/>
                <w:sz w:val="20"/>
                <w:szCs w:val="20"/>
              </w:rPr>
            </w:pPr>
            <w:r w:rsidRPr="006E7AE1">
              <w:rPr>
                <w:b/>
                <w:sz w:val="20"/>
                <w:szCs w:val="20"/>
              </w:rPr>
              <w:t>ZAKRES</w:t>
            </w:r>
            <w:r w:rsidR="003B1A48">
              <w:rPr>
                <w:b/>
                <w:sz w:val="20"/>
                <w:szCs w:val="20"/>
              </w:rPr>
              <w:t xml:space="preserve"> </w:t>
            </w:r>
            <w:r w:rsidRPr="006E7AE1">
              <w:rPr>
                <w:b/>
                <w:sz w:val="20"/>
                <w:szCs w:val="20"/>
              </w:rPr>
              <w:t>ŚWIADCZENIA</w:t>
            </w:r>
            <w:r w:rsidR="003B1A48">
              <w:rPr>
                <w:b/>
                <w:sz w:val="20"/>
                <w:szCs w:val="20"/>
              </w:rPr>
              <w:t xml:space="preserve"> </w:t>
            </w:r>
            <w:r w:rsidRPr="006E7AE1">
              <w:rPr>
                <w:b/>
                <w:sz w:val="20"/>
                <w:szCs w:val="20"/>
              </w:rPr>
              <w:t>GWARANTOWANEGO</w:t>
            </w:r>
          </w:p>
        </w:tc>
      </w:tr>
      <w:tr w:rsidR="004B0AE2" w:rsidRPr="006E7AE1" w14:paraId="14287808" w14:textId="77777777" w:rsidTr="003B1A48">
        <w:trPr>
          <w:trHeight w:val="567"/>
        </w:trPr>
        <w:tc>
          <w:tcPr>
            <w:tcW w:w="1795" w:type="pct"/>
            <w:vAlign w:val="center"/>
          </w:tcPr>
          <w:p w14:paraId="328E7C80" w14:textId="77777777" w:rsidR="004B0AE2" w:rsidRPr="006E7AE1" w:rsidRDefault="004B0AE2" w:rsidP="00303B4B">
            <w:pPr>
              <w:jc w:val="center"/>
              <w:rPr>
                <w:b/>
                <w:sz w:val="20"/>
                <w:szCs w:val="20"/>
              </w:rPr>
            </w:pPr>
            <w:r w:rsidRPr="006E7AE1">
              <w:rPr>
                <w:b/>
                <w:sz w:val="20"/>
                <w:szCs w:val="20"/>
              </w:rPr>
              <w:t>ŚWIADCZENIOBIORCY</w:t>
            </w:r>
          </w:p>
        </w:tc>
        <w:tc>
          <w:tcPr>
            <w:tcW w:w="1428" w:type="pct"/>
            <w:vAlign w:val="center"/>
          </w:tcPr>
          <w:p w14:paraId="1F4B1730" w14:textId="37FC9CCD" w:rsidR="004B0AE2" w:rsidRPr="006E7AE1" w:rsidRDefault="004B0AE2" w:rsidP="00303B4B">
            <w:pPr>
              <w:jc w:val="center"/>
              <w:rPr>
                <w:b/>
                <w:sz w:val="20"/>
                <w:szCs w:val="20"/>
              </w:rPr>
            </w:pPr>
            <w:r w:rsidRPr="006E7AE1">
              <w:rPr>
                <w:b/>
                <w:sz w:val="20"/>
                <w:szCs w:val="20"/>
              </w:rPr>
              <w:t>SCHEMAT</w:t>
            </w:r>
            <w:r w:rsidR="003B1A48">
              <w:rPr>
                <w:b/>
                <w:sz w:val="20"/>
                <w:szCs w:val="20"/>
              </w:rPr>
              <w:t xml:space="preserve"> </w:t>
            </w:r>
            <w:r w:rsidRPr="006E7AE1">
              <w:rPr>
                <w:b/>
                <w:sz w:val="20"/>
                <w:szCs w:val="20"/>
              </w:rPr>
              <w:t>DAWKOWANIA</w:t>
            </w:r>
            <w:r w:rsidR="003B1A48">
              <w:rPr>
                <w:b/>
                <w:sz w:val="20"/>
                <w:szCs w:val="20"/>
              </w:rPr>
              <w:t xml:space="preserve"> </w:t>
            </w:r>
            <w:r w:rsidR="003B1A48">
              <w:rPr>
                <w:b/>
                <w:sz w:val="20"/>
                <w:szCs w:val="20"/>
              </w:rPr>
              <w:br/>
            </w:r>
            <w:r w:rsidRPr="006E7AE1">
              <w:rPr>
                <w:b/>
                <w:sz w:val="20"/>
                <w:szCs w:val="20"/>
              </w:rPr>
              <w:t>LEKÓW</w:t>
            </w:r>
            <w:r w:rsidR="003B1A48">
              <w:rPr>
                <w:b/>
                <w:sz w:val="20"/>
                <w:szCs w:val="20"/>
              </w:rPr>
              <w:t xml:space="preserve"> </w:t>
            </w:r>
            <w:r w:rsidRPr="006E7AE1">
              <w:rPr>
                <w:b/>
                <w:sz w:val="20"/>
                <w:szCs w:val="20"/>
              </w:rPr>
              <w:t>W</w:t>
            </w:r>
            <w:r w:rsidR="003B1A48">
              <w:rPr>
                <w:b/>
                <w:sz w:val="20"/>
                <w:szCs w:val="20"/>
              </w:rPr>
              <w:t xml:space="preserve"> </w:t>
            </w:r>
            <w:r w:rsidRPr="006E7AE1">
              <w:rPr>
                <w:b/>
                <w:sz w:val="20"/>
                <w:szCs w:val="20"/>
              </w:rPr>
              <w:t>PROGRAMIE</w:t>
            </w:r>
          </w:p>
        </w:tc>
        <w:tc>
          <w:tcPr>
            <w:tcW w:w="1777" w:type="pct"/>
            <w:tcBorders>
              <w:right w:val="single" w:sz="4" w:space="0" w:color="auto"/>
            </w:tcBorders>
            <w:vAlign w:val="center"/>
          </w:tcPr>
          <w:p w14:paraId="1EC55A5E" w14:textId="7857A04A" w:rsidR="004B0AE2" w:rsidRPr="006E7AE1" w:rsidRDefault="004B0AE2" w:rsidP="00303B4B">
            <w:pPr>
              <w:jc w:val="center"/>
              <w:rPr>
                <w:b/>
                <w:sz w:val="20"/>
                <w:szCs w:val="20"/>
              </w:rPr>
            </w:pPr>
            <w:r w:rsidRPr="006E7AE1">
              <w:rPr>
                <w:b/>
                <w:sz w:val="20"/>
                <w:szCs w:val="20"/>
              </w:rPr>
              <w:t>BADANIA</w:t>
            </w:r>
            <w:r w:rsidR="003B1A48">
              <w:rPr>
                <w:b/>
                <w:sz w:val="20"/>
                <w:szCs w:val="20"/>
              </w:rPr>
              <w:t xml:space="preserve"> </w:t>
            </w:r>
            <w:r w:rsidRPr="006E7AE1">
              <w:rPr>
                <w:b/>
                <w:sz w:val="20"/>
                <w:szCs w:val="20"/>
              </w:rPr>
              <w:t>DIAGNOSTYCZNE</w:t>
            </w:r>
            <w:r w:rsidR="003B1A48">
              <w:rPr>
                <w:b/>
                <w:sz w:val="20"/>
                <w:szCs w:val="20"/>
              </w:rPr>
              <w:t xml:space="preserve"> </w:t>
            </w:r>
            <w:r w:rsidRPr="006E7AE1">
              <w:rPr>
                <w:b/>
                <w:sz w:val="20"/>
                <w:szCs w:val="20"/>
              </w:rPr>
              <w:t>WYKONYWANE</w:t>
            </w:r>
            <w:r w:rsidR="003B1A48">
              <w:rPr>
                <w:b/>
                <w:sz w:val="20"/>
                <w:szCs w:val="20"/>
              </w:rPr>
              <w:t xml:space="preserve"> </w:t>
            </w:r>
            <w:r w:rsidR="003B1A48">
              <w:rPr>
                <w:b/>
                <w:sz w:val="20"/>
                <w:szCs w:val="20"/>
              </w:rPr>
              <w:br/>
            </w:r>
            <w:r w:rsidRPr="006E7AE1">
              <w:rPr>
                <w:b/>
                <w:sz w:val="20"/>
                <w:szCs w:val="20"/>
              </w:rPr>
              <w:t>W</w:t>
            </w:r>
            <w:r w:rsidR="003B1A48">
              <w:rPr>
                <w:b/>
                <w:sz w:val="20"/>
                <w:szCs w:val="20"/>
              </w:rPr>
              <w:t xml:space="preserve"> </w:t>
            </w:r>
            <w:r w:rsidRPr="006E7AE1">
              <w:rPr>
                <w:b/>
                <w:sz w:val="20"/>
                <w:szCs w:val="20"/>
              </w:rPr>
              <w:t>RAMACH</w:t>
            </w:r>
            <w:r w:rsidR="003B1A48">
              <w:rPr>
                <w:b/>
                <w:sz w:val="20"/>
                <w:szCs w:val="20"/>
              </w:rPr>
              <w:t xml:space="preserve"> </w:t>
            </w:r>
            <w:r w:rsidRPr="006E7AE1">
              <w:rPr>
                <w:b/>
                <w:sz w:val="20"/>
                <w:szCs w:val="20"/>
              </w:rPr>
              <w:t>PROGRAMU</w:t>
            </w:r>
          </w:p>
        </w:tc>
      </w:tr>
      <w:tr w:rsidR="004B0AE2" w:rsidRPr="006E7AE1" w14:paraId="691A818F" w14:textId="77777777" w:rsidTr="003B1A48">
        <w:tc>
          <w:tcPr>
            <w:tcW w:w="1795" w:type="pct"/>
          </w:tcPr>
          <w:p w14:paraId="6F918100" w14:textId="157A497B" w:rsidR="004B0AE2" w:rsidRPr="00317D60" w:rsidRDefault="004B0AE2" w:rsidP="00317D60">
            <w:pPr>
              <w:pStyle w:val="Akapitzlist"/>
              <w:numPr>
                <w:ilvl w:val="0"/>
                <w:numId w:val="17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317D60">
              <w:rPr>
                <w:rFonts w:ascii="Times New Roman" w:hAnsi="Times New Roman"/>
                <w:b/>
              </w:rPr>
              <w:t>Kryteria</w:t>
            </w:r>
            <w:r w:rsidR="003B1A48">
              <w:rPr>
                <w:rFonts w:ascii="Times New Roman" w:hAnsi="Times New Roman"/>
                <w:b/>
              </w:rPr>
              <w:t xml:space="preserve"> </w:t>
            </w:r>
            <w:r w:rsidRPr="00317D60">
              <w:rPr>
                <w:rFonts w:ascii="Times New Roman" w:hAnsi="Times New Roman"/>
                <w:b/>
              </w:rPr>
              <w:t>kwalifikacji</w:t>
            </w:r>
          </w:p>
          <w:p w14:paraId="3C0EE2BF" w14:textId="38F64CB6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histologiczne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cytologiczne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rozpoznanie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raka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wątrobo</w:t>
            </w:r>
            <w:r w:rsidR="00DC525F" w:rsidRPr="00317D60">
              <w:rPr>
                <w:sz w:val="20"/>
                <w:szCs w:val="20"/>
              </w:rPr>
              <w:t>wo</w:t>
            </w:r>
            <w:r w:rsidRPr="00317D60">
              <w:rPr>
                <w:sz w:val="20"/>
                <w:szCs w:val="20"/>
              </w:rPr>
              <w:t>komórkowego</w:t>
            </w:r>
            <w:proofErr w:type="spellEnd"/>
            <w:r w:rsidR="00A31EE3" w:rsidRPr="00317D60">
              <w:rPr>
                <w:b/>
                <w:sz w:val="20"/>
                <w:szCs w:val="20"/>
              </w:rPr>
              <w:t>.</w:t>
            </w:r>
            <w:r w:rsidR="003B1A48">
              <w:rPr>
                <w:b/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przypadku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pacjentów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z</w:t>
            </w:r>
            <w:r w:rsidR="003B1A48">
              <w:rPr>
                <w:sz w:val="20"/>
                <w:szCs w:val="20"/>
              </w:rPr>
              <w:t xml:space="preserve"> </w:t>
            </w:r>
            <w:r w:rsidR="00156CEF" w:rsidRPr="00317D60">
              <w:rPr>
                <w:sz w:val="20"/>
                <w:szCs w:val="20"/>
              </w:rPr>
              <w:t>marskością</w:t>
            </w:r>
            <w:r w:rsidR="003B1A48">
              <w:rPr>
                <w:sz w:val="20"/>
                <w:szCs w:val="20"/>
              </w:rPr>
              <w:t xml:space="preserve"> </w:t>
            </w:r>
            <w:r w:rsidR="00156CEF" w:rsidRPr="00317D60">
              <w:rPr>
                <w:sz w:val="20"/>
                <w:szCs w:val="20"/>
              </w:rPr>
              <w:t>wątroby</w:t>
            </w:r>
            <w:r w:rsidR="003B1A48">
              <w:rPr>
                <w:sz w:val="20"/>
                <w:szCs w:val="20"/>
              </w:rPr>
              <w:t xml:space="preserve"> </w:t>
            </w:r>
            <w:r w:rsidR="00156CEF"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="00156CEF" w:rsidRPr="00317D60">
              <w:rPr>
                <w:sz w:val="20"/>
                <w:szCs w:val="20"/>
              </w:rPr>
              <w:t>wywiadzie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ze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zmianami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o</w:t>
            </w:r>
            <w:r w:rsidR="003B1A48">
              <w:rPr>
                <w:sz w:val="20"/>
                <w:szCs w:val="20"/>
              </w:rPr>
              <w:t xml:space="preserve"> </w:t>
            </w:r>
            <w:r w:rsidR="00156CEF" w:rsidRPr="00317D60">
              <w:rPr>
                <w:sz w:val="20"/>
                <w:szCs w:val="20"/>
              </w:rPr>
              <w:t>średnicy</w:t>
            </w:r>
            <w:r w:rsidR="003B1A48">
              <w:rPr>
                <w:sz w:val="20"/>
                <w:szCs w:val="20"/>
              </w:rPr>
              <w:t xml:space="preserve"> </w:t>
            </w:r>
            <w:r w:rsidR="00156CEF" w:rsidRPr="00317D60">
              <w:rPr>
                <w:sz w:val="20"/>
                <w:szCs w:val="20"/>
              </w:rPr>
              <w:t>&gt;1</w:t>
            </w:r>
            <w:r w:rsidR="003B1A48">
              <w:rPr>
                <w:sz w:val="20"/>
                <w:szCs w:val="20"/>
              </w:rPr>
              <w:t xml:space="preserve"> </w:t>
            </w:r>
            <w:r w:rsidR="00156CEF" w:rsidRPr="00317D60">
              <w:rPr>
                <w:sz w:val="20"/>
                <w:szCs w:val="20"/>
              </w:rPr>
              <w:t>cm</w:t>
            </w:r>
            <w:r w:rsidR="003B1A48">
              <w:rPr>
                <w:sz w:val="20"/>
                <w:szCs w:val="20"/>
              </w:rPr>
              <w:t xml:space="preserve"> </w:t>
            </w:r>
            <w:r w:rsidR="00156CEF" w:rsidRPr="00317D60">
              <w:rPr>
                <w:sz w:val="20"/>
                <w:szCs w:val="20"/>
              </w:rPr>
              <w:t>możliwe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jest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odstąpienie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od</w:t>
            </w:r>
            <w:r w:rsidR="003B1A48">
              <w:rPr>
                <w:sz w:val="20"/>
                <w:szCs w:val="20"/>
              </w:rPr>
              <w:t xml:space="preserve"> </w:t>
            </w:r>
            <w:r w:rsidR="00156CEF" w:rsidRPr="00317D60">
              <w:rPr>
                <w:sz w:val="20"/>
                <w:szCs w:val="20"/>
              </w:rPr>
              <w:t>rozpoznania</w:t>
            </w:r>
            <w:r w:rsidR="003B1A48">
              <w:rPr>
                <w:sz w:val="20"/>
                <w:szCs w:val="20"/>
              </w:rPr>
              <w:t xml:space="preserve"> </w:t>
            </w:r>
            <w:r w:rsidR="00156CEF" w:rsidRPr="00317D60">
              <w:rPr>
                <w:sz w:val="20"/>
                <w:szCs w:val="20"/>
              </w:rPr>
              <w:t>histologicznego</w:t>
            </w:r>
            <w:r w:rsidR="003B1A48">
              <w:rPr>
                <w:sz w:val="20"/>
                <w:szCs w:val="20"/>
              </w:rPr>
              <w:t xml:space="preserve"> </w:t>
            </w:r>
            <w:r w:rsidR="004E71A6"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="00543C0F" w:rsidRPr="00317D60">
              <w:rPr>
                <w:sz w:val="20"/>
                <w:szCs w:val="20"/>
              </w:rPr>
              <w:t>cytologicznego</w:t>
            </w:r>
            <w:r w:rsidR="003B1A48">
              <w:rPr>
                <w:sz w:val="20"/>
                <w:szCs w:val="20"/>
              </w:rPr>
              <w:t xml:space="preserve"> </w:t>
            </w:r>
            <w:r w:rsidR="00543C0F" w:rsidRPr="00317D60">
              <w:rPr>
                <w:sz w:val="20"/>
                <w:szCs w:val="20"/>
              </w:rPr>
              <w:t>pod</w:t>
            </w:r>
            <w:r w:rsidR="003B1A48">
              <w:rPr>
                <w:sz w:val="20"/>
                <w:szCs w:val="20"/>
              </w:rPr>
              <w:t xml:space="preserve"> </w:t>
            </w:r>
            <w:r w:rsidR="00156CEF" w:rsidRPr="00317D60">
              <w:rPr>
                <w:sz w:val="20"/>
                <w:szCs w:val="20"/>
              </w:rPr>
              <w:t>warunkiem</w:t>
            </w:r>
            <w:r w:rsidR="003B1A48">
              <w:rPr>
                <w:sz w:val="20"/>
                <w:szCs w:val="20"/>
              </w:rPr>
              <w:t xml:space="preserve"> </w:t>
            </w:r>
            <w:r w:rsidR="00156CEF" w:rsidRPr="00317D60">
              <w:rPr>
                <w:sz w:val="20"/>
                <w:szCs w:val="20"/>
              </w:rPr>
              <w:t>uzyskania</w:t>
            </w:r>
            <w:r w:rsidR="003B1A48">
              <w:rPr>
                <w:sz w:val="20"/>
                <w:szCs w:val="20"/>
              </w:rPr>
              <w:t xml:space="preserve"> </w:t>
            </w:r>
            <w:r w:rsidR="00156CEF" w:rsidRPr="00317D60">
              <w:rPr>
                <w:sz w:val="20"/>
                <w:szCs w:val="20"/>
              </w:rPr>
              <w:t>typowego</w:t>
            </w:r>
            <w:r w:rsidR="003B1A48">
              <w:rPr>
                <w:sz w:val="20"/>
                <w:szCs w:val="20"/>
              </w:rPr>
              <w:t xml:space="preserve"> </w:t>
            </w:r>
            <w:r w:rsidR="00156CEF" w:rsidRPr="00317D60">
              <w:rPr>
                <w:sz w:val="20"/>
                <w:szCs w:val="20"/>
              </w:rPr>
              <w:t>obrazu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dla</w:t>
            </w:r>
            <w:r w:rsidR="003B1A48">
              <w:rPr>
                <w:sz w:val="20"/>
                <w:szCs w:val="20"/>
              </w:rPr>
              <w:t xml:space="preserve"> </w:t>
            </w:r>
            <w:r w:rsidR="00543C0F" w:rsidRPr="00317D60">
              <w:rPr>
                <w:sz w:val="20"/>
                <w:szCs w:val="20"/>
              </w:rPr>
              <w:t>HCC</w:t>
            </w:r>
            <w:r w:rsidR="003B1A48">
              <w:rPr>
                <w:sz w:val="20"/>
                <w:szCs w:val="20"/>
              </w:rPr>
              <w:t xml:space="preserve"> </w:t>
            </w:r>
            <w:r w:rsidR="00543C0F"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tomografii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komputerowej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(TC)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rezonansie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magnetycznym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z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kontrastem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(MRI)</w:t>
            </w:r>
            <w:r w:rsidR="00385D39" w:rsidRPr="00317D60">
              <w:rPr>
                <w:sz w:val="20"/>
                <w:szCs w:val="20"/>
              </w:rPr>
              <w:t>,</w:t>
            </w:r>
            <w:r w:rsidR="003B1A48">
              <w:rPr>
                <w:sz w:val="20"/>
                <w:szCs w:val="20"/>
              </w:rPr>
              <w:t xml:space="preserve"> </w:t>
            </w:r>
            <w:r w:rsidR="00543C0F" w:rsidRPr="00317D60">
              <w:rPr>
                <w:sz w:val="20"/>
                <w:szCs w:val="20"/>
              </w:rPr>
              <w:t>z</w:t>
            </w:r>
            <w:r w:rsidR="003B1A48">
              <w:rPr>
                <w:sz w:val="20"/>
                <w:szCs w:val="20"/>
              </w:rPr>
              <w:t xml:space="preserve"> </w:t>
            </w:r>
            <w:r w:rsidR="00543C0F" w:rsidRPr="00317D60">
              <w:rPr>
                <w:sz w:val="20"/>
                <w:szCs w:val="20"/>
              </w:rPr>
              <w:t>obrazowaniem</w:t>
            </w:r>
            <w:r w:rsidR="003B1A48">
              <w:rPr>
                <w:sz w:val="20"/>
                <w:szCs w:val="20"/>
              </w:rPr>
              <w:t xml:space="preserve"> </w:t>
            </w:r>
            <w:r w:rsidR="00543C0F"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trzech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fazach: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tętniczej,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żylnej</w:t>
            </w:r>
            <w:r w:rsidR="003B1A48">
              <w:rPr>
                <w:sz w:val="20"/>
                <w:szCs w:val="20"/>
              </w:rPr>
              <w:t xml:space="preserve"> </w:t>
            </w:r>
            <w:r w:rsidR="00A31EE3" w:rsidRPr="00317D60">
              <w:rPr>
                <w:sz w:val="20"/>
                <w:szCs w:val="20"/>
              </w:rPr>
              <w:t>wrotnej</w:t>
            </w:r>
            <w:r w:rsidR="003B1A48">
              <w:rPr>
                <w:sz w:val="20"/>
                <w:szCs w:val="20"/>
              </w:rPr>
              <w:t xml:space="preserve"> </w:t>
            </w:r>
            <w:r w:rsidR="00156CEF" w:rsidRPr="00317D60">
              <w:rPr>
                <w:sz w:val="20"/>
                <w:szCs w:val="20"/>
              </w:rPr>
              <w:t>i</w:t>
            </w:r>
            <w:r w:rsidR="003B1A48">
              <w:rPr>
                <w:sz w:val="20"/>
                <w:szCs w:val="20"/>
              </w:rPr>
              <w:t xml:space="preserve"> </w:t>
            </w:r>
            <w:r w:rsidR="00156CEF" w:rsidRPr="00317D60">
              <w:rPr>
                <w:sz w:val="20"/>
                <w:szCs w:val="20"/>
              </w:rPr>
              <w:t>równowagi</w:t>
            </w:r>
            <w:r w:rsidR="00270FE0" w:rsidRPr="00317D60">
              <w:rPr>
                <w:sz w:val="20"/>
                <w:szCs w:val="20"/>
              </w:rPr>
              <w:t>,</w:t>
            </w:r>
            <w:r w:rsidR="003B1A48">
              <w:rPr>
                <w:sz w:val="20"/>
                <w:szCs w:val="20"/>
              </w:rPr>
              <w:t xml:space="preserve"> </w:t>
            </w:r>
            <w:r w:rsidR="00156CEF" w:rsidRPr="00317D60">
              <w:rPr>
                <w:sz w:val="20"/>
                <w:szCs w:val="20"/>
              </w:rPr>
              <w:t>ze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wzmocnieniem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fazie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tętniczej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(zmiana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="00DC1DB6" w:rsidRPr="00317D60">
              <w:rPr>
                <w:sz w:val="20"/>
                <w:szCs w:val="20"/>
              </w:rPr>
              <w:t>hiperdensyjna</w:t>
            </w:r>
            <w:proofErr w:type="spellEnd"/>
            <w:r w:rsidR="00DC1DB6" w:rsidRPr="00317D60">
              <w:rPr>
                <w:sz w:val="20"/>
                <w:szCs w:val="20"/>
              </w:rPr>
              <w:t>)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oraz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wypłukiwaniem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kontrastu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z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ogniska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fazie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żylnej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wrotnej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równowagi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(zmiana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hipodensyjna);</w:t>
            </w:r>
          </w:p>
          <w:p w14:paraId="221D9C12" w14:textId="1EF2D518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brak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możliwości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zastosowania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leczenia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miejscowego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jego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nieskuteczność;</w:t>
            </w:r>
          </w:p>
          <w:p w14:paraId="64F91A7B" w14:textId="588B4216" w:rsidR="00A60C8B" w:rsidRPr="00317D60" w:rsidRDefault="00A60C8B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kern w:val="22"/>
                <w:sz w:val="20"/>
                <w:szCs w:val="20"/>
              </w:rPr>
            </w:pPr>
            <w:r w:rsidRPr="00317D60">
              <w:rPr>
                <w:kern w:val="22"/>
                <w:sz w:val="20"/>
                <w:szCs w:val="20"/>
              </w:rPr>
              <w:t>uprzednie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nieskuteczne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leczenie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kern w:val="22"/>
                <w:sz w:val="20"/>
                <w:szCs w:val="20"/>
              </w:rPr>
              <w:t>sorafenibem</w:t>
            </w:r>
            <w:proofErr w:type="spellEnd"/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lub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jego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nietolerancja,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pod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warunkiem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ustąpienia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="00FA2F72" w:rsidRPr="00317D60">
              <w:rPr>
                <w:kern w:val="22"/>
                <w:sz w:val="20"/>
                <w:szCs w:val="20"/>
              </w:rPr>
              <w:t>działań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niepożądanych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="00FA2F72" w:rsidRPr="00317D60">
              <w:rPr>
                <w:sz w:val="20"/>
                <w:szCs w:val="20"/>
              </w:rPr>
              <w:t>wynikających</w:t>
            </w:r>
            <w:r w:rsidR="003B1A48">
              <w:rPr>
                <w:sz w:val="20"/>
                <w:szCs w:val="20"/>
              </w:rPr>
              <w:t xml:space="preserve"> </w:t>
            </w:r>
            <w:r w:rsidR="00FA2F72" w:rsidRPr="00317D60">
              <w:rPr>
                <w:sz w:val="20"/>
                <w:szCs w:val="20"/>
              </w:rPr>
              <w:t>z</w:t>
            </w:r>
            <w:r w:rsidR="003B1A48">
              <w:rPr>
                <w:sz w:val="20"/>
                <w:szCs w:val="20"/>
              </w:rPr>
              <w:t xml:space="preserve"> </w:t>
            </w:r>
            <w:r w:rsidR="00FA2F72" w:rsidRPr="00317D60">
              <w:rPr>
                <w:sz w:val="20"/>
                <w:szCs w:val="20"/>
              </w:rPr>
              <w:t>poprzedzającej</w:t>
            </w:r>
            <w:r w:rsidR="003B1A48">
              <w:rPr>
                <w:sz w:val="20"/>
                <w:szCs w:val="20"/>
              </w:rPr>
              <w:t xml:space="preserve"> </w:t>
            </w:r>
            <w:r w:rsidR="00FA2F72" w:rsidRPr="00317D60">
              <w:rPr>
                <w:sz w:val="20"/>
                <w:szCs w:val="20"/>
              </w:rPr>
              <w:t>terapii–</w:t>
            </w:r>
            <w:r w:rsidRPr="00317D60">
              <w:rPr>
                <w:kern w:val="22"/>
                <w:sz w:val="20"/>
                <w:szCs w:val="20"/>
              </w:rPr>
              <w:t>–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dotyczy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leczenia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kern w:val="22"/>
                <w:sz w:val="20"/>
                <w:szCs w:val="20"/>
              </w:rPr>
              <w:t>kabozantynibem</w:t>
            </w:r>
            <w:proofErr w:type="spellEnd"/>
            <w:r w:rsidRPr="00317D60">
              <w:rPr>
                <w:kern w:val="22"/>
                <w:sz w:val="20"/>
                <w:szCs w:val="20"/>
              </w:rPr>
              <w:t>;</w:t>
            </w:r>
          </w:p>
          <w:p w14:paraId="4379C683" w14:textId="7E543116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stan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sprawności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0-1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według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WHO</w:t>
            </w:r>
            <w:r w:rsidR="00A60C8B" w:rsidRPr="00317D60">
              <w:rPr>
                <w:sz w:val="20"/>
                <w:szCs w:val="20"/>
              </w:rPr>
              <w:t>;</w:t>
            </w:r>
          </w:p>
          <w:p w14:paraId="31C163A9" w14:textId="059B92B2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czynnościowy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stan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wątroby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kategorii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na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podstawie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oceny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według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klasyfikacji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Child-</w:t>
            </w:r>
            <w:proofErr w:type="spellStart"/>
            <w:r w:rsidRPr="00317D60">
              <w:rPr>
                <w:sz w:val="20"/>
                <w:szCs w:val="20"/>
              </w:rPr>
              <w:t>Pugh</w:t>
            </w:r>
            <w:proofErr w:type="spellEnd"/>
            <w:r w:rsidRPr="00317D60">
              <w:rPr>
                <w:sz w:val="20"/>
                <w:szCs w:val="20"/>
              </w:rPr>
              <w:t>;</w:t>
            </w:r>
          </w:p>
          <w:p w14:paraId="63191C97" w14:textId="7B777B59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nieobecność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przerzutów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poza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wątrobą</w:t>
            </w:r>
            <w:r w:rsidR="003B1A48">
              <w:rPr>
                <w:sz w:val="20"/>
                <w:szCs w:val="20"/>
              </w:rPr>
              <w:t xml:space="preserve"> </w:t>
            </w:r>
            <w:r w:rsidR="00A60C8B" w:rsidRPr="00317D60">
              <w:rPr>
                <w:sz w:val="20"/>
                <w:szCs w:val="20"/>
              </w:rPr>
              <w:t>–</w:t>
            </w:r>
            <w:r w:rsidR="003B1A48">
              <w:rPr>
                <w:sz w:val="20"/>
                <w:szCs w:val="20"/>
              </w:rPr>
              <w:t xml:space="preserve"> </w:t>
            </w:r>
            <w:r w:rsidR="00A60C8B" w:rsidRPr="00317D60">
              <w:rPr>
                <w:sz w:val="20"/>
                <w:szCs w:val="20"/>
              </w:rPr>
              <w:t>dotyczy</w:t>
            </w:r>
            <w:r w:rsidR="003B1A48">
              <w:rPr>
                <w:sz w:val="20"/>
                <w:szCs w:val="20"/>
              </w:rPr>
              <w:t xml:space="preserve"> </w:t>
            </w:r>
            <w:r w:rsidR="00A60C8B" w:rsidRPr="00317D60">
              <w:rPr>
                <w:sz w:val="20"/>
                <w:szCs w:val="20"/>
              </w:rPr>
              <w:t>leczenia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="00A60C8B" w:rsidRPr="00317D60">
              <w:rPr>
                <w:sz w:val="20"/>
                <w:szCs w:val="20"/>
              </w:rPr>
              <w:t>sorafenibem</w:t>
            </w:r>
            <w:proofErr w:type="spellEnd"/>
            <w:r w:rsidR="00A60C8B" w:rsidRPr="00317D60">
              <w:rPr>
                <w:sz w:val="20"/>
                <w:szCs w:val="20"/>
              </w:rPr>
              <w:t>;</w:t>
            </w:r>
          </w:p>
          <w:p w14:paraId="556AB0A9" w14:textId="3153D6F4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lastRenderedPageBreak/>
              <w:t>obecność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przynaj</w:t>
            </w:r>
            <w:r w:rsidR="008F4C9F" w:rsidRPr="00317D60">
              <w:rPr>
                <w:sz w:val="20"/>
                <w:szCs w:val="20"/>
              </w:rPr>
              <w:t>mniej</w:t>
            </w:r>
            <w:r w:rsidR="003B1A48">
              <w:rPr>
                <w:sz w:val="20"/>
                <w:szCs w:val="20"/>
              </w:rPr>
              <w:t xml:space="preserve"> </w:t>
            </w:r>
            <w:r w:rsidR="008F4C9F" w:rsidRPr="00317D60">
              <w:rPr>
                <w:sz w:val="20"/>
                <w:szCs w:val="20"/>
              </w:rPr>
              <w:t>jednej</w:t>
            </w:r>
            <w:r w:rsidR="003B1A48">
              <w:rPr>
                <w:sz w:val="20"/>
                <w:szCs w:val="20"/>
              </w:rPr>
              <w:t xml:space="preserve"> </w:t>
            </w:r>
            <w:r w:rsidR="008F4C9F" w:rsidRPr="00317D60">
              <w:rPr>
                <w:sz w:val="20"/>
                <w:szCs w:val="20"/>
              </w:rPr>
              <w:t>zmiany</w:t>
            </w:r>
            <w:r w:rsidR="003B1A48">
              <w:rPr>
                <w:sz w:val="20"/>
                <w:szCs w:val="20"/>
              </w:rPr>
              <w:t xml:space="preserve"> </w:t>
            </w:r>
            <w:r w:rsidR="008F4C9F" w:rsidRPr="00317D60">
              <w:rPr>
                <w:sz w:val="20"/>
                <w:szCs w:val="20"/>
              </w:rPr>
              <w:t>mierzalnej,</w:t>
            </w:r>
            <w:r w:rsidR="003B1A48">
              <w:rPr>
                <w:sz w:val="20"/>
                <w:szCs w:val="20"/>
              </w:rPr>
              <w:t xml:space="preserve"> </w:t>
            </w:r>
            <w:r w:rsidR="008F4C9F" w:rsidRPr="00317D60">
              <w:rPr>
                <w:sz w:val="20"/>
                <w:szCs w:val="20"/>
              </w:rPr>
              <w:t>zgodnie</w:t>
            </w:r>
            <w:r w:rsidR="003B1A48">
              <w:rPr>
                <w:sz w:val="20"/>
                <w:szCs w:val="20"/>
              </w:rPr>
              <w:t xml:space="preserve"> </w:t>
            </w:r>
            <w:r w:rsidR="008F4C9F" w:rsidRPr="00317D60">
              <w:rPr>
                <w:sz w:val="20"/>
                <w:szCs w:val="20"/>
              </w:rPr>
              <w:t>z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kryteriami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RECIST</w:t>
            </w:r>
            <w:r w:rsidR="003B1A48">
              <w:rPr>
                <w:sz w:val="20"/>
                <w:szCs w:val="20"/>
              </w:rPr>
              <w:t xml:space="preserve"> </w:t>
            </w:r>
            <w:r w:rsidR="00A60C8B" w:rsidRPr="00317D60">
              <w:rPr>
                <w:sz w:val="20"/>
                <w:szCs w:val="20"/>
              </w:rPr>
              <w:t>wersja</w:t>
            </w:r>
            <w:r w:rsidR="003B1A48">
              <w:rPr>
                <w:sz w:val="20"/>
                <w:szCs w:val="20"/>
              </w:rPr>
              <w:t xml:space="preserve"> </w:t>
            </w:r>
            <w:r w:rsidR="00A60C8B" w:rsidRPr="00317D60">
              <w:rPr>
                <w:sz w:val="20"/>
                <w:szCs w:val="20"/>
              </w:rPr>
              <w:t>1.1;</w:t>
            </w:r>
          </w:p>
          <w:p w14:paraId="79081B22" w14:textId="1A098CA4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wskaźniki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morfologii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krwi:</w:t>
            </w:r>
          </w:p>
          <w:p w14:paraId="4705DC17" w14:textId="46E134AC" w:rsidR="004B0AE2" w:rsidRPr="00317D60" w:rsidRDefault="004B0AE2" w:rsidP="00317D60">
            <w:pPr>
              <w:numPr>
                <w:ilvl w:val="4"/>
                <w:numId w:val="17"/>
              </w:numPr>
              <w:tabs>
                <w:tab w:val="num" w:pos="3600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stężenie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hemoglobiny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większe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równe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8,5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g/dl,</w:t>
            </w:r>
          </w:p>
          <w:p w14:paraId="46D93832" w14:textId="227DDD8C" w:rsidR="004B0AE2" w:rsidRPr="00317D60" w:rsidRDefault="004B0AE2" w:rsidP="00317D60">
            <w:pPr>
              <w:numPr>
                <w:ilvl w:val="4"/>
                <w:numId w:val="17"/>
              </w:numPr>
              <w:tabs>
                <w:tab w:val="num" w:pos="3600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liczba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granulocytów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większa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równa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1,0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x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10</w:t>
            </w:r>
            <w:r w:rsidRPr="00317D60">
              <w:rPr>
                <w:sz w:val="20"/>
                <w:szCs w:val="20"/>
                <w:vertAlign w:val="superscript"/>
              </w:rPr>
              <w:t>9</w:t>
            </w:r>
            <w:r w:rsidRPr="00317D60">
              <w:rPr>
                <w:sz w:val="20"/>
                <w:szCs w:val="20"/>
              </w:rPr>
              <w:t>/l,</w:t>
            </w:r>
          </w:p>
          <w:p w14:paraId="164DA7D7" w14:textId="3AF35F9B" w:rsidR="004B0AE2" w:rsidRPr="00317D60" w:rsidRDefault="004B0AE2" w:rsidP="00317D60">
            <w:pPr>
              <w:numPr>
                <w:ilvl w:val="4"/>
                <w:numId w:val="17"/>
              </w:numPr>
              <w:tabs>
                <w:tab w:val="num" w:pos="3600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liczba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płytek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większa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równa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60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x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10</w:t>
            </w:r>
            <w:r w:rsidRPr="00317D60">
              <w:rPr>
                <w:sz w:val="20"/>
                <w:szCs w:val="20"/>
                <w:vertAlign w:val="superscript"/>
              </w:rPr>
              <w:t>9</w:t>
            </w:r>
            <w:r w:rsidRPr="00317D60">
              <w:rPr>
                <w:sz w:val="20"/>
                <w:szCs w:val="20"/>
              </w:rPr>
              <w:t>/l;</w:t>
            </w:r>
          </w:p>
          <w:p w14:paraId="3C2C9622" w14:textId="3FD6EF79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wskaźniki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czynności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nerek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-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</w:t>
            </w:r>
            <w:r w:rsidR="004F4D61" w:rsidRPr="00317D60">
              <w:rPr>
                <w:sz w:val="20"/>
                <w:szCs w:val="20"/>
              </w:rPr>
              <w:t>tężenie</w:t>
            </w:r>
            <w:r w:rsidR="003B1A48">
              <w:rPr>
                <w:sz w:val="20"/>
                <w:szCs w:val="20"/>
              </w:rPr>
              <w:t xml:space="preserve"> </w:t>
            </w:r>
            <w:r w:rsidR="004F4D61" w:rsidRPr="00317D60">
              <w:rPr>
                <w:sz w:val="20"/>
                <w:szCs w:val="20"/>
              </w:rPr>
              <w:t>kreatyniny</w:t>
            </w:r>
            <w:r w:rsidR="003B1A48">
              <w:rPr>
                <w:sz w:val="20"/>
                <w:szCs w:val="20"/>
              </w:rPr>
              <w:t xml:space="preserve"> </w:t>
            </w:r>
            <w:r w:rsidR="004F4D61" w:rsidRPr="00317D60">
              <w:rPr>
                <w:sz w:val="20"/>
                <w:szCs w:val="20"/>
              </w:rPr>
              <w:t>mniejsze</w:t>
            </w:r>
            <w:r w:rsidR="003B1A48">
              <w:rPr>
                <w:sz w:val="20"/>
                <w:szCs w:val="20"/>
              </w:rPr>
              <w:t xml:space="preserve"> </w:t>
            </w:r>
            <w:r w:rsidR="004F4D61"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równe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1,5</w:t>
            </w:r>
            <w:r w:rsidRPr="00317D60">
              <w:rPr>
                <w:sz w:val="20"/>
                <w:szCs w:val="20"/>
              </w:rPr>
              <w:noBreakHyphen/>
              <w:t>krotności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górnej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granicy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normy;</w:t>
            </w:r>
          </w:p>
          <w:p w14:paraId="15886494" w14:textId="37127E16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wskaźniki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czynności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wątroby:</w:t>
            </w:r>
            <w:r w:rsidR="003B1A48">
              <w:rPr>
                <w:sz w:val="20"/>
                <w:szCs w:val="20"/>
              </w:rPr>
              <w:t xml:space="preserve"> </w:t>
            </w:r>
          </w:p>
          <w:p w14:paraId="2C874D85" w14:textId="494AFECC" w:rsidR="004B0AE2" w:rsidRPr="00317D60" w:rsidRDefault="004B0AE2" w:rsidP="00317D60">
            <w:pPr>
              <w:numPr>
                <w:ilvl w:val="4"/>
                <w:numId w:val="17"/>
              </w:numPr>
              <w:tabs>
                <w:tab w:val="num" w:pos="3600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stężenie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bilirubiny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mniejsze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równe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3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mg/dl,</w:t>
            </w:r>
          </w:p>
          <w:p w14:paraId="5DB5B34B" w14:textId="48A03003" w:rsidR="004B0AE2" w:rsidRPr="00317D60" w:rsidRDefault="004B0AE2" w:rsidP="00317D60">
            <w:pPr>
              <w:numPr>
                <w:ilvl w:val="4"/>
                <w:numId w:val="17"/>
              </w:numPr>
              <w:tabs>
                <w:tab w:val="num" w:pos="3600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stężenie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AspAT</w:t>
            </w:r>
            <w:proofErr w:type="spellEnd"/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i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AlAT</w:t>
            </w:r>
            <w:proofErr w:type="spellEnd"/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mniejsze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równe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5-krotności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górnej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granicy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normy,</w:t>
            </w:r>
          </w:p>
          <w:p w14:paraId="1EAC2521" w14:textId="70E205FF" w:rsidR="004B0AE2" w:rsidRPr="00317D60" w:rsidRDefault="004B0AE2" w:rsidP="00317D60">
            <w:pPr>
              <w:numPr>
                <w:ilvl w:val="4"/>
                <w:numId w:val="17"/>
              </w:numPr>
              <w:tabs>
                <w:tab w:val="num" w:pos="3600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stężenie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albumin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większe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równe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3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g/dl,</w:t>
            </w:r>
          </w:p>
          <w:p w14:paraId="4D193782" w14:textId="2D571665" w:rsidR="004B0AE2" w:rsidRPr="00317D60" w:rsidRDefault="004B0AE2" w:rsidP="00317D60">
            <w:pPr>
              <w:numPr>
                <w:ilvl w:val="4"/>
                <w:numId w:val="17"/>
              </w:numPr>
              <w:tabs>
                <w:tab w:val="num" w:pos="3600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INR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mniejsze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równe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2,3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czas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protrombinowy</w:t>
            </w:r>
            <w:proofErr w:type="spellEnd"/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przedłużony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maksymalnie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6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sekund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powyżej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górnej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granicy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normy</w:t>
            </w:r>
            <w:r w:rsidR="003B1A48">
              <w:rPr>
                <w:sz w:val="20"/>
                <w:szCs w:val="20"/>
              </w:rPr>
              <w:t xml:space="preserve"> </w:t>
            </w:r>
            <w:r w:rsidR="00266680" w:rsidRPr="00317D60">
              <w:rPr>
                <w:sz w:val="20"/>
                <w:szCs w:val="20"/>
              </w:rPr>
              <w:t>–</w:t>
            </w:r>
            <w:r w:rsidR="003B1A48">
              <w:rPr>
                <w:sz w:val="20"/>
                <w:szCs w:val="20"/>
              </w:rPr>
              <w:t xml:space="preserve"> </w:t>
            </w:r>
            <w:r w:rsidR="00266680" w:rsidRPr="00317D60">
              <w:rPr>
                <w:sz w:val="20"/>
                <w:szCs w:val="20"/>
              </w:rPr>
              <w:t>dotyczy</w:t>
            </w:r>
            <w:r w:rsidR="003B1A48">
              <w:rPr>
                <w:sz w:val="20"/>
                <w:szCs w:val="20"/>
              </w:rPr>
              <w:t xml:space="preserve"> </w:t>
            </w:r>
            <w:r w:rsidR="00266680" w:rsidRPr="00317D60">
              <w:rPr>
                <w:sz w:val="20"/>
                <w:szCs w:val="20"/>
              </w:rPr>
              <w:t>terapii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="00266680" w:rsidRPr="00317D60">
              <w:rPr>
                <w:sz w:val="20"/>
                <w:szCs w:val="20"/>
              </w:rPr>
              <w:t>sorafeni</w:t>
            </w:r>
            <w:r w:rsidR="00D10458" w:rsidRPr="00317D60">
              <w:rPr>
                <w:sz w:val="20"/>
                <w:szCs w:val="20"/>
              </w:rPr>
              <w:t>b</w:t>
            </w:r>
            <w:r w:rsidR="00266680" w:rsidRPr="00317D60">
              <w:rPr>
                <w:sz w:val="20"/>
                <w:szCs w:val="20"/>
              </w:rPr>
              <w:t>em</w:t>
            </w:r>
            <w:proofErr w:type="spellEnd"/>
          </w:p>
          <w:p w14:paraId="5B734BDE" w14:textId="50F14138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niestosowanie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przeszłości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farmakologicznego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leczenia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przeciwnowotworowego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z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powodu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raka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wątrobo</w:t>
            </w:r>
            <w:r w:rsidR="003E106F" w:rsidRPr="00317D60">
              <w:rPr>
                <w:sz w:val="20"/>
                <w:szCs w:val="20"/>
              </w:rPr>
              <w:t>wo</w:t>
            </w:r>
            <w:r w:rsidRPr="00317D60">
              <w:rPr>
                <w:sz w:val="20"/>
                <w:szCs w:val="20"/>
              </w:rPr>
              <w:t>komórkowego</w:t>
            </w:r>
            <w:proofErr w:type="spellEnd"/>
            <w:r w:rsidR="003B1A48">
              <w:rPr>
                <w:sz w:val="20"/>
                <w:szCs w:val="20"/>
              </w:rPr>
              <w:t xml:space="preserve"> </w:t>
            </w:r>
            <w:r w:rsidR="00266680" w:rsidRPr="00317D60">
              <w:rPr>
                <w:sz w:val="20"/>
                <w:szCs w:val="20"/>
              </w:rPr>
              <w:t>–</w:t>
            </w:r>
            <w:r w:rsidR="003B1A48">
              <w:rPr>
                <w:sz w:val="20"/>
                <w:szCs w:val="20"/>
              </w:rPr>
              <w:t xml:space="preserve"> </w:t>
            </w:r>
            <w:r w:rsidR="00266680" w:rsidRPr="00317D60">
              <w:rPr>
                <w:sz w:val="20"/>
                <w:szCs w:val="20"/>
              </w:rPr>
              <w:t>dotyczy</w:t>
            </w:r>
            <w:r w:rsidR="003B1A48">
              <w:rPr>
                <w:sz w:val="20"/>
                <w:szCs w:val="20"/>
              </w:rPr>
              <w:t xml:space="preserve"> </w:t>
            </w:r>
            <w:r w:rsidR="00266680" w:rsidRPr="00317D60">
              <w:rPr>
                <w:sz w:val="20"/>
                <w:szCs w:val="20"/>
              </w:rPr>
              <w:t>terapii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="00266680" w:rsidRPr="00317D60">
              <w:rPr>
                <w:sz w:val="20"/>
                <w:szCs w:val="20"/>
              </w:rPr>
              <w:t>sorafenibem</w:t>
            </w:r>
            <w:proofErr w:type="spellEnd"/>
            <w:r w:rsidR="00266680" w:rsidRPr="00317D60">
              <w:rPr>
                <w:sz w:val="20"/>
                <w:szCs w:val="20"/>
              </w:rPr>
              <w:t>;</w:t>
            </w:r>
          </w:p>
          <w:p w14:paraId="71327516" w14:textId="3F236EBE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u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kobiet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wieku</w:t>
            </w:r>
            <w:r w:rsidR="003B1A48">
              <w:rPr>
                <w:sz w:val="20"/>
                <w:szCs w:val="20"/>
              </w:rPr>
              <w:t xml:space="preserve"> </w:t>
            </w:r>
            <w:r w:rsidR="001A0AD1" w:rsidRPr="00317D60">
              <w:rPr>
                <w:sz w:val="20"/>
                <w:szCs w:val="20"/>
              </w:rPr>
              <w:t>rozrodczym</w:t>
            </w:r>
            <w:r w:rsidR="003B1A48">
              <w:rPr>
                <w:sz w:val="20"/>
                <w:szCs w:val="20"/>
              </w:rPr>
              <w:t xml:space="preserve"> </w:t>
            </w:r>
            <w:r w:rsidR="001A0AD1" w:rsidRPr="00317D60">
              <w:rPr>
                <w:sz w:val="20"/>
                <w:szCs w:val="20"/>
              </w:rPr>
              <w:t>wykluczenie</w:t>
            </w:r>
            <w:r w:rsidR="003B1A48">
              <w:rPr>
                <w:sz w:val="20"/>
                <w:szCs w:val="20"/>
              </w:rPr>
              <w:t xml:space="preserve"> </w:t>
            </w:r>
            <w:r w:rsidR="001A0AD1" w:rsidRPr="00317D60">
              <w:rPr>
                <w:sz w:val="20"/>
                <w:szCs w:val="20"/>
              </w:rPr>
              <w:t>ciąży</w:t>
            </w:r>
            <w:r w:rsidR="003B1A48">
              <w:rPr>
                <w:sz w:val="20"/>
                <w:szCs w:val="20"/>
              </w:rPr>
              <w:t xml:space="preserve"> </w:t>
            </w:r>
            <w:r w:rsidR="001A0AD1" w:rsidRPr="00317D60">
              <w:rPr>
                <w:sz w:val="20"/>
                <w:szCs w:val="20"/>
              </w:rPr>
              <w:t>na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podstawie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testu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ciążowego.</w:t>
            </w:r>
          </w:p>
          <w:p w14:paraId="37C2CD58" w14:textId="77777777" w:rsidR="004B0AE2" w:rsidRPr="00317D60" w:rsidRDefault="004B0AE2" w:rsidP="00317D60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5E2346C8" w14:textId="7ABD4795" w:rsidR="004B0AE2" w:rsidRPr="00317D60" w:rsidRDefault="004B0AE2" w:rsidP="00317D60">
            <w:pPr>
              <w:pStyle w:val="Akapitzlist"/>
              <w:spacing w:after="60" w:line="276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317D60">
              <w:rPr>
                <w:rFonts w:ascii="Times New Roman" w:hAnsi="Times New Roman"/>
              </w:rPr>
              <w:t>Kryteria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kwalifikacji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muszą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być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spełnione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łącznie.</w:t>
            </w:r>
          </w:p>
          <w:p w14:paraId="498E6964" w14:textId="77777777" w:rsidR="00317D60" w:rsidRPr="00317D60" w:rsidRDefault="00317D60" w:rsidP="00317D60">
            <w:pPr>
              <w:pStyle w:val="Akapitzlist"/>
              <w:spacing w:after="60" w:line="276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</w:p>
          <w:p w14:paraId="0A5F57E0" w14:textId="4AEFD508" w:rsidR="004B0AE2" w:rsidRPr="00317D60" w:rsidRDefault="004B0AE2" w:rsidP="00317D60">
            <w:pPr>
              <w:pStyle w:val="Akapitzlist"/>
              <w:numPr>
                <w:ilvl w:val="0"/>
                <w:numId w:val="1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317D60">
              <w:rPr>
                <w:rFonts w:ascii="Times New Roman" w:hAnsi="Times New Roman"/>
                <w:b/>
              </w:rPr>
              <w:t>Kryteria</w:t>
            </w:r>
            <w:r w:rsidR="003B1A48">
              <w:rPr>
                <w:rFonts w:ascii="Times New Roman" w:hAnsi="Times New Roman"/>
                <w:b/>
              </w:rPr>
              <w:t xml:space="preserve"> </w:t>
            </w:r>
            <w:r w:rsidRPr="00317D60">
              <w:rPr>
                <w:rFonts w:ascii="Times New Roman" w:hAnsi="Times New Roman"/>
                <w:b/>
              </w:rPr>
              <w:t>uniemożliwiające</w:t>
            </w:r>
            <w:r w:rsidR="003B1A48">
              <w:rPr>
                <w:rFonts w:ascii="Times New Roman" w:hAnsi="Times New Roman"/>
                <w:b/>
              </w:rPr>
              <w:t xml:space="preserve"> </w:t>
            </w:r>
            <w:r w:rsidRPr="00317D60">
              <w:rPr>
                <w:rFonts w:ascii="Times New Roman" w:hAnsi="Times New Roman"/>
                <w:b/>
              </w:rPr>
              <w:t>włączenie</w:t>
            </w:r>
            <w:r w:rsidR="003B1A48">
              <w:rPr>
                <w:rFonts w:ascii="Times New Roman" w:hAnsi="Times New Roman"/>
                <w:b/>
              </w:rPr>
              <w:t xml:space="preserve"> </w:t>
            </w:r>
            <w:r w:rsidRPr="00317D60">
              <w:rPr>
                <w:rFonts w:ascii="Times New Roman" w:hAnsi="Times New Roman"/>
                <w:b/>
              </w:rPr>
              <w:t>do</w:t>
            </w:r>
            <w:r w:rsidR="003B1A48">
              <w:rPr>
                <w:rFonts w:ascii="Times New Roman" w:hAnsi="Times New Roman"/>
                <w:b/>
              </w:rPr>
              <w:t xml:space="preserve"> </w:t>
            </w:r>
            <w:r w:rsidRPr="00317D60">
              <w:rPr>
                <w:rFonts w:ascii="Times New Roman" w:hAnsi="Times New Roman"/>
                <w:b/>
              </w:rPr>
              <w:t>programu</w:t>
            </w:r>
          </w:p>
          <w:p w14:paraId="06BAF176" w14:textId="26C1F8C9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brak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udokumentowanego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rozpoznania</w:t>
            </w:r>
            <w:r w:rsidR="003B1A48">
              <w:rPr>
                <w:sz w:val="20"/>
                <w:szCs w:val="20"/>
              </w:rPr>
              <w:t xml:space="preserve"> </w:t>
            </w:r>
            <w:r w:rsidR="00DC525F" w:rsidRPr="00317D60">
              <w:rPr>
                <w:sz w:val="20"/>
                <w:szCs w:val="20"/>
              </w:rPr>
              <w:t>raka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="00DC525F" w:rsidRPr="00317D60">
              <w:rPr>
                <w:sz w:val="20"/>
                <w:szCs w:val="20"/>
              </w:rPr>
              <w:t>wątrobowo</w:t>
            </w:r>
            <w:r w:rsidR="00DC1DB6" w:rsidRPr="00317D60">
              <w:rPr>
                <w:sz w:val="20"/>
                <w:szCs w:val="20"/>
              </w:rPr>
              <w:t>komórkowego</w:t>
            </w:r>
            <w:proofErr w:type="spellEnd"/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zgodnie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z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kryteriami</w:t>
            </w:r>
            <w:r w:rsidR="003B1A48">
              <w:rPr>
                <w:sz w:val="20"/>
                <w:szCs w:val="20"/>
              </w:rPr>
              <w:t xml:space="preserve"> </w:t>
            </w:r>
            <w:r w:rsidR="00DC1DB6" w:rsidRPr="00317D60">
              <w:rPr>
                <w:sz w:val="20"/>
                <w:szCs w:val="20"/>
              </w:rPr>
              <w:t>włączenia;</w:t>
            </w:r>
          </w:p>
          <w:p w14:paraId="4CCE017A" w14:textId="19F526D9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lastRenderedPageBreak/>
              <w:t>przebyta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chemioterapia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innego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rodzaju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farmakologiczne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leczenie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z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powodu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raka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wątrobo</w:t>
            </w:r>
            <w:r w:rsidR="00BE0028" w:rsidRPr="00317D60">
              <w:rPr>
                <w:sz w:val="20"/>
                <w:szCs w:val="20"/>
              </w:rPr>
              <w:t>wo</w:t>
            </w:r>
            <w:r w:rsidRPr="00317D60">
              <w:rPr>
                <w:sz w:val="20"/>
                <w:szCs w:val="20"/>
              </w:rPr>
              <w:t>komórkowego</w:t>
            </w:r>
            <w:proofErr w:type="spellEnd"/>
            <w:r w:rsidR="003B1A48">
              <w:rPr>
                <w:sz w:val="20"/>
                <w:szCs w:val="20"/>
              </w:rPr>
              <w:t xml:space="preserve"> </w:t>
            </w:r>
            <w:r w:rsidR="00266680" w:rsidRPr="00317D60">
              <w:rPr>
                <w:sz w:val="20"/>
                <w:szCs w:val="20"/>
              </w:rPr>
              <w:t>–</w:t>
            </w:r>
            <w:r w:rsidR="003B1A48">
              <w:rPr>
                <w:sz w:val="20"/>
                <w:szCs w:val="20"/>
              </w:rPr>
              <w:t xml:space="preserve"> </w:t>
            </w:r>
            <w:r w:rsidR="00266680" w:rsidRPr="00317D60">
              <w:rPr>
                <w:sz w:val="20"/>
                <w:szCs w:val="20"/>
              </w:rPr>
              <w:t>dotyczy</w:t>
            </w:r>
            <w:r w:rsidR="003B1A48">
              <w:rPr>
                <w:sz w:val="20"/>
                <w:szCs w:val="20"/>
              </w:rPr>
              <w:t xml:space="preserve"> </w:t>
            </w:r>
            <w:r w:rsidR="00266680" w:rsidRPr="00317D60">
              <w:rPr>
                <w:sz w:val="20"/>
                <w:szCs w:val="20"/>
              </w:rPr>
              <w:t>terapii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="00266680" w:rsidRPr="00317D60">
              <w:rPr>
                <w:sz w:val="20"/>
                <w:szCs w:val="20"/>
              </w:rPr>
              <w:t>sorafenibem</w:t>
            </w:r>
            <w:proofErr w:type="spellEnd"/>
            <w:r w:rsidR="00266680" w:rsidRPr="00317D60">
              <w:rPr>
                <w:sz w:val="20"/>
                <w:szCs w:val="20"/>
              </w:rPr>
              <w:t>;;</w:t>
            </w:r>
          </w:p>
          <w:p w14:paraId="161B7559" w14:textId="23261359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możliwość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zastosowania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leczenia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miejscowego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raka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wątrobo</w:t>
            </w:r>
            <w:r w:rsidR="00AE7234" w:rsidRPr="00317D60">
              <w:rPr>
                <w:sz w:val="20"/>
                <w:szCs w:val="20"/>
              </w:rPr>
              <w:t>wo</w:t>
            </w:r>
            <w:r w:rsidRPr="00317D60">
              <w:rPr>
                <w:sz w:val="20"/>
                <w:szCs w:val="20"/>
              </w:rPr>
              <w:t>komórkowego</w:t>
            </w:r>
            <w:proofErr w:type="spellEnd"/>
            <w:r w:rsidRPr="00317D60">
              <w:rPr>
                <w:sz w:val="20"/>
                <w:szCs w:val="20"/>
              </w:rPr>
              <w:t>;</w:t>
            </w:r>
          </w:p>
          <w:p w14:paraId="36718A82" w14:textId="687415DF" w:rsidR="00266680" w:rsidRPr="00317D60" w:rsidRDefault="00266680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brak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wcześniejszego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leczenia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sorafenibem</w:t>
            </w:r>
            <w:proofErr w:type="spellEnd"/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–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dotyczy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terapii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kabozantynibem</w:t>
            </w:r>
            <w:proofErr w:type="spellEnd"/>
            <w:r w:rsidRPr="00317D60">
              <w:rPr>
                <w:sz w:val="20"/>
                <w:szCs w:val="20"/>
              </w:rPr>
              <w:t>;</w:t>
            </w:r>
          </w:p>
          <w:p w14:paraId="3CDB7964" w14:textId="11EE8D7B" w:rsidR="00266680" w:rsidRPr="00317D60" w:rsidRDefault="00266680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brak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udokumentowanej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nieskuteczności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nietolerancji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sorafeniu</w:t>
            </w:r>
            <w:proofErr w:type="spellEnd"/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–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dotyczy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terapii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kabozantynibem</w:t>
            </w:r>
            <w:proofErr w:type="spellEnd"/>
            <w:r w:rsidRPr="00317D60">
              <w:rPr>
                <w:sz w:val="20"/>
                <w:szCs w:val="20"/>
              </w:rPr>
              <w:t>;</w:t>
            </w:r>
          </w:p>
          <w:p w14:paraId="4ACCB4D7" w14:textId="751436EB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nadwrażliwość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na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substancję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czynną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substancje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pomocnicze;</w:t>
            </w:r>
          </w:p>
          <w:p w14:paraId="2A4268D5" w14:textId="478CF34F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stan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sprawności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2-4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według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WHO;</w:t>
            </w:r>
          </w:p>
          <w:p w14:paraId="50BC8D38" w14:textId="3358BA33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obecność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przerzutów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poza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wątrobą</w:t>
            </w:r>
            <w:r w:rsidR="003B1A48">
              <w:rPr>
                <w:sz w:val="20"/>
                <w:szCs w:val="20"/>
              </w:rPr>
              <w:t xml:space="preserve"> </w:t>
            </w:r>
            <w:r w:rsidR="00266680" w:rsidRPr="00317D60">
              <w:rPr>
                <w:sz w:val="20"/>
                <w:szCs w:val="20"/>
              </w:rPr>
              <w:t>–</w:t>
            </w:r>
            <w:r w:rsidR="003B1A48">
              <w:rPr>
                <w:sz w:val="20"/>
                <w:szCs w:val="20"/>
              </w:rPr>
              <w:t xml:space="preserve"> </w:t>
            </w:r>
            <w:r w:rsidR="00266680" w:rsidRPr="00317D60">
              <w:rPr>
                <w:sz w:val="20"/>
                <w:szCs w:val="20"/>
              </w:rPr>
              <w:t>dotyczy</w:t>
            </w:r>
            <w:r w:rsidR="003B1A48">
              <w:rPr>
                <w:sz w:val="20"/>
                <w:szCs w:val="20"/>
              </w:rPr>
              <w:t xml:space="preserve"> </w:t>
            </w:r>
            <w:r w:rsidR="00266680" w:rsidRPr="00317D60">
              <w:rPr>
                <w:sz w:val="20"/>
                <w:szCs w:val="20"/>
              </w:rPr>
              <w:t>terapii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="00266680" w:rsidRPr="00317D60">
              <w:rPr>
                <w:sz w:val="20"/>
                <w:szCs w:val="20"/>
              </w:rPr>
              <w:t>sorafenibem</w:t>
            </w:r>
            <w:proofErr w:type="spellEnd"/>
            <w:r w:rsidR="00266680" w:rsidRPr="00317D60">
              <w:rPr>
                <w:sz w:val="20"/>
                <w:szCs w:val="20"/>
              </w:rPr>
              <w:t>;</w:t>
            </w:r>
          </w:p>
          <w:p w14:paraId="6C826F03" w14:textId="29C86B14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niekontrolowane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nadciśnienie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tętnicze;</w:t>
            </w:r>
          </w:p>
          <w:p w14:paraId="62E9C5D7" w14:textId="07D5E5AD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obecność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istotnych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schorzeń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współistniejących</w:t>
            </w:r>
            <w:r w:rsidR="003B1A48">
              <w:rPr>
                <w:sz w:val="20"/>
                <w:szCs w:val="20"/>
              </w:rPr>
              <w:t xml:space="preserve"> </w:t>
            </w:r>
            <w:r w:rsidR="00266680" w:rsidRPr="00317D60">
              <w:rPr>
                <w:sz w:val="20"/>
                <w:szCs w:val="20"/>
              </w:rPr>
              <w:t>mogących</w:t>
            </w:r>
            <w:r w:rsidR="003B1A48">
              <w:rPr>
                <w:sz w:val="20"/>
                <w:szCs w:val="20"/>
              </w:rPr>
              <w:t xml:space="preserve"> </w:t>
            </w:r>
            <w:r w:rsidR="00266680" w:rsidRPr="00317D60">
              <w:rPr>
                <w:sz w:val="20"/>
                <w:szCs w:val="20"/>
              </w:rPr>
              <w:t>wpływać</w:t>
            </w:r>
            <w:r w:rsidR="003B1A48">
              <w:rPr>
                <w:sz w:val="20"/>
                <w:szCs w:val="20"/>
              </w:rPr>
              <w:t xml:space="preserve"> </w:t>
            </w:r>
            <w:r w:rsidR="00266680" w:rsidRPr="00317D60">
              <w:rPr>
                <w:sz w:val="20"/>
                <w:szCs w:val="20"/>
              </w:rPr>
              <w:t>na</w:t>
            </w:r>
            <w:r w:rsidR="003B1A48">
              <w:rPr>
                <w:sz w:val="20"/>
                <w:szCs w:val="20"/>
              </w:rPr>
              <w:t xml:space="preserve"> </w:t>
            </w:r>
            <w:r w:rsidR="00266680" w:rsidRPr="00317D60">
              <w:rPr>
                <w:sz w:val="20"/>
                <w:szCs w:val="20"/>
              </w:rPr>
              <w:t>skuteczność</w:t>
            </w:r>
            <w:r w:rsidR="003B1A48">
              <w:rPr>
                <w:sz w:val="20"/>
                <w:szCs w:val="20"/>
              </w:rPr>
              <w:t xml:space="preserve"> </w:t>
            </w:r>
            <w:r w:rsidR="00266680" w:rsidRPr="00317D60">
              <w:rPr>
                <w:sz w:val="20"/>
                <w:szCs w:val="20"/>
              </w:rPr>
              <w:t>i</w:t>
            </w:r>
            <w:r w:rsidR="003B1A48">
              <w:rPr>
                <w:sz w:val="20"/>
                <w:szCs w:val="20"/>
              </w:rPr>
              <w:t xml:space="preserve"> </w:t>
            </w:r>
            <w:r w:rsidR="00266680" w:rsidRPr="00317D60">
              <w:rPr>
                <w:sz w:val="20"/>
                <w:szCs w:val="20"/>
              </w:rPr>
              <w:t>bezpieczeństwo</w:t>
            </w:r>
            <w:r w:rsidR="003B1A48">
              <w:rPr>
                <w:sz w:val="20"/>
                <w:szCs w:val="20"/>
              </w:rPr>
              <w:t xml:space="preserve"> </w:t>
            </w:r>
            <w:r w:rsidR="00266680" w:rsidRPr="00317D60">
              <w:rPr>
                <w:sz w:val="20"/>
                <w:szCs w:val="20"/>
              </w:rPr>
              <w:t>terapii;</w:t>
            </w:r>
          </w:p>
          <w:p w14:paraId="3D57BDC5" w14:textId="2707E582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uszkodzenie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szpiku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kostnego,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nerek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wątroby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(brak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spełnienia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laboratoryjnych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kryteriów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włączenia</w:t>
            </w:r>
            <w:r w:rsidR="003B1A48">
              <w:rPr>
                <w:sz w:val="20"/>
                <w:szCs w:val="20"/>
              </w:rPr>
              <w:t xml:space="preserve"> </w:t>
            </w:r>
            <w:r w:rsidR="001A0AD1" w:rsidRPr="00317D60">
              <w:rPr>
                <w:sz w:val="20"/>
                <w:szCs w:val="20"/>
              </w:rPr>
              <w:t>do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programu);</w:t>
            </w:r>
          </w:p>
          <w:p w14:paraId="6A180149" w14:textId="5E879295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ciąża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karmienie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piersią;</w:t>
            </w:r>
          </w:p>
          <w:p w14:paraId="425EA2EB" w14:textId="248B8C8E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brak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zgody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na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stosowanie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efektywnej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antykoncepcji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(u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mężczyzn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u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kobiet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okresie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prokreacyjnym).</w:t>
            </w:r>
          </w:p>
          <w:p w14:paraId="7982776B" w14:textId="77777777" w:rsidR="00317D60" w:rsidRPr="00317D60" w:rsidRDefault="00317D60" w:rsidP="00317D60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439CE25E" w14:textId="774E33C4" w:rsidR="004B0AE2" w:rsidRPr="00317D60" w:rsidRDefault="004B0AE2" w:rsidP="00317D60">
            <w:pPr>
              <w:pStyle w:val="Akapitzlist"/>
              <w:numPr>
                <w:ilvl w:val="0"/>
                <w:numId w:val="1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317D60">
              <w:rPr>
                <w:rFonts w:ascii="Times New Roman" w:hAnsi="Times New Roman"/>
                <w:b/>
              </w:rPr>
              <w:t>Określenie</w:t>
            </w:r>
            <w:r w:rsidR="003B1A48">
              <w:rPr>
                <w:rFonts w:ascii="Times New Roman" w:hAnsi="Times New Roman"/>
                <w:b/>
              </w:rPr>
              <w:t xml:space="preserve"> </w:t>
            </w:r>
            <w:r w:rsidRPr="00317D60">
              <w:rPr>
                <w:rFonts w:ascii="Times New Roman" w:hAnsi="Times New Roman"/>
                <w:b/>
              </w:rPr>
              <w:t>czasu</w:t>
            </w:r>
            <w:r w:rsidR="003B1A48">
              <w:rPr>
                <w:rFonts w:ascii="Times New Roman" w:hAnsi="Times New Roman"/>
                <w:b/>
              </w:rPr>
              <w:t xml:space="preserve"> </w:t>
            </w:r>
            <w:r w:rsidRPr="00317D60">
              <w:rPr>
                <w:rFonts w:ascii="Times New Roman" w:hAnsi="Times New Roman"/>
                <w:b/>
              </w:rPr>
              <w:t>leczenia</w:t>
            </w:r>
            <w:r w:rsidR="003B1A48">
              <w:rPr>
                <w:rFonts w:ascii="Times New Roman" w:hAnsi="Times New Roman"/>
                <w:b/>
              </w:rPr>
              <w:t xml:space="preserve"> </w:t>
            </w:r>
            <w:r w:rsidRPr="00317D60">
              <w:rPr>
                <w:rFonts w:ascii="Times New Roman" w:hAnsi="Times New Roman"/>
                <w:b/>
              </w:rPr>
              <w:t>w</w:t>
            </w:r>
            <w:r w:rsidR="003B1A48">
              <w:rPr>
                <w:rFonts w:ascii="Times New Roman" w:hAnsi="Times New Roman"/>
                <w:b/>
              </w:rPr>
              <w:t xml:space="preserve"> </w:t>
            </w:r>
            <w:r w:rsidRPr="00317D60">
              <w:rPr>
                <w:rFonts w:ascii="Times New Roman" w:hAnsi="Times New Roman"/>
                <w:b/>
              </w:rPr>
              <w:t>programie</w:t>
            </w:r>
          </w:p>
          <w:p w14:paraId="7C85492C" w14:textId="1D7540D5" w:rsidR="004B0AE2" w:rsidRPr="00317D60" w:rsidRDefault="004B0AE2" w:rsidP="00317D60">
            <w:pPr>
              <w:pStyle w:val="Akapitzlist"/>
              <w:spacing w:after="60" w:line="276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317D60">
              <w:rPr>
                <w:rFonts w:ascii="Times New Roman" w:hAnsi="Times New Roman"/>
              </w:rPr>
              <w:t>Leczenie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trwa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do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czasu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podjęcia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przez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EA7731" w:rsidRPr="00317D60">
              <w:rPr>
                <w:rFonts w:ascii="Times New Roman" w:hAnsi="Times New Roman"/>
              </w:rPr>
              <w:t>lekarza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EA7731" w:rsidRPr="00317D60">
              <w:rPr>
                <w:rFonts w:ascii="Times New Roman" w:hAnsi="Times New Roman"/>
              </w:rPr>
              <w:t>prowadzącego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EA7731" w:rsidRPr="00317D60">
              <w:rPr>
                <w:rFonts w:ascii="Times New Roman" w:hAnsi="Times New Roman"/>
              </w:rPr>
              <w:t>decyzji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EA7731" w:rsidRPr="00317D60">
              <w:rPr>
                <w:rFonts w:ascii="Times New Roman" w:hAnsi="Times New Roman"/>
              </w:rPr>
              <w:t>o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wyłączeniu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świadczeniobiorcy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z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programu,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zgodnie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z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kryteriami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wyłączenia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z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programu,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o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których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mowa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w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ust.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4.</w:t>
            </w:r>
          </w:p>
          <w:p w14:paraId="7F67C253" w14:textId="77777777" w:rsidR="00317D60" w:rsidRPr="00317D60" w:rsidRDefault="00317D60" w:rsidP="00317D60">
            <w:pPr>
              <w:pStyle w:val="Akapitzlist"/>
              <w:spacing w:after="60" w:line="276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</w:p>
          <w:p w14:paraId="20550BCE" w14:textId="7A82993D" w:rsidR="004B0AE2" w:rsidRPr="00317D60" w:rsidRDefault="004B0AE2" w:rsidP="00317D60">
            <w:pPr>
              <w:pStyle w:val="Akapitzlist"/>
              <w:numPr>
                <w:ilvl w:val="0"/>
                <w:numId w:val="1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317D60">
              <w:rPr>
                <w:rFonts w:ascii="Times New Roman" w:hAnsi="Times New Roman"/>
                <w:b/>
              </w:rPr>
              <w:lastRenderedPageBreak/>
              <w:t>Kryteria</w:t>
            </w:r>
            <w:r w:rsidR="003B1A48">
              <w:rPr>
                <w:rFonts w:ascii="Times New Roman" w:hAnsi="Times New Roman"/>
                <w:b/>
              </w:rPr>
              <w:t xml:space="preserve"> </w:t>
            </w:r>
            <w:r w:rsidRPr="00317D60">
              <w:rPr>
                <w:rFonts w:ascii="Times New Roman" w:hAnsi="Times New Roman"/>
                <w:b/>
              </w:rPr>
              <w:t>wyłączenia</w:t>
            </w:r>
            <w:r w:rsidR="003B1A48">
              <w:rPr>
                <w:rFonts w:ascii="Times New Roman" w:hAnsi="Times New Roman"/>
                <w:b/>
              </w:rPr>
              <w:t xml:space="preserve"> </w:t>
            </w:r>
            <w:r w:rsidRPr="00317D60">
              <w:rPr>
                <w:rFonts w:ascii="Times New Roman" w:hAnsi="Times New Roman"/>
                <w:b/>
              </w:rPr>
              <w:t>z</w:t>
            </w:r>
            <w:r w:rsidR="003B1A48">
              <w:rPr>
                <w:rFonts w:ascii="Times New Roman" w:hAnsi="Times New Roman"/>
                <w:b/>
              </w:rPr>
              <w:t xml:space="preserve"> </w:t>
            </w:r>
            <w:r w:rsidRPr="00317D60">
              <w:rPr>
                <w:rFonts w:ascii="Times New Roman" w:hAnsi="Times New Roman"/>
                <w:b/>
              </w:rPr>
              <w:t>programu</w:t>
            </w:r>
          </w:p>
          <w:p w14:paraId="79B2AA2F" w14:textId="247D45A0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wystąpienie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objawów</w:t>
            </w:r>
            <w:r w:rsidR="003B1A48">
              <w:rPr>
                <w:sz w:val="20"/>
                <w:szCs w:val="20"/>
              </w:rPr>
              <w:t xml:space="preserve"> </w:t>
            </w:r>
            <w:r w:rsidR="000D5C9D" w:rsidRPr="00317D60">
              <w:rPr>
                <w:sz w:val="20"/>
                <w:szCs w:val="20"/>
              </w:rPr>
              <w:t>nadwrażliwości</w:t>
            </w:r>
            <w:r w:rsidR="003B1A48">
              <w:rPr>
                <w:sz w:val="20"/>
                <w:szCs w:val="20"/>
              </w:rPr>
              <w:t xml:space="preserve"> </w:t>
            </w:r>
            <w:r w:rsidR="000D5C9D" w:rsidRPr="00317D60">
              <w:rPr>
                <w:sz w:val="20"/>
                <w:szCs w:val="20"/>
              </w:rPr>
              <w:t>na</w:t>
            </w:r>
            <w:r w:rsidR="003B1A48">
              <w:rPr>
                <w:sz w:val="20"/>
                <w:szCs w:val="20"/>
              </w:rPr>
              <w:t xml:space="preserve"> </w:t>
            </w:r>
            <w:r w:rsidR="00A60C8B" w:rsidRPr="00317D60">
              <w:rPr>
                <w:sz w:val="20"/>
                <w:szCs w:val="20"/>
              </w:rPr>
              <w:t>lek</w:t>
            </w:r>
            <w:r w:rsidR="003B1A48">
              <w:rPr>
                <w:sz w:val="20"/>
                <w:szCs w:val="20"/>
              </w:rPr>
              <w:t xml:space="preserve"> </w:t>
            </w:r>
            <w:r w:rsidR="000D5C9D"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którąkolwiek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substancję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pomocniczą;</w:t>
            </w:r>
          </w:p>
          <w:p w14:paraId="5637D0CC" w14:textId="57FA1744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obiektywna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progresja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choroby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trakcie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stosowania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leku;</w:t>
            </w:r>
          </w:p>
          <w:p w14:paraId="3652088A" w14:textId="00DD0AF8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wystąpienie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działań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niepożądanych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uniemożliwiających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kontynuację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leczenia,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tym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istotnego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pogorszenia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stanu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sprawności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ogólnej;</w:t>
            </w:r>
          </w:p>
          <w:p w14:paraId="041E553A" w14:textId="5DBBC52D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istotne,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ocenie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lekarza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prowadzącego,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pogorszenie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jakości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życia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świadczeniobiorcy;</w:t>
            </w:r>
          </w:p>
          <w:p w14:paraId="5A520698" w14:textId="0DEBA4C0" w:rsidR="004B0AE2" w:rsidRPr="00317D60" w:rsidRDefault="004B0AE2" w:rsidP="00317D60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rezygnacja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świadczeniobiorcy.</w:t>
            </w:r>
          </w:p>
          <w:p w14:paraId="1AB8434D" w14:textId="1C6142F2" w:rsidR="00317D60" w:rsidRPr="00317D60" w:rsidRDefault="00317D60" w:rsidP="00317D60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pct"/>
          </w:tcPr>
          <w:p w14:paraId="29FAA16A" w14:textId="41BB9D0C" w:rsidR="00A60C8B" w:rsidRPr="00317D60" w:rsidRDefault="00A60C8B" w:rsidP="00317D60">
            <w:pPr>
              <w:pStyle w:val="Akapitzlist"/>
              <w:numPr>
                <w:ilvl w:val="0"/>
                <w:numId w:val="20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 w:rsidRPr="00317D60">
              <w:rPr>
                <w:rFonts w:ascii="Times New Roman" w:hAnsi="Times New Roman"/>
                <w:b/>
                <w:bCs/>
              </w:rPr>
              <w:lastRenderedPageBreak/>
              <w:t>Dawkowanie</w:t>
            </w:r>
          </w:p>
          <w:p w14:paraId="0F0F1B14" w14:textId="77777777" w:rsidR="00A60C8B" w:rsidRPr="00317D60" w:rsidRDefault="00A60C8B" w:rsidP="00317D60">
            <w:pPr>
              <w:numPr>
                <w:ilvl w:val="3"/>
                <w:numId w:val="20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317D60">
              <w:rPr>
                <w:sz w:val="20"/>
                <w:szCs w:val="20"/>
              </w:rPr>
              <w:t>Sorafenib</w:t>
            </w:r>
            <w:proofErr w:type="spellEnd"/>
          </w:p>
          <w:p w14:paraId="4EADD232" w14:textId="0C01D5AC" w:rsidR="004B0AE2" w:rsidRPr="00317D60" w:rsidRDefault="004B0AE2" w:rsidP="00317D60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</w:rPr>
            </w:pPr>
            <w:proofErr w:type="spellStart"/>
            <w:r w:rsidRPr="00317D60">
              <w:rPr>
                <w:rFonts w:ascii="Times New Roman" w:hAnsi="Times New Roman"/>
              </w:rPr>
              <w:t>Sorafenib</w:t>
            </w:r>
            <w:proofErr w:type="spellEnd"/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jes</w:t>
            </w:r>
            <w:r w:rsidR="00A23B4E" w:rsidRPr="00317D60">
              <w:rPr>
                <w:rFonts w:ascii="Times New Roman" w:hAnsi="Times New Roman"/>
              </w:rPr>
              <w:t>t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23B4E" w:rsidRPr="00317D60">
              <w:rPr>
                <w:rFonts w:ascii="Times New Roman" w:hAnsi="Times New Roman"/>
              </w:rPr>
              <w:t>stosowany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23B4E" w:rsidRPr="00317D60">
              <w:rPr>
                <w:rFonts w:ascii="Times New Roman" w:hAnsi="Times New Roman"/>
              </w:rPr>
              <w:t>w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23B4E" w:rsidRPr="00317D60">
              <w:rPr>
                <w:rFonts w:ascii="Times New Roman" w:hAnsi="Times New Roman"/>
              </w:rPr>
              <w:t>dobowej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23B4E" w:rsidRPr="00317D60">
              <w:rPr>
                <w:rFonts w:ascii="Times New Roman" w:hAnsi="Times New Roman"/>
              </w:rPr>
              <w:t>dawce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23B4E" w:rsidRPr="00317D60">
              <w:rPr>
                <w:rFonts w:ascii="Times New Roman" w:hAnsi="Times New Roman"/>
              </w:rPr>
              <w:t>800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mg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(2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razy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dziennie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po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2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t</w:t>
            </w:r>
            <w:r w:rsidR="002607E2" w:rsidRPr="00317D60">
              <w:rPr>
                <w:rFonts w:ascii="Times New Roman" w:hAnsi="Times New Roman"/>
              </w:rPr>
              <w:t>abletki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2607E2" w:rsidRPr="00317D60">
              <w:rPr>
                <w:rFonts w:ascii="Times New Roman" w:hAnsi="Times New Roman"/>
              </w:rPr>
              <w:t>zawierające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2607E2" w:rsidRPr="00317D60">
              <w:rPr>
                <w:rFonts w:ascii="Times New Roman" w:hAnsi="Times New Roman"/>
              </w:rPr>
              <w:t>200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2607E2" w:rsidRPr="00317D60">
              <w:rPr>
                <w:rFonts w:ascii="Times New Roman" w:hAnsi="Times New Roman"/>
              </w:rPr>
              <w:t>mg)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2607E2" w:rsidRPr="00317D60">
              <w:rPr>
                <w:rFonts w:ascii="Times New Roman" w:hAnsi="Times New Roman"/>
              </w:rPr>
              <w:t>bez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przerw.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W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przypadkach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wystąpienia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ist</w:t>
            </w:r>
            <w:r w:rsidR="002607E2" w:rsidRPr="00317D60">
              <w:rPr>
                <w:rFonts w:ascii="Times New Roman" w:hAnsi="Times New Roman"/>
              </w:rPr>
              <w:t>otnych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2607E2" w:rsidRPr="00317D60">
              <w:rPr>
                <w:rFonts w:ascii="Times New Roman" w:hAnsi="Times New Roman"/>
              </w:rPr>
              <w:t>klinicznie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2607E2" w:rsidRPr="00317D60">
              <w:rPr>
                <w:rFonts w:ascii="Times New Roman" w:hAnsi="Times New Roman"/>
              </w:rPr>
              <w:t>lub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ciężkich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działań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niepożądanych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należy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przerwać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stosowanie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leku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aż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do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zmniejszenia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się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nasilenia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tych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objawów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oraz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należy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rozważyć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zmniejsze</w:t>
            </w:r>
            <w:r w:rsidR="00A23B4E" w:rsidRPr="00317D60">
              <w:rPr>
                <w:rFonts w:ascii="Times New Roman" w:hAnsi="Times New Roman"/>
              </w:rPr>
              <w:t>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23B4E" w:rsidRPr="00317D60">
              <w:rPr>
                <w:rFonts w:ascii="Times New Roman" w:hAnsi="Times New Roman"/>
              </w:rPr>
              <w:t>dobowej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23B4E" w:rsidRPr="00317D60">
              <w:rPr>
                <w:rFonts w:ascii="Times New Roman" w:hAnsi="Times New Roman"/>
              </w:rPr>
              <w:t>dawki</w:t>
            </w:r>
            <w:r w:rsidR="003B1A48">
              <w:rPr>
                <w:rFonts w:ascii="Times New Roman" w:hAnsi="Times New Roman"/>
              </w:rPr>
              <w:t xml:space="preserve"> </w:t>
            </w:r>
            <w:proofErr w:type="spellStart"/>
            <w:r w:rsidR="00A23B4E" w:rsidRPr="00317D60">
              <w:rPr>
                <w:rFonts w:ascii="Times New Roman" w:hAnsi="Times New Roman"/>
              </w:rPr>
              <w:t>sorafenibu</w:t>
            </w:r>
            <w:proofErr w:type="spellEnd"/>
            <w:r w:rsidR="003B1A48">
              <w:rPr>
                <w:rFonts w:ascii="Times New Roman" w:hAnsi="Times New Roman"/>
              </w:rPr>
              <w:t xml:space="preserve"> </w:t>
            </w:r>
            <w:r w:rsidR="00A23B4E" w:rsidRPr="00317D60">
              <w:rPr>
                <w:rFonts w:ascii="Times New Roman" w:hAnsi="Times New Roman"/>
              </w:rPr>
              <w:t>do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400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mg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dziennie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(2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tabletki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po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200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mg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raz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dziennie).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Jeżeli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istotne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klinicznie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lub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ciężkie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działania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niepożądane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ni</w:t>
            </w:r>
            <w:r w:rsidR="00A23B4E" w:rsidRPr="00317D60">
              <w:rPr>
                <w:rFonts w:ascii="Times New Roman" w:hAnsi="Times New Roman"/>
              </w:rPr>
              <w:t>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23B4E" w:rsidRPr="00317D60">
              <w:rPr>
                <w:rFonts w:ascii="Times New Roman" w:hAnsi="Times New Roman"/>
              </w:rPr>
              <w:t>zmniejszą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23B4E" w:rsidRPr="00317D60">
              <w:rPr>
                <w:rFonts w:ascii="Times New Roman" w:hAnsi="Times New Roman"/>
              </w:rPr>
              <w:t>swojego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23B4E" w:rsidRPr="00317D60">
              <w:rPr>
                <w:rFonts w:ascii="Times New Roman" w:hAnsi="Times New Roman"/>
              </w:rPr>
              <w:t>nasilenia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23B4E" w:rsidRPr="00317D60">
              <w:rPr>
                <w:rFonts w:ascii="Times New Roman" w:hAnsi="Times New Roman"/>
              </w:rPr>
              <w:t>w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okresie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4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tygodni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pomimo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przerwania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podawania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leku,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należy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zakończyć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leczenie.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Jeżeli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pomimo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zmniejszenia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dawki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do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400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mg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dziennie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istotne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klinicznie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lub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ciężkie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działania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niepożądane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ponownie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wystąpią,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należy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zredukować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dawkę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leku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do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400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mg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podawanych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co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drugi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dzień.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Dalsze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redukcje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dawki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leku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są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możliwe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-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ponowne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pojawienie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się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istotnych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klinicznie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lub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ciężkich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działań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niepożądanych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nakazuje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zakończenie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leczenia.</w:t>
            </w:r>
          </w:p>
          <w:p w14:paraId="03574714" w14:textId="63E50DAB" w:rsidR="00FA2F72" w:rsidRPr="00317D60" w:rsidRDefault="00FA2F72" w:rsidP="00317D60">
            <w:pPr>
              <w:numPr>
                <w:ilvl w:val="3"/>
                <w:numId w:val="20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317D60">
              <w:rPr>
                <w:sz w:val="20"/>
                <w:szCs w:val="20"/>
              </w:rPr>
              <w:lastRenderedPageBreak/>
              <w:t>Kabozanytynib</w:t>
            </w:r>
            <w:proofErr w:type="spellEnd"/>
            <w:r w:rsidR="003B1A48">
              <w:rPr>
                <w:sz w:val="20"/>
                <w:szCs w:val="20"/>
              </w:rPr>
              <w:t xml:space="preserve"> </w:t>
            </w:r>
          </w:p>
          <w:p w14:paraId="4C20D4DC" w14:textId="523555E6" w:rsidR="00A778D8" w:rsidRPr="00317D60" w:rsidRDefault="00FA2F72" w:rsidP="00317D60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</w:rPr>
            </w:pPr>
            <w:r w:rsidRPr="00317D60">
              <w:rPr>
                <w:rFonts w:ascii="Times New Roman" w:hAnsi="Times New Roman"/>
              </w:rPr>
              <w:t>Dawkowanie</w:t>
            </w:r>
            <w:r w:rsidR="003B1A48">
              <w:rPr>
                <w:rFonts w:ascii="Times New Roman" w:hAnsi="Times New Roman"/>
              </w:rPr>
              <w:t xml:space="preserve"> </w:t>
            </w:r>
            <w:proofErr w:type="spellStart"/>
            <w:r w:rsidRPr="00317D60">
              <w:rPr>
                <w:rFonts w:ascii="Times New Roman" w:hAnsi="Times New Roman"/>
              </w:rPr>
              <w:t>kabozantynibu</w:t>
            </w:r>
            <w:proofErr w:type="spellEnd"/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oraz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kryteria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778D8" w:rsidRPr="00317D60">
              <w:rPr>
                <w:rFonts w:ascii="Times New Roman" w:hAnsi="Times New Roman"/>
              </w:rPr>
              <w:t>i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778D8" w:rsidRPr="00317D60">
              <w:rPr>
                <w:rFonts w:ascii="Times New Roman" w:hAnsi="Times New Roman"/>
              </w:rPr>
              <w:t>sposób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778D8" w:rsidRPr="00317D60">
              <w:rPr>
                <w:rFonts w:ascii="Times New Roman" w:hAnsi="Times New Roman"/>
              </w:rPr>
              <w:t>modyfikacji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778D8" w:rsidRPr="00317D60">
              <w:rPr>
                <w:rFonts w:ascii="Times New Roman" w:hAnsi="Times New Roman"/>
              </w:rPr>
              <w:t>dawkowania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778D8" w:rsidRPr="00317D60">
              <w:rPr>
                <w:rFonts w:ascii="Times New Roman" w:hAnsi="Times New Roman"/>
              </w:rPr>
              <w:t>(w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778D8" w:rsidRPr="00317D60">
              <w:rPr>
                <w:rFonts w:ascii="Times New Roman" w:hAnsi="Times New Roman"/>
              </w:rPr>
              <w:t>tym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778D8" w:rsidRPr="00317D60">
              <w:rPr>
                <w:rFonts w:ascii="Times New Roman" w:hAnsi="Times New Roman"/>
              </w:rPr>
              <w:t>okresowe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778D8" w:rsidRPr="00317D60">
              <w:rPr>
                <w:rFonts w:ascii="Times New Roman" w:hAnsi="Times New Roman"/>
              </w:rPr>
              <w:t>wstrzymanie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778D8" w:rsidRPr="00317D60">
              <w:rPr>
                <w:rFonts w:ascii="Times New Roman" w:hAnsi="Times New Roman"/>
              </w:rPr>
              <w:t>leczenia)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778D8" w:rsidRPr="00317D60">
              <w:rPr>
                <w:rFonts w:ascii="Times New Roman" w:hAnsi="Times New Roman"/>
              </w:rPr>
              <w:t>-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778D8" w:rsidRPr="00317D60">
              <w:rPr>
                <w:rFonts w:ascii="Times New Roman" w:hAnsi="Times New Roman"/>
              </w:rPr>
              <w:t>zgodnie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778D8" w:rsidRPr="00317D60">
              <w:rPr>
                <w:rFonts w:ascii="Times New Roman" w:hAnsi="Times New Roman"/>
              </w:rPr>
              <w:t>z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778D8" w:rsidRPr="00317D60">
              <w:rPr>
                <w:rFonts w:ascii="Times New Roman" w:hAnsi="Times New Roman"/>
              </w:rPr>
              <w:t>aktualną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778D8" w:rsidRPr="00317D60">
              <w:rPr>
                <w:rFonts w:ascii="Times New Roman" w:hAnsi="Times New Roman"/>
              </w:rPr>
              <w:t>Charakterystyką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778D8" w:rsidRPr="00317D60">
              <w:rPr>
                <w:rFonts w:ascii="Times New Roman" w:hAnsi="Times New Roman"/>
              </w:rPr>
              <w:t>Produktu</w:t>
            </w:r>
            <w:r w:rsidR="003B1A48">
              <w:rPr>
                <w:rFonts w:ascii="Times New Roman" w:hAnsi="Times New Roman"/>
              </w:rPr>
              <w:t xml:space="preserve"> </w:t>
            </w:r>
            <w:r w:rsidR="00A778D8" w:rsidRPr="00317D60">
              <w:rPr>
                <w:rFonts w:ascii="Times New Roman" w:hAnsi="Times New Roman"/>
              </w:rPr>
              <w:t>Leczniczego.</w:t>
            </w:r>
          </w:p>
          <w:p w14:paraId="2292D40A" w14:textId="77777777" w:rsidR="004B0AE2" w:rsidRPr="00317D60" w:rsidRDefault="004B0AE2" w:rsidP="00317D60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right w:val="single" w:sz="4" w:space="0" w:color="auto"/>
            </w:tcBorders>
          </w:tcPr>
          <w:p w14:paraId="75DD4E7C" w14:textId="0B78CC21" w:rsidR="004B0AE2" w:rsidRPr="00317D60" w:rsidRDefault="004B0AE2" w:rsidP="00317D60">
            <w:pPr>
              <w:numPr>
                <w:ilvl w:val="0"/>
                <w:numId w:val="21"/>
              </w:numPr>
              <w:spacing w:before="120" w:after="60" w:line="276" w:lineRule="auto"/>
              <w:jc w:val="both"/>
              <w:rPr>
                <w:b/>
                <w:sz w:val="20"/>
                <w:szCs w:val="20"/>
              </w:rPr>
            </w:pPr>
            <w:r w:rsidRPr="00317D60">
              <w:rPr>
                <w:b/>
                <w:sz w:val="20"/>
                <w:szCs w:val="20"/>
              </w:rPr>
              <w:lastRenderedPageBreak/>
              <w:t>Badania</w:t>
            </w:r>
            <w:r w:rsidR="003B1A48">
              <w:rPr>
                <w:b/>
                <w:sz w:val="20"/>
                <w:szCs w:val="20"/>
              </w:rPr>
              <w:t xml:space="preserve"> </w:t>
            </w:r>
            <w:r w:rsidRPr="00317D60">
              <w:rPr>
                <w:b/>
                <w:sz w:val="20"/>
                <w:szCs w:val="20"/>
              </w:rPr>
              <w:t>przy</w:t>
            </w:r>
            <w:r w:rsidR="003B1A48">
              <w:rPr>
                <w:b/>
                <w:sz w:val="20"/>
                <w:szCs w:val="20"/>
              </w:rPr>
              <w:t xml:space="preserve"> </w:t>
            </w:r>
            <w:r w:rsidRPr="00317D60">
              <w:rPr>
                <w:b/>
                <w:sz w:val="20"/>
                <w:szCs w:val="20"/>
              </w:rPr>
              <w:t>kwalifikacji</w:t>
            </w:r>
            <w:r w:rsidR="003B1A48">
              <w:rPr>
                <w:b/>
                <w:sz w:val="20"/>
                <w:szCs w:val="20"/>
              </w:rPr>
              <w:t xml:space="preserve"> </w:t>
            </w:r>
            <w:r w:rsidRPr="00317D60">
              <w:rPr>
                <w:b/>
                <w:sz w:val="20"/>
                <w:szCs w:val="20"/>
              </w:rPr>
              <w:t>do</w:t>
            </w:r>
            <w:r w:rsidR="003B1A48">
              <w:rPr>
                <w:b/>
                <w:sz w:val="20"/>
                <w:szCs w:val="20"/>
              </w:rPr>
              <w:t xml:space="preserve"> </w:t>
            </w:r>
            <w:r w:rsidRPr="00317D60">
              <w:rPr>
                <w:b/>
                <w:sz w:val="20"/>
                <w:szCs w:val="20"/>
              </w:rPr>
              <w:t>leczenia</w:t>
            </w:r>
            <w:r w:rsidR="003B1A4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b/>
                <w:sz w:val="20"/>
                <w:szCs w:val="20"/>
              </w:rPr>
              <w:t>sorafenibem</w:t>
            </w:r>
            <w:proofErr w:type="spellEnd"/>
            <w:r w:rsidR="003B1A48">
              <w:rPr>
                <w:b/>
                <w:sz w:val="20"/>
                <w:szCs w:val="20"/>
              </w:rPr>
              <w:t xml:space="preserve"> </w:t>
            </w:r>
            <w:r w:rsidR="00421300" w:rsidRPr="00317D60">
              <w:rPr>
                <w:b/>
                <w:sz w:val="20"/>
                <w:szCs w:val="20"/>
              </w:rPr>
              <w:t>lub</w:t>
            </w:r>
            <w:r w:rsidR="003B1A4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21300" w:rsidRPr="00317D60">
              <w:rPr>
                <w:b/>
                <w:sz w:val="20"/>
                <w:szCs w:val="20"/>
              </w:rPr>
              <w:t>kabozantynibem</w:t>
            </w:r>
            <w:proofErr w:type="spellEnd"/>
          </w:p>
          <w:p w14:paraId="4618D67E" w14:textId="608534BE" w:rsidR="004B0AE2" w:rsidRPr="00317D60" w:rsidRDefault="00E81117" w:rsidP="00317D60">
            <w:pPr>
              <w:numPr>
                <w:ilvl w:val="3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potwierdzenie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raka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wątrobowokomórkowego</w:t>
            </w:r>
            <w:proofErr w:type="spellEnd"/>
            <w:r w:rsidR="003B1A48">
              <w:rPr>
                <w:sz w:val="20"/>
                <w:szCs w:val="20"/>
              </w:rPr>
              <w:t xml:space="preserve"> </w:t>
            </w:r>
            <w:r w:rsidR="004B0AE2" w:rsidRPr="00317D60">
              <w:rPr>
                <w:sz w:val="20"/>
                <w:szCs w:val="20"/>
              </w:rPr>
              <w:t>histologiczne</w:t>
            </w:r>
            <w:r w:rsidR="003B1A48">
              <w:rPr>
                <w:sz w:val="20"/>
                <w:szCs w:val="20"/>
              </w:rPr>
              <w:t xml:space="preserve"> </w:t>
            </w:r>
            <w:r w:rsidR="004B0AE2"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="004B0AE2" w:rsidRPr="00317D60">
              <w:rPr>
                <w:sz w:val="20"/>
                <w:szCs w:val="20"/>
              </w:rPr>
              <w:t>cytologiczne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="00543C0F" w:rsidRPr="00317D60">
              <w:rPr>
                <w:sz w:val="20"/>
                <w:szCs w:val="20"/>
              </w:rPr>
              <w:t>radiologiczne</w:t>
            </w:r>
            <w:r w:rsidR="003B1A48">
              <w:rPr>
                <w:sz w:val="20"/>
                <w:szCs w:val="20"/>
              </w:rPr>
              <w:t xml:space="preserve"> </w:t>
            </w:r>
            <w:r w:rsidR="00543C0F" w:rsidRPr="00317D60">
              <w:rPr>
                <w:sz w:val="20"/>
                <w:szCs w:val="20"/>
              </w:rPr>
              <w:t>przy</w:t>
            </w:r>
            <w:r w:rsidR="003B1A48">
              <w:rPr>
                <w:sz w:val="20"/>
                <w:szCs w:val="20"/>
              </w:rPr>
              <w:t xml:space="preserve"> </w:t>
            </w:r>
            <w:r w:rsidR="007E5F97" w:rsidRPr="00317D60">
              <w:rPr>
                <w:sz w:val="20"/>
                <w:szCs w:val="20"/>
              </w:rPr>
              <w:t>pomocy</w:t>
            </w:r>
            <w:r w:rsidR="003B1A48">
              <w:rPr>
                <w:sz w:val="20"/>
                <w:szCs w:val="20"/>
              </w:rPr>
              <w:t xml:space="preserve"> </w:t>
            </w:r>
            <w:r w:rsidR="007E5F97" w:rsidRPr="00317D60">
              <w:rPr>
                <w:sz w:val="20"/>
                <w:szCs w:val="20"/>
              </w:rPr>
              <w:t>kontrastowej</w:t>
            </w:r>
            <w:r w:rsidR="003B1A48">
              <w:rPr>
                <w:sz w:val="20"/>
                <w:szCs w:val="20"/>
              </w:rPr>
              <w:t xml:space="preserve"> </w:t>
            </w:r>
            <w:r w:rsidR="007E5F97" w:rsidRPr="00317D60">
              <w:rPr>
                <w:sz w:val="20"/>
                <w:szCs w:val="20"/>
              </w:rPr>
              <w:t>trójfazowej</w:t>
            </w:r>
            <w:r w:rsidR="003B1A48">
              <w:rPr>
                <w:sz w:val="20"/>
                <w:szCs w:val="20"/>
              </w:rPr>
              <w:t xml:space="preserve"> </w:t>
            </w:r>
            <w:r w:rsidR="007E5F97" w:rsidRPr="00317D60">
              <w:rPr>
                <w:sz w:val="20"/>
                <w:szCs w:val="20"/>
              </w:rPr>
              <w:t>dynamicznej</w:t>
            </w:r>
            <w:r w:rsidR="003B1A48">
              <w:rPr>
                <w:sz w:val="20"/>
                <w:szCs w:val="20"/>
              </w:rPr>
              <w:t xml:space="preserve"> </w:t>
            </w:r>
            <w:r w:rsidR="007E5F97" w:rsidRPr="00317D60">
              <w:rPr>
                <w:sz w:val="20"/>
                <w:szCs w:val="20"/>
              </w:rPr>
              <w:t>CT</w:t>
            </w:r>
            <w:r w:rsidR="003B1A48">
              <w:rPr>
                <w:sz w:val="20"/>
                <w:szCs w:val="20"/>
              </w:rPr>
              <w:t xml:space="preserve"> </w:t>
            </w:r>
            <w:r w:rsidR="007E5F97"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="007E5F97" w:rsidRPr="00317D60">
              <w:rPr>
                <w:sz w:val="20"/>
                <w:szCs w:val="20"/>
              </w:rPr>
              <w:t>MRI</w:t>
            </w:r>
            <w:r w:rsidR="003B1A48">
              <w:rPr>
                <w:sz w:val="20"/>
                <w:szCs w:val="20"/>
              </w:rPr>
              <w:t xml:space="preserve"> </w:t>
            </w:r>
            <w:r w:rsidR="007E5F97" w:rsidRPr="00317D60">
              <w:rPr>
                <w:sz w:val="20"/>
                <w:szCs w:val="20"/>
              </w:rPr>
              <w:t>(u</w:t>
            </w:r>
            <w:r w:rsidR="003B1A48">
              <w:rPr>
                <w:sz w:val="20"/>
                <w:szCs w:val="20"/>
              </w:rPr>
              <w:t xml:space="preserve"> </w:t>
            </w:r>
            <w:r w:rsidR="007E5F97" w:rsidRPr="00317D60">
              <w:rPr>
                <w:sz w:val="20"/>
                <w:szCs w:val="20"/>
              </w:rPr>
              <w:t>pacjentów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z</w:t>
            </w:r>
            <w:r w:rsidR="003B1A48">
              <w:rPr>
                <w:sz w:val="20"/>
                <w:szCs w:val="20"/>
              </w:rPr>
              <w:t xml:space="preserve"> </w:t>
            </w:r>
            <w:r w:rsidR="007E5F97" w:rsidRPr="00317D60">
              <w:rPr>
                <w:sz w:val="20"/>
                <w:szCs w:val="20"/>
              </w:rPr>
              <w:t>marskością</w:t>
            </w:r>
            <w:r w:rsidR="003B1A48">
              <w:rPr>
                <w:sz w:val="20"/>
                <w:szCs w:val="20"/>
              </w:rPr>
              <w:t xml:space="preserve"> </w:t>
            </w:r>
            <w:r w:rsidR="007E5F97" w:rsidRPr="00317D60">
              <w:rPr>
                <w:sz w:val="20"/>
                <w:szCs w:val="20"/>
              </w:rPr>
              <w:t>wątroby)</w:t>
            </w:r>
            <w:r w:rsidR="004B0AE2" w:rsidRPr="00317D60">
              <w:rPr>
                <w:sz w:val="20"/>
                <w:szCs w:val="20"/>
              </w:rPr>
              <w:t>;</w:t>
            </w:r>
          </w:p>
          <w:p w14:paraId="41E98BE5" w14:textId="7497B4DE" w:rsidR="004B0AE2" w:rsidRPr="00317D60" w:rsidRDefault="004B0AE2" w:rsidP="00317D60">
            <w:pPr>
              <w:numPr>
                <w:ilvl w:val="3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morfologia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krwi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z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rozmazem;</w:t>
            </w:r>
          </w:p>
          <w:p w14:paraId="37A8AE27" w14:textId="01F15C36" w:rsidR="00A778D8" w:rsidRPr="00317D60" w:rsidRDefault="00A778D8" w:rsidP="00317D60">
            <w:pPr>
              <w:numPr>
                <w:ilvl w:val="3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badanie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ogólne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moczu</w:t>
            </w:r>
          </w:p>
          <w:p w14:paraId="5D2DDF77" w14:textId="69787943" w:rsidR="004B0AE2" w:rsidRPr="00317D60" w:rsidRDefault="004B0AE2" w:rsidP="00317D60">
            <w:pPr>
              <w:numPr>
                <w:ilvl w:val="3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oznaczenie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stężenia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mocznika,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kreatyniny,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AspAT</w:t>
            </w:r>
            <w:proofErr w:type="spellEnd"/>
            <w:r w:rsidRPr="00317D60">
              <w:rPr>
                <w:sz w:val="20"/>
                <w:szCs w:val="20"/>
              </w:rPr>
              <w:t>,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AlAT</w:t>
            </w:r>
            <w:proofErr w:type="spellEnd"/>
            <w:r w:rsidRPr="00317D60">
              <w:rPr>
                <w:sz w:val="20"/>
                <w:szCs w:val="20"/>
              </w:rPr>
              <w:t>,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bilirubiny,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wapnia,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białka,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glu</w:t>
            </w:r>
            <w:r w:rsidR="005C5C9C" w:rsidRPr="00317D60">
              <w:rPr>
                <w:sz w:val="20"/>
                <w:szCs w:val="20"/>
              </w:rPr>
              <w:t>kozy,</w:t>
            </w:r>
            <w:r w:rsidR="003B1A48">
              <w:rPr>
                <w:sz w:val="20"/>
                <w:szCs w:val="20"/>
              </w:rPr>
              <w:t xml:space="preserve"> </w:t>
            </w:r>
            <w:r w:rsidR="005C5C9C" w:rsidRPr="00317D60">
              <w:rPr>
                <w:sz w:val="20"/>
                <w:szCs w:val="20"/>
              </w:rPr>
              <w:t>albumin,</w:t>
            </w:r>
            <w:r w:rsidR="003B1A48">
              <w:rPr>
                <w:sz w:val="20"/>
                <w:szCs w:val="20"/>
              </w:rPr>
              <w:t xml:space="preserve"> </w:t>
            </w:r>
            <w:r w:rsidR="005C5C9C" w:rsidRPr="00317D60">
              <w:rPr>
                <w:sz w:val="20"/>
                <w:szCs w:val="20"/>
              </w:rPr>
              <w:t>AFP</w:t>
            </w:r>
            <w:r w:rsidR="003B1A48">
              <w:rPr>
                <w:sz w:val="20"/>
                <w:szCs w:val="20"/>
              </w:rPr>
              <w:t xml:space="preserve"> </w:t>
            </w:r>
            <w:r w:rsidR="005C5C9C"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surowicy;</w:t>
            </w:r>
            <w:r w:rsidR="003B1A48">
              <w:rPr>
                <w:sz w:val="20"/>
                <w:szCs w:val="20"/>
              </w:rPr>
              <w:t xml:space="preserve"> </w:t>
            </w:r>
          </w:p>
          <w:p w14:paraId="43E2B524" w14:textId="7406B036" w:rsidR="004B0AE2" w:rsidRPr="00317D60" w:rsidRDefault="004B0AE2" w:rsidP="00317D60">
            <w:pPr>
              <w:numPr>
                <w:ilvl w:val="3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oznaczenie</w:t>
            </w:r>
            <w:r w:rsidR="003B1A48">
              <w:rPr>
                <w:sz w:val="20"/>
                <w:szCs w:val="20"/>
              </w:rPr>
              <w:t xml:space="preserve"> </w:t>
            </w:r>
            <w:r w:rsidR="00FA2F72" w:rsidRPr="00317D60">
              <w:rPr>
                <w:sz w:val="20"/>
                <w:szCs w:val="20"/>
              </w:rPr>
              <w:t>fosfatazy</w:t>
            </w:r>
            <w:r w:rsidR="003B1A48">
              <w:rPr>
                <w:sz w:val="20"/>
                <w:szCs w:val="20"/>
              </w:rPr>
              <w:t xml:space="preserve"> </w:t>
            </w:r>
            <w:r w:rsidR="00FA2F72" w:rsidRPr="00317D60">
              <w:rPr>
                <w:sz w:val="20"/>
                <w:szCs w:val="20"/>
              </w:rPr>
              <w:t>alkalicznej,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antygenu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HBS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oraz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przeciwciał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anty-HCV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surowicy</w:t>
            </w:r>
            <w:r w:rsidR="003B1A48">
              <w:rPr>
                <w:sz w:val="20"/>
                <w:szCs w:val="20"/>
              </w:rPr>
              <w:t xml:space="preserve"> </w:t>
            </w:r>
            <w:r w:rsidR="00262741" w:rsidRPr="00317D60">
              <w:rPr>
                <w:sz w:val="20"/>
                <w:szCs w:val="20"/>
              </w:rPr>
              <w:t>–</w:t>
            </w:r>
            <w:r w:rsidR="003B1A48">
              <w:rPr>
                <w:sz w:val="20"/>
                <w:szCs w:val="20"/>
              </w:rPr>
              <w:t xml:space="preserve"> </w:t>
            </w:r>
            <w:r w:rsidR="00262741" w:rsidRPr="00317D60">
              <w:rPr>
                <w:sz w:val="20"/>
                <w:szCs w:val="20"/>
              </w:rPr>
              <w:t>dotyczy</w:t>
            </w:r>
            <w:r w:rsidR="003B1A48">
              <w:rPr>
                <w:sz w:val="20"/>
                <w:szCs w:val="20"/>
              </w:rPr>
              <w:t xml:space="preserve"> </w:t>
            </w:r>
            <w:r w:rsidR="00262741" w:rsidRPr="00317D60">
              <w:rPr>
                <w:sz w:val="20"/>
                <w:szCs w:val="20"/>
              </w:rPr>
              <w:t>terapii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="00262741" w:rsidRPr="00317D60">
              <w:rPr>
                <w:sz w:val="20"/>
                <w:szCs w:val="20"/>
              </w:rPr>
              <w:t>sorafenibem</w:t>
            </w:r>
            <w:proofErr w:type="spellEnd"/>
            <w:r w:rsidR="00262741" w:rsidRPr="00317D60">
              <w:rPr>
                <w:sz w:val="20"/>
                <w:szCs w:val="20"/>
              </w:rPr>
              <w:t>;</w:t>
            </w:r>
          </w:p>
          <w:p w14:paraId="6B4C08E8" w14:textId="20C8C9A1" w:rsidR="004B0AE2" w:rsidRPr="00317D60" w:rsidRDefault="004B0AE2" w:rsidP="00317D60">
            <w:pPr>
              <w:numPr>
                <w:ilvl w:val="3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oznaczenie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INR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czasu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protrombinowego</w:t>
            </w:r>
            <w:proofErr w:type="spellEnd"/>
            <w:r w:rsidRPr="00317D60">
              <w:rPr>
                <w:sz w:val="20"/>
                <w:szCs w:val="20"/>
              </w:rPr>
              <w:t>;</w:t>
            </w:r>
          </w:p>
          <w:p w14:paraId="5EFE9C86" w14:textId="75FA8579" w:rsidR="004B0AE2" w:rsidRPr="00317D60" w:rsidRDefault="004B0AE2" w:rsidP="00317D60">
            <w:pPr>
              <w:numPr>
                <w:ilvl w:val="3"/>
                <w:numId w:val="21"/>
              </w:numPr>
              <w:tabs>
                <w:tab w:val="left" w:pos="357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tomografia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komputerowa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jamy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brzusznej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klatki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piersiowej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celu</w:t>
            </w:r>
            <w:r w:rsidR="003B1A48">
              <w:rPr>
                <w:sz w:val="20"/>
                <w:szCs w:val="20"/>
              </w:rPr>
              <w:t xml:space="preserve"> </w:t>
            </w:r>
            <w:r w:rsidR="00262741" w:rsidRPr="00317D60">
              <w:rPr>
                <w:sz w:val="20"/>
                <w:szCs w:val="20"/>
              </w:rPr>
              <w:t>wykluczenia</w:t>
            </w:r>
            <w:r w:rsidR="003B1A48">
              <w:rPr>
                <w:sz w:val="20"/>
                <w:szCs w:val="20"/>
              </w:rPr>
              <w:t xml:space="preserve"> </w:t>
            </w:r>
            <w:r w:rsidR="00262741" w:rsidRPr="00317D60">
              <w:rPr>
                <w:sz w:val="20"/>
                <w:szCs w:val="20"/>
              </w:rPr>
              <w:t>(</w:t>
            </w:r>
            <w:proofErr w:type="spellStart"/>
            <w:r w:rsidR="00262741" w:rsidRPr="00317D60">
              <w:rPr>
                <w:sz w:val="20"/>
                <w:szCs w:val="20"/>
              </w:rPr>
              <w:t>sorafenib</w:t>
            </w:r>
            <w:proofErr w:type="spellEnd"/>
            <w:r w:rsidR="00262741" w:rsidRPr="00317D60">
              <w:rPr>
                <w:sz w:val="20"/>
                <w:szCs w:val="20"/>
              </w:rPr>
              <w:t>)</w:t>
            </w:r>
            <w:r w:rsidR="003B1A48">
              <w:rPr>
                <w:sz w:val="20"/>
                <w:szCs w:val="20"/>
              </w:rPr>
              <w:t xml:space="preserve"> </w:t>
            </w:r>
            <w:r w:rsidR="00262741"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="00262741" w:rsidRPr="00317D60">
              <w:rPr>
                <w:sz w:val="20"/>
                <w:szCs w:val="20"/>
              </w:rPr>
              <w:t>oceny</w:t>
            </w:r>
            <w:r w:rsidR="003B1A48">
              <w:rPr>
                <w:sz w:val="20"/>
                <w:szCs w:val="20"/>
              </w:rPr>
              <w:t xml:space="preserve"> </w:t>
            </w:r>
            <w:r w:rsidR="00262741" w:rsidRPr="00317D60">
              <w:rPr>
                <w:sz w:val="20"/>
                <w:szCs w:val="20"/>
              </w:rPr>
              <w:t>(</w:t>
            </w:r>
            <w:proofErr w:type="spellStart"/>
            <w:r w:rsidR="00262741" w:rsidRPr="00317D60">
              <w:rPr>
                <w:sz w:val="20"/>
                <w:szCs w:val="20"/>
              </w:rPr>
              <w:t>kabozantynib</w:t>
            </w:r>
            <w:proofErr w:type="spellEnd"/>
            <w:r w:rsidR="00262741" w:rsidRPr="00317D60">
              <w:rPr>
                <w:sz w:val="20"/>
                <w:szCs w:val="20"/>
              </w:rPr>
              <w:t>)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przerzutów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pozaw</w:t>
            </w:r>
            <w:r w:rsidR="005C5C9C" w:rsidRPr="00317D60">
              <w:rPr>
                <w:sz w:val="20"/>
                <w:szCs w:val="20"/>
              </w:rPr>
              <w:t>ą</w:t>
            </w:r>
            <w:r w:rsidRPr="00317D60">
              <w:rPr>
                <w:sz w:val="20"/>
                <w:szCs w:val="20"/>
              </w:rPr>
              <w:t>trobowych</w:t>
            </w:r>
            <w:proofErr w:type="spellEnd"/>
            <w:r w:rsidRPr="00317D60">
              <w:rPr>
                <w:sz w:val="20"/>
                <w:szCs w:val="20"/>
              </w:rPr>
              <w:t>);</w:t>
            </w:r>
          </w:p>
          <w:p w14:paraId="68C79E6A" w14:textId="437F6274" w:rsidR="004B0AE2" w:rsidRPr="00317D60" w:rsidRDefault="004B0AE2" w:rsidP="00317D60">
            <w:pPr>
              <w:numPr>
                <w:ilvl w:val="3"/>
                <w:numId w:val="21"/>
              </w:numPr>
              <w:tabs>
                <w:tab w:val="left" w:pos="357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RTG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klatki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piersiowej;</w:t>
            </w:r>
            <w:r w:rsidR="003B1A48">
              <w:rPr>
                <w:sz w:val="20"/>
                <w:szCs w:val="20"/>
              </w:rPr>
              <w:t xml:space="preserve"> </w:t>
            </w:r>
          </w:p>
          <w:p w14:paraId="4D152B43" w14:textId="77777777" w:rsidR="004B0AE2" w:rsidRPr="00317D60" w:rsidRDefault="004B0AE2" w:rsidP="00317D60">
            <w:pPr>
              <w:numPr>
                <w:ilvl w:val="3"/>
                <w:numId w:val="21"/>
              </w:numPr>
              <w:tabs>
                <w:tab w:val="left" w:pos="357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EKG;</w:t>
            </w:r>
          </w:p>
          <w:p w14:paraId="4029929D" w14:textId="613DA4C8" w:rsidR="004B0AE2" w:rsidRPr="00317D60" w:rsidRDefault="003B1A48" w:rsidP="00317D60">
            <w:pPr>
              <w:numPr>
                <w:ilvl w:val="3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B0AE2" w:rsidRPr="00317D60">
              <w:rPr>
                <w:sz w:val="20"/>
                <w:szCs w:val="20"/>
              </w:rPr>
              <w:t>próba</w:t>
            </w:r>
            <w:r>
              <w:rPr>
                <w:sz w:val="20"/>
                <w:szCs w:val="20"/>
              </w:rPr>
              <w:t xml:space="preserve"> </w:t>
            </w:r>
            <w:r w:rsidR="004B0AE2" w:rsidRPr="00317D60">
              <w:rPr>
                <w:sz w:val="20"/>
                <w:szCs w:val="20"/>
              </w:rPr>
              <w:t>ciążowa</w:t>
            </w:r>
            <w:r>
              <w:rPr>
                <w:sz w:val="20"/>
                <w:szCs w:val="20"/>
              </w:rPr>
              <w:t xml:space="preserve"> </w:t>
            </w:r>
            <w:r w:rsidR="004B0AE2" w:rsidRPr="00317D60">
              <w:rPr>
                <w:sz w:val="20"/>
                <w:szCs w:val="20"/>
              </w:rPr>
              <w:t>(u</w:t>
            </w:r>
            <w:r>
              <w:rPr>
                <w:sz w:val="20"/>
                <w:szCs w:val="20"/>
              </w:rPr>
              <w:t xml:space="preserve"> </w:t>
            </w:r>
            <w:r w:rsidR="004B0AE2" w:rsidRPr="00317D60">
              <w:rPr>
                <w:sz w:val="20"/>
                <w:szCs w:val="20"/>
              </w:rPr>
              <w:t>kobiet</w:t>
            </w:r>
            <w:r>
              <w:rPr>
                <w:sz w:val="20"/>
                <w:szCs w:val="20"/>
              </w:rPr>
              <w:t xml:space="preserve"> </w:t>
            </w:r>
            <w:r w:rsidR="004B0AE2" w:rsidRPr="00317D60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</w:t>
            </w:r>
            <w:r w:rsidR="004B0AE2" w:rsidRPr="00317D60">
              <w:rPr>
                <w:sz w:val="20"/>
                <w:szCs w:val="20"/>
              </w:rPr>
              <w:t>wieku</w:t>
            </w:r>
            <w:r>
              <w:rPr>
                <w:sz w:val="20"/>
                <w:szCs w:val="20"/>
              </w:rPr>
              <w:t xml:space="preserve"> </w:t>
            </w:r>
            <w:r w:rsidR="004B0AE2" w:rsidRPr="00317D60">
              <w:rPr>
                <w:sz w:val="20"/>
                <w:szCs w:val="20"/>
              </w:rPr>
              <w:t>rozrodczym);</w:t>
            </w:r>
          </w:p>
          <w:p w14:paraId="15EA72BF" w14:textId="68E16B2D" w:rsidR="004B0AE2" w:rsidRPr="00317D60" w:rsidRDefault="004B0AE2" w:rsidP="00317D60">
            <w:pPr>
              <w:numPr>
                <w:ilvl w:val="3"/>
                <w:numId w:val="21"/>
              </w:numPr>
              <w:tabs>
                <w:tab w:val="left" w:pos="357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lastRenderedPageBreak/>
              <w:t>pomiar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ciśnienia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tętniczego.</w:t>
            </w:r>
          </w:p>
          <w:p w14:paraId="73CB4544" w14:textId="7FDB78C8" w:rsidR="004B0AE2" w:rsidRPr="00317D60" w:rsidRDefault="00262741" w:rsidP="00317D60">
            <w:pPr>
              <w:pStyle w:val="Akapitzlist"/>
              <w:numPr>
                <w:ilvl w:val="3"/>
                <w:numId w:val="21"/>
              </w:numPr>
              <w:tabs>
                <w:tab w:val="left" w:pos="357"/>
              </w:tabs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317D60">
              <w:rPr>
                <w:rFonts w:ascii="Times New Roman" w:hAnsi="Times New Roman"/>
              </w:rPr>
              <w:t>Inne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badania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w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razie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wskazań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klinicznych;</w:t>
            </w:r>
          </w:p>
          <w:p w14:paraId="59AE0564" w14:textId="761F3A25" w:rsidR="004B0AE2" w:rsidRPr="00317D60" w:rsidRDefault="004B0AE2" w:rsidP="00317D6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D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Wstępne</w:t>
            </w:r>
            <w:r w:rsidR="003B1A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17D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badania</w:t>
            </w:r>
            <w:r w:rsidR="003B1A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17D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obrazowe</w:t>
            </w:r>
            <w:r w:rsidR="003B1A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17D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muszą</w:t>
            </w:r>
            <w:r w:rsidR="003B1A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17D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umożliwić</w:t>
            </w:r>
            <w:r w:rsidR="003B1A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17D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późniejszą</w:t>
            </w:r>
            <w:r w:rsidR="003B1A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17D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obiektywną</w:t>
            </w:r>
            <w:r w:rsidR="003B1A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17D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ocenę</w:t>
            </w:r>
            <w:r w:rsidR="003B1A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17D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odpowiedzi</w:t>
            </w:r>
            <w:r w:rsidR="003B1A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17D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="003B1A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17D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leczenie</w:t>
            </w:r>
            <w:r w:rsidR="00317D60" w:rsidRPr="00317D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09D04BA" w14:textId="77777777" w:rsidR="00317D60" w:rsidRPr="00317D60" w:rsidRDefault="00317D60" w:rsidP="00317D6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1B76E" w14:textId="42568613" w:rsidR="004B0AE2" w:rsidRPr="00317D60" w:rsidRDefault="004B0AE2" w:rsidP="00317D60">
            <w:pPr>
              <w:numPr>
                <w:ilvl w:val="0"/>
                <w:numId w:val="21"/>
              </w:num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317D60">
              <w:rPr>
                <w:b/>
                <w:sz w:val="20"/>
                <w:szCs w:val="20"/>
              </w:rPr>
              <w:t>Monitorowanie</w:t>
            </w:r>
            <w:r w:rsidR="003B1A48">
              <w:rPr>
                <w:b/>
                <w:sz w:val="20"/>
                <w:szCs w:val="20"/>
              </w:rPr>
              <w:t xml:space="preserve"> </w:t>
            </w:r>
            <w:r w:rsidRPr="00317D60">
              <w:rPr>
                <w:b/>
                <w:sz w:val="20"/>
                <w:szCs w:val="20"/>
              </w:rPr>
              <w:t>leczenia</w:t>
            </w:r>
          </w:p>
          <w:p w14:paraId="36B6B23B" w14:textId="59C3B569" w:rsidR="004B0AE2" w:rsidRPr="00317D60" w:rsidRDefault="004B0AE2" w:rsidP="00317D60">
            <w:pPr>
              <w:numPr>
                <w:ilvl w:val="3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co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4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tygodnie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(lub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chwili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rozpoczynania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kolejnego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28-dniowego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kursu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jeżeli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leczenie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było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czasowo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przerwane):</w:t>
            </w:r>
          </w:p>
          <w:p w14:paraId="19E04EE9" w14:textId="61D199D7" w:rsidR="004B0AE2" w:rsidRPr="00317D60" w:rsidRDefault="004B0AE2" w:rsidP="00317D60">
            <w:pPr>
              <w:numPr>
                <w:ilvl w:val="4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morfologia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krwi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z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rozmazem,</w:t>
            </w:r>
          </w:p>
          <w:p w14:paraId="4D401371" w14:textId="3A8F230E" w:rsidR="00D10458" w:rsidRPr="00317D60" w:rsidRDefault="004B0AE2" w:rsidP="00317D60">
            <w:pPr>
              <w:numPr>
                <w:ilvl w:val="4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oznaczenie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stężenia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kreatyniny,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AspAT</w:t>
            </w:r>
            <w:proofErr w:type="spellEnd"/>
            <w:r w:rsidRPr="00317D60">
              <w:rPr>
                <w:sz w:val="20"/>
                <w:szCs w:val="20"/>
              </w:rPr>
              <w:t>,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AlAT</w:t>
            </w:r>
            <w:proofErr w:type="spellEnd"/>
            <w:r w:rsidRPr="00317D60">
              <w:rPr>
                <w:sz w:val="20"/>
                <w:szCs w:val="20"/>
              </w:rPr>
              <w:t>,</w:t>
            </w:r>
            <w:r w:rsidR="003B1A48">
              <w:rPr>
                <w:sz w:val="20"/>
                <w:szCs w:val="20"/>
              </w:rPr>
              <w:t xml:space="preserve"> </w:t>
            </w:r>
            <w:r w:rsidR="0072573D" w:rsidRPr="00317D60">
              <w:rPr>
                <w:sz w:val="20"/>
                <w:szCs w:val="20"/>
              </w:rPr>
              <w:t>bilirubiny</w:t>
            </w:r>
            <w:r w:rsidR="003B1A48">
              <w:rPr>
                <w:sz w:val="20"/>
                <w:szCs w:val="20"/>
              </w:rPr>
              <w:t xml:space="preserve"> </w:t>
            </w:r>
            <w:r w:rsidR="0072573D"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surowicy,</w:t>
            </w:r>
            <w:r w:rsidR="003B1A48">
              <w:rPr>
                <w:sz w:val="20"/>
                <w:szCs w:val="20"/>
              </w:rPr>
              <w:t xml:space="preserve"> </w:t>
            </w:r>
          </w:p>
          <w:p w14:paraId="2E36A4E0" w14:textId="55726BDB" w:rsidR="00D10458" w:rsidRPr="00317D60" w:rsidRDefault="00D10458" w:rsidP="00317D60">
            <w:pPr>
              <w:numPr>
                <w:ilvl w:val="4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oznaczenie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fosfatazy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alkalicznej,–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dotyczy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terapii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sorafenibem</w:t>
            </w:r>
            <w:proofErr w:type="spellEnd"/>
            <w:r w:rsidRPr="00317D60">
              <w:rPr>
                <w:sz w:val="20"/>
                <w:szCs w:val="20"/>
              </w:rPr>
              <w:t>;</w:t>
            </w:r>
          </w:p>
          <w:p w14:paraId="01600284" w14:textId="6B1EB8CA" w:rsidR="00D10458" w:rsidRPr="00317D60" w:rsidRDefault="00D10458" w:rsidP="00317D60">
            <w:pPr>
              <w:numPr>
                <w:ilvl w:val="4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pomiar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ciśnienia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tętniczego,</w:t>
            </w:r>
          </w:p>
          <w:p w14:paraId="5B4D2CF6" w14:textId="3E9057F7" w:rsidR="00D10458" w:rsidRPr="00317D60" w:rsidRDefault="00D10458" w:rsidP="00317D60">
            <w:pPr>
              <w:numPr>
                <w:ilvl w:val="4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inne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-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razie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wskazań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klinicznych;</w:t>
            </w:r>
          </w:p>
          <w:p w14:paraId="2F1F9C0D" w14:textId="33B0DD04" w:rsidR="004B0AE2" w:rsidRPr="00317D60" w:rsidRDefault="004B0AE2" w:rsidP="00317D60">
            <w:pPr>
              <w:numPr>
                <w:ilvl w:val="3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rzadziej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niż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12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tygodni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(lub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przed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zakończeniem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trzeciego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28-dniowego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kursu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jeżeli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leczenie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było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czasowo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przerwane):</w:t>
            </w:r>
          </w:p>
          <w:p w14:paraId="6AB26813" w14:textId="5C006666" w:rsidR="004B0AE2" w:rsidRPr="00317D60" w:rsidRDefault="004B0AE2" w:rsidP="00317D60">
            <w:pPr>
              <w:numPr>
                <w:ilvl w:val="4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oznaczenie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poziomu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AFP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surowicy,</w:t>
            </w:r>
          </w:p>
          <w:p w14:paraId="594F9A6F" w14:textId="06713DF0" w:rsidR="004B0AE2" w:rsidRPr="00317D60" w:rsidRDefault="004B0AE2" w:rsidP="00317D60">
            <w:pPr>
              <w:numPr>
                <w:ilvl w:val="4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oznaczenie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INR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czasu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protrombinowego</w:t>
            </w:r>
            <w:proofErr w:type="spellEnd"/>
            <w:r w:rsidRPr="00317D60">
              <w:rPr>
                <w:sz w:val="20"/>
                <w:szCs w:val="20"/>
              </w:rPr>
              <w:t>,</w:t>
            </w:r>
            <w:r w:rsidR="003B1A48">
              <w:rPr>
                <w:sz w:val="20"/>
                <w:szCs w:val="20"/>
              </w:rPr>
              <w:t xml:space="preserve"> </w:t>
            </w:r>
          </w:p>
          <w:p w14:paraId="5DE485FD" w14:textId="4EB0D547" w:rsidR="004B0AE2" w:rsidRPr="00317D60" w:rsidRDefault="004B0AE2" w:rsidP="00317D60">
            <w:pPr>
              <w:numPr>
                <w:ilvl w:val="4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tomografia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komputerowa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jamy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brzusznej,</w:t>
            </w:r>
            <w:r w:rsidR="003B1A48">
              <w:rPr>
                <w:sz w:val="20"/>
                <w:szCs w:val="20"/>
              </w:rPr>
              <w:t xml:space="preserve"> </w:t>
            </w:r>
          </w:p>
          <w:p w14:paraId="22F529CE" w14:textId="6B7CA0F9" w:rsidR="00262741" w:rsidRPr="00317D60" w:rsidRDefault="00262741" w:rsidP="00317D60">
            <w:pPr>
              <w:numPr>
                <w:ilvl w:val="4"/>
                <w:numId w:val="21"/>
              </w:numPr>
              <w:spacing w:after="60" w:line="276" w:lineRule="auto"/>
              <w:jc w:val="both"/>
              <w:rPr>
                <w:kern w:val="22"/>
                <w:sz w:val="20"/>
                <w:szCs w:val="20"/>
              </w:rPr>
            </w:pPr>
            <w:r w:rsidRPr="00317D60">
              <w:rPr>
                <w:kern w:val="22"/>
                <w:sz w:val="20"/>
                <w:szCs w:val="20"/>
              </w:rPr>
              <w:t>tomografia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komputerowa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w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innej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lokalizacji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–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w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zależności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od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umiejscowienia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zmian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przerzutowych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(dotyczy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Pr="00317D60">
              <w:rPr>
                <w:kern w:val="22"/>
                <w:sz w:val="20"/>
                <w:szCs w:val="20"/>
              </w:rPr>
              <w:t>terapii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kern w:val="22"/>
                <w:sz w:val="20"/>
                <w:szCs w:val="20"/>
              </w:rPr>
              <w:t>kabozantynibem</w:t>
            </w:r>
            <w:proofErr w:type="spellEnd"/>
            <w:r w:rsidRPr="00317D60">
              <w:rPr>
                <w:kern w:val="22"/>
                <w:sz w:val="20"/>
                <w:szCs w:val="20"/>
              </w:rPr>
              <w:t>)</w:t>
            </w:r>
          </w:p>
          <w:p w14:paraId="32519715" w14:textId="1C9D7951" w:rsidR="004B0AE2" w:rsidRPr="00317D60" w:rsidRDefault="004B0AE2" w:rsidP="00317D60">
            <w:pPr>
              <w:numPr>
                <w:ilvl w:val="4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RTG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klatki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piersiowej,</w:t>
            </w:r>
          </w:p>
          <w:p w14:paraId="7F1DD2E6" w14:textId="77777777" w:rsidR="004B0AE2" w:rsidRPr="00317D60" w:rsidRDefault="004B0AE2" w:rsidP="00317D60">
            <w:pPr>
              <w:numPr>
                <w:ilvl w:val="4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EKG,</w:t>
            </w:r>
          </w:p>
          <w:p w14:paraId="3630AC54" w14:textId="4EAD0B71" w:rsidR="004B0AE2" w:rsidRPr="00317D60" w:rsidRDefault="004B0AE2" w:rsidP="00317D60">
            <w:pPr>
              <w:numPr>
                <w:ilvl w:val="4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inne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badania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–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razie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wskazań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klinicznych;</w:t>
            </w:r>
          </w:p>
          <w:p w14:paraId="044FE637" w14:textId="4BEE8F1B" w:rsidR="004B0AE2" w:rsidRPr="00317D60" w:rsidRDefault="004B0AE2" w:rsidP="00317D60">
            <w:pPr>
              <w:numPr>
                <w:ilvl w:val="3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zawsze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przypadku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wskazań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klinicznych:</w:t>
            </w:r>
          </w:p>
          <w:p w14:paraId="083F7B57" w14:textId="51BC6F7B" w:rsidR="004B0AE2" w:rsidRPr="00317D60" w:rsidRDefault="004B0AE2" w:rsidP="00317D60">
            <w:pPr>
              <w:numPr>
                <w:ilvl w:val="4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lastRenderedPageBreak/>
              <w:t>oznaczenie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poziomu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AFP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surowicy,</w:t>
            </w:r>
          </w:p>
          <w:p w14:paraId="066B644B" w14:textId="577C9079" w:rsidR="004B0AE2" w:rsidRPr="00317D60" w:rsidRDefault="004B0AE2" w:rsidP="00317D60">
            <w:pPr>
              <w:numPr>
                <w:ilvl w:val="4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oznaczenie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INR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czasu</w:t>
            </w:r>
            <w:r w:rsidR="003B1A48">
              <w:rPr>
                <w:sz w:val="20"/>
                <w:szCs w:val="20"/>
              </w:rPr>
              <w:t xml:space="preserve"> </w:t>
            </w:r>
            <w:proofErr w:type="spellStart"/>
            <w:r w:rsidRPr="00317D60">
              <w:rPr>
                <w:sz w:val="20"/>
                <w:szCs w:val="20"/>
              </w:rPr>
              <w:t>protrombinowego</w:t>
            </w:r>
            <w:proofErr w:type="spellEnd"/>
            <w:r w:rsidRPr="00317D60">
              <w:rPr>
                <w:sz w:val="20"/>
                <w:szCs w:val="20"/>
              </w:rPr>
              <w:t>,</w:t>
            </w:r>
            <w:r w:rsidR="003B1A48">
              <w:rPr>
                <w:sz w:val="20"/>
                <w:szCs w:val="20"/>
              </w:rPr>
              <w:t xml:space="preserve"> </w:t>
            </w:r>
          </w:p>
          <w:p w14:paraId="60F340C0" w14:textId="54E14C39" w:rsidR="004B0AE2" w:rsidRPr="00317D60" w:rsidRDefault="004B0AE2" w:rsidP="00317D60">
            <w:pPr>
              <w:numPr>
                <w:ilvl w:val="4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tomografia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komputerowa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jamy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brzusznej,</w:t>
            </w:r>
            <w:r w:rsidR="003B1A48">
              <w:rPr>
                <w:sz w:val="20"/>
                <w:szCs w:val="20"/>
              </w:rPr>
              <w:t xml:space="preserve"> </w:t>
            </w:r>
          </w:p>
          <w:p w14:paraId="6F07E5BB" w14:textId="14A272E7" w:rsidR="004B0AE2" w:rsidRPr="00317D60" w:rsidRDefault="004B0AE2" w:rsidP="00317D60">
            <w:pPr>
              <w:numPr>
                <w:ilvl w:val="4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RTG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klatki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piersiowej</w:t>
            </w:r>
            <w:r w:rsidR="003B1A48">
              <w:rPr>
                <w:sz w:val="20"/>
                <w:szCs w:val="20"/>
              </w:rPr>
              <w:t xml:space="preserve"> </w:t>
            </w:r>
            <w:r w:rsidR="00306030" w:rsidRPr="00317D60">
              <w:rPr>
                <w:sz w:val="20"/>
                <w:szCs w:val="20"/>
              </w:rPr>
              <w:t>-</w:t>
            </w:r>
            <w:r w:rsidR="003B1A48">
              <w:rPr>
                <w:sz w:val="20"/>
                <w:szCs w:val="20"/>
              </w:rPr>
              <w:t xml:space="preserve"> </w:t>
            </w:r>
            <w:r w:rsidR="00306030" w:rsidRPr="00317D60">
              <w:rPr>
                <w:kern w:val="22"/>
                <w:sz w:val="20"/>
                <w:szCs w:val="20"/>
              </w:rPr>
              <w:t>niekonieczne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="00306030" w:rsidRPr="00317D60">
              <w:rPr>
                <w:kern w:val="22"/>
                <w:sz w:val="20"/>
                <w:szCs w:val="20"/>
              </w:rPr>
              <w:t>w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="00306030" w:rsidRPr="00317D60">
              <w:rPr>
                <w:kern w:val="22"/>
                <w:sz w:val="20"/>
                <w:szCs w:val="20"/>
              </w:rPr>
              <w:t>przypadku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="00306030" w:rsidRPr="00317D60">
              <w:rPr>
                <w:kern w:val="22"/>
                <w:sz w:val="20"/>
                <w:szCs w:val="20"/>
              </w:rPr>
              <w:t>wykonania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="00306030" w:rsidRPr="00317D60">
              <w:rPr>
                <w:kern w:val="22"/>
                <w:sz w:val="20"/>
                <w:szCs w:val="20"/>
              </w:rPr>
              <w:t>tomografii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="00306030" w:rsidRPr="00317D60">
              <w:rPr>
                <w:kern w:val="22"/>
                <w:sz w:val="20"/>
                <w:szCs w:val="20"/>
              </w:rPr>
              <w:t>komputerowej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="00306030" w:rsidRPr="00317D60">
              <w:rPr>
                <w:kern w:val="22"/>
                <w:sz w:val="20"/>
                <w:szCs w:val="20"/>
              </w:rPr>
              <w:t>klatki</w:t>
            </w:r>
            <w:r w:rsidR="003B1A48">
              <w:rPr>
                <w:kern w:val="22"/>
                <w:sz w:val="20"/>
                <w:szCs w:val="20"/>
              </w:rPr>
              <w:t xml:space="preserve"> </w:t>
            </w:r>
            <w:r w:rsidR="00306030" w:rsidRPr="00317D60">
              <w:rPr>
                <w:kern w:val="22"/>
                <w:sz w:val="20"/>
                <w:szCs w:val="20"/>
              </w:rPr>
              <w:t>piersiowej</w:t>
            </w:r>
          </w:p>
          <w:p w14:paraId="6A4C8077" w14:textId="02ABFF98" w:rsidR="00BF35AE" w:rsidRPr="00317D60" w:rsidRDefault="004B0AE2" w:rsidP="00317D60">
            <w:pPr>
              <w:numPr>
                <w:ilvl w:val="4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EKG.</w:t>
            </w:r>
          </w:p>
          <w:p w14:paraId="1B792351" w14:textId="77777777" w:rsidR="00317D60" w:rsidRPr="00317D60" w:rsidRDefault="00317D60" w:rsidP="00317D60">
            <w:pPr>
              <w:spacing w:after="60" w:line="276" w:lineRule="auto"/>
              <w:ind w:left="680"/>
              <w:jc w:val="both"/>
              <w:rPr>
                <w:sz w:val="20"/>
                <w:szCs w:val="20"/>
              </w:rPr>
            </w:pPr>
          </w:p>
          <w:p w14:paraId="13E9422E" w14:textId="3124A212" w:rsidR="00E57A05" w:rsidRPr="00317D60" w:rsidRDefault="00E57A05" w:rsidP="00317D60">
            <w:pPr>
              <w:pStyle w:val="Akapitzlist"/>
              <w:numPr>
                <w:ilvl w:val="0"/>
                <w:numId w:val="2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 w:rsidRPr="00317D60">
              <w:rPr>
                <w:rFonts w:ascii="Times New Roman" w:hAnsi="Times New Roman"/>
                <w:b/>
                <w:bCs/>
              </w:rPr>
              <w:t>Monitorowanie</w:t>
            </w:r>
            <w:r w:rsidR="003B1A48">
              <w:rPr>
                <w:rFonts w:ascii="Times New Roman" w:hAnsi="Times New Roman"/>
                <w:b/>
                <w:bCs/>
              </w:rPr>
              <w:t xml:space="preserve"> </w:t>
            </w:r>
            <w:r w:rsidRPr="00317D60">
              <w:rPr>
                <w:rFonts w:ascii="Times New Roman" w:hAnsi="Times New Roman"/>
                <w:b/>
                <w:bCs/>
              </w:rPr>
              <w:t>programu</w:t>
            </w:r>
          </w:p>
          <w:p w14:paraId="769C963B" w14:textId="33897645" w:rsidR="00A677E2" w:rsidRPr="00317D60" w:rsidRDefault="00A677E2" w:rsidP="00317D60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17D60">
              <w:rPr>
                <w:rFonts w:ascii="Times New Roman" w:hAnsi="Times New Roman"/>
              </w:rPr>
              <w:t>gromadzenie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w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dokumentacji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medycznej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pacjenta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danych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dotyczących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monitorowania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leczenia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i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każdorazowe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ich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przedstawianie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na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żądanie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kontrolerów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Narodowego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Funduszu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Zdrowia;</w:t>
            </w:r>
          </w:p>
          <w:p w14:paraId="703C4620" w14:textId="4333FA1F" w:rsidR="00A677E2" w:rsidRPr="00317D60" w:rsidRDefault="00A677E2" w:rsidP="00317D60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17D60">
              <w:rPr>
                <w:rFonts w:ascii="Times New Roman" w:hAnsi="Times New Roman"/>
              </w:rPr>
              <w:t>uzupełnienie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danych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zawartych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w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rejestrze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(SMPT)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dostępnym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za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pomocą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aplikacji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internetowej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udostępnionej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przez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OW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NFZ,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z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częstotliwością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zgodną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z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opisem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programu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oraz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na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zakończenie</w:t>
            </w:r>
            <w:r w:rsidR="003B1A48">
              <w:rPr>
                <w:rFonts w:ascii="Times New Roman" w:hAnsi="Times New Roman"/>
              </w:rPr>
              <w:t xml:space="preserve"> </w:t>
            </w:r>
            <w:r w:rsidRPr="00317D60">
              <w:rPr>
                <w:rFonts w:ascii="Times New Roman" w:hAnsi="Times New Roman"/>
              </w:rPr>
              <w:t>leczenia;</w:t>
            </w:r>
          </w:p>
          <w:p w14:paraId="535B1AA8" w14:textId="64D126B0" w:rsidR="004B0AE2" w:rsidRPr="00317D60" w:rsidRDefault="00A677E2" w:rsidP="00317D60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17D60">
              <w:rPr>
                <w:sz w:val="20"/>
                <w:szCs w:val="20"/>
              </w:rPr>
              <w:t>przekazywanie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informacji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sprawozdawczo-rozliczeniowych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do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NFZ: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informacje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przekazuje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się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do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NFZ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formie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papierowej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lub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formie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elektronicznej,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zgodnie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z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wymaganiami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opublikowanymi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przez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Narodowy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Fundusz</w:t>
            </w:r>
            <w:r w:rsidR="003B1A48">
              <w:rPr>
                <w:sz w:val="20"/>
                <w:szCs w:val="20"/>
              </w:rPr>
              <w:t xml:space="preserve"> </w:t>
            </w:r>
            <w:r w:rsidRPr="00317D60">
              <w:rPr>
                <w:sz w:val="20"/>
                <w:szCs w:val="20"/>
              </w:rPr>
              <w:t>Zdrowia.</w:t>
            </w:r>
          </w:p>
        </w:tc>
      </w:tr>
    </w:tbl>
    <w:p w14:paraId="38E945AF" w14:textId="77777777" w:rsidR="00221D34" w:rsidRPr="00221D34" w:rsidRDefault="00221D34" w:rsidP="00221D34">
      <w:pPr>
        <w:autoSpaceDE w:val="0"/>
        <w:autoSpaceDN w:val="0"/>
        <w:adjustRightInd w:val="0"/>
        <w:rPr>
          <w:rFonts w:ascii="Courier New" w:hAnsi="Courier New"/>
        </w:rPr>
      </w:pPr>
    </w:p>
    <w:p w14:paraId="68231247" w14:textId="77777777" w:rsidR="00743C43" w:rsidRPr="006E7AE1" w:rsidRDefault="00743C43">
      <w:pPr>
        <w:rPr>
          <w:sz w:val="14"/>
        </w:rPr>
      </w:pPr>
    </w:p>
    <w:sectPr w:rsidR="00743C43" w:rsidRPr="006E7AE1" w:rsidSect="009633BC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A1F05"/>
    <w:multiLevelType w:val="hybridMultilevel"/>
    <w:tmpl w:val="70386F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F253882"/>
    <w:multiLevelType w:val="hybridMultilevel"/>
    <w:tmpl w:val="2B4EB0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775F0"/>
    <w:multiLevelType w:val="hybridMultilevel"/>
    <w:tmpl w:val="809C709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4870849"/>
    <w:multiLevelType w:val="hybridMultilevel"/>
    <w:tmpl w:val="3580DFB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DE567E6"/>
    <w:multiLevelType w:val="multilevel"/>
    <w:tmpl w:val="641620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2E8A3175"/>
    <w:multiLevelType w:val="hybridMultilevel"/>
    <w:tmpl w:val="3998E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12D32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44037306"/>
    <w:multiLevelType w:val="hybridMultilevel"/>
    <w:tmpl w:val="0414B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52911"/>
    <w:multiLevelType w:val="hybridMultilevel"/>
    <w:tmpl w:val="627A46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624535"/>
    <w:multiLevelType w:val="hybridMultilevel"/>
    <w:tmpl w:val="3754F5FC"/>
    <w:lvl w:ilvl="0" w:tplc="535693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003D5"/>
    <w:multiLevelType w:val="hybridMultilevel"/>
    <w:tmpl w:val="778C9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35B9D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589761B4"/>
    <w:multiLevelType w:val="multilevel"/>
    <w:tmpl w:val="77381D9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66D01976"/>
    <w:multiLevelType w:val="hybridMultilevel"/>
    <w:tmpl w:val="51628A6E"/>
    <w:lvl w:ilvl="0" w:tplc="22E4E6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9F6C4A"/>
    <w:multiLevelType w:val="hybridMultilevel"/>
    <w:tmpl w:val="62BC4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026B2"/>
    <w:multiLevelType w:val="hybridMultilevel"/>
    <w:tmpl w:val="75BE85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AF6C93"/>
    <w:multiLevelType w:val="hybridMultilevel"/>
    <w:tmpl w:val="964688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1E6B17"/>
    <w:multiLevelType w:val="hybridMultilevel"/>
    <w:tmpl w:val="2A9E6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40F6E"/>
    <w:multiLevelType w:val="multilevel"/>
    <w:tmpl w:val="34FE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9" w15:restartNumberingAfterBreak="0">
    <w:nsid w:val="7B3C0278"/>
    <w:multiLevelType w:val="hybridMultilevel"/>
    <w:tmpl w:val="0E985DA2"/>
    <w:lvl w:ilvl="0" w:tplc="0415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0" w15:restartNumberingAfterBreak="0">
    <w:nsid w:val="7B4024B9"/>
    <w:multiLevelType w:val="hybridMultilevel"/>
    <w:tmpl w:val="6E6C9070"/>
    <w:lvl w:ilvl="0" w:tplc="A07C1F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18"/>
  </w:num>
  <w:num w:numId="5">
    <w:abstractNumId w:val="8"/>
  </w:num>
  <w:num w:numId="6">
    <w:abstractNumId w:val="13"/>
  </w:num>
  <w:num w:numId="7">
    <w:abstractNumId w:val="20"/>
  </w:num>
  <w:num w:numId="8">
    <w:abstractNumId w:val="0"/>
  </w:num>
  <w:num w:numId="9">
    <w:abstractNumId w:val="3"/>
  </w:num>
  <w:num w:numId="10">
    <w:abstractNumId w:val="2"/>
  </w:num>
  <w:num w:numId="11">
    <w:abstractNumId w:val="19"/>
  </w:num>
  <w:num w:numId="12">
    <w:abstractNumId w:val="10"/>
  </w:num>
  <w:num w:numId="13">
    <w:abstractNumId w:val="14"/>
  </w:num>
  <w:num w:numId="14">
    <w:abstractNumId w:val="5"/>
  </w:num>
  <w:num w:numId="15">
    <w:abstractNumId w:val="4"/>
  </w:num>
  <w:num w:numId="16">
    <w:abstractNumId w:val="9"/>
  </w:num>
  <w:num w:numId="17">
    <w:abstractNumId w:val="6"/>
  </w:num>
  <w:num w:numId="18">
    <w:abstractNumId w:val="7"/>
  </w:num>
  <w:num w:numId="19">
    <w:abstractNumId w:val="17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43"/>
    <w:rsid w:val="00001AF1"/>
    <w:rsid w:val="00097186"/>
    <w:rsid w:val="000B0B30"/>
    <w:rsid w:val="000D5C9D"/>
    <w:rsid w:val="00144C47"/>
    <w:rsid w:val="00150E3E"/>
    <w:rsid w:val="00156CEF"/>
    <w:rsid w:val="001A0AD1"/>
    <w:rsid w:val="00221D34"/>
    <w:rsid w:val="0023328B"/>
    <w:rsid w:val="00240CCF"/>
    <w:rsid w:val="002607E2"/>
    <w:rsid w:val="00262741"/>
    <w:rsid w:val="00266680"/>
    <w:rsid w:val="00270FE0"/>
    <w:rsid w:val="002718D6"/>
    <w:rsid w:val="00271ECB"/>
    <w:rsid w:val="00303B4B"/>
    <w:rsid w:val="00306030"/>
    <w:rsid w:val="00317D60"/>
    <w:rsid w:val="003545CA"/>
    <w:rsid w:val="00357F5D"/>
    <w:rsid w:val="00385D39"/>
    <w:rsid w:val="003B1A48"/>
    <w:rsid w:val="003C1BA3"/>
    <w:rsid w:val="003E106F"/>
    <w:rsid w:val="003F4A58"/>
    <w:rsid w:val="00421300"/>
    <w:rsid w:val="004311BB"/>
    <w:rsid w:val="00472B65"/>
    <w:rsid w:val="00495260"/>
    <w:rsid w:val="00497A25"/>
    <w:rsid w:val="004A15CA"/>
    <w:rsid w:val="004B0AE2"/>
    <w:rsid w:val="004C5B6E"/>
    <w:rsid w:val="004E71A6"/>
    <w:rsid w:val="004F1300"/>
    <w:rsid w:val="004F4D61"/>
    <w:rsid w:val="00523C92"/>
    <w:rsid w:val="00543C0F"/>
    <w:rsid w:val="00547315"/>
    <w:rsid w:val="005C5C9C"/>
    <w:rsid w:val="00607AC4"/>
    <w:rsid w:val="006C2357"/>
    <w:rsid w:val="006E7AE1"/>
    <w:rsid w:val="006F42E7"/>
    <w:rsid w:val="0072573D"/>
    <w:rsid w:val="00743C43"/>
    <w:rsid w:val="007B34F4"/>
    <w:rsid w:val="007D188D"/>
    <w:rsid w:val="007E036C"/>
    <w:rsid w:val="007E0B3B"/>
    <w:rsid w:val="007E17A0"/>
    <w:rsid w:val="007E5F97"/>
    <w:rsid w:val="007F7906"/>
    <w:rsid w:val="008F4C9F"/>
    <w:rsid w:val="009530A8"/>
    <w:rsid w:val="009633BC"/>
    <w:rsid w:val="009E4797"/>
    <w:rsid w:val="009F0A95"/>
    <w:rsid w:val="00A07507"/>
    <w:rsid w:val="00A23B4E"/>
    <w:rsid w:val="00A23F3F"/>
    <w:rsid w:val="00A31EE3"/>
    <w:rsid w:val="00A60C8B"/>
    <w:rsid w:val="00A677E2"/>
    <w:rsid w:val="00A778D8"/>
    <w:rsid w:val="00AC597A"/>
    <w:rsid w:val="00AD3ECB"/>
    <w:rsid w:val="00AE7234"/>
    <w:rsid w:val="00B031D3"/>
    <w:rsid w:val="00BB24BA"/>
    <w:rsid w:val="00BC200C"/>
    <w:rsid w:val="00BE0028"/>
    <w:rsid w:val="00BF35AE"/>
    <w:rsid w:val="00C175D8"/>
    <w:rsid w:val="00C2602F"/>
    <w:rsid w:val="00C77728"/>
    <w:rsid w:val="00CA0E51"/>
    <w:rsid w:val="00CA491B"/>
    <w:rsid w:val="00CF4389"/>
    <w:rsid w:val="00D10458"/>
    <w:rsid w:val="00D24D72"/>
    <w:rsid w:val="00D36B5F"/>
    <w:rsid w:val="00DA4E81"/>
    <w:rsid w:val="00DA6460"/>
    <w:rsid w:val="00DC1DB6"/>
    <w:rsid w:val="00DC525F"/>
    <w:rsid w:val="00E57A05"/>
    <w:rsid w:val="00E81117"/>
    <w:rsid w:val="00E8762C"/>
    <w:rsid w:val="00EA7731"/>
    <w:rsid w:val="00EE3669"/>
    <w:rsid w:val="00F34125"/>
    <w:rsid w:val="00FA0EF5"/>
    <w:rsid w:val="00FA2F72"/>
    <w:rsid w:val="00FB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017F1"/>
  <w15:chartTrackingRefBased/>
  <w15:docId w15:val="{E1852969-D5BF-4F12-8162-DB226DEF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7AE1"/>
    <w:pPr>
      <w:widowControl w:val="0"/>
      <w:autoSpaceDE w:val="0"/>
      <w:autoSpaceDN w:val="0"/>
      <w:adjustRightInd w:val="0"/>
    </w:pPr>
    <w:rPr>
      <w:rFonts w:ascii="CKBKDC+Arial" w:hAnsi="CKBKDC+Arial" w:cs="CKBKDC+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E7AE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677E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  <w:sz w:val="20"/>
      <w:szCs w:val="20"/>
    </w:rPr>
  </w:style>
  <w:style w:type="paragraph" w:styleId="Tekstdymka">
    <w:name w:val="Balloon Text"/>
    <w:basedOn w:val="Normalny"/>
    <w:link w:val="TekstdymkaZnak"/>
    <w:rsid w:val="00156C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56CE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1045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104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10458"/>
  </w:style>
  <w:style w:type="paragraph" w:styleId="Tematkomentarza">
    <w:name w:val="annotation subject"/>
    <w:basedOn w:val="Tekstkomentarza"/>
    <w:next w:val="Tekstkomentarza"/>
    <w:link w:val="TematkomentarzaZnak"/>
    <w:rsid w:val="00D10458"/>
    <w:rPr>
      <w:b/>
      <w:bCs/>
    </w:rPr>
  </w:style>
  <w:style w:type="character" w:customStyle="1" w:styleId="TematkomentarzaZnak">
    <w:name w:val="Temat komentarza Znak"/>
    <w:link w:val="Tematkomentarza"/>
    <w:rsid w:val="00D104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1017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decyzji</vt:lpstr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decyzji</dc:title>
  <dc:subject>Opis programu lekowego</dc:subject>
  <dc:creator>Ministerstwo Zdrowia</dc:creator>
  <cp:keywords/>
  <cp:lastModifiedBy>Królak-Buzakowska Joanna</cp:lastModifiedBy>
  <cp:revision>3</cp:revision>
  <cp:lastPrinted>2015-10-28T10:00:00Z</cp:lastPrinted>
  <dcterms:created xsi:type="dcterms:W3CDTF">2021-04-12T23:23:00Z</dcterms:created>
  <dcterms:modified xsi:type="dcterms:W3CDTF">2021-04-12T23:32:00Z</dcterms:modified>
</cp:coreProperties>
</file>