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1DB004" w14:textId="28DB2061" w:rsidR="001254D3" w:rsidRDefault="002C7E69" w:rsidP="002C7E69">
      <w:pPr>
        <w:pStyle w:val="Akapitzlist"/>
        <w:spacing w:after="720"/>
        <w:ind w:left="0"/>
        <w:rPr>
          <w:rFonts w:ascii="Times New Roman" w:hAnsi="Times New Roman" w:cs="Times New Roman"/>
          <w:sz w:val="24"/>
          <w:szCs w:val="24"/>
        </w:rPr>
      </w:pPr>
      <w:r>
        <w:rPr>
          <w:rFonts w:ascii="Times New Roman" w:hAnsi="Times New Roman" w:cs="Times New Roman"/>
          <w:sz w:val="24"/>
          <w:szCs w:val="24"/>
        </w:rPr>
        <w:t xml:space="preserve">SA.2615.1.30.2022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1254D3">
        <w:rPr>
          <w:rFonts w:ascii="Times New Roman" w:hAnsi="Times New Roman" w:cs="Times New Roman"/>
          <w:sz w:val="24"/>
          <w:szCs w:val="24"/>
        </w:rPr>
        <w:t>Załącznik nr 1</w:t>
      </w:r>
    </w:p>
    <w:p w14:paraId="099BCA63" w14:textId="77777777" w:rsidR="001254D3" w:rsidRDefault="001254D3" w:rsidP="001254D3">
      <w:pPr>
        <w:pStyle w:val="Akapitzlist"/>
        <w:spacing w:after="720"/>
        <w:ind w:left="0"/>
        <w:jc w:val="center"/>
        <w:rPr>
          <w:rFonts w:ascii="Times New Roman" w:hAnsi="Times New Roman" w:cs="Times New Roman"/>
          <w:b/>
          <w:sz w:val="28"/>
          <w:szCs w:val="24"/>
        </w:rPr>
      </w:pPr>
    </w:p>
    <w:p w14:paraId="504F9B11" w14:textId="77777777" w:rsidR="001254D3" w:rsidRDefault="001254D3" w:rsidP="001254D3">
      <w:pPr>
        <w:pStyle w:val="Akapitzlist"/>
        <w:spacing w:after="720"/>
        <w:ind w:left="0"/>
        <w:jc w:val="center"/>
        <w:rPr>
          <w:rFonts w:ascii="Times New Roman" w:hAnsi="Times New Roman" w:cs="Times New Roman"/>
          <w:b/>
          <w:sz w:val="28"/>
          <w:szCs w:val="24"/>
        </w:rPr>
      </w:pPr>
    </w:p>
    <w:p w14:paraId="326B641C" w14:textId="5CEC463C" w:rsidR="001254D3" w:rsidRPr="001254D3" w:rsidRDefault="001254D3" w:rsidP="001254D3">
      <w:pPr>
        <w:pStyle w:val="Akapitzlist"/>
        <w:spacing w:after="720"/>
        <w:ind w:left="0"/>
        <w:jc w:val="center"/>
        <w:rPr>
          <w:rFonts w:ascii="Times New Roman" w:hAnsi="Times New Roman" w:cs="Times New Roman"/>
          <w:b/>
          <w:sz w:val="28"/>
          <w:szCs w:val="24"/>
        </w:rPr>
      </w:pPr>
      <w:r>
        <w:rPr>
          <w:rFonts w:ascii="Times New Roman" w:hAnsi="Times New Roman" w:cs="Times New Roman"/>
          <w:b/>
          <w:sz w:val="28"/>
          <w:szCs w:val="24"/>
        </w:rPr>
        <w:t>Specyfikacja Techniczna</w:t>
      </w:r>
    </w:p>
    <w:p w14:paraId="22E639F4" w14:textId="6F4F513F" w:rsidR="001254D3" w:rsidRDefault="001254D3" w:rsidP="001254D3">
      <w:pPr>
        <w:pStyle w:val="Akapitzlist"/>
        <w:ind w:left="0"/>
        <w:jc w:val="center"/>
        <w:rPr>
          <w:rFonts w:ascii="Times New Roman" w:hAnsi="Times New Roman" w:cs="Times New Roman"/>
          <w:b/>
          <w:sz w:val="28"/>
          <w:szCs w:val="24"/>
        </w:rPr>
      </w:pPr>
      <w:r>
        <w:rPr>
          <w:rFonts w:ascii="Times New Roman" w:hAnsi="Times New Roman" w:cs="Times New Roman"/>
          <w:b/>
          <w:sz w:val="28"/>
          <w:szCs w:val="24"/>
        </w:rPr>
        <w:t xml:space="preserve">Oprogramowanie antywirusowe ESET PROTECT </w:t>
      </w:r>
      <w:proofErr w:type="spellStart"/>
      <w:r>
        <w:rPr>
          <w:rFonts w:ascii="Times New Roman" w:hAnsi="Times New Roman" w:cs="Times New Roman"/>
          <w:b/>
          <w:sz w:val="28"/>
          <w:szCs w:val="24"/>
        </w:rPr>
        <w:t>Entry</w:t>
      </w:r>
      <w:proofErr w:type="spellEnd"/>
      <w:r>
        <w:rPr>
          <w:rFonts w:ascii="Times New Roman" w:hAnsi="Times New Roman" w:cs="Times New Roman"/>
          <w:b/>
          <w:sz w:val="28"/>
          <w:szCs w:val="24"/>
        </w:rPr>
        <w:t xml:space="preserve"> – szt. 350</w:t>
      </w:r>
    </w:p>
    <w:p w14:paraId="50ECDBD7" w14:textId="77777777" w:rsidR="001254D3" w:rsidRDefault="001254D3" w:rsidP="001254D3">
      <w:pPr>
        <w:pStyle w:val="Akapitzlist"/>
        <w:ind w:left="0"/>
        <w:jc w:val="center"/>
        <w:rPr>
          <w:rFonts w:ascii="Times New Roman" w:hAnsi="Times New Roman" w:cs="Times New Roman"/>
          <w:b/>
          <w:sz w:val="28"/>
          <w:szCs w:val="24"/>
        </w:rPr>
      </w:pPr>
    </w:p>
    <w:tbl>
      <w:tblPr>
        <w:tblW w:w="0" w:type="auto"/>
        <w:tblInd w:w="-854" w:type="dxa"/>
        <w:tblLayout w:type="fixed"/>
        <w:tblLook w:val="04A0" w:firstRow="1" w:lastRow="0" w:firstColumn="1" w:lastColumn="0" w:noHBand="0" w:noVBand="1"/>
      </w:tblPr>
      <w:tblGrid>
        <w:gridCol w:w="765"/>
        <w:gridCol w:w="2655"/>
        <w:gridCol w:w="7442"/>
      </w:tblGrid>
      <w:tr w:rsidR="001254D3" w14:paraId="30E059AB" w14:textId="77777777" w:rsidTr="001254D3">
        <w:tc>
          <w:tcPr>
            <w:tcW w:w="765" w:type="dxa"/>
            <w:tcBorders>
              <w:top w:val="single" w:sz="4" w:space="0" w:color="000000"/>
              <w:left w:val="single" w:sz="4" w:space="0" w:color="000000"/>
              <w:bottom w:val="single" w:sz="4" w:space="0" w:color="000000"/>
              <w:right w:val="nil"/>
            </w:tcBorders>
            <w:vAlign w:val="center"/>
            <w:hideMark/>
          </w:tcPr>
          <w:p w14:paraId="7549F957" w14:textId="77777777" w:rsidR="001254D3" w:rsidRDefault="001254D3">
            <w:pPr>
              <w:suppressAutoHyphens/>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Lp.</w:t>
            </w:r>
          </w:p>
        </w:tc>
        <w:tc>
          <w:tcPr>
            <w:tcW w:w="2655" w:type="dxa"/>
            <w:tcBorders>
              <w:top w:val="single" w:sz="4" w:space="0" w:color="000000"/>
              <w:left w:val="single" w:sz="4" w:space="0" w:color="000000"/>
              <w:bottom w:val="single" w:sz="4" w:space="0" w:color="000000"/>
              <w:right w:val="nil"/>
            </w:tcBorders>
            <w:vAlign w:val="center"/>
            <w:hideMark/>
          </w:tcPr>
          <w:p w14:paraId="31EF652F" w14:textId="77777777" w:rsidR="001254D3" w:rsidRDefault="001254D3">
            <w:pPr>
              <w:suppressAutoHyphens/>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Nazwa elementu, parametru, cechy</w:t>
            </w:r>
          </w:p>
        </w:tc>
        <w:tc>
          <w:tcPr>
            <w:tcW w:w="7442" w:type="dxa"/>
            <w:tcBorders>
              <w:top w:val="single" w:sz="4" w:space="0" w:color="000000"/>
              <w:left w:val="single" w:sz="4" w:space="0" w:color="000000"/>
              <w:bottom w:val="single" w:sz="4" w:space="0" w:color="000000"/>
              <w:right w:val="single" w:sz="4" w:space="0" w:color="000000"/>
            </w:tcBorders>
            <w:vAlign w:val="center"/>
            <w:hideMark/>
          </w:tcPr>
          <w:p w14:paraId="4809892D" w14:textId="77777777" w:rsidR="001254D3" w:rsidRDefault="001254D3">
            <w:pPr>
              <w:suppressAutoHyphens/>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Opis wymagań</w:t>
            </w:r>
          </w:p>
        </w:tc>
      </w:tr>
      <w:tr w:rsidR="001254D3" w14:paraId="1730607D" w14:textId="77777777" w:rsidTr="001254D3">
        <w:tc>
          <w:tcPr>
            <w:tcW w:w="765" w:type="dxa"/>
            <w:tcBorders>
              <w:top w:val="single" w:sz="4" w:space="0" w:color="000000"/>
              <w:left w:val="single" w:sz="4" w:space="0" w:color="000000"/>
              <w:bottom w:val="single" w:sz="4" w:space="0" w:color="000000"/>
              <w:right w:val="nil"/>
            </w:tcBorders>
            <w:vAlign w:val="center"/>
            <w:hideMark/>
          </w:tcPr>
          <w:p w14:paraId="29DCB230" w14:textId="77777777" w:rsidR="001254D3" w:rsidRDefault="001254D3">
            <w:pPr>
              <w:suppressAutoHyphens/>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1</w:t>
            </w:r>
          </w:p>
        </w:tc>
        <w:tc>
          <w:tcPr>
            <w:tcW w:w="2655" w:type="dxa"/>
            <w:tcBorders>
              <w:top w:val="single" w:sz="4" w:space="0" w:color="000000"/>
              <w:left w:val="single" w:sz="4" w:space="0" w:color="000000"/>
              <w:bottom w:val="single" w:sz="4" w:space="0" w:color="000000"/>
              <w:right w:val="nil"/>
            </w:tcBorders>
            <w:vAlign w:val="center"/>
            <w:hideMark/>
          </w:tcPr>
          <w:p w14:paraId="12ACB6B4" w14:textId="77777777" w:rsidR="001254D3" w:rsidRDefault="001254D3">
            <w:pPr>
              <w:suppressAutoHyphens/>
              <w:snapToGrid w:val="0"/>
              <w:spacing w:after="0" w:line="240" w:lineRule="auto"/>
              <w:jc w:val="center"/>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t>Ochrona antywirusowa</w:t>
            </w:r>
          </w:p>
        </w:tc>
        <w:tc>
          <w:tcPr>
            <w:tcW w:w="7442" w:type="dxa"/>
            <w:tcBorders>
              <w:top w:val="single" w:sz="4" w:space="0" w:color="000000"/>
              <w:left w:val="single" w:sz="4" w:space="0" w:color="000000"/>
              <w:bottom w:val="single" w:sz="4" w:space="0" w:color="000000"/>
              <w:right w:val="single" w:sz="4" w:space="0" w:color="000000"/>
            </w:tcBorders>
            <w:vAlign w:val="center"/>
          </w:tcPr>
          <w:p w14:paraId="06E9D403" w14:textId="77777777" w:rsidR="001254D3" w:rsidRDefault="001254D3">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0"/>
                <w:szCs w:val="20"/>
                <w:lang w:eastAsia="zh-CN"/>
              </w:rPr>
              <w:t>Program musi zapewniać ochronę antywirusową na jednakowym poziomie dla stacji roboczych pracujących na następujących systemach operacyjnych klasy PC:</w:t>
            </w:r>
          </w:p>
          <w:p w14:paraId="5377288B" w14:textId="77777777" w:rsidR="001254D3" w:rsidRDefault="001254D3">
            <w:pPr>
              <w:suppressAutoHyphens/>
              <w:spacing w:after="0" w:line="240" w:lineRule="auto"/>
              <w:jc w:val="both"/>
              <w:rPr>
                <w:rFonts w:ascii="Times New Roman" w:eastAsia="Times New Roman" w:hAnsi="Times New Roman" w:cs="Times New Roman"/>
                <w:sz w:val="20"/>
                <w:szCs w:val="20"/>
                <w:lang w:eastAsia="zh-CN"/>
              </w:rPr>
            </w:pPr>
          </w:p>
          <w:p w14:paraId="1D5B31D8" w14:textId="77777777" w:rsidR="001254D3" w:rsidRDefault="001254D3">
            <w:pPr>
              <w:suppressAutoHyphens/>
              <w:spacing w:after="6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Windows 7</w:t>
            </w:r>
          </w:p>
          <w:p w14:paraId="4E93DAAC" w14:textId="77777777" w:rsidR="001254D3" w:rsidRDefault="001254D3">
            <w:pPr>
              <w:suppressAutoHyphens/>
              <w:spacing w:after="6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Windows 8</w:t>
            </w:r>
          </w:p>
          <w:p w14:paraId="1938E2F6" w14:textId="77777777" w:rsidR="001254D3" w:rsidRDefault="001254D3">
            <w:pPr>
              <w:suppressAutoHyphens/>
              <w:spacing w:after="6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Windows 8.1</w:t>
            </w:r>
          </w:p>
          <w:p w14:paraId="3667AF1D" w14:textId="77777777" w:rsidR="001254D3" w:rsidRDefault="001254D3">
            <w:pPr>
              <w:suppressAutoHyphens/>
              <w:spacing w:after="60" w:line="240" w:lineRule="auto"/>
              <w:jc w:val="both"/>
              <w:rPr>
                <w:rFonts w:ascii="Times New Roman" w:eastAsia="Times New Roman" w:hAnsi="Times New Roman" w:cs="Times New Roman"/>
                <w:color w:val="000000"/>
                <w:sz w:val="20"/>
                <w:szCs w:val="20"/>
                <w:lang w:eastAsia="zh-CN"/>
              </w:rPr>
            </w:pPr>
            <w:r>
              <w:rPr>
                <w:rFonts w:ascii="Times New Roman" w:eastAsia="Times New Roman" w:hAnsi="Times New Roman" w:cs="Times New Roman"/>
                <w:color w:val="000000"/>
                <w:sz w:val="20"/>
                <w:szCs w:val="20"/>
                <w:lang w:eastAsia="zh-CN"/>
              </w:rPr>
              <w:t>Windows 10</w:t>
            </w:r>
          </w:p>
          <w:p w14:paraId="42B5CAC5" w14:textId="77777777" w:rsidR="001254D3" w:rsidRDefault="001254D3">
            <w:pPr>
              <w:suppressAutoHyphens/>
              <w:spacing w:after="6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Windows 11</w:t>
            </w:r>
          </w:p>
          <w:p w14:paraId="5330BC3C" w14:textId="77777777" w:rsidR="001254D3" w:rsidRDefault="001254D3">
            <w:pPr>
              <w:suppressAutoHyphens/>
              <w:spacing w:after="60" w:line="240" w:lineRule="auto"/>
              <w:jc w:val="both"/>
              <w:rPr>
                <w:rFonts w:ascii="Times New Roman" w:eastAsia="Times New Roman" w:hAnsi="Times New Roman" w:cs="Times New Roman"/>
                <w:sz w:val="20"/>
                <w:szCs w:val="20"/>
                <w:lang w:eastAsia="zh-CN"/>
              </w:rPr>
            </w:pPr>
          </w:p>
          <w:p w14:paraId="0FB22D61" w14:textId="77777777" w:rsidR="001254D3" w:rsidRDefault="001254D3">
            <w:pPr>
              <w:suppressAutoHyphens/>
              <w:spacing w:after="6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b/>
                <w:bCs/>
                <w:i/>
                <w:iCs/>
                <w:color w:val="000000"/>
                <w:sz w:val="20"/>
                <w:szCs w:val="20"/>
                <w:lang w:eastAsia="zh-CN"/>
              </w:rPr>
              <w:t>Wsparcie dla 32- i 64-bitowej wersji systemu Windows</w:t>
            </w:r>
          </w:p>
          <w:p w14:paraId="4183A513" w14:textId="77777777" w:rsidR="001254D3" w:rsidRDefault="001254D3">
            <w:pPr>
              <w:suppressAutoHyphens/>
              <w:spacing w:after="0" w:line="240" w:lineRule="auto"/>
              <w:jc w:val="both"/>
              <w:rPr>
                <w:rFonts w:ascii="Times New Roman" w:eastAsia="Times New Roman" w:hAnsi="Times New Roman" w:cs="Times New Roman"/>
                <w:sz w:val="20"/>
                <w:szCs w:val="20"/>
                <w:lang w:eastAsia="zh-CN"/>
              </w:rPr>
            </w:pPr>
          </w:p>
          <w:p w14:paraId="7260A4A3" w14:textId="77777777" w:rsidR="001254D3" w:rsidRDefault="001254D3">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0"/>
                <w:szCs w:val="20"/>
                <w:lang w:eastAsia="zh-CN"/>
              </w:rPr>
              <w:t>Ochrona następujących platform serwerowych:</w:t>
            </w:r>
          </w:p>
          <w:p w14:paraId="00990026" w14:textId="77777777" w:rsidR="001254D3" w:rsidRDefault="001254D3">
            <w:pPr>
              <w:suppressAutoHyphens/>
              <w:spacing w:after="0" w:line="240" w:lineRule="auto"/>
              <w:jc w:val="both"/>
              <w:rPr>
                <w:rFonts w:ascii="Times New Roman" w:eastAsia="Times New Roman" w:hAnsi="Times New Roman" w:cs="Times New Roman"/>
                <w:sz w:val="20"/>
                <w:szCs w:val="20"/>
                <w:lang w:eastAsia="zh-CN"/>
              </w:rPr>
            </w:pPr>
          </w:p>
          <w:p w14:paraId="08A759E5" w14:textId="77777777" w:rsidR="001254D3" w:rsidRDefault="001254D3">
            <w:pPr>
              <w:suppressAutoHyphens/>
              <w:spacing w:line="240" w:lineRule="auto"/>
              <w:contextualSpacing/>
              <w:jc w:val="both"/>
              <w:rPr>
                <w:rFonts w:ascii="Times New Roman" w:eastAsia="Times New Roman" w:hAnsi="Times New Roman" w:cs="Times New Roman"/>
              </w:rPr>
            </w:pPr>
            <w:r>
              <w:rPr>
                <w:rFonts w:ascii="Times New Roman" w:eastAsia="Times New Roman" w:hAnsi="Times New Roman" w:cs="Times New Roman"/>
                <w:color w:val="000000"/>
                <w:sz w:val="20"/>
                <w:szCs w:val="20"/>
                <w:lang w:val="en-US"/>
              </w:rPr>
              <w:t>Microsoft Windows Server  2008 R2 \ 2012 \ 2012 R2 \ 2016 \ 2019 \ 2022</w:t>
            </w:r>
          </w:p>
        </w:tc>
      </w:tr>
      <w:tr w:rsidR="001254D3" w14:paraId="2B2E8613" w14:textId="77777777" w:rsidTr="001254D3">
        <w:tc>
          <w:tcPr>
            <w:tcW w:w="765" w:type="dxa"/>
            <w:tcBorders>
              <w:top w:val="single" w:sz="4" w:space="0" w:color="000000"/>
              <w:left w:val="single" w:sz="4" w:space="0" w:color="000000"/>
              <w:bottom w:val="single" w:sz="4" w:space="0" w:color="000000"/>
              <w:right w:val="nil"/>
            </w:tcBorders>
            <w:vAlign w:val="center"/>
            <w:hideMark/>
          </w:tcPr>
          <w:p w14:paraId="35F26687" w14:textId="77777777" w:rsidR="001254D3" w:rsidRDefault="001254D3">
            <w:pPr>
              <w:suppressAutoHyphens/>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2</w:t>
            </w:r>
          </w:p>
        </w:tc>
        <w:tc>
          <w:tcPr>
            <w:tcW w:w="2655" w:type="dxa"/>
            <w:tcBorders>
              <w:top w:val="single" w:sz="4" w:space="0" w:color="000000"/>
              <w:left w:val="single" w:sz="4" w:space="0" w:color="000000"/>
              <w:bottom w:val="single" w:sz="4" w:space="0" w:color="000000"/>
              <w:right w:val="nil"/>
            </w:tcBorders>
            <w:vAlign w:val="center"/>
            <w:hideMark/>
          </w:tcPr>
          <w:p w14:paraId="2F541356" w14:textId="77777777" w:rsidR="001254D3" w:rsidRDefault="001254D3">
            <w:pPr>
              <w:suppressAutoHyphens/>
              <w:snapToGrid w:val="0"/>
              <w:spacing w:after="0" w:line="240" w:lineRule="auto"/>
              <w:jc w:val="center"/>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t>Wersja językowa</w:t>
            </w:r>
          </w:p>
        </w:tc>
        <w:tc>
          <w:tcPr>
            <w:tcW w:w="7442" w:type="dxa"/>
            <w:tcBorders>
              <w:top w:val="single" w:sz="4" w:space="0" w:color="000000"/>
              <w:left w:val="single" w:sz="4" w:space="0" w:color="000000"/>
              <w:bottom w:val="single" w:sz="4" w:space="0" w:color="000000"/>
              <w:right w:val="single" w:sz="4" w:space="0" w:color="000000"/>
            </w:tcBorders>
            <w:vAlign w:val="center"/>
            <w:hideMark/>
          </w:tcPr>
          <w:p w14:paraId="47769492" w14:textId="77777777" w:rsidR="001254D3" w:rsidRDefault="001254D3">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0"/>
                <w:szCs w:val="20"/>
                <w:lang w:eastAsia="zh-CN"/>
              </w:rPr>
              <w:t>Wersja programu dostępna zarówno w języku polskim jak i angielskim</w:t>
            </w:r>
          </w:p>
        </w:tc>
      </w:tr>
      <w:tr w:rsidR="001254D3" w14:paraId="00DBBE54" w14:textId="77777777" w:rsidTr="001254D3">
        <w:tc>
          <w:tcPr>
            <w:tcW w:w="765" w:type="dxa"/>
            <w:tcBorders>
              <w:top w:val="single" w:sz="4" w:space="0" w:color="000000"/>
              <w:left w:val="single" w:sz="4" w:space="0" w:color="000000"/>
              <w:bottom w:val="single" w:sz="4" w:space="0" w:color="000000"/>
              <w:right w:val="nil"/>
            </w:tcBorders>
            <w:vAlign w:val="center"/>
            <w:hideMark/>
          </w:tcPr>
          <w:p w14:paraId="32DA42FF" w14:textId="77777777" w:rsidR="001254D3" w:rsidRDefault="001254D3">
            <w:pPr>
              <w:suppressAutoHyphens/>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3</w:t>
            </w:r>
          </w:p>
        </w:tc>
        <w:tc>
          <w:tcPr>
            <w:tcW w:w="2655" w:type="dxa"/>
            <w:tcBorders>
              <w:top w:val="single" w:sz="4" w:space="0" w:color="000000"/>
              <w:left w:val="single" w:sz="4" w:space="0" w:color="000000"/>
              <w:bottom w:val="single" w:sz="4" w:space="0" w:color="000000"/>
              <w:right w:val="nil"/>
            </w:tcBorders>
            <w:vAlign w:val="center"/>
            <w:hideMark/>
          </w:tcPr>
          <w:p w14:paraId="7A48FE09" w14:textId="77777777" w:rsidR="001254D3" w:rsidRDefault="001254D3">
            <w:pPr>
              <w:suppressAutoHyphens/>
              <w:snapToGrid w:val="0"/>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Pomoc / Wsparcie techniczne</w:t>
            </w:r>
          </w:p>
        </w:tc>
        <w:tc>
          <w:tcPr>
            <w:tcW w:w="7442" w:type="dxa"/>
            <w:tcBorders>
              <w:top w:val="single" w:sz="4" w:space="0" w:color="000000"/>
              <w:left w:val="single" w:sz="4" w:space="0" w:color="000000"/>
              <w:bottom w:val="single" w:sz="4" w:space="0" w:color="000000"/>
              <w:right w:val="single" w:sz="4" w:space="0" w:color="000000"/>
            </w:tcBorders>
            <w:vAlign w:val="center"/>
            <w:hideMark/>
          </w:tcPr>
          <w:p w14:paraId="5D469175" w14:textId="77777777" w:rsidR="001254D3" w:rsidRDefault="001254D3">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0"/>
                <w:szCs w:val="20"/>
                <w:lang w:eastAsia="zh-CN"/>
              </w:rPr>
              <w:t>Pomoc w programie (</w:t>
            </w:r>
            <w:proofErr w:type="spellStart"/>
            <w:r>
              <w:rPr>
                <w:rFonts w:ascii="Times New Roman" w:eastAsia="Times New Roman" w:hAnsi="Times New Roman" w:cs="Times New Roman"/>
                <w:sz w:val="20"/>
                <w:szCs w:val="20"/>
                <w:lang w:eastAsia="zh-CN"/>
              </w:rPr>
              <w:t>help</w:t>
            </w:r>
            <w:proofErr w:type="spellEnd"/>
            <w:r>
              <w:rPr>
                <w:rFonts w:ascii="Times New Roman" w:eastAsia="Times New Roman" w:hAnsi="Times New Roman" w:cs="Times New Roman"/>
                <w:sz w:val="20"/>
                <w:szCs w:val="20"/>
                <w:lang w:eastAsia="zh-CN"/>
              </w:rPr>
              <w:t>) oraz dokumentacja dostępna w języku polskim.</w:t>
            </w:r>
          </w:p>
          <w:p w14:paraId="77472ECF" w14:textId="77777777" w:rsidR="001254D3" w:rsidRDefault="001254D3">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Wsparcie techniczne do programu świadczone w języku polskim przez polskiego dystrybutora autoryzowanego przez producenta programu.</w:t>
            </w:r>
          </w:p>
        </w:tc>
      </w:tr>
      <w:tr w:rsidR="001254D3" w14:paraId="775A5DF3" w14:textId="77777777" w:rsidTr="001254D3">
        <w:tc>
          <w:tcPr>
            <w:tcW w:w="765" w:type="dxa"/>
            <w:tcBorders>
              <w:top w:val="single" w:sz="4" w:space="0" w:color="000000"/>
              <w:left w:val="single" w:sz="4" w:space="0" w:color="000000"/>
              <w:bottom w:val="single" w:sz="4" w:space="0" w:color="000000"/>
              <w:right w:val="nil"/>
            </w:tcBorders>
            <w:vAlign w:val="center"/>
            <w:hideMark/>
          </w:tcPr>
          <w:p w14:paraId="09214B33" w14:textId="77777777" w:rsidR="001254D3" w:rsidRDefault="001254D3">
            <w:pPr>
              <w:suppressAutoHyphens/>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4</w:t>
            </w:r>
          </w:p>
        </w:tc>
        <w:tc>
          <w:tcPr>
            <w:tcW w:w="2655" w:type="dxa"/>
            <w:tcBorders>
              <w:top w:val="single" w:sz="4" w:space="0" w:color="000000"/>
              <w:left w:val="single" w:sz="4" w:space="0" w:color="000000"/>
              <w:bottom w:val="single" w:sz="4" w:space="0" w:color="000000"/>
              <w:right w:val="nil"/>
            </w:tcBorders>
            <w:vAlign w:val="center"/>
            <w:hideMark/>
          </w:tcPr>
          <w:p w14:paraId="5D4E9D39" w14:textId="77777777" w:rsidR="001254D3" w:rsidRDefault="001254D3">
            <w:pPr>
              <w:suppressAutoHyphens/>
              <w:snapToGrid w:val="0"/>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Funkcje programu</w:t>
            </w:r>
          </w:p>
        </w:tc>
        <w:tc>
          <w:tcPr>
            <w:tcW w:w="7442" w:type="dxa"/>
            <w:tcBorders>
              <w:top w:val="single" w:sz="4" w:space="0" w:color="000000"/>
              <w:left w:val="single" w:sz="4" w:space="0" w:color="000000"/>
              <w:bottom w:val="single" w:sz="4" w:space="0" w:color="000000"/>
              <w:right w:val="single" w:sz="4" w:space="0" w:color="000000"/>
            </w:tcBorders>
            <w:vAlign w:val="center"/>
            <w:hideMark/>
          </w:tcPr>
          <w:p w14:paraId="2BF273CE"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Pełna ochrona przed wirusami, trojanami, robakami i innymi zagrożeniami.</w:t>
            </w:r>
          </w:p>
          <w:p w14:paraId="0F516AC6"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 xml:space="preserve">Wykrywanie i usuwanie niebezpiecznych aplikacji typu </w:t>
            </w:r>
            <w:proofErr w:type="spellStart"/>
            <w:r>
              <w:rPr>
                <w:rFonts w:ascii="Times New Roman" w:eastAsia="Times New Roman" w:hAnsi="Times New Roman" w:cs="Times New Roman"/>
                <w:color w:val="000000"/>
                <w:sz w:val="20"/>
                <w:szCs w:val="20"/>
                <w:lang w:eastAsia="zh-CN"/>
              </w:rPr>
              <w:t>adware</w:t>
            </w:r>
            <w:proofErr w:type="spellEnd"/>
            <w:r>
              <w:rPr>
                <w:rFonts w:ascii="Times New Roman" w:eastAsia="Times New Roman" w:hAnsi="Times New Roman" w:cs="Times New Roman"/>
                <w:color w:val="000000"/>
                <w:sz w:val="20"/>
                <w:szCs w:val="20"/>
                <w:lang w:eastAsia="zh-CN"/>
              </w:rPr>
              <w:t xml:space="preserve">, spyware, dialer, </w:t>
            </w:r>
            <w:proofErr w:type="spellStart"/>
            <w:r>
              <w:rPr>
                <w:rFonts w:ascii="Times New Roman" w:eastAsia="Times New Roman" w:hAnsi="Times New Roman" w:cs="Times New Roman"/>
                <w:color w:val="000000"/>
                <w:sz w:val="20"/>
                <w:szCs w:val="20"/>
                <w:lang w:eastAsia="zh-CN"/>
              </w:rPr>
              <w:t>phishing</w:t>
            </w:r>
            <w:proofErr w:type="spellEnd"/>
            <w:r>
              <w:rPr>
                <w:rFonts w:ascii="Times New Roman" w:eastAsia="Times New Roman" w:hAnsi="Times New Roman" w:cs="Times New Roman"/>
                <w:color w:val="000000"/>
                <w:sz w:val="20"/>
                <w:szCs w:val="20"/>
                <w:lang w:eastAsia="zh-CN"/>
              </w:rPr>
              <w:t xml:space="preserve">, narzędzi </w:t>
            </w:r>
            <w:proofErr w:type="spellStart"/>
            <w:r>
              <w:rPr>
                <w:rFonts w:ascii="Times New Roman" w:eastAsia="Times New Roman" w:hAnsi="Times New Roman" w:cs="Times New Roman"/>
                <w:color w:val="000000"/>
                <w:sz w:val="20"/>
                <w:szCs w:val="20"/>
                <w:lang w:eastAsia="zh-CN"/>
              </w:rPr>
              <w:t>hakerskich</w:t>
            </w:r>
            <w:proofErr w:type="spellEnd"/>
            <w:r>
              <w:rPr>
                <w:rFonts w:ascii="Times New Roman" w:eastAsia="Times New Roman" w:hAnsi="Times New Roman" w:cs="Times New Roman"/>
                <w:color w:val="000000"/>
                <w:sz w:val="20"/>
                <w:szCs w:val="20"/>
                <w:lang w:eastAsia="zh-CN"/>
              </w:rPr>
              <w:t xml:space="preserve">, </w:t>
            </w:r>
            <w:proofErr w:type="spellStart"/>
            <w:r>
              <w:rPr>
                <w:rFonts w:ascii="Times New Roman" w:eastAsia="Times New Roman" w:hAnsi="Times New Roman" w:cs="Times New Roman"/>
                <w:color w:val="000000"/>
                <w:sz w:val="20"/>
                <w:szCs w:val="20"/>
                <w:lang w:eastAsia="zh-CN"/>
              </w:rPr>
              <w:t>backdoor</w:t>
            </w:r>
            <w:proofErr w:type="spellEnd"/>
            <w:r>
              <w:rPr>
                <w:rFonts w:ascii="Times New Roman" w:eastAsia="Times New Roman" w:hAnsi="Times New Roman" w:cs="Times New Roman"/>
                <w:color w:val="000000"/>
                <w:sz w:val="20"/>
                <w:szCs w:val="20"/>
                <w:lang w:eastAsia="zh-CN"/>
              </w:rPr>
              <w:t>, itp.</w:t>
            </w:r>
          </w:p>
          <w:p w14:paraId="4179E59A"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 xml:space="preserve">Wbudowana technologia do ochrony przed </w:t>
            </w:r>
            <w:proofErr w:type="spellStart"/>
            <w:r>
              <w:rPr>
                <w:rFonts w:ascii="Times New Roman" w:eastAsia="Times New Roman" w:hAnsi="Times New Roman" w:cs="Times New Roman"/>
                <w:color w:val="000000"/>
                <w:sz w:val="20"/>
                <w:szCs w:val="20"/>
                <w:lang w:eastAsia="zh-CN"/>
              </w:rPr>
              <w:t>rootkitami</w:t>
            </w:r>
            <w:proofErr w:type="spellEnd"/>
            <w:r>
              <w:rPr>
                <w:rFonts w:ascii="Times New Roman" w:eastAsia="Times New Roman" w:hAnsi="Times New Roman" w:cs="Times New Roman"/>
                <w:color w:val="000000"/>
                <w:sz w:val="20"/>
                <w:szCs w:val="20"/>
                <w:lang w:eastAsia="zh-CN"/>
              </w:rPr>
              <w:t>.</w:t>
            </w:r>
          </w:p>
          <w:p w14:paraId="7C6A1D35"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Skanowanie w czasie rzeczywistym otwieranych, zapisywanych i wykonywanych plików.</w:t>
            </w:r>
          </w:p>
          <w:p w14:paraId="0DEF7969"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Ochrona przed spamem</w:t>
            </w:r>
          </w:p>
          <w:p w14:paraId="37116E1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Zapora osobista (</w:t>
            </w:r>
            <w:proofErr w:type="spellStart"/>
            <w:r>
              <w:rPr>
                <w:rFonts w:ascii="Times New Roman" w:eastAsia="Times New Roman" w:hAnsi="Times New Roman" w:cs="Times New Roman"/>
                <w:color w:val="000000"/>
                <w:sz w:val="20"/>
                <w:szCs w:val="20"/>
                <w:lang w:eastAsia="zh-CN"/>
              </w:rPr>
              <w:t>personal</w:t>
            </w:r>
            <w:proofErr w:type="spellEnd"/>
            <w:r>
              <w:rPr>
                <w:rFonts w:ascii="Times New Roman" w:eastAsia="Times New Roman" w:hAnsi="Times New Roman" w:cs="Times New Roman"/>
                <w:color w:val="000000"/>
                <w:sz w:val="20"/>
                <w:szCs w:val="20"/>
                <w:lang w:eastAsia="zh-CN"/>
              </w:rPr>
              <w:t xml:space="preserve"> firewall)</w:t>
            </w:r>
          </w:p>
          <w:p w14:paraId="32B82924"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Kontrola dostępu do stron internetowych</w:t>
            </w:r>
          </w:p>
          <w:p w14:paraId="5E0F0EF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proofErr w:type="spellStart"/>
            <w:r>
              <w:rPr>
                <w:rFonts w:ascii="Times New Roman" w:eastAsia="Times New Roman" w:hAnsi="Times New Roman" w:cs="Times New Roman"/>
                <w:color w:val="000000"/>
                <w:sz w:val="20"/>
                <w:szCs w:val="20"/>
                <w:lang w:val="en-US" w:eastAsia="zh-CN"/>
              </w:rPr>
              <w:t>Ochrona</w:t>
            </w:r>
            <w:proofErr w:type="spellEnd"/>
            <w:r>
              <w:rPr>
                <w:rFonts w:ascii="Times New Roman" w:eastAsia="Times New Roman" w:hAnsi="Times New Roman" w:cs="Times New Roman"/>
                <w:color w:val="000000"/>
                <w:sz w:val="20"/>
                <w:szCs w:val="20"/>
                <w:lang w:val="en-US" w:eastAsia="zh-CN"/>
              </w:rPr>
              <w:t xml:space="preserve"> </w:t>
            </w:r>
            <w:proofErr w:type="spellStart"/>
            <w:r>
              <w:rPr>
                <w:rFonts w:ascii="Times New Roman" w:eastAsia="Times New Roman" w:hAnsi="Times New Roman" w:cs="Times New Roman"/>
                <w:color w:val="000000"/>
                <w:sz w:val="20"/>
                <w:szCs w:val="20"/>
                <w:lang w:val="en-US" w:eastAsia="zh-CN"/>
              </w:rPr>
              <w:t>serwera</w:t>
            </w:r>
            <w:proofErr w:type="spellEnd"/>
            <w:r>
              <w:rPr>
                <w:rFonts w:ascii="Times New Roman" w:eastAsia="Times New Roman" w:hAnsi="Times New Roman" w:cs="Times New Roman"/>
                <w:color w:val="000000"/>
                <w:sz w:val="20"/>
                <w:szCs w:val="20"/>
                <w:lang w:val="en-US" w:eastAsia="zh-CN"/>
              </w:rPr>
              <w:t xml:space="preserve"> </w:t>
            </w:r>
            <w:proofErr w:type="spellStart"/>
            <w:r>
              <w:rPr>
                <w:rFonts w:ascii="Times New Roman" w:eastAsia="Times New Roman" w:hAnsi="Times New Roman" w:cs="Times New Roman"/>
                <w:color w:val="000000"/>
                <w:sz w:val="20"/>
                <w:szCs w:val="20"/>
                <w:lang w:val="en-US" w:eastAsia="zh-CN"/>
              </w:rPr>
              <w:t>plików</w:t>
            </w:r>
            <w:proofErr w:type="spellEnd"/>
            <w:r>
              <w:rPr>
                <w:rFonts w:ascii="Times New Roman" w:eastAsia="Times New Roman" w:hAnsi="Times New Roman" w:cs="Times New Roman"/>
                <w:color w:val="000000"/>
                <w:sz w:val="20"/>
                <w:szCs w:val="20"/>
                <w:lang w:val="en-US" w:eastAsia="zh-CN"/>
              </w:rPr>
              <w:t xml:space="preserve"> Windows</w:t>
            </w:r>
          </w:p>
          <w:p w14:paraId="02BCE442"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Możliwość skanowania całego dysku, wybranych katalogów lub pojedynczych plików "na żądanie" lub według harmonogramu.</w:t>
            </w:r>
          </w:p>
          <w:p w14:paraId="238D6E0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Możliwość utworzenia wielu różnych zadań skanowania według harmonogramu (w tym: co godzinę, po zalogowaniu i po uruchomieniu komputera). Każde zadanie ma mieć możliwość uruchomienia z innymi ustawieniami (czyli metody skanowania, obiekty skanowania, czynności, rozszerzenia przeznaczone do skanowania, priorytet skanowania).</w:t>
            </w:r>
          </w:p>
          <w:p w14:paraId="03C1CE6C"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Skanowanie "na żądanie" pojedynczych plików lub katalogów przy pomocy skrótu w menu kontekstowym.</w:t>
            </w:r>
          </w:p>
          <w:p w14:paraId="3D18B63D"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Możliwość skanowania dysków sieciowych i dysków przenośnych.</w:t>
            </w:r>
          </w:p>
          <w:p w14:paraId="7814140E"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Skanowanie plików spakowanych i skompresowanych.</w:t>
            </w:r>
          </w:p>
          <w:p w14:paraId="35524B62"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 xml:space="preserve">Możliwość umieszczenia na liście </w:t>
            </w:r>
            <w:proofErr w:type="spellStart"/>
            <w:r>
              <w:rPr>
                <w:rFonts w:ascii="Times New Roman" w:eastAsia="Times New Roman" w:hAnsi="Times New Roman" w:cs="Times New Roman"/>
                <w:color w:val="000000"/>
                <w:sz w:val="20"/>
                <w:szCs w:val="20"/>
                <w:lang w:eastAsia="zh-CN"/>
              </w:rPr>
              <w:t>wykluczeń</w:t>
            </w:r>
            <w:proofErr w:type="spellEnd"/>
            <w:r>
              <w:rPr>
                <w:rFonts w:ascii="Times New Roman" w:eastAsia="Times New Roman" w:hAnsi="Times New Roman" w:cs="Times New Roman"/>
                <w:color w:val="000000"/>
                <w:sz w:val="20"/>
                <w:szCs w:val="20"/>
                <w:lang w:eastAsia="zh-CN"/>
              </w:rPr>
              <w:t xml:space="preserve"> ze skanowania wybranych plików, katalogów lub plików o określonych rozszerzeniach.</w:t>
            </w:r>
          </w:p>
          <w:p w14:paraId="3122B077"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lastRenderedPageBreak/>
              <w:t>W</w:t>
            </w:r>
            <w:r>
              <w:rPr>
                <w:rFonts w:ascii="Times New Roman" w:eastAsia="Times New Roman" w:hAnsi="Times New Roman" w:cs="Times New Roman"/>
                <w:color w:val="000000"/>
                <w:sz w:val="20"/>
                <w:szCs w:val="20"/>
              </w:rPr>
              <w:t>ykluczenie ze skanowania musi odbywać się nie tylko po nazwie pliku ale również ma być możliwe użycie symbolu wieloznacznego „*” zastępującego dowolne znaki w ścieżce.</w:t>
            </w:r>
          </w:p>
          <w:p w14:paraId="1AD8921C"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 xml:space="preserve">Administrator ma możliwość dodania wykluczenia po tzw. </w:t>
            </w:r>
            <w:proofErr w:type="spellStart"/>
            <w:r>
              <w:rPr>
                <w:rFonts w:ascii="Times New Roman" w:eastAsia="Times New Roman" w:hAnsi="Times New Roman" w:cs="Times New Roman"/>
                <w:color w:val="000000"/>
                <w:sz w:val="20"/>
                <w:szCs w:val="20"/>
              </w:rPr>
              <w:t>HASH’u</w:t>
            </w:r>
            <w:proofErr w:type="spellEnd"/>
            <w:r>
              <w:rPr>
                <w:rFonts w:ascii="Times New Roman" w:eastAsia="Times New Roman" w:hAnsi="Times New Roman" w:cs="Times New Roman"/>
                <w:color w:val="000000"/>
                <w:sz w:val="20"/>
                <w:szCs w:val="20"/>
              </w:rPr>
              <w:t xml:space="preserve"> zagrożenia, wskazującego bezpośrednio na określoną infekcję a nie konkretny plik.</w:t>
            </w:r>
          </w:p>
          <w:p w14:paraId="0169FD97"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Możliwość automatycznego wyłączenia komputera po zakończonym skanowaniu.</w:t>
            </w:r>
          </w:p>
          <w:p w14:paraId="5A322CEC"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Brak konieczności ponownego uruchomienia (restartu) komputera po instalacji programu.</w:t>
            </w:r>
          </w:p>
          <w:p w14:paraId="51F233E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Użytkownik musi posiadać możliwość tymczasowego wyłączenia ochrony na czas co najmniej 10 min lub do ponownego uruchomienia komputera.</w:t>
            </w:r>
          </w:p>
          <w:p w14:paraId="53BCEB05"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W momencie tymczasowego wyłączenia ochrony antywirusowej użytkownik musi być poinformowany o takim fakcie odpowiednim powiadomieniem i informacją w interfejsie aplikacji.</w:t>
            </w:r>
          </w:p>
          <w:p w14:paraId="11910612"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Skanowanie i oczyszczanie poczty przychodzącej POP3 i IMAP "w locie" (w czasie rzeczywistym), zanim zostanie dostarczona do klienta pocztowego zainstalowanego na stacji roboczej (niezależnie od konkretnego klienta pocztowego).</w:t>
            </w:r>
          </w:p>
          <w:p w14:paraId="03A29F8F"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Automatyczna integracja skanera POP3 i IMAP z dowolnym klientem pocztowym bez konieczności zmian w konfiguracji.</w:t>
            </w:r>
          </w:p>
          <w:p w14:paraId="10CFDB36"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Skanowanie ruchu HTTP na poziomie stacji roboczych. Zainfekowany ruch jest automatycznie blokowany a użytkownikowi wyświetlane jest stosowne powiadomienie.</w:t>
            </w:r>
          </w:p>
          <w:p w14:paraId="11196B2E"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Blokowanie możliwości przeglądania wybranych stron internetowych. Listę blokowanych stron internetowych określa administrator. Program musi umożliwić blokowanie danej strony internetowej po podaniu na liście całej nazwy strony lub tylko wybranego słowa występującego w nazwie strony.</w:t>
            </w:r>
          </w:p>
          <w:p w14:paraId="17317EE8"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Możliwość zdefiniowania blokady wszystkich stron internetowych z wyjątkiem listy stron ustalonej przez administratora.</w:t>
            </w:r>
          </w:p>
          <w:p w14:paraId="60DE50C9"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Automatyczna integracja z dowolną przeglądarką internetową bez konieczności zmian w konfiguracji.</w:t>
            </w:r>
          </w:p>
          <w:p w14:paraId="4BCE2C4D"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Program ma umożliwiać skanowanie ruchu sieciowego wewnątrz szyfrowanych protokołów HTTPS, POP3S, IMAPS.</w:t>
            </w:r>
          </w:p>
          <w:p w14:paraId="3F86546C"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 xml:space="preserve">Możliwość zgłoszenia witryny z podejrzeniem </w:t>
            </w:r>
            <w:proofErr w:type="spellStart"/>
            <w:r>
              <w:rPr>
                <w:rFonts w:ascii="Times New Roman" w:eastAsia="Times New Roman" w:hAnsi="Times New Roman" w:cs="Times New Roman"/>
                <w:color w:val="000000"/>
                <w:sz w:val="20"/>
                <w:szCs w:val="20"/>
              </w:rPr>
              <w:t>phishingu</w:t>
            </w:r>
            <w:proofErr w:type="spellEnd"/>
            <w:r>
              <w:rPr>
                <w:rFonts w:ascii="Times New Roman" w:eastAsia="Times New Roman" w:hAnsi="Times New Roman" w:cs="Times New Roman"/>
                <w:color w:val="000000"/>
                <w:sz w:val="20"/>
                <w:szCs w:val="20"/>
              </w:rPr>
              <w:t xml:space="preserve"> z poziomu graficznego interfejsu użytkownika w celu analizy przez laboratorium producenta.</w:t>
            </w:r>
          </w:p>
          <w:p w14:paraId="1F6193E5"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Administrator ma mieć możliwość zdefiniowania portów TCP, na których aplikacja będzie realizowała proces skanowania ruchu szyfrowanego.</w:t>
            </w:r>
          </w:p>
          <w:p w14:paraId="7D7377CD"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Program musi posiadać funkcjonalność która na bieżąco będzie odpytywać serwery producenta o znane i bezpieczne procesy uruchomione na komputerze użytkownika.</w:t>
            </w:r>
          </w:p>
          <w:p w14:paraId="51C7FBD7"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W przypadku gdy stacja robocza nie będzie posiadała dostępu do sieci Internet ma odbywać się skanowanie wszystkich procesów również tych, które wcześniej zostały uznane za bezpieczne.</w:t>
            </w:r>
          </w:p>
          <w:p w14:paraId="0015576D"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Wbudowane dwa niezależne moduły heurystyczne – jeden wykorzystujący pasywne metody heurystyczne (heurystyka) i drugi wykorzystujący aktywne metody heurystyczne oraz elementy sztucznej inteligencji (zaawansowana heurystyka). Musi istnieć możliwość wyboru, z jaką heurystyka ma odbywać się skanowanie – z użyciem jednej i/lub obu metod jednocześnie.</w:t>
            </w:r>
          </w:p>
          <w:p w14:paraId="4DC7AECA"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Możliwość zabezpieczenia konfiguracji programu hasłem, w taki sposób, aby użytkownik siedzący przy komputerze przy próbie dostępu do konfiguracji był proszony o podanie hasła</w:t>
            </w:r>
          </w:p>
          <w:p w14:paraId="00894C16"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Możliwość zabezpieczenia programu przed deinstalacją przez niepowołaną osobę, nawet, gdy posiada ona prawa lokalnego lub domenowego administratora. Przy próbie deinstalacji program musi pytać o hasło.</w:t>
            </w:r>
          </w:p>
          <w:p w14:paraId="2E389ACC"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Program ma mieć możliwość kontroli zainstalowanych aktualizacji systemu operacyjnego i w przypadku braku jakiejś aktualizacji – poinformować o tym użytkownika i administratora wraz z listą niezainstalowanych aktualizacji.</w:t>
            </w:r>
          </w:p>
          <w:p w14:paraId="4C973D6E"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lastRenderedPageBreak/>
              <w:t>Program ma mieć możliwość definiowania typu aktualizacji systemowych o braku, których będzie informował użytkownika w tym przynajmniej: aktualizacje krytyczne, aktualizacje ważne, aktualizacje zwykle oraz aktualizacje o niskim priorytecie. Ma być możliwość dezaktywacji tego mechanizmu.</w:t>
            </w:r>
          </w:p>
          <w:p w14:paraId="611C8894"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Po instalacji programu, użytkownik ma mieć możliwość przygotowania płyty CD, DVD lub pamięci USB, z której będzie w stanie uruchomić komputer w przypadku infekcji i przeskanować dysk w poszukiwaniu wirusów.</w:t>
            </w:r>
          </w:p>
          <w:p w14:paraId="1EB06F3B"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 xml:space="preserve">System antywirusowy uruchomiony z płyty </w:t>
            </w:r>
            <w:proofErr w:type="spellStart"/>
            <w:r>
              <w:rPr>
                <w:rFonts w:ascii="Times New Roman" w:eastAsia="Times New Roman" w:hAnsi="Times New Roman" w:cs="Times New Roman"/>
                <w:color w:val="000000"/>
                <w:sz w:val="20"/>
                <w:szCs w:val="20"/>
              </w:rPr>
              <w:t>bootowalnej</w:t>
            </w:r>
            <w:proofErr w:type="spellEnd"/>
            <w:r>
              <w:rPr>
                <w:rFonts w:ascii="Times New Roman" w:eastAsia="Times New Roman" w:hAnsi="Times New Roman" w:cs="Times New Roman"/>
                <w:color w:val="000000"/>
                <w:sz w:val="20"/>
                <w:szCs w:val="20"/>
              </w:rPr>
              <w:t xml:space="preserve"> lub pamięci USB ma umożliwiać pełną aktualizację baz sygnatur wirusów z Internetu lub z bazy zapisanej na dysku oraz ma pracować w trybie graficznym</w:t>
            </w:r>
          </w:p>
          <w:p w14:paraId="71A7FFA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 xml:space="preserve">Program ma umożliwiać administratorowi blokowanie zewnętrznych nośników danych na stacji w tym przynajmniej: Pamięci masowych, optycznych pamięci masowych, pamięci masowych </w:t>
            </w:r>
            <w:proofErr w:type="spellStart"/>
            <w:r>
              <w:rPr>
                <w:rFonts w:ascii="Times New Roman" w:eastAsia="Times New Roman" w:hAnsi="Times New Roman" w:cs="Times New Roman"/>
                <w:color w:val="000000"/>
                <w:sz w:val="20"/>
                <w:szCs w:val="20"/>
              </w:rPr>
              <w:t>Firewire</w:t>
            </w:r>
            <w:proofErr w:type="spellEnd"/>
            <w:r>
              <w:rPr>
                <w:rFonts w:ascii="Times New Roman" w:eastAsia="Times New Roman" w:hAnsi="Times New Roman" w:cs="Times New Roman"/>
                <w:color w:val="000000"/>
                <w:sz w:val="20"/>
                <w:szCs w:val="20"/>
              </w:rPr>
              <w:t>, urządzeń do tworzenia obrazów, drukarek USB, urządzeń Bluetooth, czytników kart inteligentnych, modemów, portów LPT/COM , urządzeń przenośnych oraz urządzeń dowolnego typu.</w:t>
            </w:r>
          </w:p>
          <w:p w14:paraId="55068B1E"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W momencie podłączenia zewnętrznego nośnika aplikacja musi wyświetlić użytkownikowi odpowiedni komunikat i umożliwić natychmiastowe przeskanowanie całej zawartości podłączanego nośnika.</w:t>
            </w:r>
          </w:p>
          <w:p w14:paraId="7713F09C"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Oprogramowanie musi posiadać zaawansowany skaner pamięci</w:t>
            </w:r>
          </w:p>
          <w:p w14:paraId="53029465"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 xml:space="preserve">Program musi być wyposażona w mechanizm ochrony przed </w:t>
            </w:r>
            <w:proofErr w:type="spellStart"/>
            <w:r>
              <w:rPr>
                <w:rFonts w:ascii="Times New Roman" w:eastAsia="Times New Roman" w:hAnsi="Times New Roman" w:cs="Times New Roman"/>
                <w:color w:val="000000"/>
                <w:sz w:val="20"/>
                <w:szCs w:val="20"/>
              </w:rPr>
              <w:t>exploitami</w:t>
            </w:r>
            <w:proofErr w:type="spellEnd"/>
            <w:r>
              <w:rPr>
                <w:rFonts w:ascii="Times New Roman" w:eastAsia="Times New Roman" w:hAnsi="Times New Roman" w:cs="Times New Roman"/>
                <w:color w:val="000000"/>
                <w:sz w:val="20"/>
                <w:szCs w:val="20"/>
              </w:rPr>
              <w:t xml:space="preserve"> w popularnych aplikacjach np. czytnikach PDF, aplikacjach JAVA itp.</w:t>
            </w:r>
          </w:p>
          <w:p w14:paraId="2503CD1F"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Program ma być wyposażony we wbudowaną funkcję, która wygeneruje pełny raport na temat stacji, na której został zainstalowany w tym przynajmniej z: zainstalowanych aplikacji, usług systemowych, informacji o systemie operacyjnym i sprzęcie, aktywnych procesach i połączeniach.</w:t>
            </w:r>
          </w:p>
          <w:p w14:paraId="1DE0DD5B"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Możliwość określenia maksymalnego czasu ważności dla bazy danych sygnatur, po upływie czasu i braku aktualizacji program zgłosi posiadanie nieaktualnej bazy sygnatur.</w:t>
            </w:r>
          </w:p>
          <w:p w14:paraId="56989D49"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Program musi posiadać funkcjonalność tworzenia lokalnego repozytorium aktualizacji.</w:t>
            </w:r>
          </w:p>
          <w:p w14:paraId="37D6E052"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Program ma być wyposażony w dziennik zdarzeń rejestrujący informacje na temat znalezionych zagrożeń, pracy zapory osobistej, modułu antyspamowego, kontroli stron Internetowych i kontroli urządzeń, skanowania na żądanie i według harmonogramu, dokonanych aktualizacji baz wirusów i samego oprogramowania.</w:t>
            </w:r>
          </w:p>
          <w:p w14:paraId="49688BB8"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Program musi posiadać możliwość aktywacji poprzez podanie konta administratora licencji, podanie klucza licencyjnego oraz możliwość aktywacji programu offline.</w:t>
            </w:r>
          </w:p>
          <w:p w14:paraId="4AC4FB31"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Możliwość podejrzenia licencji za pomocą, której program został aktywowany.</w:t>
            </w:r>
          </w:p>
          <w:p w14:paraId="01E56F7B"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W trakcie instalacji program ma umożliwiać wybór komponentów, które mają być instalowane.</w:t>
            </w:r>
          </w:p>
          <w:p w14:paraId="59F26BA4"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W programie musi istnieć możliwość tymczasowego wstrzymania polityk wysłanych z poziomu serwera zdalnej administracji.</w:t>
            </w:r>
          </w:p>
          <w:p w14:paraId="441867FE"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rPr>
              <w:t>Aplikacja musi posiadać funkcję ręcznej aktualizacji komponentów programu.</w:t>
            </w:r>
          </w:p>
        </w:tc>
      </w:tr>
      <w:tr w:rsidR="001254D3" w14:paraId="45C88411" w14:textId="77777777" w:rsidTr="001254D3">
        <w:tc>
          <w:tcPr>
            <w:tcW w:w="765" w:type="dxa"/>
            <w:tcBorders>
              <w:top w:val="single" w:sz="4" w:space="0" w:color="000000"/>
              <w:left w:val="single" w:sz="4" w:space="0" w:color="000000"/>
              <w:bottom w:val="single" w:sz="4" w:space="0" w:color="000000"/>
              <w:right w:val="nil"/>
            </w:tcBorders>
            <w:vAlign w:val="center"/>
            <w:hideMark/>
          </w:tcPr>
          <w:p w14:paraId="60D33BF2" w14:textId="77777777" w:rsidR="001254D3" w:rsidRDefault="001254D3">
            <w:pPr>
              <w:suppressAutoHyphens/>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lastRenderedPageBreak/>
              <w:t>5</w:t>
            </w:r>
          </w:p>
        </w:tc>
        <w:tc>
          <w:tcPr>
            <w:tcW w:w="2655" w:type="dxa"/>
            <w:tcBorders>
              <w:top w:val="single" w:sz="4" w:space="0" w:color="000000"/>
              <w:left w:val="single" w:sz="4" w:space="0" w:color="000000"/>
              <w:bottom w:val="single" w:sz="4" w:space="0" w:color="000000"/>
              <w:right w:val="nil"/>
            </w:tcBorders>
            <w:vAlign w:val="center"/>
            <w:hideMark/>
          </w:tcPr>
          <w:p w14:paraId="22AF98BE" w14:textId="77777777" w:rsidR="001254D3" w:rsidRDefault="001254D3">
            <w:pPr>
              <w:suppressAutoHyphens/>
              <w:snapToGrid w:val="0"/>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Zdalna Administracja</w:t>
            </w:r>
          </w:p>
        </w:tc>
        <w:tc>
          <w:tcPr>
            <w:tcW w:w="7442" w:type="dxa"/>
            <w:tcBorders>
              <w:top w:val="single" w:sz="4" w:space="0" w:color="000000"/>
              <w:left w:val="single" w:sz="4" w:space="0" w:color="000000"/>
              <w:bottom w:val="single" w:sz="4" w:space="0" w:color="000000"/>
              <w:right w:val="single" w:sz="4" w:space="0" w:color="000000"/>
            </w:tcBorders>
            <w:vAlign w:val="center"/>
            <w:hideMark/>
          </w:tcPr>
          <w:p w14:paraId="45838518"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oferować możliwość instalacji na systemach Windows Server 2003, 2008, 2012, 2016 oraz systemach Linux.</w:t>
            </w:r>
          </w:p>
          <w:p w14:paraId="6195BBEA"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Musi istnieć możliwość pobrania ze strony producenta serwera zarządzającego w postaci gotowej maszyny wirtualnej w formacie OVA (Open Virtual Appliance).</w:t>
            </w:r>
          </w:p>
          <w:p w14:paraId="4856E3D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wspierać instalację w oparciu o co najmniej bazy danych MS SQL i MySQL.</w:t>
            </w:r>
          </w:p>
          <w:p w14:paraId="486E7A4E"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oferować możliwość wykorzystania już istniejącej bazy danych MS SQL lub MySQL użytkownika.</w:t>
            </w:r>
          </w:p>
          <w:p w14:paraId="5156D0B6"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Administrator musi posiadać możliwość pobrania wszystkich wymaganych elementów serwera centralnej administracji i konsoli w postaci jednego pakietu instalacyjnego lub każdego z modułów oddzielnie bezpośrednio ze strony producenta.</w:t>
            </w:r>
          </w:p>
          <w:p w14:paraId="0A91AFCF"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Dostęp do konsoli centralnego zarządzania musi odbywać się z poziomu interfejsu WWW niezależnie od platformy sprzętowej i programowej.</w:t>
            </w:r>
          </w:p>
          <w:p w14:paraId="12125BF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lastRenderedPageBreak/>
              <w:t>Narzędzie musi być kompatybilne z protokołami IPv4 oraz IPv6.</w:t>
            </w:r>
          </w:p>
          <w:p w14:paraId="655DC174"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Podczas logowania administrator musi mieć możliwość wyboru języka w jakim zostanie wyświetlony panel zarządzający.</w:t>
            </w:r>
          </w:p>
          <w:p w14:paraId="58D372FB"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Komunikacja z konsolą powinna być zabezpieczona się za pośrednictwem protokołu SSL.</w:t>
            </w:r>
          </w:p>
          <w:p w14:paraId="42EED9FB"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Narzędzie do administracji zdalnej musi posiadać moduł pozwalający na wykrycie niezarządzanych stacji roboczych w sieci.</w:t>
            </w:r>
          </w:p>
          <w:p w14:paraId="602D4102"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posiadać mechanizm instalacji zdalnej agenta na stacjach roboczych.</w:t>
            </w:r>
          </w:p>
          <w:p w14:paraId="4323C6DD"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Instalacja serwera administracyjnego powinna oferować wybór trybu pracy serwera w sieci w przypadku rozproszonych sieci –serwer pośredniczący (</w:t>
            </w:r>
            <w:proofErr w:type="spellStart"/>
            <w:r>
              <w:rPr>
                <w:rFonts w:ascii="Times New Roman" w:eastAsia="Times New Roman" w:hAnsi="Times New Roman" w:cs="Times New Roman"/>
                <w:color w:val="000000"/>
                <w:sz w:val="20"/>
                <w:szCs w:val="20"/>
                <w:lang w:eastAsia="zh-CN"/>
              </w:rPr>
              <w:t>proxy</w:t>
            </w:r>
            <w:proofErr w:type="spellEnd"/>
            <w:r>
              <w:rPr>
                <w:rFonts w:ascii="Times New Roman" w:eastAsia="Times New Roman" w:hAnsi="Times New Roman" w:cs="Times New Roman"/>
                <w:color w:val="000000"/>
                <w:sz w:val="20"/>
                <w:szCs w:val="20"/>
                <w:lang w:eastAsia="zh-CN"/>
              </w:rPr>
              <w:t>) lub serwer centralny.</w:t>
            </w:r>
          </w:p>
          <w:p w14:paraId="4E90DDA8"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 xml:space="preserve">Serwer administracyjny musi oferować możliwość instalacji serwera http </w:t>
            </w:r>
            <w:proofErr w:type="spellStart"/>
            <w:r>
              <w:rPr>
                <w:rFonts w:ascii="Times New Roman" w:eastAsia="Times New Roman" w:hAnsi="Times New Roman" w:cs="Times New Roman"/>
                <w:color w:val="000000"/>
                <w:sz w:val="20"/>
                <w:szCs w:val="20"/>
                <w:lang w:eastAsia="zh-CN"/>
              </w:rPr>
              <w:t>proxy</w:t>
            </w:r>
            <w:proofErr w:type="spellEnd"/>
            <w:r>
              <w:rPr>
                <w:rFonts w:ascii="Times New Roman" w:eastAsia="Times New Roman" w:hAnsi="Times New Roman" w:cs="Times New Roman"/>
                <w:color w:val="000000"/>
                <w:sz w:val="20"/>
                <w:szCs w:val="20"/>
                <w:lang w:eastAsia="zh-CN"/>
              </w:rPr>
              <w:t xml:space="preserve"> pozwalającego na pobieranie aktualizacji baz sygnatur oraz pakietów instalacyjnych na stacjach roboczych bez dostępu do Internetu.</w:t>
            </w:r>
          </w:p>
          <w:p w14:paraId="269459EA"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Centralna administracja musi pozwalać na zarządzanie programami zabezpieczającymi na stacjach roboczych z systemami Windows, Mac OS X oraz Linux oraz serwerach Windows.</w:t>
            </w:r>
          </w:p>
          <w:p w14:paraId="244A1E5B"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 xml:space="preserve">Centralna konfiguracja i zarządzanie ochroną antywirusową, </w:t>
            </w:r>
            <w:proofErr w:type="spellStart"/>
            <w:r>
              <w:rPr>
                <w:rFonts w:ascii="Times New Roman" w:eastAsia="Times New Roman" w:hAnsi="Times New Roman" w:cs="Times New Roman"/>
                <w:color w:val="000000"/>
                <w:sz w:val="20"/>
                <w:szCs w:val="20"/>
                <w:lang w:eastAsia="zh-CN"/>
              </w:rPr>
              <w:t>antyspyware’ową</w:t>
            </w:r>
            <w:proofErr w:type="spellEnd"/>
            <w:r>
              <w:rPr>
                <w:rFonts w:ascii="Times New Roman" w:eastAsia="Times New Roman" w:hAnsi="Times New Roman" w:cs="Times New Roman"/>
                <w:color w:val="000000"/>
                <w:sz w:val="20"/>
                <w:szCs w:val="20"/>
                <w:lang w:eastAsia="zh-CN"/>
              </w:rPr>
              <w:t>, zaporą osobistą i kontrolą dostępu do stron internetowych zainstalowanymi na stacjach roboczych w sieci.</w:t>
            </w:r>
          </w:p>
          <w:p w14:paraId="4A7B535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Zarządzanie oprogramowaniem zabezpieczającym na stacjach roboczych musi odbywać się za pośrednictwem dedykowanego agenta.</w:t>
            </w:r>
          </w:p>
          <w:p w14:paraId="7837FE2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Administrator musi posiadać możliwość zarządzania za pomocą dedykowanego agenta stacjami nie posiadającymi zainstalowanego programu zabezpieczającego</w:t>
            </w:r>
          </w:p>
          <w:p w14:paraId="171CF834"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Agent musi posiadać możliwość pobrania listy zainstalowanego oprogramowania firm trzecich na stacji roboczej z możliwością jego odinstalowania.</w:t>
            </w:r>
          </w:p>
          <w:p w14:paraId="4D6AAFFE"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Instalacja agenta musi odbywać się przy wykorzystaniu repozytorium producenta. Repozytorium powinno zawierać aktualne wersje agentów bez względu na rodzaj systemu operacyjnego.</w:t>
            </w:r>
          </w:p>
          <w:p w14:paraId="10EE7998"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 xml:space="preserve">Instalacja agenta nie może wymagać określenia typu systemu (32 lub 64 – bitowy) oraz jego rodzaju (Windows, Mac, </w:t>
            </w:r>
            <w:proofErr w:type="spellStart"/>
            <w:r>
              <w:rPr>
                <w:rFonts w:ascii="Times New Roman" w:eastAsia="Times New Roman" w:hAnsi="Times New Roman" w:cs="Times New Roman"/>
                <w:color w:val="000000"/>
                <w:sz w:val="20"/>
                <w:szCs w:val="20"/>
                <w:lang w:eastAsia="zh-CN"/>
              </w:rPr>
              <w:t>itp</w:t>
            </w:r>
            <w:proofErr w:type="spellEnd"/>
            <w:r>
              <w:rPr>
                <w:rFonts w:ascii="Times New Roman" w:eastAsia="Times New Roman" w:hAnsi="Times New Roman" w:cs="Times New Roman"/>
                <w:color w:val="000000"/>
                <w:sz w:val="20"/>
                <w:szCs w:val="20"/>
                <w:lang w:eastAsia="zh-CN"/>
              </w:rPr>
              <w:t>) a dobór odpowiedniego pakietu musi być w pełni automatyczny.</w:t>
            </w:r>
          </w:p>
          <w:p w14:paraId="27BB794A"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Administrator musi posiadać możliwość utworzenia dodatkowych użytkowników/administratorów Serwer centralnego zarządzania do zarządzania stacjami roboczymi.</w:t>
            </w:r>
          </w:p>
          <w:p w14:paraId="5E28C0C8"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Administrator musi posiadać wymuszenia dwufazowej autoryzacji podczas logowania do konsoli zarządzającej</w:t>
            </w:r>
          </w:p>
          <w:p w14:paraId="5C789BA3"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oferować możliwość utworzenia zestawów uprawnień dotyczących zarządzania poszczególnymi grupami komputerów, politykami, instalacją agenta, raportowania, zarządzania licencjami, zadaniami, itp.</w:t>
            </w:r>
          </w:p>
          <w:p w14:paraId="19F79409"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Użytkownik musi posiadać możliwość zmiany hasła dla swojego konta bez konieczności logowania się do panelu administracyjnego.</w:t>
            </w:r>
          </w:p>
          <w:p w14:paraId="49F6CC4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Dostępne zadania muszą być podzielone na dwie grupy: zadania klienta oraz zadania serwera.</w:t>
            </w:r>
          </w:p>
          <w:p w14:paraId="1C0688D2"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Zadania serwera obejmujące zadanie instalacji agenta, generowania raportów oraz synchronizacji grup.</w:t>
            </w:r>
          </w:p>
          <w:p w14:paraId="41BBA466"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oferować możliwość deinstalacji programu zabezpieczającego firm trzecich lub jego niepełnej instalacji podczas instalacji nowego pakietu.</w:t>
            </w:r>
          </w:p>
          <w:p w14:paraId="569EBB2A"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oferować możliwość wysłania komunikatu lub polecenia na stacje kliencką.</w:t>
            </w:r>
          </w:p>
          <w:p w14:paraId="227F197E"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oferować możliwość utworzenia polityk dla programów zabezpieczających i modułów serwera centralnego zarządzania.</w:t>
            </w:r>
          </w:p>
          <w:p w14:paraId="0101CB72"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lastRenderedPageBreak/>
              <w:t>Serwer administracyjny musi oferować możliwość przypisania polityki dla pojedynczego klienta lub dla grupy komputerów. Serwer administracyjny musi oferować możliwość przypisania kilku polityk z innymi priorytetami dla jednego klienta.</w:t>
            </w:r>
          </w:p>
          <w:p w14:paraId="3CE691A2"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oferować możliwość ukrycia graficznego interfejsu użytkownika na stacji klienckiej i jego uruchomienia tylko przez administratora.</w:t>
            </w:r>
          </w:p>
          <w:p w14:paraId="746DB6B0"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umożliwiać wyświetlenie polityk do których przynależy dana stacja robocza oraz ich edycję z poziomu właściwości samego klienta</w:t>
            </w:r>
          </w:p>
          <w:p w14:paraId="30066424"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oferować możliwość utworzenia własnych raportów lub skorzystanie z predefiniowanych wzorów</w:t>
            </w:r>
          </w:p>
          <w:p w14:paraId="003C89A1"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Raport generowany okresowo może zostać wysłany za pośrednictwem wiadomości email lub zapisany do pliku w formacie PDF, CSV lub PS.</w:t>
            </w:r>
          </w:p>
          <w:p w14:paraId="2D78A315"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Raport na panelu kontrolnym musi być w pełni interaktywny pozwalając przejść do zarządzania stacją/stacjami, której raport dotyczy.</w:t>
            </w:r>
          </w:p>
          <w:p w14:paraId="08151BF3"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Administrator musi posiadać możliwość wysłania powiadomienia za pośrednictwem wiadomości email lub komunikatu SNMP.</w:t>
            </w:r>
          </w:p>
          <w:p w14:paraId="2CDDE76F"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oferować możliwość podłączenia serwera administracji zdalnej do portalu zarządzania licencjami dostępnego na serwerze producenta.</w:t>
            </w:r>
          </w:p>
          <w:p w14:paraId="580462F7"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Serwer administracyjny musi oferować możliwość weryfikacji identyfikatora publicznego licencji, ilości wykorzystanych stanowisk, czasu wygaśnięcia, wersji produktu, na który jest licencja oraz jej właściciela.</w:t>
            </w:r>
          </w:p>
          <w:p w14:paraId="3B558F2C"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Narzędzie administracyjne musi być wyposażone w mechanizm wyszukiwania zarządzanych komputerów na podstawie co najmniej nazwy komputera, adresu IPv4 i IPv6 lub wyszukania konkretnej nazwy zagrożenia.</w:t>
            </w:r>
          </w:p>
          <w:p w14:paraId="5C6264F9" w14:textId="77777777" w:rsidR="001254D3" w:rsidRDefault="001254D3" w:rsidP="00AC0141">
            <w:pPr>
              <w:pStyle w:val="Akapitzlist"/>
              <w:numPr>
                <w:ilvl w:val="0"/>
                <w:numId w:val="1"/>
              </w:num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0"/>
                <w:szCs w:val="20"/>
                <w:lang w:eastAsia="zh-CN"/>
              </w:rPr>
              <w:t>Administrator musi mieć możliwość podłączenia do stacji roboczej z użyciem protokołu RDP bezpośrednio z poziomu konsoli ERA.</w:t>
            </w:r>
          </w:p>
        </w:tc>
      </w:tr>
      <w:tr w:rsidR="001254D3" w14:paraId="15BEE990" w14:textId="77777777" w:rsidTr="001254D3">
        <w:tc>
          <w:tcPr>
            <w:tcW w:w="765" w:type="dxa"/>
            <w:tcBorders>
              <w:top w:val="nil"/>
              <w:left w:val="single" w:sz="4" w:space="0" w:color="000000"/>
              <w:bottom w:val="single" w:sz="4" w:space="0" w:color="000000"/>
              <w:right w:val="nil"/>
            </w:tcBorders>
            <w:vAlign w:val="center"/>
            <w:hideMark/>
          </w:tcPr>
          <w:p w14:paraId="387F5153" w14:textId="77777777" w:rsidR="001254D3" w:rsidRDefault="001254D3">
            <w:pPr>
              <w:suppressAutoHyphens/>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lastRenderedPageBreak/>
              <w:t>6</w:t>
            </w:r>
          </w:p>
        </w:tc>
        <w:tc>
          <w:tcPr>
            <w:tcW w:w="2655" w:type="dxa"/>
            <w:tcBorders>
              <w:top w:val="nil"/>
              <w:left w:val="single" w:sz="4" w:space="0" w:color="000000"/>
              <w:bottom w:val="single" w:sz="4" w:space="0" w:color="000000"/>
              <w:right w:val="nil"/>
            </w:tcBorders>
            <w:vAlign w:val="center"/>
          </w:tcPr>
          <w:p w14:paraId="075FAC21" w14:textId="77777777" w:rsidR="001254D3" w:rsidRDefault="001254D3">
            <w:pPr>
              <w:suppressAutoHyphens/>
              <w:snapToGrid w:val="0"/>
              <w:spacing w:after="0" w:line="240" w:lineRule="auto"/>
              <w:jc w:val="center"/>
              <w:rPr>
                <w:rFonts w:ascii="Times New Roman" w:eastAsia="Times New Roman" w:hAnsi="Times New Roman" w:cs="Times New Roman"/>
                <w:b/>
                <w:sz w:val="24"/>
                <w:szCs w:val="24"/>
                <w:lang w:eastAsia="zh-CN"/>
              </w:rPr>
            </w:pPr>
          </w:p>
          <w:p w14:paraId="7C5B32B2" w14:textId="77777777" w:rsidR="001254D3" w:rsidRDefault="001254D3">
            <w:pPr>
              <w:suppressAutoHyphens/>
              <w:snapToGrid w:val="0"/>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Dodatkowe wymagania</w:t>
            </w:r>
          </w:p>
          <w:p w14:paraId="51B4C628" w14:textId="77777777" w:rsidR="001254D3" w:rsidRDefault="001254D3">
            <w:pPr>
              <w:suppressAutoHyphens/>
              <w:snapToGrid w:val="0"/>
              <w:spacing w:after="0" w:line="240" w:lineRule="auto"/>
              <w:jc w:val="center"/>
              <w:rPr>
                <w:rFonts w:ascii="Times New Roman" w:eastAsia="Times New Roman" w:hAnsi="Times New Roman" w:cs="Times New Roman"/>
                <w:b/>
                <w:sz w:val="24"/>
                <w:szCs w:val="24"/>
                <w:lang w:eastAsia="zh-CN"/>
              </w:rPr>
            </w:pPr>
          </w:p>
        </w:tc>
        <w:tc>
          <w:tcPr>
            <w:tcW w:w="7442" w:type="dxa"/>
            <w:tcBorders>
              <w:top w:val="nil"/>
              <w:left w:val="single" w:sz="4" w:space="0" w:color="000000"/>
              <w:bottom w:val="single" w:sz="4" w:space="0" w:color="000000"/>
              <w:right w:val="single" w:sz="4" w:space="0" w:color="000000"/>
            </w:tcBorders>
            <w:vAlign w:val="center"/>
            <w:hideMark/>
          </w:tcPr>
          <w:p w14:paraId="1F22D12A" w14:textId="77777777" w:rsidR="001254D3" w:rsidRDefault="001254D3">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0"/>
                <w:szCs w:val="20"/>
                <w:lang w:eastAsia="zh-CN"/>
              </w:rPr>
              <w:t>Szkolenie w autoryzowanym ośrodku szkoleniowym, prowadzone przez autoryzowanego trenera z danego rozwiązania, zakończone egzaminem i certyfikatem producenta rozwiązania.</w:t>
            </w:r>
          </w:p>
        </w:tc>
      </w:tr>
    </w:tbl>
    <w:p w14:paraId="670E67DF" w14:textId="74093B1D" w:rsidR="003F37AE" w:rsidRPr="001254D3" w:rsidRDefault="003F37AE">
      <w:pPr>
        <w:rPr>
          <w:rFonts w:ascii="Times New Roman" w:hAnsi="Times New Roman" w:cs="Times New Roman"/>
          <w:b/>
        </w:rPr>
      </w:pPr>
    </w:p>
    <w:sectPr w:rsidR="003F37AE" w:rsidRPr="001254D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4A3A41"/>
    <w:multiLevelType w:val="hybridMultilevel"/>
    <w:tmpl w:val="3ED03F40"/>
    <w:lvl w:ilvl="0" w:tplc="34BC7E2E">
      <w:start w:val="1"/>
      <w:numFmt w:val="bullet"/>
      <w:suff w:val="space"/>
      <w:lvlText w:val=""/>
      <w:lvlJc w:val="left"/>
      <w:pPr>
        <w:ind w:left="357" w:firstLine="3"/>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num w:numId="1" w16cid:durableId="19343166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4269"/>
    <w:rsid w:val="001254D3"/>
    <w:rsid w:val="002C7E69"/>
    <w:rsid w:val="003F37AE"/>
    <w:rsid w:val="00B3426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36F565"/>
  <w15:chartTrackingRefBased/>
  <w15:docId w15:val="{A1BF01E3-16FC-4CA8-B5A9-CA46DB8B5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254D3"/>
    <w:pPr>
      <w:spacing w:line="25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1254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837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2057</Words>
  <Characters>12346</Characters>
  <Application>Microsoft Office Word</Application>
  <DocSecurity>0</DocSecurity>
  <Lines>102</Lines>
  <Paragraphs>28</Paragraphs>
  <ScaleCrop>false</ScaleCrop>
  <Company/>
  <LinksUpToDate>false</LinksUpToDate>
  <CharactersWithSpaces>14375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WSSE Rzeszów - Karolina Łaba</dc:creator>
  <cp:keywords/>
  <dc:description/>
  <cp:lastModifiedBy>WSSE Rzeszów - Karolina Łaba</cp:lastModifiedBy>
  <cp:revision>3</cp:revision>
  <dcterms:created xsi:type="dcterms:W3CDTF">2022-08-18T09:57:00Z</dcterms:created>
  <dcterms:modified xsi:type="dcterms:W3CDTF">2022-08-18T12:05:00Z</dcterms:modified>
</cp:coreProperties>
</file>