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72" w:rsidRPr="007428D3" w:rsidRDefault="006C417D" w:rsidP="007428D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428D3">
        <w:rPr>
          <w:rFonts w:ascii="Times New Roman" w:hAnsi="Times New Roman" w:cs="Times New Roman"/>
          <w:b/>
          <w:sz w:val="28"/>
          <w:szCs w:val="28"/>
        </w:rPr>
        <w:t>Opinia</w:t>
      </w:r>
      <w:r w:rsidR="007B2F3A" w:rsidRPr="007428D3">
        <w:rPr>
          <w:rFonts w:ascii="Times New Roman" w:hAnsi="Times New Roman" w:cs="Times New Roman"/>
          <w:b/>
          <w:sz w:val="28"/>
          <w:szCs w:val="28"/>
        </w:rPr>
        <w:t xml:space="preserve"> dot. raportu SGH pt. „Struktura wpływów podatkowych z CIT w Polsce w latach 2016-2018 w kontekście uszczelnieni</w:t>
      </w:r>
      <w:r w:rsidR="009E1446" w:rsidRPr="007428D3">
        <w:rPr>
          <w:rFonts w:ascii="Times New Roman" w:hAnsi="Times New Roman" w:cs="Times New Roman"/>
          <w:b/>
          <w:sz w:val="28"/>
          <w:szCs w:val="28"/>
        </w:rPr>
        <w:t>a</w:t>
      </w:r>
      <w:r w:rsidR="007B2F3A" w:rsidRPr="007428D3">
        <w:rPr>
          <w:rFonts w:ascii="Times New Roman" w:hAnsi="Times New Roman" w:cs="Times New Roman"/>
          <w:b/>
          <w:sz w:val="28"/>
          <w:szCs w:val="28"/>
        </w:rPr>
        <w:t xml:space="preserve"> systemu podatkowego”</w:t>
      </w:r>
    </w:p>
    <w:p w:rsidR="00C62872" w:rsidRPr="007428D3" w:rsidRDefault="006C417D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W 2018 r. odnotowano najwyższy w ostatnim okresie wzrost</w:t>
      </w:r>
      <w:r w:rsidR="001E4F70" w:rsidRPr="007428D3">
        <w:rPr>
          <w:rFonts w:ascii="Times New Roman" w:hAnsi="Times New Roman" w:cs="Times New Roman"/>
          <w:sz w:val="24"/>
          <w:szCs w:val="24"/>
        </w:rPr>
        <w:t xml:space="preserve"> podatku </w:t>
      </w:r>
      <w:r w:rsidRPr="007428D3">
        <w:rPr>
          <w:rFonts w:ascii="Times New Roman" w:hAnsi="Times New Roman" w:cs="Times New Roman"/>
          <w:sz w:val="24"/>
          <w:szCs w:val="24"/>
        </w:rPr>
        <w:t>CIT. W 2018 r. wpływy z CIT wyniosły 44,3 mld zł i były o 6,2 mld zł (tj. o 16,2%) wyższe niż w 2017 r. podczas gdy wskaźnik wzrostu PKB w tym okresie był na niemal niezmienionym poziomie. </w:t>
      </w:r>
    </w:p>
    <w:p w:rsidR="00D3445D" w:rsidRPr="007428D3" w:rsidRDefault="006C417D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 W 2019 r. trend wzrostowy nie tylko utrzymuje się, ale wręcz poprawia, mimo wprowadzenia szeregu działań mających na celu zmniejszenie obciążeń podatkowych (obniżona stawka CIT dla małych podatników, preferencyjne opodatkowanie dochodów z praw własności intelektualnej, wspieranie nowych inwestycji). </w:t>
      </w:r>
    </w:p>
    <w:p w:rsidR="006C417D" w:rsidRPr="007428D3" w:rsidRDefault="006C417D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W okresie I-VIII 2019 r. wpływy  z CIT wyniosły 35,2 mld zł i były o 5,3 mld zł (tj. o 17,7%) wyższe niż w analogicznym okresie 2018 r. </w:t>
      </w:r>
    </w:p>
    <w:p w:rsidR="00D0366A" w:rsidRPr="007428D3" w:rsidRDefault="00D0366A" w:rsidP="007428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Wzrost dochodów to wynik nie tylko dobrej sytuacji makroekonomicznej ale także  prowadzonych intensywnych prac</w:t>
      </w:r>
      <w:r w:rsidR="00DC70C0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</w:rPr>
        <w:t xml:space="preserve">zmierzających do zwiększenia </w:t>
      </w:r>
      <w:r w:rsidR="00DC70C0" w:rsidRPr="007428D3">
        <w:rPr>
          <w:rFonts w:ascii="Times New Roman" w:hAnsi="Times New Roman" w:cs="Times New Roman"/>
          <w:sz w:val="24"/>
          <w:szCs w:val="24"/>
        </w:rPr>
        <w:t>stopnia przestrzegania przepisów podatkowych ograniczających straty z tytułu oszustw oraz unikania opodatkowania</w:t>
      </w:r>
      <w:r w:rsidRPr="007428D3">
        <w:rPr>
          <w:rFonts w:ascii="Times New Roman" w:hAnsi="Times New Roman" w:cs="Times New Roman"/>
          <w:sz w:val="24"/>
          <w:szCs w:val="24"/>
        </w:rPr>
        <w:t xml:space="preserve">. </w:t>
      </w:r>
      <w:r w:rsidR="00DC70C0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</w:rPr>
        <w:t>Podjęte zostały nowe działania mające na celu odbudowę strumienia dochodów podatkowych i uszczelnienie systemu podatkowego. Do tych działań zaliczyć można między innymi publikowanie ostrzeżeń przed optymalizacją podatkową, wprowadzenie dla wszystkich podatników prowadzących działalność systemu miesięcznego raportowania sprzedaży i zakupów (JPK) czy też wprowadzenie klauzuli przeciwko unikaniu opodatkowania. A co także bardzo ważne podjęto również szereg działań legislacyjnych w obszarze podatków dochodowych mających na celu uszczelnienie systemu podatkowego. Zmiany w tym zakresie wprowadzono m.in. (1) ustawą z dnia 13 kwietnia 2016 r. o zmianie ustawy o podatku dochodowym od osób fizycznych, ustawy o podatku dochodowym od osób prawnych oraz ustawy o swobodzie działalności gospodarczej (Dz. U. poz. 780), (2) ustawą z dnia 5 września 2016 r. o zmianie ustawy o podatku dochodowym od osób fizycznych oraz ustawy o podatku dochodowym od osób prawnych (Dz. U. poz. 1550) czy (3) ustawą z dnia</w:t>
      </w:r>
    </w:p>
    <w:p w:rsidR="00145B46" w:rsidRPr="007428D3" w:rsidRDefault="00D0366A" w:rsidP="007428D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27 października 2017 r. o zmianie ustawy o podatku dochodowym od osób fizycznych, ustawy o podatku dochodowym od osób prawnych oraz ustawy o zryczałtowanym podatku dochodowym od niektórych przychodów osiąganych przez osoby fizyczne (Dz. U. poz. 2175). </w:t>
      </w:r>
    </w:p>
    <w:p w:rsidR="00A7679F" w:rsidRPr="007428D3" w:rsidRDefault="00145B46" w:rsidP="007428D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Prowadzone prace legislacyjne to także efekt </w:t>
      </w:r>
      <w:r w:rsidR="00C72F21" w:rsidRPr="007428D3">
        <w:rPr>
          <w:rFonts w:ascii="Times New Roman" w:hAnsi="Times New Roman" w:cs="Times New Roman"/>
          <w:sz w:val="24"/>
          <w:szCs w:val="24"/>
        </w:rPr>
        <w:t xml:space="preserve">zmian uszczelniających </w:t>
      </w:r>
      <w:r w:rsidRPr="007428D3">
        <w:rPr>
          <w:rFonts w:ascii="Times New Roman" w:hAnsi="Times New Roman" w:cs="Times New Roman"/>
          <w:sz w:val="24"/>
          <w:szCs w:val="24"/>
        </w:rPr>
        <w:t>postanowienia umów o unikaniu podwójnego opodatkowania (umów o UPO) oraz wyeliminowanie tych postanowień, które potencjalnie mogłyby stwarzać warunki do nadużyć podatkowych. Przykładowo, w wyniku renegocjacji</w:t>
      </w:r>
      <w:r w:rsidR="003F2531" w:rsidRPr="007428D3">
        <w:rPr>
          <w:rFonts w:ascii="Times New Roman" w:hAnsi="Times New Roman" w:cs="Times New Roman"/>
          <w:sz w:val="24"/>
          <w:szCs w:val="24"/>
        </w:rPr>
        <w:t>: (i)</w:t>
      </w:r>
      <w:r w:rsidRPr="007428D3">
        <w:rPr>
          <w:rFonts w:ascii="Times New Roman" w:hAnsi="Times New Roman" w:cs="Times New Roman"/>
          <w:sz w:val="24"/>
          <w:szCs w:val="24"/>
        </w:rPr>
        <w:t xml:space="preserve"> umowy z Cyprem zostały wyeliminowane postanowienia dotyczące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 tzw. klauzuli</w:t>
      </w:r>
      <w:r w:rsidRPr="007428D3">
        <w:rPr>
          <w:rFonts w:ascii="Times New Roman" w:hAnsi="Times New Roman" w:cs="Times New Roman"/>
          <w:sz w:val="24"/>
          <w:szCs w:val="24"/>
        </w:rPr>
        <w:t xml:space="preserve"> tax sparring, polegające na możliwości odliczenia w Polsce zagranicznego podatku w rzeczywistości niezapłaconego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 przede wszystkim ze względu na rozbieżności semantyczne w wersji polskiej i angielskiej tej umowy o UPO; (ii)</w:t>
      </w:r>
      <w:r w:rsidRPr="007428D3">
        <w:rPr>
          <w:rFonts w:ascii="Times New Roman" w:hAnsi="Times New Roman" w:cs="Times New Roman"/>
          <w:sz w:val="24"/>
          <w:szCs w:val="24"/>
        </w:rPr>
        <w:t xml:space="preserve"> w wyniku renegocjacji umowy z Luksemburgiem wyeliminowano postanowienia będące podstawą do podwó</w:t>
      </w:r>
      <w:r w:rsidR="003F2531" w:rsidRPr="007428D3">
        <w:rPr>
          <w:rFonts w:ascii="Times New Roman" w:hAnsi="Times New Roman" w:cs="Times New Roman"/>
          <w:sz w:val="24"/>
          <w:szCs w:val="24"/>
        </w:rPr>
        <w:t>jnego nieopodatkowania dywidend; (iii)</w:t>
      </w:r>
      <w:r w:rsidRPr="007428D3">
        <w:rPr>
          <w:rFonts w:ascii="Times New Roman" w:hAnsi="Times New Roman" w:cs="Times New Roman"/>
          <w:sz w:val="24"/>
          <w:szCs w:val="24"/>
        </w:rPr>
        <w:t xml:space="preserve"> na skutek renegocjacji umowy z Maltą, zaktualizowano zasady opodatkowania dywidend, odsetek, należności licencyjnych oraz dochodów z przeniesienia własności majątku, </w:t>
      </w:r>
      <w:r w:rsidR="00147973" w:rsidRPr="007428D3">
        <w:rPr>
          <w:rFonts w:ascii="Times New Roman" w:hAnsi="Times New Roman" w:cs="Times New Roman"/>
          <w:sz w:val="24"/>
          <w:szCs w:val="24"/>
        </w:rPr>
        <w:t>jak również wprowadzono zasady skutecznej wymiany informacji podatkowy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ch między organami podatkowymi; (iv) i wreszcie </w:t>
      </w:r>
      <w:r w:rsidR="00147973" w:rsidRPr="007428D3">
        <w:rPr>
          <w:rFonts w:ascii="Times New Roman" w:hAnsi="Times New Roman" w:cs="Times New Roman"/>
          <w:sz w:val="24"/>
          <w:szCs w:val="24"/>
        </w:rPr>
        <w:t>renegocjowano umowę ze Zjednoczonymi Emiratami Arabskimi, dzięki czemu w stosunkach z tym państwem została wprowadzona klauzula PPT (ang. principal purpose test) oraz wyeliminowano możliwość podwójnego nieopodatkowania dochodów dyrektorów</w:t>
      </w:r>
      <w:r w:rsidRPr="007428D3">
        <w:rPr>
          <w:rFonts w:ascii="Times New Roman" w:hAnsi="Times New Roman" w:cs="Times New Roman"/>
          <w:sz w:val="24"/>
          <w:szCs w:val="24"/>
        </w:rPr>
        <w:t xml:space="preserve">. 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Co więcej, </w:t>
      </w:r>
      <w:r w:rsidR="00DC70C0" w:rsidRPr="007428D3">
        <w:rPr>
          <w:rFonts w:ascii="Times New Roman" w:hAnsi="Times New Roman" w:cs="Times New Roman"/>
          <w:sz w:val="24"/>
          <w:szCs w:val="24"/>
        </w:rPr>
        <w:t>Polska jako jedno z pierwszych państw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 Unii Europejskiej i OECD</w:t>
      </w:r>
      <w:r w:rsidRPr="007428D3">
        <w:rPr>
          <w:rFonts w:ascii="Times New Roman" w:hAnsi="Times New Roman" w:cs="Times New Roman"/>
          <w:sz w:val="24"/>
          <w:szCs w:val="24"/>
        </w:rPr>
        <w:t>, podjęła</w:t>
      </w:r>
      <w:r w:rsidR="00147973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</w:rPr>
        <w:t xml:space="preserve">szereg </w:t>
      </w:r>
      <w:r w:rsidRPr="007428D3">
        <w:rPr>
          <w:rFonts w:ascii="Times New Roman" w:hAnsi="Times New Roman" w:cs="Times New Roman"/>
          <w:sz w:val="24"/>
          <w:szCs w:val="24"/>
        </w:rPr>
        <w:lastRenderedPageBreak/>
        <w:t>dzia</w:t>
      </w:r>
      <w:r w:rsidR="003F2531" w:rsidRPr="007428D3">
        <w:rPr>
          <w:rFonts w:ascii="Times New Roman" w:hAnsi="Times New Roman" w:cs="Times New Roman"/>
          <w:sz w:val="24"/>
          <w:szCs w:val="24"/>
        </w:rPr>
        <w:t>łań rekomendowanych przez OECD dla realizacji założeń projektu OECD/G20 BEPS (Base Erosion Profit Shifting)</w:t>
      </w:r>
      <w:r w:rsidRPr="007428D3">
        <w:rPr>
          <w:rFonts w:ascii="Times New Roman" w:hAnsi="Times New Roman" w:cs="Times New Roman"/>
          <w:sz w:val="24"/>
          <w:szCs w:val="24"/>
        </w:rPr>
        <w:t>, w szczególności ratyfikowała</w:t>
      </w:r>
      <w:r w:rsidR="00DC70C0" w:rsidRPr="007428D3">
        <w:rPr>
          <w:rFonts w:ascii="Times New Roman" w:hAnsi="Times New Roman" w:cs="Times New Roman"/>
          <w:sz w:val="24"/>
          <w:szCs w:val="24"/>
        </w:rPr>
        <w:t xml:space="preserve"> Konwencję</w:t>
      </w:r>
      <w:r w:rsidR="00C72F21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DC70C0" w:rsidRPr="007428D3">
        <w:rPr>
          <w:rFonts w:ascii="Times New Roman" w:hAnsi="Times New Roman" w:cs="Times New Roman"/>
          <w:sz w:val="24"/>
          <w:szCs w:val="24"/>
        </w:rPr>
        <w:t xml:space="preserve">MLI, która wprowadza do umów o </w:t>
      </w:r>
      <w:r w:rsidR="003F2531" w:rsidRPr="007428D3">
        <w:rPr>
          <w:rFonts w:ascii="Times New Roman" w:hAnsi="Times New Roman" w:cs="Times New Roman"/>
          <w:sz w:val="24"/>
          <w:szCs w:val="24"/>
        </w:rPr>
        <w:t>UPO</w:t>
      </w:r>
      <w:r w:rsidR="00DC70C0" w:rsidRPr="007428D3">
        <w:rPr>
          <w:rFonts w:ascii="Times New Roman" w:hAnsi="Times New Roman" w:cs="Times New Roman"/>
          <w:sz w:val="24"/>
          <w:szCs w:val="24"/>
        </w:rPr>
        <w:t xml:space="preserve"> mechanizmy przeciwdziałania międzynarodowemu unikaniu opodatkowania, wypracowane w ramach projektu </w:t>
      </w:r>
    </w:p>
    <w:p w:rsidR="00F455D6" w:rsidRPr="007428D3" w:rsidRDefault="00624C98" w:rsidP="007428D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Działania resortu w </w:t>
      </w:r>
      <w:r w:rsidR="00F455D6" w:rsidRPr="007428D3">
        <w:rPr>
          <w:rFonts w:ascii="Times New Roman" w:hAnsi="Times New Roman" w:cs="Times New Roman"/>
          <w:sz w:val="24"/>
          <w:szCs w:val="24"/>
        </w:rPr>
        <w:t>obszarze</w:t>
      </w:r>
      <w:r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145B46" w:rsidRPr="007428D3">
        <w:rPr>
          <w:rFonts w:ascii="Times New Roman" w:hAnsi="Times New Roman" w:cs="Times New Roman"/>
          <w:sz w:val="24"/>
          <w:szCs w:val="24"/>
        </w:rPr>
        <w:t xml:space="preserve">uszczelniania </w:t>
      </w:r>
      <w:r w:rsidRPr="007428D3">
        <w:rPr>
          <w:rFonts w:ascii="Times New Roman" w:hAnsi="Times New Roman" w:cs="Times New Roman"/>
          <w:sz w:val="24"/>
          <w:szCs w:val="24"/>
        </w:rPr>
        <w:t xml:space="preserve">zostały pozytywnie ocenione przez </w:t>
      </w:r>
      <w:r w:rsidR="00C72F21" w:rsidRPr="007428D3">
        <w:rPr>
          <w:rFonts w:ascii="Times New Roman" w:hAnsi="Times New Roman" w:cs="Times New Roman"/>
          <w:sz w:val="24"/>
          <w:szCs w:val="24"/>
        </w:rPr>
        <w:t>Najwyższ</w:t>
      </w:r>
      <w:r w:rsidRPr="007428D3">
        <w:rPr>
          <w:rFonts w:ascii="Times New Roman" w:hAnsi="Times New Roman" w:cs="Times New Roman"/>
          <w:sz w:val="24"/>
          <w:szCs w:val="24"/>
        </w:rPr>
        <w:t xml:space="preserve">ą </w:t>
      </w:r>
      <w:r w:rsidR="00C72F21" w:rsidRPr="007428D3">
        <w:rPr>
          <w:rFonts w:ascii="Times New Roman" w:hAnsi="Times New Roman" w:cs="Times New Roman"/>
          <w:sz w:val="24"/>
          <w:szCs w:val="24"/>
        </w:rPr>
        <w:t xml:space="preserve"> Izb</w:t>
      </w:r>
      <w:r w:rsidRPr="007428D3">
        <w:rPr>
          <w:rFonts w:ascii="Times New Roman" w:hAnsi="Times New Roman" w:cs="Times New Roman"/>
          <w:sz w:val="24"/>
          <w:szCs w:val="24"/>
        </w:rPr>
        <w:t>ę</w:t>
      </w:r>
      <w:r w:rsidR="00C72F21" w:rsidRPr="007428D3">
        <w:rPr>
          <w:rFonts w:ascii="Times New Roman" w:hAnsi="Times New Roman" w:cs="Times New Roman"/>
          <w:sz w:val="24"/>
          <w:szCs w:val="24"/>
        </w:rPr>
        <w:t xml:space="preserve"> Kontroli </w:t>
      </w:r>
      <w:r w:rsidRPr="007428D3">
        <w:rPr>
          <w:rFonts w:ascii="Times New Roman" w:hAnsi="Times New Roman" w:cs="Times New Roman"/>
          <w:sz w:val="24"/>
          <w:szCs w:val="24"/>
        </w:rPr>
        <w:t>(</w:t>
      </w:r>
      <w:r w:rsidR="00C72F21" w:rsidRPr="007428D3">
        <w:rPr>
          <w:rFonts w:ascii="Times New Roman" w:hAnsi="Times New Roman" w:cs="Times New Roman"/>
          <w:sz w:val="24"/>
          <w:szCs w:val="24"/>
        </w:rPr>
        <w:t>wystąpieni</w:t>
      </w:r>
      <w:r w:rsidRPr="007428D3">
        <w:rPr>
          <w:rFonts w:ascii="Times New Roman" w:hAnsi="Times New Roman" w:cs="Times New Roman"/>
          <w:sz w:val="24"/>
          <w:szCs w:val="24"/>
        </w:rPr>
        <w:t>e</w:t>
      </w:r>
      <w:r w:rsidR="00C72F21" w:rsidRPr="007428D3">
        <w:rPr>
          <w:rFonts w:ascii="Times New Roman" w:hAnsi="Times New Roman" w:cs="Times New Roman"/>
          <w:sz w:val="24"/>
          <w:szCs w:val="24"/>
        </w:rPr>
        <w:t xml:space="preserve"> pokontroln</w:t>
      </w:r>
      <w:r w:rsidRPr="007428D3">
        <w:rPr>
          <w:rFonts w:ascii="Times New Roman" w:hAnsi="Times New Roman" w:cs="Times New Roman"/>
          <w:sz w:val="24"/>
          <w:szCs w:val="24"/>
        </w:rPr>
        <w:t>e Nr KBF.410.004.01.2018 dotyczące kontroli P/18/010 „Agresywna optymalizacja podatkowa w zakresie CIT”). NIK pozytywie oceniała inicjatywy legislacyjne w</w:t>
      </w:r>
      <w:r w:rsidR="00F455D6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>zakresie uszczelniania systemu podatku CIT.  W ocenie NIK, większość wprowadzonych w</w:t>
      </w:r>
      <w:r w:rsidR="00F455D6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 xml:space="preserve">latach 2014-2018 (I połowa) zmian legislacyjnych miała na celu eliminację możliwości stosowania określonych mechanizmów agresywnej optymalizacji podatkowej. Najistotniejsze zmiany nastąpiły w latach 2016-2018, a ich charakter oraz ilość uzasadniają tezę, że lata te były najbardziej aktywnym okresem uszczelniania systemu podatku CIT od czasu jego wprowadzenia. </w:t>
      </w:r>
    </w:p>
    <w:p w:rsidR="00471FBF" w:rsidRPr="007428D3" w:rsidRDefault="00F455D6" w:rsidP="007428D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Zatem twierdzenie, że prowadzone działania uszczelniające system podatkowy nie przynoszą  żadnych rezultatów</w:t>
      </w:r>
      <w:r w:rsidR="00471FBF" w:rsidRPr="007428D3">
        <w:rPr>
          <w:rFonts w:ascii="Times New Roman" w:hAnsi="Times New Roman" w:cs="Times New Roman"/>
          <w:sz w:val="24"/>
          <w:szCs w:val="24"/>
        </w:rPr>
        <w:t xml:space="preserve"> lub że rezultaty te są marginalne i wynikają z innych </w:t>
      </w:r>
      <w:r w:rsidR="003F2531" w:rsidRPr="007428D3">
        <w:rPr>
          <w:rFonts w:ascii="Times New Roman" w:hAnsi="Times New Roman" w:cs="Times New Roman"/>
          <w:sz w:val="24"/>
          <w:szCs w:val="24"/>
        </w:rPr>
        <w:t>przyczyn</w:t>
      </w:r>
      <w:r w:rsidR="00471FBF" w:rsidRPr="007428D3">
        <w:rPr>
          <w:rFonts w:ascii="Times New Roman" w:hAnsi="Times New Roman" w:cs="Times New Roman"/>
          <w:sz w:val="24"/>
          <w:szCs w:val="24"/>
        </w:rPr>
        <w:t xml:space="preserve"> –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491F8F" w:rsidRPr="007428D3">
        <w:rPr>
          <w:rFonts w:ascii="Times New Roman" w:hAnsi="Times New Roman" w:cs="Times New Roman"/>
          <w:sz w:val="24"/>
          <w:szCs w:val="24"/>
        </w:rPr>
        <w:t>nie ma swojego uzasadnienia w rzeczywistości prawnej, społecznej</w:t>
      </w:r>
      <w:r w:rsidR="00471FBF" w:rsidRPr="007428D3">
        <w:rPr>
          <w:rFonts w:ascii="Times New Roman" w:hAnsi="Times New Roman" w:cs="Times New Roman"/>
          <w:sz w:val="24"/>
          <w:szCs w:val="24"/>
        </w:rPr>
        <w:t xml:space="preserve"> i</w:t>
      </w:r>
      <w:r w:rsidR="00491F8F" w:rsidRPr="007428D3">
        <w:rPr>
          <w:rFonts w:ascii="Times New Roman" w:hAnsi="Times New Roman" w:cs="Times New Roman"/>
          <w:sz w:val="24"/>
          <w:szCs w:val="24"/>
        </w:rPr>
        <w:t xml:space="preserve"> analitycznej. Innymi słowy, istnieją uzasadnione powody by uznać, że wspomniane tw</w:t>
      </w:r>
      <w:r w:rsidR="00471FBF" w:rsidRPr="007428D3">
        <w:rPr>
          <w:rFonts w:ascii="Times New Roman" w:hAnsi="Times New Roman" w:cs="Times New Roman"/>
          <w:sz w:val="24"/>
          <w:szCs w:val="24"/>
        </w:rPr>
        <w:t>ierdzenie wynika ze skrajnie subiektywnej</w:t>
      </w:r>
      <w:r w:rsidR="00491F8F" w:rsidRPr="007428D3">
        <w:rPr>
          <w:rFonts w:ascii="Times New Roman" w:hAnsi="Times New Roman" w:cs="Times New Roman"/>
          <w:sz w:val="24"/>
          <w:szCs w:val="24"/>
        </w:rPr>
        <w:t xml:space="preserve"> metody weryfi</w:t>
      </w:r>
      <w:r w:rsidR="00471FBF" w:rsidRPr="007428D3">
        <w:rPr>
          <w:rFonts w:ascii="Times New Roman" w:hAnsi="Times New Roman" w:cs="Times New Roman"/>
          <w:sz w:val="24"/>
          <w:szCs w:val="24"/>
        </w:rPr>
        <w:t>kacji postawionej odgórnie tezy, u której podstaw leży wybieranie tylko takich założeń i taka interpretacja faktów, które</w:t>
      </w:r>
      <w:r w:rsidR="00491F8F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471FBF" w:rsidRPr="007428D3">
        <w:rPr>
          <w:rFonts w:ascii="Times New Roman" w:hAnsi="Times New Roman" w:cs="Times New Roman"/>
          <w:sz w:val="24"/>
          <w:szCs w:val="24"/>
        </w:rPr>
        <w:t>daną tezę (tutaj o tym, że</w:t>
      </w:r>
      <w:r w:rsidR="00471FBF" w:rsidRPr="007428D3">
        <w:t xml:space="preserve"> </w:t>
      </w:r>
      <w:r w:rsidR="00471FBF" w:rsidRPr="007428D3">
        <w:rPr>
          <w:rFonts w:ascii="Times New Roman" w:hAnsi="Times New Roman" w:cs="Times New Roman"/>
          <w:sz w:val="24"/>
          <w:szCs w:val="24"/>
        </w:rPr>
        <w:t>prowadzone działania uszczelniające system podat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kowy nie przynoszą </w:t>
      </w:r>
      <w:r w:rsidR="00471FBF" w:rsidRPr="007428D3">
        <w:rPr>
          <w:rFonts w:ascii="Times New Roman" w:hAnsi="Times New Roman" w:cs="Times New Roman"/>
          <w:sz w:val="24"/>
          <w:szCs w:val="24"/>
        </w:rPr>
        <w:t xml:space="preserve">żadnych rezultatów lub przynoszą rezultaty marginalne) „udowadniają”. To może </w:t>
      </w:r>
      <w:r w:rsidR="003F2531" w:rsidRPr="007428D3">
        <w:rPr>
          <w:rFonts w:ascii="Times New Roman" w:hAnsi="Times New Roman" w:cs="Times New Roman"/>
          <w:sz w:val="24"/>
          <w:szCs w:val="24"/>
        </w:rPr>
        <w:t>do wprowadzających opinię</w:t>
      </w:r>
      <w:r w:rsidR="00471FBF" w:rsidRPr="007428D3">
        <w:rPr>
          <w:rFonts w:ascii="Times New Roman" w:hAnsi="Times New Roman" w:cs="Times New Roman"/>
          <w:sz w:val="24"/>
          <w:szCs w:val="24"/>
        </w:rPr>
        <w:t xml:space="preserve"> publiczną w błąd wni</w:t>
      </w:r>
      <w:r w:rsidR="003F2531" w:rsidRPr="007428D3">
        <w:rPr>
          <w:rFonts w:ascii="Times New Roman" w:hAnsi="Times New Roman" w:cs="Times New Roman"/>
          <w:sz w:val="24"/>
          <w:szCs w:val="24"/>
        </w:rPr>
        <w:t xml:space="preserve">osków w sposób </w:t>
      </w:r>
      <w:r w:rsidR="00471FBF" w:rsidRPr="007428D3">
        <w:rPr>
          <w:rFonts w:ascii="Times New Roman" w:hAnsi="Times New Roman" w:cs="Times New Roman"/>
          <w:sz w:val="24"/>
          <w:szCs w:val="24"/>
        </w:rPr>
        <w:t>szkalujący dobre imię instytucji państwowej – Ministerstwa Finansów.</w:t>
      </w:r>
    </w:p>
    <w:p w:rsidR="00471FBF" w:rsidRPr="007428D3" w:rsidRDefault="00471FBF" w:rsidP="007428D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DE685D" w:rsidRPr="007428D3" w:rsidRDefault="00DE685D" w:rsidP="007428D3">
      <w:pPr>
        <w:pStyle w:val="Akapitzlist"/>
        <w:numPr>
          <w:ilvl w:val="0"/>
          <w:numId w:val="6"/>
        </w:numPr>
        <w:autoSpaceDE w:val="0"/>
        <w:autoSpaceDN w:val="0"/>
        <w:spacing w:after="1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428D3">
        <w:rPr>
          <w:rFonts w:ascii="Times New Roman" w:hAnsi="Times New Roman" w:cs="Times New Roman"/>
          <w:b/>
          <w:sz w:val="24"/>
          <w:szCs w:val="24"/>
        </w:rPr>
        <w:t>Tendencyjne więc z prezentowanymi wykresami (str. 21 Raportu)</w:t>
      </w:r>
      <w:r w:rsidR="001E4F70" w:rsidRPr="007428D3">
        <w:rPr>
          <w:rFonts w:ascii="Times New Roman" w:hAnsi="Times New Roman" w:cs="Times New Roman"/>
          <w:b/>
          <w:sz w:val="24"/>
          <w:szCs w:val="24"/>
        </w:rPr>
        <w:t>,</w:t>
      </w:r>
      <w:r w:rsidRPr="007428D3">
        <w:rPr>
          <w:rFonts w:ascii="Times New Roman" w:hAnsi="Times New Roman" w:cs="Times New Roman"/>
          <w:b/>
          <w:sz w:val="24"/>
          <w:szCs w:val="24"/>
        </w:rPr>
        <w:t xml:space="preserve"> są tezy traktujące, że „dynamika wpływów z CIT względem PKB od największych podmiotów była nieznaczna”. </w:t>
      </w:r>
    </w:p>
    <w:p w:rsidR="00DE685D" w:rsidRPr="007428D3" w:rsidRDefault="001E4F70" w:rsidP="007428D3">
      <w:pPr>
        <w:autoSpaceDE w:val="0"/>
        <w:autoSpaceDN w:val="0"/>
        <w:spacing w:after="24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W</w:t>
      </w:r>
      <w:r w:rsidR="0096415F" w:rsidRPr="007428D3">
        <w:rPr>
          <w:rFonts w:ascii="Times New Roman" w:hAnsi="Times New Roman" w:cs="Times New Roman"/>
          <w:sz w:val="24"/>
          <w:szCs w:val="24"/>
        </w:rPr>
        <w:t xml:space="preserve"> okresie 2015-2018  wskaźnik CIT/PKB wzrósł z 1,7% do 2,1%, tj. aż o 25%</w:t>
      </w:r>
      <w:r w:rsidRPr="007428D3">
        <w:rPr>
          <w:rFonts w:ascii="Times New Roman" w:hAnsi="Times New Roman" w:cs="Times New Roman"/>
          <w:sz w:val="24"/>
          <w:szCs w:val="24"/>
        </w:rPr>
        <w:t>,</w:t>
      </w:r>
      <w:r w:rsidR="0096415F" w:rsidRPr="007428D3">
        <w:rPr>
          <w:rFonts w:ascii="Times New Roman" w:hAnsi="Times New Roman" w:cs="Times New Roman"/>
          <w:sz w:val="24"/>
          <w:szCs w:val="24"/>
        </w:rPr>
        <w:t xml:space="preserve"> podczas gdy w</w:t>
      </w:r>
      <w:r w:rsidR="009E1446" w:rsidRPr="007428D3">
        <w:rPr>
          <w:rFonts w:ascii="Times New Roman" w:hAnsi="Times New Roman" w:cs="Times New Roman"/>
          <w:sz w:val="24"/>
          <w:szCs w:val="24"/>
        </w:rPr>
        <w:t> </w:t>
      </w:r>
      <w:r w:rsidR="0096415F" w:rsidRPr="007428D3">
        <w:rPr>
          <w:rFonts w:ascii="Times New Roman" w:hAnsi="Times New Roman" w:cs="Times New Roman"/>
          <w:sz w:val="24"/>
          <w:szCs w:val="24"/>
        </w:rPr>
        <w:t xml:space="preserve">okresie </w:t>
      </w:r>
      <w:r w:rsidR="00DE74C7" w:rsidRPr="007428D3">
        <w:rPr>
          <w:rFonts w:ascii="Times New Roman" w:hAnsi="Times New Roman" w:cs="Times New Roman"/>
          <w:sz w:val="24"/>
          <w:szCs w:val="24"/>
        </w:rPr>
        <w:t>2012</w:t>
      </w:r>
      <w:r w:rsidR="000D18C2" w:rsidRPr="007428D3">
        <w:rPr>
          <w:rFonts w:ascii="Times New Roman" w:hAnsi="Times New Roman" w:cs="Times New Roman"/>
          <w:sz w:val="24"/>
          <w:szCs w:val="24"/>
        </w:rPr>
        <w:t>-2015 był na niezmienionym poziomie</w:t>
      </w:r>
      <w:r w:rsidRPr="007428D3">
        <w:rPr>
          <w:rFonts w:ascii="Times New Roman" w:hAnsi="Times New Roman" w:cs="Times New Roman"/>
          <w:sz w:val="24"/>
          <w:szCs w:val="24"/>
        </w:rPr>
        <w:t>.</w:t>
      </w:r>
      <w:r w:rsidR="000D18C2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</w:rPr>
        <w:t xml:space="preserve">W </w:t>
      </w:r>
      <w:r w:rsidR="000D18C2" w:rsidRPr="007428D3">
        <w:rPr>
          <w:rFonts w:ascii="Times New Roman" w:hAnsi="Times New Roman" w:cs="Times New Roman"/>
          <w:sz w:val="24"/>
          <w:szCs w:val="24"/>
        </w:rPr>
        <w:t xml:space="preserve">przypadku </w:t>
      </w:r>
      <w:r w:rsidRPr="007428D3">
        <w:rPr>
          <w:rFonts w:ascii="Times New Roman" w:hAnsi="Times New Roman" w:cs="Times New Roman"/>
          <w:sz w:val="24"/>
          <w:szCs w:val="24"/>
        </w:rPr>
        <w:t xml:space="preserve">natomiast </w:t>
      </w:r>
      <w:r w:rsidR="000D18C2" w:rsidRPr="007428D3">
        <w:rPr>
          <w:rFonts w:ascii="Times New Roman" w:hAnsi="Times New Roman" w:cs="Times New Roman"/>
          <w:sz w:val="24"/>
          <w:szCs w:val="24"/>
        </w:rPr>
        <w:t xml:space="preserve">tzw. dużych podatników wzrost ten </w:t>
      </w:r>
      <w:r w:rsidRPr="007428D3">
        <w:rPr>
          <w:rFonts w:ascii="Times New Roman" w:hAnsi="Times New Roman" w:cs="Times New Roman"/>
          <w:sz w:val="24"/>
          <w:szCs w:val="24"/>
        </w:rPr>
        <w:t xml:space="preserve">był jeszcze </w:t>
      </w:r>
      <w:r w:rsidR="00DE685D" w:rsidRPr="007428D3">
        <w:rPr>
          <w:rFonts w:ascii="Times New Roman" w:hAnsi="Times New Roman" w:cs="Times New Roman"/>
          <w:sz w:val="24"/>
          <w:szCs w:val="24"/>
        </w:rPr>
        <w:t>wyższy</w:t>
      </w:r>
      <w:r w:rsidR="000D18C2" w:rsidRPr="007428D3">
        <w:rPr>
          <w:rFonts w:ascii="Times New Roman" w:hAnsi="Times New Roman" w:cs="Times New Roman"/>
          <w:sz w:val="24"/>
          <w:szCs w:val="24"/>
        </w:rPr>
        <w:t xml:space="preserve"> i wynosił ok. 50% (z ok. 1% do ok 1,5%). </w:t>
      </w:r>
    </w:p>
    <w:tbl>
      <w:tblPr>
        <w:tblStyle w:val="Tabelasiatki1jasnaakcent2"/>
        <w:tblW w:w="9062" w:type="dxa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275"/>
        <w:gridCol w:w="1134"/>
        <w:gridCol w:w="1276"/>
        <w:gridCol w:w="1134"/>
        <w:gridCol w:w="987"/>
      </w:tblGrid>
      <w:tr w:rsidR="00ED070D" w:rsidRPr="007428D3" w:rsidTr="00E06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noWrap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noWrap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noWrap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noWrap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noWrap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87" w:type="dxa"/>
            <w:noWrap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D070D" w:rsidRPr="007428D3" w:rsidTr="00BF286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CIT */PKB</w:t>
            </w:r>
          </w:p>
        </w:tc>
        <w:tc>
          <w:tcPr>
            <w:tcW w:w="992" w:type="dxa"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  <w:tc>
          <w:tcPr>
            <w:tcW w:w="993" w:type="dxa"/>
            <w:noWrap/>
            <w:hideMark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  <w:tc>
          <w:tcPr>
            <w:tcW w:w="1275" w:type="dxa"/>
            <w:noWrap/>
            <w:hideMark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1,8%</w:t>
            </w:r>
          </w:p>
        </w:tc>
        <w:tc>
          <w:tcPr>
            <w:tcW w:w="1134" w:type="dxa"/>
            <w:noWrap/>
            <w:hideMark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  <w:tc>
          <w:tcPr>
            <w:tcW w:w="1276" w:type="dxa"/>
            <w:noWrap/>
            <w:hideMark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1,8%</w:t>
            </w:r>
          </w:p>
        </w:tc>
        <w:tc>
          <w:tcPr>
            <w:tcW w:w="1134" w:type="dxa"/>
            <w:noWrap/>
            <w:hideMark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1,9%</w:t>
            </w:r>
          </w:p>
        </w:tc>
        <w:tc>
          <w:tcPr>
            <w:tcW w:w="987" w:type="dxa"/>
            <w:noWrap/>
            <w:hideMark/>
          </w:tcPr>
          <w:p w:rsidR="00DE685D" w:rsidRPr="007428D3" w:rsidRDefault="00DE685D" w:rsidP="007428D3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</w:tbl>
    <w:p w:rsidR="00DE685D" w:rsidRPr="007428D3" w:rsidRDefault="00DE685D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*) podatek należny </w:t>
      </w:r>
    </w:p>
    <w:p w:rsidR="009D7936" w:rsidRPr="007428D3" w:rsidRDefault="007C5654" w:rsidP="007428D3">
      <w:pPr>
        <w:pStyle w:val="Akapitzlist"/>
        <w:numPr>
          <w:ilvl w:val="0"/>
          <w:numId w:val="6"/>
        </w:numPr>
        <w:autoSpaceDE w:val="0"/>
        <w:autoSpaceDN w:val="0"/>
        <w:spacing w:after="1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428D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900AC" w:rsidRPr="007428D3">
        <w:rPr>
          <w:rFonts w:ascii="Times New Roman" w:hAnsi="Times New Roman" w:cs="Times New Roman"/>
          <w:b/>
          <w:sz w:val="24"/>
          <w:szCs w:val="24"/>
        </w:rPr>
        <w:t>R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>aporcie nie przedstawiono dowodu lub uzasadnienia wskazującego na istnienie związku przyczynowo</w:t>
      </w:r>
      <w:r w:rsidR="00A900AC" w:rsidRPr="0074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>-</w:t>
      </w:r>
      <w:r w:rsidR="00A900AC" w:rsidRPr="0074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>skutkowego pomiędzy wzrostem konsumpcji prywatnej</w:t>
      </w:r>
      <w:r w:rsidR="009D7936" w:rsidRPr="007428D3">
        <w:rPr>
          <w:rFonts w:ascii="Times New Roman" w:hAnsi="Times New Roman" w:cs="Times New Roman"/>
          <w:b/>
          <w:sz w:val="24"/>
          <w:szCs w:val="24"/>
        </w:rPr>
        <w:t>,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936" w:rsidRPr="007428D3">
        <w:rPr>
          <w:rFonts w:ascii="Times New Roman" w:hAnsi="Times New Roman" w:cs="Times New Roman"/>
          <w:b/>
          <w:sz w:val="24"/>
          <w:szCs w:val="24"/>
        </w:rPr>
        <w:t>wynikającej m.in. z</w:t>
      </w:r>
      <w:r w:rsidR="00F24E87" w:rsidRPr="007428D3">
        <w:rPr>
          <w:rFonts w:ascii="Times New Roman" w:hAnsi="Times New Roman" w:cs="Times New Roman"/>
          <w:b/>
          <w:sz w:val="24"/>
          <w:szCs w:val="24"/>
        </w:rPr>
        <w:t> </w:t>
      </w:r>
      <w:r w:rsidR="00A900AC" w:rsidRPr="007428D3">
        <w:rPr>
          <w:rFonts w:ascii="Times New Roman" w:hAnsi="Times New Roman" w:cs="Times New Roman"/>
          <w:b/>
          <w:sz w:val="24"/>
          <w:szCs w:val="24"/>
        </w:rPr>
        <w:t>P</w:t>
      </w:r>
      <w:r w:rsidR="009D7936" w:rsidRPr="007428D3">
        <w:rPr>
          <w:rFonts w:ascii="Times New Roman" w:hAnsi="Times New Roman" w:cs="Times New Roman"/>
          <w:b/>
          <w:sz w:val="24"/>
          <w:szCs w:val="24"/>
        </w:rPr>
        <w:t xml:space="preserve">rogramu 500+, 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 xml:space="preserve">a wzrostem podatku CIT. </w:t>
      </w:r>
    </w:p>
    <w:p w:rsidR="00B11E0C" w:rsidRPr="007428D3" w:rsidRDefault="007F126A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B</w:t>
      </w:r>
      <w:r w:rsidR="00152678" w:rsidRPr="007428D3">
        <w:rPr>
          <w:rFonts w:ascii="Times New Roman" w:hAnsi="Times New Roman" w:cs="Times New Roman"/>
          <w:sz w:val="24"/>
          <w:szCs w:val="24"/>
        </w:rPr>
        <w:t>ezpośredni</w:t>
      </w:r>
      <w:r w:rsidR="00EB0EE6" w:rsidRPr="007428D3">
        <w:rPr>
          <w:rFonts w:ascii="Times New Roman" w:hAnsi="Times New Roman" w:cs="Times New Roman"/>
          <w:sz w:val="24"/>
          <w:szCs w:val="24"/>
        </w:rPr>
        <w:t xml:space="preserve"> związek </w:t>
      </w:r>
      <w:r w:rsidRPr="007428D3">
        <w:rPr>
          <w:rFonts w:ascii="Times New Roman" w:hAnsi="Times New Roman" w:cs="Times New Roman"/>
          <w:sz w:val="24"/>
          <w:szCs w:val="24"/>
        </w:rPr>
        <w:t xml:space="preserve">pomiędzy wzrostem konsumpcji, a wzrostem podatku CIT </w:t>
      </w:r>
      <w:r w:rsidR="00EB0EE6" w:rsidRPr="007428D3">
        <w:rPr>
          <w:rFonts w:ascii="Times New Roman" w:hAnsi="Times New Roman" w:cs="Times New Roman"/>
          <w:sz w:val="24"/>
          <w:szCs w:val="24"/>
        </w:rPr>
        <w:t>nie istnieje</w:t>
      </w:r>
      <w:r w:rsidR="009D7936" w:rsidRPr="007428D3">
        <w:rPr>
          <w:rFonts w:ascii="Times New Roman" w:hAnsi="Times New Roman" w:cs="Times New Roman"/>
          <w:sz w:val="24"/>
          <w:szCs w:val="24"/>
        </w:rPr>
        <w:t>, w</w:t>
      </w:r>
      <w:r w:rsidR="00F24E87" w:rsidRPr="007428D3">
        <w:rPr>
          <w:rFonts w:ascii="Times New Roman" w:hAnsi="Times New Roman" w:cs="Times New Roman"/>
          <w:sz w:val="24"/>
          <w:szCs w:val="24"/>
        </w:rPr>
        <w:t> </w:t>
      </w:r>
      <w:r w:rsidR="009D7936" w:rsidRPr="007428D3">
        <w:rPr>
          <w:rFonts w:ascii="Times New Roman" w:hAnsi="Times New Roman" w:cs="Times New Roman"/>
          <w:sz w:val="24"/>
          <w:szCs w:val="24"/>
        </w:rPr>
        <w:t xml:space="preserve">przeciwieństwie do </w:t>
      </w:r>
      <w:r w:rsidR="00152678" w:rsidRPr="007428D3">
        <w:rPr>
          <w:rFonts w:ascii="Times New Roman" w:hAnsi="Times New Roman" w:cs="Times New Roman"/>
          <w:sz w:val="24"/>
          <w:szCs w:val="24"/>
        </w:rPr>
        <w:t xml:space="preserve">konsumpcyjnego </w:t>
      </w:r>
      <w:r w:rsidR="009D7936" w:rsidRPr="007428D3">
        <w:rPr>
          <w:rFonts w:ascii="Times New Roman" w:hAnsi="Times New Roman" w:cs="Times New Roman"/>
          <w:sz w:val="24"/>
          <w:szCs w:val="24"/>
        </w:rPr>
        <w:t>podatku VAT</w:t>
      </w:r>
      <w:r w:rsidR="00B035C6" w:rsidRPr="007428D3">
        <w:rPr>
          <w:rFonts w:ascii="Times New Roman" w:hAnsi="Times New Roman" w:cs="Times New Roman"/>
          <w:sz w:val="24"/>
          <w:szCs w:val="24"/>
        </w:rPr>
        <w:t>, czy akcyzy</w:t>
      </w:r>
      <w:r w:rsidR="00EB0EE6" w:rsidRPr="007428D3">
        <w:rPr>
          <w:rFonts w:ascii="Times New Roman" w:hAnsi="Times New Roman" w:cs="Times New Roman"/>
          <w:sz w:val="24"/>
          <w:szCs w:val="24"/>
        </w:rPr>
        <w:t xml:space="preserve">. </w:t>
      </w:r>
      <w:r w:rsidR="009C2F71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</w:rPr>
        <w:t xml:space="preserve">Stawiana w Raporcie teza dotycząca CIT, </w:t>
      </w:r>
      <w:r w:rsidR="00B11E0C" w:rsidRPr="007428D3">
        <w:rPr>
          <w:rFonts w:ascii="Times New Roman" w:hAnsi="Times New Roman" w:cs="Times New Roman"/>
          <w:sz w:val="24"/>
          <w:szCs w:val="24"/>
        </w:rPr>
        <w:t>nie została udowodniona</w:t>
      </w:r>
      <w:r w:rsidR="00B035C6" w:rsidRPr="007428D3">
        <w:rPr>
          <w:rFonts w:ascii="Times New Roman" w:hAnsi="Times New Roman" w:cs="Times New Roman"/>
          <w:sz w:val="24"/>
          <w:szCs w:val="24"/>
        </w:rPr>
        <w:t xml:space="preserve"> i </w:t>
      </w:r>
      <w:r w:rsidR="00B11E0C" w:rsidRPr="007428D3">
        <w:rPr>
          <w:rFonts w:ascii="Times New Roman" w:hAnsi="Times New Roman" w:cs="Times New Roman"/>
          <w:sz w:val="24"/>
          <w:szCs w:val="24"/>
        </w:rPr>
        <w:t xml:space="preserve">nie znajduje </w:t>
      </w:r>
      <w:r w:rsidRPr="007428D3">
        <w:rPr>
          <w:rFonts w:ascii="Times New Roman" w:hAnsi="Times New Roman" w:cs="Times New Roman"/>
          <w:sz w:val="24"/>
          <w:szCs w:val="24"/>
        </w:rPr>
        <w:t xml:space="preserve">ona </w:t>
      </w:r>
      <w:r w:rsidR="00B11E0C" w:rsidRPr="007428D3">
        <w:rPr>
          <w:rFonts w:ascii="Times New Roman" w:hAnsi="Times New Roman" w:cs="Times New Roman"/>
          <w:sz w:val="24"/>
          <w:szCs w:val="24"/>
        </w:rPr>
        <w:t>odzwierciedlenia w danych</w:t>
      </w:r>
      <w:r w:rsidRPr="007428D3">
        <w:rPr>
          <w:rFonts w:ascii="Times New Roman" w:hAnsi="Times New Roman" w:cs="Times New Roman"/>
          <w:sz w:val="24"/>
          <w:szCs w:val="24"/>
        </w:rPr>
        <w:t xml:space="preserve"> podatkowych</w:t>
      </w:r>
      <w:r w:rsidR="00B11E0C" w:rsidRPr="007428D3">
        <w:rPr>
          <w:rFonts w:ascii="Times New Roman" w:hAnsi="Times New Roman" w:cs="Times New Roman"/>
          <w:sz w:val="24"/>
          <w:szCs w:val="24"/>
        </w:rPr>
        <w:t>.</w:t>
      </w:r>
    </w:p>
    <w:p w:rsidR="00DE58BE" w:rsidRPr="007428D3" w:rsidRDefault="007F126A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Obserwowany również obecnie (w </w:t>
      </w:r>
      <w:r w:rsidR="009D7936" w:rsidRPr="007428D3">
        <w:rPr>
          <w:rFonts w:ascii="Times New Roman" w:hAnsi="Times New Roman" w:cs="Times New Roman"/>
          <w:sz w:val="24"/>
          <w:szCs w:val="24"/>
        </w:rPr>
        <w:t xml:space="preserve">okresie </w:t>
      </w:r>
      <w:r w:rsidR="00A900AC" w:rsidRPr="007428D3">
        <w:rPr>
          <w:rFonts w:ascii="Times New Roman" w:hAnsi="Times New Roman" w:cs="Times New Roman"/>
          <w:sz w:val="24"/>
          <w:szCs w:val="24"/>
        </w:rPr>
        <w:t>dziewięciu</w:t>
      </w:r>
      <w:r w:rsidR="009D7936" w:rsidRPr="007428D3">
        <w:rPr>
          <w:rFonts w:ascii="Times New Roman" w:hAnsi="Times New Roman" w:cs="Times New Roman"/>
          <w:sz w:val="24"/>
          <w:szCs w:val="24"/>
        </w:rPr>
        <w:t xml:space="preserve"> miesięcy 2019 r. w porównaniu do analogicznych miesięcy </w:t>
      </w:r>
      <w:r w:rsidRPr="007428D3">
        <w:rPr>
          <w:rFonts w:ascii="Times New Roman" w:hAnsi="Times New Roman" w:cs="Times New Roman"/>
          <w:sz w:val="24"/>
          <w:szCs w:val="24"/>
        </w:rPr>
        <w:t>2015 r.)</w:t>
      </w:r>
      <w:r w:rsidR="009D7936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DE74C7" w:rsidRPr="007428D3">
        <w:rPr>
          <w:rFonts w:ascii="Times New Roman" w:hAnsi="Times New Roman" w:cs="Times New Roman"/>
          <w:sz w:val="24"/>
          <w:szCs w:val="24"/>
        </w:rPr>
        <w:t>60</w:t>
      </w:r>
      <w:r w:rsidRPr="007428D3">
        <w:rPr>
          <w:rFonts w:ascii="Times New Roman" w:hAnsi="Times New Roman" w:cs="Times New Roman"/>
          <w:sz w:val="24"/>
          <w:szCs w:val="24"/>
        </w:rPr>
        <w:t xml:space="preserve">% </w:t>
      </w:r>
      <w:r w:rsidR="009D7936" w:rsidRPr="007428D3">
        <w:rPr>
          <w:rFonts w:ascii="Times New Roman" w:hAnsi="Times New Roman" w:cs="Times New Roman"/>
          <w:sz w:val="24"/>
          <w:szCs w:val="24"/>
        </w:rPr>
        <w:t xml:space="preserve">wzrost </w:t>
      </w:r>
      <w:r w:rsidRPr="007428D3">
        <w:rPr>
          <w:rFonts w:ascii="Times New Roman" w:hAnsi="Times New Roman" w:cs="Times New Roman"/>
          <w:sz w:val="24"/>
          <w:szCs w:val="24"/>
        </w:rPr>
        <w:t xml:space="preserve">podatku CIT </w:t>
      </w:r>
      <w:r w:rsidR="009D7936" w:rsidRPr="007428D3">
        <w:rPr>
          <w:rFonts w:ascii="Times New Roman" w:hAnsi="Times New Roman" w:cs="Times New Roman"/>
          <w:sz w:val="24"/>
          <w:szCs w:val="24"/>
        </w:rPr>
        <w:t>nie sposób wyjaśnić</w:t>
      </w:r>
      <w:r w:rsidRPr="007428D3">
        <w:rPr>
          <w:rFonts w:ascii="Times New Roman" w:hAnsi="Times New Roman" w:cs="Times New Roman"/>
          <w:sz w:val="24"/>
          <w:szCs w:val="24"/>
        </w:rPr>
        <w:t xml:space="preserve"> głównie </w:t>
      </w:r>
      <w:r w:rsidR="009D7936" w:rsidRPr="007428D3">
        <w:rPr>
          <w:rFonts w:ascii="Times New Roman" w:hAnsi="Times New Roman" w:cs="Times New Roman"/>
          <w:sz w:val="24"/>
          <w:szCs w:val="24"/>
        </w:rPr>
        <w:lastRenderedPageBreak/>
        <w:t xml:space="preserve">konsumpcją. </w:t>
      </w:r>
      <w:r w:rsidR="00BF286B" w:rsidRPr="007428D3">
        <w:rPr>
          <w:rFonts w:ascii="Times New Roman" w:hAnsi="Times New Roman" w:cs="Times New Roman"/>
          <w:sz w:val="24"/>
          <w:szCs w:val="24"/>
        </w:rPr>
        <w:t>Porównując dane z 2018 r. do danych z 2015 r. można zauważyć, że tempo wzrostu wpływów z CIT było ponad dwukrotnie wyższe niż tempo wzrostu PKB.</w:t>
      </w:r>
    </w:p>
    <w:p w:rsidR="00EB0EE6" w:rsidRPr="007428D3" w:rsidRDefault="00EB0EE6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Wzrost konsumpcji prywatnej może prowadzić</w:t>
      </w:r>
      <w:r w:rsidR="00A900AC" w:rsidRPr="007428D3">
        <w:rPr>
          <w:rFonts w:ascii="Times New Roman" w:hAnsi="Times New Roman" w:cs="Times New Roman"/>
          <w:sz w:val="24"/>
          <w:szCs w:val="24"/>
        </w:rPr>
        <w:t xml:space="preserve"> co </w:t>
      </w:r>
      <w:r w:rsidRPr="007428D3">
        <w:rPr>
          <w:rFonts w:ascii="Times New Roman" w:hAnsi="Times New Roman" w:cs="Times New Roman"/>
          <w:sz w:val="24"/>
          <w:szCs w:val="24"/>
        </w:rPr>
        <w:t>najwyżej do wzrostu sprzedaży, a w konsekwencji przy</w:t>
      </w:r>
      <w:r w:rsidR="00A900AC" w:rsidRPr="007428D3">
        <w:rPr>
          <w:rFonts w:ascii="Times New Roman" w:hAnsi="Times New Roman" w:cs="Times New Roman"/>
          <w:sz w:val="24"/>
          <w:szCs w:val="24"/>
        </w:rPr>
        <w:t xml:space="preserve">chodów </w:t>
      </w:r>
      <w:r w:rsidRPr="007428D3">
        <w:rPr>
          <w:rFonts w:ascii="Times New Roman" w:hAnsi="Times New Roman" w:cs="Times New Roman"/>
          <w:sz w:val="24"/>
          <w:szCs w:val="24"/>
        </w:rPr>
        <w:t>podatników CIT prowadzących tzw. działalność B2C (ang. business-to-</w:t>
      </w:r>
      <w:proofErr w:type="spellStart"/>
      <w:r w:rsidRPr="007428D3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7428D3">
        <w:rPr>
          <w:rFonts w:ascii="Times New Roman" w:hAnsi="Times New Roman" w:cs="Times New Roman"/>
          <w:sz w:val="24"/>
          <w:szCs w:val="24"/>
        </w:rPr>
        <w:t>).</w:t>
      </w:r>
    </w:p>
    <w:p w:rsidR="003725C9" w:rsidRPr="007428D3" w:rsidRDefault="003725C9" w:rsidP="007428D3">
      <w:pPr>
        <w:pStyle w:val="Tekstkomentarza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Dodatkowo zauważyć należy, że za obserwowany w okresie 2016-18 wzrost podatku CIT w kwocie 10 mld zł odpowiada dochód podatkowy firm w kwocie około 60 mld zł. Ponieważ nie występuje efekt mnożnikowy 1:1 (dochód do opodatkowania 60 mld zł = transfery społeczne 60 mld zł) wzrost wpływów podatkowych CIT jest wynikiem innych niż konsumpcja czynników. </w:t>
      </w:r>
    </w:p>
    <w:p w:rsidR="003725C9" w:rsidRPr="007428D3" w:rsidRDefault="003725C9" w:rsidP="007428D3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:rsidR="00152678" w:rsidRPr="007428D3" w:rsidRDefault="001446AE" w:rsidP="007428D3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Ewidentnym p</w:t>
      </w:r>
      <w:r w:rsidR="00C94495" w:rsidRPr="007428D3">
        <w:rPr>
          <w:rFonts w:ascii="Times New Roman" w:hAnsi="Times New Roman" w:cs="Times New Roman"/>
          <w:sz w:val="24"/>
          <w:szCs w:val="24"/>
        </w:rPr>
        <w:t>rzykład</w:t>
      </w:r>
      <w:r w:rsidR="007F126A" w:rsidRPr="007428D3">
        <w:rPr>
          <w:rFonts w:ascii="Times New Roman" w:hAnsi="Times New Roman" w:cs="Times New Roman"/>
          <w:sz w:val="24"/>
          <w:szCs w:val="24"/>
        </w:rPr>
        <w:t>em</w:t>
      </w:r>
      <w:r w:rsidR="00C94495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7F126A" w:rsidRPr="007428D3">
        <w:rPr>
          <w:rFonts w:ascii="Times New Roman" w:hAnsi="Times New Roman" w:cs="Times New Roman"/>
          <w:sz w:val="24"/>
          <w:szCs w:val="24"/>
        </w:rPr>
        <w:t xml:space="preserve">błędnych wniosków może być postawiona </w:t>
      </w:r>
      <w:r w:rsidR="00C94495" w:rsidRPr="007428D3">
        <w:rPr>
          <w:rFonts w:ascii="Times New Roman" w:hAnsi="Times New Roman" w:cs="Times New Roman"/>
          <w:sz w:val="24"/>
          <w:szCs w:val="24"/>
        </w:rPr>
        <w:t>tez</w:t>
      </w:r>
      <w:r w:rsidR="007F126A" w:rsidRPr="007428D3">
        <w:rPr>
          <w:rFonts w:ascii="Times New Roman" w:hAnsi="Times New Roman" w:cs="Times New Roman"/>
          <w:sz w:val="24"/>
          <w:szCs w:val="24"/>
        </w:rPr>
        <w:t>a</w:t>
      </w:r>
      <w:r w:rsidR="00C94495" w:rsidRPr="007428D3">
        <w:rPr>
          <w:rFonts w:ascii="Times New Roman" w:hAnsi="Times New Roman" w:cs="Times New Roman"/>
          <w:sz w:val="24"/>
          <w:szCs w:val="24"/>
        </w:rPr>
        <w:t xml:space="preserve"> dotycząc</w:t>
      </w:r>
      <w:r w:rsidR="007F126A" w:rsidRPr="007428D3">
        <w:rPr>
          <w:rFonts w:ascii="Times New Roman" w:hAnsi="Times New Roman" w:cs="Times New Roman"/>
          <w:sz w:val="24"/>
          <w:szCs w:val="24"/>
        </w:rPr>
        <w:t>a</w:t>
      </w:r>
      <w:r w:rsidR="00C94495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152678" w:rsidRPr="007428D3">
        <w:rPr>
          <w:rFonts w:ascii="Times New Roman" w:hAnsi="Times New Roman" w:cs="Times New Roman"/>
          <w:sz w:val="24"/>
          <w:szCs w:val="24"/>
        </w:rPr>
        <w:t xml:space="preserve">podmiotów </w:t>
      </w:r>
      <w:r w:rsidR="006C417D" w:rsidRPr="007428D3">
        <w:rPr>
          <w:rFonts w:ascii="Times New Roman" w:hAnsi="Times New Roman" w:cs="Times New Roman"/>
          <w:sz w:val="24"/>
          <w:szCs w:val="24"/>
        </w:rPr>
        <w:t>leasingow</w:t>
      </w:r>
      <w:r w:rsidR="00152678" w:rsidRPr="007428D3">
        <w:rPr>
          <w:rFonts w:ascii="Times New Roman" w:hAnsi="Times New Roman" w:cs="Times New Roman"/>
          <w:sz w:val="24"/>
          <w:szCs w:val="24"/>
        </w:rPr>
        <w:t>ych</w:t>
      </w:r>
      <w:r w:rsidR="006C417D" w:rsidRPr="007428D3">
        <w:rPr>
          <w:rFonts w:ascii="Times New Roman" w:hAnsi="Times New Roman" w:cs="Times New Roman"/>
          <w:sz w:val="24"/>
          <w:szCs w:val="24"/>
        </w:rPr>
        <w:t xml:space="preserve">, </w:t>
      </w:r>
      <w:r w:rsidR="00C94495" w:rsidRPr="007428D3">
        <w:rPr>
          <w:rFonts w:ascii="Times New Roman" w:hAnsi="Times New Roman" w:cs="Times New Roman"/>
          <w:sz w:val="24"/>
          <w:szCs w:val="24"/>
        </w:rPr>
        <w:t>w</w:t>
      </w:r>
      <w:r w:rsidR="00F24E87" w:rsidRPr="007428D3">
        <w:rPr>
          <w:rFonts w:ascii="Times New Roman" w:hAnsi="Times New Roman" w:cs="Times New Roman"/>
          <w:sz w:val="24"/>
          <w:szCs w:val="24"/>
        </w:rPr>
        <w:t> </w:t>
      </w:r>
      <w:r w:rsidR="00C94495" w:rsidRPr="007428D3">
        <w:rPr>
          <w:rFonts w:ascii="Times New Roman" w:hAnsi="Times New Roman" w:cs="Times New Roman"/>
          <w:sz w:val="24"/>
          <w:szCs w:val="24"/>
        </w:rPr>
        <w:t>przypadku których zdaniem autorów, wzrost podatku CIT</w:t>
      </w:r>
      <w:r w:rsidR="006C417D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C94495" w:rsidRPr="007428D3">
        <w:rPr>
          <w:rFonts w:ascii="Times New Roman" w:hAnsi="Times New Roman" w:cs="Times New Roman"/>
          <w:sz w:val="24"/>
          <w:szCs w:val="24"/>
        </w:rPr>
        <w:t>to</w:t>
      </w:r>
      <w:r w:rsidR="009C2F71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C94495" w:rsidRPr="007428D3">
        <w:rPr>
          <w:rFonts w:ascii="Times New Roman" w:hAnsi="Times New Roman" w:cs="Times New Roman"/>
          <w:sz w:val="24"/>
          <w:szCs w:val="24"/>
        </w:rPr>
        <w:t>efekt</w:t>
      </w:r>
      <w:r w:rsidR="00152678" w:rsidRPr="007428D3">
        <w:rPr>
          <w:rFonts w:ascii="Times New Roman" w:hAnsi="Times New Roman" w:cs="Times New Roman"/>
          <w:sz w:val="24"/>
          <w:szCs w:val="24"/>
        </w:rPr>
        <w:t xml:space="preserve"> wzrostu koniunkturalnego. </w:t>
      </w:r>
      <w:r w:rsidR="00152678" w:rsidRPr="007428D3">
        <w:rPr>
          <w:rFonts w:ascii="Times New Roman" w:hAnsi="Times New Roman" w:cs="Times New Roman"/>
          <w:bCs/>
          <w:sz w:val="24"/>
          <w:szCs w:val="24"/>
        </w:rPr>
        <w:t>Podczas gdy powszechnie wiadom</w:t>
      </w:r>
      <w:r w:rsidR="007F126A" w:rsidRPr="007428D3">
        <w:rPr>
          <w:rFonts w:ascii="Times New Roman" w:hAnsi="Times New Roman" w:cs="Times New Roman"/>
          <w:bCs/>
          <w:sz w:val="24"/>
          <w:szCs w:val="24"/>
        </w:rPr>
        <w:t>ym</w:t>
      </w:r>
      <w:r w:rsidR="00152678" w:rsidRPr="007428D3">
        <w:rPr>
          <w:rFonts w:ascii="Times New Roman" w:hAnsi="Times New Roman" w:cs="Times New Roman"/>
          <w:bCs/>
          <w:sz w:val="24"/>
          <w:szCs w:val="24"/>
        </w:rPr>
        <w:t xml:space="preserve"> jest</w:t>
      </w:r>
      <w:r w:rsidR="00C94495" w:rsidRPr="007428D3">
        <w:rPr>
          <w:rFonts w:ascii="Times New Roman" w:hAnsi="Times New Roman" w:cs="Times New Roman"/>
          <w:bCs/>
          <w:sz w:val="24"/>
          <w:szCs w:val="24"/>
        </w:rPr>
        <w:t>,</w:t>
      </w:r>
      <w:r w:rsidR="00152678" w:rsidRPr="007428D3">
        <w:rPr>
          <w:rFonts w:ascii="Times New Roman" w:hAnsi="Times New Roman" w:cs="Times New Roman"/>
          <w:bCs/>
          <w:sz w:val="24"/>
          <w:szCs w:val="24"/>
        </w:rPr>
        <w:t xml:space="preserve"> prezentowan</w:t>
      </w:r>
      <w:r w:rsidR="007F126A" w:rsidRPr="007428D3">
        <w:rPr>
          <w:rFonts w:ascii="Times New Roman" w:hAnsi="Times New Roman" w:cs="Times New Roman"/>
          <w:bCs/>
          <w:sz w:val="24"/>
          <w:szCs w:val="24"/>
        </w:rPr>
        <w:t>e</w:t>
      </w:r>
      <w:r w:rsidR="00152678" w:rsidRPr="007428D3">
        <w:rPr>
          <w:rFonts w:ascii="Times New Roman" w:hAnsi="Times New Roman" w:cs="Times New Roman"/>
          <w:bCs/>
          <w:sz w:val="24"/>
          <w:szCs w:val="24"/>
        </w:rPr>
        <w:t xml:space="preserve"> przez Andrzeja </w:t>
      </w:r>
      <w:proofErr w:type="spellStart"/>
      <w:r w:rsidR="00152678" w:rsidRPr="007428D3">
        <w:rPr>
          <w:rFonts w:ascii="Times New Roman" w:hAnsi="Times New Roman" w:cs="Times New Roman"/>
          <w:bCs/>
          <w:sz w:val="24"/>
          <w:szCs w:val="24"/>
        </w:rPr>
        <w:t>Sugajskiego</w:t>
      </w:r>
      <w:proofErr w:type="spellEnd"/>
      <w:r w:rsidR="00152678" w:rsidRPr="007428D3">
        <w:rPr>
          <w:rFonts w:ascii="Times New Roman" w:hAnsi="Times New Roman" w:cs="Times New Roman"/>
          <w:bCs/>
          <w:sz w:val="24"/>
          <w:szCs w:val="24"/>
        </w:rPr>
        <w:t xml:space="preserve">, dyrektora generalnego Związku Polskiego Leasingu, </w:t>
      </w:r>
      <w:r w:rsidR="007F126A" w:rsidRPr="007428D3">
        <w:rPr>
          <w:rFonts w:ascii="Times New Roman" w:hAnsi="Times New Roman" w:cs="Times New Roman"/>
          <w:bCs/>
          <w:sz w:val="24"/>
          <w:szCs w:val="24"/>
        </w:rPr>
        <w:t>stanowisko</w:t>
      </w:r>
      <w:r w:rsidR="00C94495" w:rsidRPr="007428D3">
        <w:rPr>
          <w:rFonts w:ascii="Times New Roman" w:hAnsi="Times New Roman" w:cs="Times New Roman"/>
          <w:bCs/>
          <w:sz w:val="24"/>
          <w:szCs w:val="24"/>
        </w:rPr>
        <w:t xml:space="preserve"> że </w:t>
      </w:r>
      <w:r w:rsidR="00152678" w:rsidRPr="007428D3">
        <w:rPr>
          <w:rFonts w:ascii="Times New Roman" w:hAnsi="Times New Roman" w:cs="Times New Roman"/>
          <w:bCs/>
          <w:sz w:val="24"/>
          <w:szCs w:val="24"/>
        </w:rPr>
        <w:t>„</w:t>
      </w:r>
      <w:r w:rsidR="00402AA4" w:rsidRPr="007428D3">
        <w:rPr>
          <w:rFonts w:ascii="Times New Roman" w:hAnsi="Times New Roman" w:cs="Times New Roman"/>
          <w:bCs/>
          <w:sz w:val="24"/>
          <w:szCs w:val="24"/>
        </w:rPr>
        <w:t>w</w:t>
      </w:r>
      <w:r w:rsidR="00402AA4" w:rsidRPr="007428D3">
        <w:rPr>
          <w:rFonts w:ascii="Times New Roman" w:hAnsi="Times New Roman" w:cs="Times New Roman"/>
          <w:sz w:val="24"/>
          <w:szCs w:val="24"/>
        </w:rPr>
        <w:t>yniki branży leasingowej w I półroczu pozostawały pod istotnym wpływem zmian prawnych w zakresie podatku dochodowego od pojazdów osobowych. Wprowadzone, pod koniec ubiegłego roku zmiany, nie stanowiły co prawda czynnika decydującego, ale znacznie przyspieszyły decyzje przedsiębiorców o</w:t>
      </w:r>
      <w:r w:rsidR="009D4918" w:rsidRPr="007428D3">
        <w:rPr>
          <w:rFonts w:ascii="Times New Roman" w:hAnsi="Times New Roman" w:cs="Times New Roman"/>
          <w:sz w:val="24"/>
          <w:szCs w:val="24"/>
        </w:rPr>
        <w:t> </w:t>
      </w:r>
      <w:r w:rsidR="00402AA4" w:rsidRPr="007428D3">
        <w:rPr>
          <w:rFonts w:ascii="Times New Roman" w:hAnsi="Times New Roman" w:cs="Times New Roman"/>
          <w:sz w:val="24"/>
          <w:szCs w:val="24"/>
        </w:rPr>
        <w:t>zakupie aut jeszcze w 2018 roku.</w:t>
      </w:r>
      <w:r w:rsidR="00152678" w:rsidRPr="007428D3">
        <w:rPr>
          <w:rFonts w:ascii="Times New Roman" w:hAnsi="Times New Roman" w:cs="Times New Roman"/>
          <w:bCs/>
          <w:sz w:val="24"/>
          <w:szCs w:val="24"/>
        </w:rPr>
        <w:t>”.</w:t>
      </w:r>
      <w:r w:rsidR="00152678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DE58BE" w:rsidRPr="007428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9C2F71" w:rsidRPr="007428D3" w:rsidRDefault="009C2F71" w:rsidP="007428D3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7428D3">
        <w:rPr>
          <w:rFonts w:ascii="Times New Roman" w:hAnsi="Times New Roman" w:cs="Times New Roman"/>
          <w:sz w:val="24"/>
          <w:szCs w:val="24"/>
          <w:lang w:eastAsia="pl-PL"/>
        </w:rPr>
        <w:t xml:space="preserve">Celem </w:t>
      </w:r>
      <w:r w:rsidRPr="007428D3">
        <w:rPr>
          <w:rFonts w:ascii="Times New Roman" w:hAnsi="Times New Roman" w:cs="Times New Roman"/>
          <w:bCs/>
          <w:sz w:val="24"/>
          <w:szCs w:val="24"/>
          <w:lang w:eastAsia="pl-PL"/>
        </w:rPr>
        <w:t>tych zmian</w:t>
      </w:r>
      <w:r w:rsidRPr="007428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428D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było </w:t>
      </w:r>
      <w:r w:rsidRPr="007428D3">
        <w:rPr>
          <w:rFonts w:ascii="Times New Roman" w:hAnsi="Times New Roman" w:cs="Times New Roman"/>
          <w:sz w:val="24"/>
          <w:szCs w:val="24"/>
          <w:lang w:eastAsia="pl-PL"/>
        </w:rPr>
        <w:t>ujednolicenie sposobu rozliczania kosztów związanych z korzystaniem z</w:t>
      </w:r>
      <w:r w:rsidR="00AB7787" w:rsidRPr="007428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  <w:lang w:eastAsia="pl-PL"/>
        </w:rPr>
        <w:t>samochodu osobowego niezależnie od tytułu prawnego, na podstawie którego to korzystanie ma miejsce (umowa sprzedaży, leasingu, najmu itp.). Tym samym wyeliminowane zostało preferencyjne traktowanie umów leasingu, prowadzące w praktyce gospodarczej do „</w:t>
      </w:r>
      <w:proofErr w:type="spellStart"/>
      <w:r w:rsidRPr="007428D3">
        <w:rPr>
          <w:rFonts w:ascii="Times New Roman" w:hAnsi="Times New Roman" w:cs="Times New Roman"/>
          <w:sz w:val="24"/>
          <w:szCs w:val="24"/>
          <w:lang w:eastAsia="pl-PL"/>
        </w:rPr>
        <w:t>ukosztowiania</w:t>
      </w:r>
      <w:proofErr w:type="spellEnd"/>
      <w:r w:rsidRPr="007428D3">
        <w:rPr>
          <w:rFonts w:ascii="Times New Roman" w:hAnsi="Times New Roman" w:cs="Times New Roman"/>
          <w:sz w:val="24"/>
          <w:szCs w:val="24"/>
          <w:lang w:eastAsia="pl-PL"/>
        </w:rPr>
        <w:t xml:space="preserve">” wydatków ponoszonych na korzystanie z drogich (luksusowych) samochodów osobowych. </w:t>
      </w:r>
      <w:r w:rsidR="001446AE" w:rsidRPr="007428D3">
        <w:rPr>
          <w:rFonts w:ascii="Times New Roman" w:hAnsi="Times New Roman" w:cs="Times New Roman"/>
          <w:sz w:val="24"/>
          <w:szCs w:val="24"/>
          <w:lang w:eastAsia="pl-PL"/>
        </w:rPr>
        <w:t xml:space="preserve"> Połączenie więc Programu 500+ z nabywaniem drogich samochodów osobowych w leasingu świadczy o ogromnym braku profesjonalizmu autorów Raportu.</w:t>
      </w:r>
    </w:p>
    <w:p w:rsidR="00EB0EE6" w:rsidRPr="007428D3" w:rsidRDefault="009D7936" w:rsidP="007428D3">
      <w:pPr>
        <w:pStyle w:val="Akapitzlist"/>
        <w:numPr>
          <w:ilvl w:val="0"/>
          <w:numId w:val="6"/>
        </w:numPr>
        <w:spacing w:after="1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428D3">
        <w:rPr>
          <w:rFonts w:ascii="Times New Roman" w:hAnsi="Times New Roman" w:cs="Times New Roman"/>
          <w:b/>
          <w:sz w:val="24"/>
          <w:szCs w:val="24"/>
        </w:rPr>
        <w:t>Rapor</w:t>
      </w:r>
      <w:r w:rsidR="007C5654" w:rsidRPr="007428D3">
        <w:rPr>
          <w:rFonts w:ascii="Times New Roman" w:hAnsi="Times New Roman" w:cs="Times New Roman"/>
          <w:b/>
          <w:sz w:val="24"/>
          <w:szCs w:val="24"/>
        </w:rPr>
        <w:t>t, któr</w:t>
      </w:r>
      <w:r w:rsidR="00DC4894" w:rsidRPr="007428D3">
        <w:rPr>
          <w:rFonts w:ascii="Times New Roman" w:hAnsi="Times New Roman" w:cs="Times New Roman"/>
          <w:b/>
          <w:sz w:val="24"/>
          <w:szCs w:val="24"/>
        </w:rPr>
        <w:t xml:space="preserve">ego </w:t>
      </w:r>
      <w:r w:rsidR="007C5654" w:rsidRPr="007428D3">
        <w:rPr>
          <w:rFonts w:ascii="Times New Roman" w:hAnsi="Times New Roman" w:cs="Times New Roman"/>
          <w:b/>
          <w:sz w:val="24"/>
          <w:szCs w:val="24"/>
        </w:rPr>
        <w:t>cel</w:t>
      </w:r>
      <w:r w:rsidR="00DC4894" w:rsidRPr="007428D3">
        <w:rPr>
          <w:rFonts w:ascii="Times New Roman" w:hAnsi="Times New Roman" w:cs="Times New Roman"/>
          <w:b/>
          <w:sz w:val="24"/>
          <w:szCs w:val="24"/>
        </w:rPr>
        <w:t>em</w:t>
      </w:r>
      <w:r w:rsidR="007C5654" w:rsidRPr="007428D3">
        <w:rPr>
          <w:rFonts w:ascii="Times New Roman" w:hAnsi="Times New Roman" w:cs="Times New Roman"/>
          <w:b/>
          <w:sz w:val="24"/>
          <w:szCs w:val="24"/>
        </w:rPr>
        <w:t xml:space="preserve"> była prezentacja poglądów autorów, pomija analizę </w:t>
      </w:r>
      <w:r w:rsidR="009C2F71" w:rsidRPr="007428D3">
        <w:rPr>
          <w:rFonts w:ascii="Times New Roman" w:hAnsi="Times New Roman" w:cs="Times New Roman"/>
          <w:b/>
          <w:sz w:val="24"/>
          <w:szCs w:val="24"/>
        </w:rPr>
        <w:t>danych podatkowych</w:t>
      </w:r>
      <w:r w:rsidR="00DC4894" w:rsidRPr="0074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654" w:rsidRPr="007428D3">
        <w:rPr>
          <w:rFonts w:ascii="Times New Roman" w:hAnsi="Times New Roman" w:cs="Times New Roman"/>
          <w:b/>
          <w:sz w:val="24"/>
          <w:szCs w:val="24"/>
        </w:rPr>
        <w:t xml:space="preserve">mających wpływ na </w:t>
      </w:r>
      <w:r w:rsidR="00DC4894" w:rsidRPr="007428D3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7C5654" w:rsidRPr="007428D3">
        <w:rPr>
          <w:rFonts w:ascii="Times New Roman" w:hAnsi="Times New Roman" w:cs="Times New Roman"/>
          <w:b/>
          <w:sz w:val="24"/>
          <w:szCs w:val="24"/>
        </w:rPr>
        <w:t xml:space="preserve">CIT, 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>w tym rekordow</w:t>
      </w:r>
      <w:r w:rsidR="00DC4894" w:rsidRPr="007428D3">
        <w:rPr>
          <w:rFonts w:ascii="Times New Roman" w:hAnsi="Times New Roman" w:cs="Times New Roman"/>
          <w:b/>
          <w:sz w:val="24"/>
          <w:szCs w:val="24"/>
        </w:rPr>
        <w:t>e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654" w:rsidRPr="007428D3">
        <w:rPr>
          <w:rFonts w:ascii="Times New Roman" w:hAnsi="Times New Roman" w:cs="Times New Roman"/>
          <w:b/>
          <w:sz w:val="24"/>
          <w:szCs w:val="24"/>
        </w:rPr>
        <w:t>w</w:t>
      </w:r>
      <w:r w:rsidR="00EB0EE6" w:rsidRPr="007428D3">
        <w:rPr>
          <w:rFonts w:ascii="Times New Roman" w:hAnsi="Times New Roman" w:cs="Times New Roman"/>
          <w:b/>
          <w:sz w:val="24"/>
          <w:szCs w:val="24"/>
        </w:rPr>
        <w:t xml:space="preserve"> 2018 r.</w:t>
      </w:r>
    </w:p>
    <w:p w:rsidR="00DE58BE" w:rsidRPr="007428D3" w:rsidRDefault="00DE58BE" w:rsidP="007428D3">
      <w:pPr>
        <w:pStyle w:val="Akapitzlist"/>
        <w:spacing w:after="120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Ministerstwo Finansów niejednokrotnie podkreślało, że na wzrost wpływów z tytułu podatku CIT</w:t>
      </w:r>
      <w:r w:rsidR="009C2F71" w:rsidRPr="007428D3">
        <w:rPr>
          <w:rFonts w:ascii="Times New Roman" w:hAnsi="Times New Roman" w:cs="Times New Roman"/>
          <w:sz w:val="24"/>
          <w:szCs w:val="24"/>
        </w:rPr>
        <w:t>,</w:t>
      </w:r>
      <w:r w:rsidRPr="007428D3">
        <w:rPr>
          <w:rFonts w:ascii="Times New Roman" w:hAnsi="Times New Roman" w:cs="Times New Roman"/>
          <w:sz w:val="24"/>
          <w:szCs w:val="24"/>
        </w:rPr>
        <w:t xml:space="preserve"> obok dobrej sytuacji makroekonomicznej miały wpływ rozwiązania wprowadzone w ustawie o podatku CIT</w:t>
      </w:r>
      <w:r w:rsidR="00F364BC" w:rsidRPr="007428D3">
        <w:rPr>
          <w:rFonts w:ascii="Times New Roman" w:hAnsi="Times New Roman" w:cs="Times New Roman"/>
          <w:sz w:val="24"/>
          <w:szCs w:val="24"/>
        </w:rPr>
        <w:t>,</w:t>
      </w:r>
      <w:r w:rsidR="009C2F71" w:rsidRPr="007428D3">
        <w:rPr>
          <w:rFonts w:ascii="Times New Roman" w:hAnsi="Times New Roman" w:cs="Times New Roman"/>
          <w:sz w:val="24"/>
          <w:szCs w:val="24"/>
        </w:rPr>
        <w:t xml:space="preserve"> polegające </w:t>
      </w:r>
      <w:r w:rsidRPr="007428D3">
        <w:rPr>
          <w:rFonts w:ascii="Times New Roman" w:hAnsi="Times New Roman" w:cs="Times New Roman"/>
          <w:sz w:val="24"/>
          <w:szCs w:val="24"/>
        </w:rPr>
        <w:t>m.in.</w:t>
      </w:r>
      <w:r w:rsidR="009C2F71" w:rsidRPr="007428D3">
        <w:rPr>
          <w:rFonts w:ascii="Times New Roman" w:hAnsi="Times New Roman" w:cs="Times New Roman"/>
          <w:sz w:val="24"/>
          <w:szCs w:val="24"/>
        </w:rPr>
        <w:t xml:space="preserve"> na</w:t>
      </w:r>
      <w:r w:rsidRPr="007428D3">
        <w:rPr>
          <w:rFonts w:ascii="Times New Roman" w:hAnsi="Times New Roman" w:cs="Times New Roman"/>
          <w:sz w:val="24"/>
          <w:szCs w:val="24"/>
        </w:rPr>
        <w:t xml:space="preserve"> rozdzieleni</w:t>
      </w:r>
      <w:r w:rsidR="009C2F71" w:rsidRPr="007428D3">
        <w:rPr>
          <w:rFonts w:ascii="Times New Roman" w:hAnsi="Times New Roman" w:cs="Times New Roman"/>
          <w:sz w:val="24"/>
          <w:szCs w:val="24"/>
        </w:rPr>
        <w:t>u</w:t>
      </w:r>
      <w:r w:rsidRPr="007428D3">
        <w:rPr>
          <w:rFonts w:ascii="Times New Roman" w:hAnsi="Times New Roman" w:cs="Times New Roman"/>
          <w:sz w:val="24"/>
          <w:szCs w:val="24"/>
        </w:rPr>
        <w:t xml:space="preserve"> źródeł przychodów,  limitowaniu wysokości kosztów uzyskania przychodów z tytułu usług niematerialnych, wprowadzeniu minimalnego podatku dochodowego od wartości nieruchomości komercyjnych, ograniczeniu tzw. cienkiej kapitalizacji. Wprowadzone rozwiązania przyniosły wymierne efekty w postaci wzrost</w:t>
      </w:r>
      <w:r w:rsidR="00DC70C0" w:rsidRPr="007428D3">
        <w:rPr>
          <w:rFonts w:ascii="Times New Roman" w:hAnsi="Times New Roman" w:cs="Times New Roman"/>
          <w:sz w:val="24"/>
          <w:szCs w:val="24"/>
        </w:rPr>
        <w:t>u</w:t>
      </w:r>
      <w:r w:rsidRPr="007428D3">
        <w:rPr>
          <w:rFonts w:ascii="Times New Roman" w:hAnsi="Times New Roman" w:cs="Times New Roman"/>
          <w:sz w:val="24"/>
          <w:szCs w:val="24"/>
        </w:rPr>
        <w:t xml:space="preserve"> dochodów</w:t>
      </w:r>
      <w:r w:rsidR="006E65E4" w:rsidRPr="007428D3">
        <w:rPr>
          <w:rFonts w:ascii="Times New Roman" w:hAnsi="Times New Roman" w:cs="Times New Roman"/>
          <w:sz w:val="24"/>
          <w:szCs w:val="24"/>
        </w:rPr>
        <w:t xml:space="preserve"> podatników,</w:t>
      </w:r>
      <w:r w:rsidRPr="007428D3">
        <w:rPr>
          <w:rFonts w:ascii="Times New Roman" w:hAnsi="Times New Roman" w:cs="Times New Roman"/>
          <w:sz w:val="24"/>
          <w:szCs w:val="24"/>
        </w:rPr>
        <w:t xml:space="preserve"> a co za tym idzie  podatku </w:t>
      </w:r>
      <w:r w:rsidR="006E65E4" w:rsidRPr="007428D3">
        <w:rPr>
          <w:rFonts w:ascii="Times New Roman" w:hAnsi="Times New Roman" w:cs="Times New Roman"/>
          <w:sz w:val="24"/>
          <w:szCs w:val="24"/>
        </w:rPr>
        <w:t>CIT</w:t>
      </w:r>
      <w:r w:rsidR="009C2F71" w:rsidRPr="007428D3">
        <w:rPr>
          <w:rFonts w:ascii="Times New Roman" w:hAnsi="Times New Roman" w:cs="Times New Roman"/>
          <w:sz w:val="24"/>
          <w:szCs w:val="24"/>
        </w:rPr>
        <w:t>, w szczególności w latach 2018 i 2019</w:t>
      </w:r>
      <w:r w:rsidRPr="007428D3">
        <w:rPr>
          <w:rFonts w:ascii="Times New Roman" w:hAnsi="Times New Roman" w:cs="Times New Roman"/>
          <w:sz w:val="24"/>
          <w:szCs w:val="24"/>
        </w:rPr>
        <w:t>.</w:t>
      </w:r>
    </w:p>
    <w:p w:rsidR="00FE549D" w:rsidRPr="007428D3" w:rsidRDefault="006C06E0" w:rsidP="007428D3">
      <w:pPr>
        <w:pStyle w:val="Akapitzlist"/>
        <w:spacing w:after="120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64CD65A5" wp14:editId="3360D153">
            <wp:extent cx="4781550" cy="2325642"/>
            <wp:effectExtent l="0" t="0" r="0" b="1778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58BE" w:rsidRPr="007428D3" w:rsidRDefault="006C06E0" w:rsidP="007428D3">
      <w:pPr>
        <w:pStyle w:val="Akapitzlist"/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7428D3">
        <w:rPr>
          <w:rFonts w:ascii="Times New Roman" w:hAnsi="Times New Roman" w:cs="Times New Roman"/>
          <w:sz w:val="20"/>
          <w:szCs w:val="20"/>
        </w:rPr>
        <w:t>*) dane wstępne</w:t>
      </w:r>
    </w:p>
    <w:p w:rsidR="00DE58BE" w:rsidRPr="007428D3" w:rsidRDefault="00DC4894" w:rsidP="007428D3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W 2017 r. zaobserwowano 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wzrost przychodów </w:t>
      </w:r>
      <w:r w:rsidR="00E84384" w:rsidRPr="007428D3">
        <w:rPr>
          <w:rFonts w:ascii="Times New Roman" w:hAnsi="Times New Roman" w:cs="Times New Roman"/>
          <w:sz w:val="24"/>
          <w:szCs w:val="24"/>
        </w:rPr>
        <w:t>podatników</w:t>
      </w:r>
      <w:r w:rsidRPr="007428D3">
        <w:rPr>
          <w:rFonts w:ascii="Times New Roman" w:hAnsi="Times New Roman" w:cs="Times New Roman"/>
          <w:sz w:val="24"/>
          <w:szCs w:val="24"/>
        </w:rPr>
        <w:t xml:space="preserve"> CIT</w:t>
      </w:r>
      <w:r w:rsidR="00E84384" w:rsidRPr="007428D3">
        <w:rPr>
          <w:rFonts w:ascii="Times New Roman" w:hAnsi="Times New Roman" w:cs="Times New Roman"/>
          <w:sz w:val="24"/>
          <w:szCs w:val="24"/>
        </w:rPr>
        <w:t xml:space="preserve">. Nie bez znaczenia </w:t>
      </w:r>
      <w:r w:rsidR="00FE549D" w:rsidRPr="007428D3">
        <w:rPr>
          <w:rFonts w:ascii="Times New Roman" w:hAnsi="Times New Roman" w:cs="Times New Roman"/>
          <w:sz w:val="24"/>
          <w:szCs w:val="24"/>
        </w:rPr>
        <w:t>również</w:t>
      </w:r>
      <w:r w:rsidR="00E84384" w:rsidRPr="007428D3">
        <w:rPr>
          <w:rFonts w:ascii="Times New Roman" w:hAnsi="Times New Roman" w:cs="Times New Roman"/>
          <w:sz w:val="24"/>
          <w:szCs w:val="24"/>
        </w:rPr>
        <w:t xml:space="preserve"> pozostaje fakt, że w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2017 r. mimo wzrost</w:t>
      </w:r>
      <w:r w:rsidR="00B035C6" w:rsidRPr="007428D3">
        <w:rPr>
          <w:rFonts w:ascii="Times New Roman" w:hAnsi="Times New Roman" w:cs="Times New Roman"/>
          <w:sz w:val="24"/>
          <w:szCs w:val="24"/>
        </w:rPr>
        <w:t>u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przychodów </w:t>
      </w:r>
      <w:r w:rsidR="00E84384" w:rsidRPr="007428D3">
        <w:rPr>
          <w:rFonts w:ascii="Times New Roman" w:hAnsi="Times New Roman" w:cs="Times New Roman"/>
          <w:sz w:val="24"/>
          <w:szCs w:val="24"/>
        </w:rPr>
        <w:t>(</w:t>
      </w:r>
      <w:r w:rsidR="00DE58BE" w:rsidRPr="007428D3">
        <w:rPr>
          <w:rFonts w:ascii="Times New Roman" w:hAnsi="Times New Roman" w:cs="Times New Roman"/>
          <w:sz w:val="24"/>
          <w:szCs w:val="24"/>
        </w:rPr>
        <w:t>o 4,2%</w:t>
      </w:r>
      <w:r w:rsidR="001E4F70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B035C6" w:rsidRPr="007428D3">
        <w:rPr>
          <w:rFonts w:ascii="Times New Roman" w:hAnsi="Times New Roman" w:cs="Times New Roman"/>
          <w:sz w:val="24"/>
          <w:szCs w:val="24"/>
        </w:rPr>
        <w:t xml:space="preserve">r/r) </w:t>
      </w:r>
      <w:r w:rsidRPr="007428D3">
        <w:rPr>
          <w:rFonts w:ascii="Times New Roman" w:hAnsi="Times New Roman" w:cs="Times New Roman"/>
          <w:sz w:val="24"/>
          <w:szCs w:val="24"/>
        </w:rPr>
        <w:t xml:space="preserve">obniżone zostały 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koszty uzyskania przychodów </w:t>
      </w:r>
      <w:r w:rsidRPr="007428D3">
        <w:rPr>
          <w:rFonts w:ascii="Times New Roman" w:hAnsi="Times New Roman" w:cs="Times New Roman"/>
          <w:sz w:val="24"/>
          <w:szCs w:val="24"/>
        </w:rPr>
        <w:t>(</w:t>
      </w:r>
      <w:r w:rsidR="00DD169E" w:rsidRPr="007428D3">
        <w:rPr>
          <w:rFonts w:ascii="Times New Roman" w:hAnsi="Times New Roman" w:cs="Times New Roman"/>
          <w:sz w:val="24"/>
          <w:szCs w:val="24"/>
        </w:rPr>
        <w:t>o 2,6%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DD169E" w:rsidRPr="007428D3">
        <w:rPr>
          <w:rFonts w:ascii="Times New Roman" w:hAnsi="Times New Roman" w:cs="Times New Roman"/>
          <w:sz w:val="24"/>
          <w:szCs w:val="24"/>
        </w:rPr>
        <w:t>r/r</w:t>
      </w:r>
      <w:r w:rsidRPr="007428D3">
        <w:rPr>
          <w:rFonts w:ascii="Times New Roman" w:hAnsi="Times New Roman" w:cs="Times New Roman"/>
          <w:sz w:val="24"/>
          <w:szCs w:val="24"/>
        </w:rPr>
        <w:t>)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, co </w:t>
      </w:r>
      <w:r w:rsidR="00E84384" w:rsidRPr="007428D3">
        <w:rPr>
          <w:rFonts w:ascii="Times New Roman" w:hAnsi="Times New Roman" w:cs="Times New Roman"/>
          <w:sz w:val="24"/>
          <w:szCs w:val="24"/>
        </w:rPr>
        <w:t xml:space="preserve">w konsekwencji </w:t>
      </w:r>
      <w:r w:rsidR="00DE58BE" w:rsidRPr="007428D3">
        <w:rPr>
          <w:rFonts w:ascii="Times New Roman" w:hAnsi="Times New Roman" w:cs="Times New Roman"/>
          <w:sz w:val="24"/>
          <w:szCs w:val="24"/>
        </w:rPr>
        <w:t>przełożyło się na</w:t>
      </w:r>
      <w:r w:rsidR="001446AE" w:rsidRPr="007428D3">
        <w:rPr>
          <w:rFonts w:ascii="Times New Roman" w:hAnsi="Times New Roman" w:cs="Times New Roman"/>
          <w:sz w:val="24"/>
          <w:szCs w:val="24"/>
        </w:rPr>
        <w:t xml:space="preserve"> nienotowany w</w:t>
      </w:r>
      <w:r w:rsidR="00A900AC" w:rsidRPr="007428D3">
        <w:rPr>
          <w:rFonts w:ascii="Times New Roman" w:hAnsi="Times New Roman" w:cs="Times New Roman"/>
          <w:sz w:val="24"/>
          <w:szCs w:val="24"/>
        </w:rPr>
        <w:t> </w:t>
      </w:r>
      <w:r w:rsidR="001446AE" w:rsidRPr="007428D3">
        <w:rPr>
          <w:rFonts w:ascii="Times New Roman" w:hAnsi="Times New Roman" w:cs="Times New Roman"/>
          <w:sz w:val="24"/>
          <w:szCs w:val="24"/>
        </w:rPr>
        <w:t>historii Polski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A900AC" w:rsidRPr="007428D3">
        <w:rPr>
          <w:rFonts w:ascii="Times New Roman" w:hAnsi="Times New Roman" w:cs="Times New Roman"/>
          <w:sz w:val="24"/>
          <w:szCs w:val="24"/>
        </w:rPr>
        <w:t>poziom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dochodów</w:t>
      </w:r>
      <w:r w:rsidR="00E84384" w:rsidRPr="007428D3">
        <w:rPr>
          <w:rFonts w:ascii="Times New Roman" w:hAnsi="Times New Roman" w:cs="Times New Roman"/>
          <w:sz w:val="24"/>
          <w:szCs w:val="24"/>
        </w:rPr>
        <w:t xml:space="preserve"> podatników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, a </w:t>
      </w:r>
      <w:r w:rsidRPr="007428D3">
        <w:rPr>
          <w:rFonts w:ascii="Times New Roman" w:hAnsi="Times New Roman" w:cs="Times New Roman"/>
          <w:sz w:val="24"/>
          <w:szCs w:val="24"/>
        </w:rPr>
        <w:t>tym samym</w:t>
      </w:r>
      <w:r w:rsidR="00E84384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A900AC" w:rsidRPr="007428D3">
        <w:rPr>
          <w:rFonts w:ascii="Times New Roman" w:hAnsi="Times New Roman" w:cs="Times New Roman"/>
          <w:sz w:val="24"/>
          <w:szCs w:val="24"/>
        </w:rPr>
        <w:t>podatku</w:t>
      </w:r>
      <w:r w:rsidR="00E84384" w:rsidRPr="007428D3">
        <w:rPr>
          <w:rFonts w:ascii="Times New Roman" w:hAnsi="Times New Roman" w:cs="Times New Roman"/>
          <w:sz w:val="24"/>
          <w:szCs w:val="24"/>
        </w:rPr>
        <w:t xml:space="preserve"> CIT</w:t>
      </w:r>
      <w:r w:rsidR="00DE58BE" w:rsidRPr="007428D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siatki1jasnaakcent2"/>
        <w:tblW w:w="8935" w:type="dxa"/>
        <w:tblLook w:val="04A0" w:firstRow="1" w:lastRow="0" w:firstColumn="1" w:lastColumn="0" w:noHBand="0" w:noVBand="1"/>
      </w:tblPr>
      <w:tblGrid>
        <w:gridCol w:w="1821"/>
        <w:gridCol w:w="755"/>
        <w:gridCol w:w="755"/>
        <w:gridCol w:w="750"/>
        <w:gridCol w:w="755"/>
        <w:gridCol w:w="863"/>
        <w:gridCol w:w="755"/>
        <w:gridCol w:w="863"/>
        <w:gridCol w:w="755"/>
        <w:gridCol w:w="863"/>
      </w:tblGrid>
      <w:tr w:rsidR="00ED070D" w:rsidRPr="007428D3" w:rsidTr="004C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Merge w:val="restart"/>
            <w:noWrap/>
            <w:hideMark/>
          </w:tcPr>
          <w:p w:rsidR="00DE58BE" w:rsidRPr="007428D3" w:rsidRDefault="00DE58BE" w:rsidP="007428D3">
            <w:pPr>
              <w:spacing w:after="12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55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505" w:type="dxa"/>
            <w:gridSpan w:val="2"/>
            <w:noWrap/>
            <w:hideMark/>
          </w:tcPr>
          <w:p w:rsidR="00DE58BE" w:rsidRPr="007428D3" w:rsidRDefault="00DE58BE" w:rsidP="007428D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618" w:type="dxa"/>
            <w:gridSpan w:val="2"/>
            <w:noWrap/>
            <w:hideMark/>
          </w:tcPr>
          <w:p w:rsidR="00DE58BE" w:rsidRPr="007428D3" w:rsidRDefault="00DE58BE" w:rsidP="007428D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618" w:type="dxa"/>
            <w:gridSpan w:val="2"/>
            <w:noWrap/>
            <w:hideMark/>
          </w:tcPr>
          <w:p w:rsidR="00DE58BE" w:rsidRPr="007428D3" w:rsidRDefault="00DE58BE" w:rsidP="007428D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618" w:type="dxa"/>
            <w:gridSpan w:val="2"/>
            <w:noWrap/>
            <w:hideMark/>
          </w:tcPr>
          <w:p w:rsidR="00DE58BE" w:rsidRPr="007428D3" w:rsidRDefault="00DE58BE" w:rsidP="007428D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</w:t>
            </w:r>
          </w:p>
        </w:tc>
      </w:tr>
      <w:tr w:rsidR="00ED070D" w:rsidRPr="007428D3" w:rsidTr="004C591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Merge/>
            <w:hideMark/>
          </w:tcPr>
          <w:p w:rsidR="00B035C6" w:rsidRPr="007428D3" w:rsidRDefault="00B035C6" w:rsidP="007428D3">
            <w:pPr>
              <w:spacing w:after="12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</w:p>
        </w:tc>
        <w:tc>
          <w:tcPr>
            <w:tcW w:w="755" w:type="dxa"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55" w:type="dxa"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50" w:type="dxa"/>
            <w:hideMark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r/r</w:t>
            </w:r>
          </w:p>
        </w:tc>
        <w:tc>
          <w:tcPr>
            <w:tcW w:w="755" w:type="dxa"/>
            <w:hideMark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kwota </w:t>
            </w:r>
          </w:p>
        </w:tc>
        <w:tc>
          <w:tcPr>
            <w:tcW w:w="862" w:type="dxa"/>
            <w:hideMark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r/r</w:t>
            </w:r>
          </w:p>
        </w:tc>
        <w:tc>
          <w:tcPr>
            <w:tcW w:w="755" w:type="dxa"/>
            <w:hideMark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kwota </w:t>
            </w:r>
          </w:p>
        </w:tc>
        <w:tc>
          <w:tcPr>
            <w:tcW w:w="862" w:type="dxa"/>
            <w:hideMark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r/r</w:t>
            </w:r>
          </w:p>
        </w:tc>
        <w:tc>
          <w:tcPr>
            <w:tcW w:w="755" w:type="dxa"/>
            <w:hideMark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kwota </w:t>
            </w:r>
          </w:p>
        </w:tc>
        <w:tc>
          <w:tcPr>
            <w:tcW w:w="862" w:type="dxa"/>
            <w:hideMark/>
          </w:tcPr>
          <w:p w:rsidR="00B035C6" w:rsidRPr="007428D3" w:rsidRDefault="00B035C6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r/r</w:t>
            </w:r>
          </w:p>
        </w:tc>
      </w:tr>
      <w:tr w:rsidR="00ED070D" w:rsidRPr="007428D3" w:rsidTr="004C591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noWrap/>
            <w:hideMark/>
          </w:tcPr>
          <w:p w:rsidR="00DE58BE" w:rsidRPr="007428D3" w:rsidRDefault="00DE58BE" w:rsidP="007428D3">
            <w:pPr>
              <w:spacing w:after="12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Przychód</w:t>
            </w:r>
            <w:r w:rsidR="00B035C6" w:rsidRPr="007428D3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  <w:t xml:space="preserve"> [mld zł]</w:t>
            </w:r>
          </w:p>
        </w:tc>
        <w:tc>
          <w:tcPr>
            <w:tcW w:w="755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5 200</w:t>
            </w:r>
          </w:p>
        </w:tc>
        <w:tc>
          <w:tcPr>
            <w:tcW w:w="755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4 978</w:t>
            </w:r>
          </w:p>
        </w:tc>
        <w:tc>
          <w:tcPr>
            <w:tcW w:w="750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95,7%</w:t>
            </w:r>
          </w:p>
        </w:tc>
        <w:tc>
          <w:tcPr>
            <w:tcW w:w="755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4 988</w:t>
            </w:r>
          </w:p>
        </w:tc>
        <w:tc>
          <w:tcPr>
            <w:tcW w:w="862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100,2%</w:t>
            </w:r>
          </w:p>
        </w:tc>
        <w:tc>
          <w:tcPr>
            <w:tcW w:w="755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5 069</w:t>
            </w:r>
          </w:p>
        </w:tc>
        <w:tc>
          <w:tcPr>
            <w:tcW w:w="862" w:type="dxa"/>
            <w:noWrap/>
            <w:hideMark/>
          </w:tcPr>
          <w:p w:rsidR="00DE58BE" w:rsidRPr="007428D3" w:rsidRDefault="00DC4894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101,6</w:t>
            </w:r>
            <w:r w:rsidR="00DE58BE"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5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5 284</w:t>
            </w:r>
          </w:p>
        </w:tc>
        <w:tc>
          <w:tcPr>
            <w:tcW w:w="862" w:type="dxa"/>
            <w:noWrap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104,2%</w:t>
            </w:r>
          </w:p>
        </w:tc>
      </w:tr>
      <w:tr w:rsidR="00ED070D" w:rsidRPr="007428D3" w:rsidTr="004C5917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hideMark/>
          </w:tcPr>
          <w:p w:rsidR="00A900AC" w:rsidRPr="007428D3" w:rsidRDefault="00DE58BE" w:rsidP="007428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uzyskania przychodów</w:t>
            </w:r>
          </w:p>
          <w:p w:rsidR="00DE58BE" w:rsidRPr="007428D3" w:rsidRDefault="00B035C6" w:rsidP="007428D3">
            <w:pPr>
              <w:spacing w:after="12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l-PL"/>
              </w:rPr>
              <w:t>[mld zł]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5 019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4 763</w:t>
            </w:r>
          </w:p>
        </w:tc>
        <w:tc>
          <w:tcPr>
            <w:tcW w:w="750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94,9%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4 796</w:t>
            </w:r>
          </w:p>
        </w:tc>
        <w:tc>
          <w:tcPr>
            <w:tcW w:w="862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100,7%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4 885</w:t>
            </w:r>
          </w:p>
        </w:tc>
        <w:tc>
          <w:tcPr>
            <w:tcW w:w="862" w:type="dxa"/>
            <w:noWrap/>
            <w:vAlign w:val="center"/>
            <w:hideMark/>
          </w:tcPr>
          <w:p w:rsidR="00DE58BE" w:rsidRPr="007428D3" w:rsidRDefault="00DC4894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101,8</w:t>
            </w:r>
            <w:r w:rsidR="00DE58BE"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4 757</w:t>
            </w:r>
          </w:p>
        </w:tc>
        <w:tc>
          <w:tcPr>
            <w:tcW w:w="862" w:type="dxa"/>
            <w:noWrap/>
            <w:vAlign w:val="center"/>
            <w:hideMark/>
          </w:tcPr>
          <w:p w:rsidR="00DE58BE" w:rsidRPr="007428D3" w:rsidRDefault="00DE58BE" w:rsidP="007428D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428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97,4%</w:t>
            </w:r>
          </w:p>
        </w:tc>
      </w:tr>
    </w:tbl>
    <w:p w:rsidR="00DD169E" w:rsidRPr="007428D3" w:rsidRDefault="00DD169E" w:rsidP="007428D3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E58BE" w:rsidRPr="007428D3" w:rsidRDefault="00E84384" w:rsidP="007428D3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Tendencja ta utrzymuje się również 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</w:rPr>
        <w:t>w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2018 r</w:t>
      </w:r>
      <w:r w:rsidRPr="007428D3">
        <w:rPr>
          <w:rFonts w:ascii="Times New Roman" w:hAnsi="Times New Roman" w:cs="Times New Roman"/>
          <w:sz w:val="24"/>
          <w:szCs w:val="24"/>
        </w:rPr>
        <w:t>.</w:t>
      </w:r>
      <w:r w:rsidR="00DC4894" w:rsidRPr="007428D3">
        <w:rPr>
          <w:rFonts w:ascii="Times New Roman" w:hAnsi="Times New Roman" w:cs="Times New Roman"/>
          <w:sz w:val="24"/>
          <w:szCs w:val="24"/>
        </w:rPr>
        <w:t xml:space="preserve">, co </w:t>
      </w:r>
      <w:r w:rsidRPr="007428D3">
        <w:rPr>
          <w:rFonts w:ascii="Times New Roman" w:hAnsi="Times New Roman" w:cs="Times New Roman"/>
          <w:sz w:val="24"/>
          <w:szCs w:val="24"/>
        </w:rPr>
        <w:t xml:space="preserve">potwierdza analiza </w:t>
      </w:r>
      <w:r w:rsidR="00DC4894" w:rsidRPr="007428D3">
        <w:rPr>
          <w:rFonts w:ascii="Times New Roman" w:hAnsi="Times New Roman" w:cs="Times New Roman"/>
          <w:sz w:val="24"/>
          <w:szCs w:val="24"/>
        </w:rPr>
        <w:t>danych podatkowych n</w:t>
      </w:r>
      <w:r w:rsidRPr="007428D3">
        <w:rPr>
          <w:rFonts w:ascii="Times New Roman" w:hAnsi="Times New Roman" w:cs="Times New Roman"/>
          <w:sz w:val="24"/>
          <w:szCs w:val="24"/>
        </w:rPr>
        <w:t>ajwiększych płatników CIT</w:t>
      </w:r>
      <w:r w:rsidR="00DC4894" w:rsidRPr="007428D3">
        <w:rPr>
          <w:rFonts w:ascii="Times New Roman" w:hAnsi="Times New Roman" w:cs="Times New Roman"/>
          <w:sz w:val="24"/>
          <w:szCs w:val="24"/>
        </w:rPr>
        <w:t xml:space="preserve"> (TOP20)</w:t>
      </w:r>
      <w:r w:rsidRPr="007428D3">
        <w:rPr>
          <w:rFonts w:ascii="Times New Roman" w:hAnsi="Times New Roman" w:cs="Times New Roman"/>
          <w:sz w:val="24"/>
          <w:szCs w:val="24"/>
        </w:rPr>
        <w:t xml:space="preserve">. </w:t>
      </w:r>
      <w:r w:rsidR="00DE58BE" w:rsidRPr="00742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6AE" w:rsidRPr="007428D3" w:rsidRDefault="001446AE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O ostentacyjnej tendencyjności </w:t>
      </w:r>
      <w:r w:rsidR="00471FBF" w:rsidRPr="007428D3">
        <w:rPr>
          <w:rFonts w:ascii="Times New Roman" w:hAnsi="Times New Roman" w:cs="Times New Roman"/>
          <w:sz w:val="24"/>
          <w:szCs w:val="24"/>
        </w:rPr>
        <w:t xml:space="preserve">i wybiórczości </w:t>
      </w:r>
      <w:r w:rsidRPr="007428D3">
        <w:rPr>
          <w:rFonts w:ascii="Times New Roman" w:hAnsi="Times New Roman" w:cs="Times New Roman"/>
          <w:sz w:val="24"/>
          <w:szCs w:val="24"/>
        </w:rPr>
        <w:t xml:space="preserve">Raportu świadczy fakt, iż </w:t>
      </w:r>
      <w:r w:rsidR="00F364BC" w:rsidRPr="007428D3">
        <w:rPr>
          <w:rFonts w:ascii="Times New Roman" w:hAnsi="Times New Roman" w:cs="Times New Roman"/>
          <w:sz w:val="24"/>
          <w:szCs w:val="24"/>
        </w:rPr>
        <w:t xml:space="preserve">została </w:t>
      </w:r>
      <w:r w:rsidRPr="007428D3">
        <w:rPr>
          <w:rFonts w:ascii="Times New Roman" w:hAnsi="Times New Roman" w:cs="Times New Roman"/>
          <w:sz w:val="24"/>
          <w:szCs w:val="24"/>
        </w:rPr>
        <w:t xml:space="preserve">tam </w:t>
      </w:r>
      <w:r w:rsidR="00F364BC" w:rsidRPr="007428D3">
        <w:rPr>
          <w:rFonts w:ascii="Times New Roman" w:hAnsi="Times New Roman" w:cs="Times New Roman"/>
          <w:sz w:val="24"/>
          <w:szCs w:val="24"/>
        </w:rPr>
        <w:t>pominięta także kwestia odliczeń podatkowych, w tym dotyczących strat wygenerowanych w minionym okresie</w:t>
      </w:r>
      <w:r w:rsidR="008E5C00" w:rsidRPr="007428D3">
        <w:rPr>
          <w:rFonts w:ascii="Times New Roman" w:hAnsi="Times New Roman" w:cs="Times New Roman"/>
          <w:sz w:val="24"/>
          <w:szCs w:val="24"/>
        </w:rPr>
        <w:t>, które obniżają efekt działań uszczelniających.</w:t>
      </w:r>
      <w:r w:rsidRPr="007428D3">
        <w:rPr>
          <w:rFonts w:ascii="Times New Roman" w:hAnsi="Times New Roman" w:cs="Times New Roman"/>
          <w:sz w:val="24"/>
          <w:szCs w:val="24"/>
        </w:rPr>
        <w:t xml:space="preserve"> W kolejnych latach w związku z utylizacją strat z lat ubiegłych nastąpi wzrost wpływów z podatku CIT.</w:t>
      </w:r>
    </w:p>
    <w:p w:rsidR="008E5C00" w:rsidRPr="007428D3" w:rsidRDefault="00DD169E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C05368F" wp14:editId="4FD94B28">
            <wp:extent cx="3816167" cy="1786516"/>
            <wp:effectExtent l="0" t="0" r="13335" b="444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25C9" w:rsidRPr="007428D3" w:rsidRDefault="003725C9" w:rsidP="007428D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Podobny efekt będzie miało również wyłączenie możliwości dokonywania odpisów amortyzacyjnych od wartości niematerialnych i prawnych (np. znaków towarowych), które nie zostały nabyte od innego podmiotu a </w:t>
      </w:r>
      <w:r w:rsidRPr="007428D3">
        <w:rPr>
          <w:rFonts w:ascii="Times New Roman" w:eastAsia="Times New Roman" w:hAnsi="Times New Roman" w:cs="Times New Roman"/>
          <w:sz w:val="24"/>
          <w:szCs w:val="24"/>
        </w:rPr>
        <w:t>„powstały” w wyniku decyzji o objęciu takiego znaku prawem ochronnym</w:t>
      </w:r>
      <w:r w:rsidRPr="007428D3">
        <w:rPr>
          <w:rFonts w:ascii="Times New Roman" w:hAnsi="Times New Roman" w:cs="Times New Roman"/>
          <w:sz w:val="24"/>
          <w:szCs w:val="24"/>
        </w:rPr>
        <w:t xml:space="preserve"> a przez to zaliczania do kosztów uzyskania przychodów</w:t>
      </w:r>
      <w:r w:rsidRPr="007428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2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5C9" w:rsidRPr="007428D3" w:rsidRDefault="003725C9" w:rsidP="007428D3">
      <w:pPr>
        <w:autoSpaceDE w:val="0"/>
        <w:autoSpaceDN w:val="0"/>
        <w:spacing w:after="120"/>
        <w:rPr>
          <w:rFonts w:asciiTheme="minorHAnsi" w:hAnsiTheme="minorHAnsi" w:cstheme="minorHAnsi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lastRenderedPageBreak/>
        <w:t>Autorzy Raportu pominęli również kwestię, ze CIT może nawet rosnąć przy stałej koniunkturze, ponieważ na wysokość dochodu do podatkowania, a więc i podatku, wpływ mają zarówno przychody jak i koszty uzyskania przychodów, przy czym efekt uszczelnienia najbardziej uwidacznia się w tym drugim elemencie</w:t>
      </w:r>
      <w:r w:rsidRPr="007428D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02AA4" w:rsidRPr="007428D3" w:rsidRDefault="00402AA4" w:rsidP="007428D3">
      <w:pPr>
        <w:autoSpaceDE w:val="0"/>
        <w:autoSpaceDN w:val="0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Prace mające na celu uszczelnienie systemu podatkowego są traktowane priorytetowo i</w:t>
      </w:r>
      <w:r w:rsidR="00FE549D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>w</w:t>
      </w:r>
      <w:r w:rsidR="00FE549D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>dalszym ciągu będą kontynuowane. Aktualnie przygotowany został projekt ustawy o zmianie ustawy o</w:t>
      </w:r>
      <w:r w:rsidR="008E5C00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 xml:space="preserve">podatku dochodowym od osób prawnych, który przewiduje m.in. implementację dyrektywy </w:t>
      </w:r>
      <w:r w:rsidRPr="007428D3">
        <w:rPr>
          <w:rFonts w:ascii="Times New Roman" w:hAnsi="Times New Roman" w:cs="Times New Roman"/>
          <w:iCs/>
          <w:sz w:val="24"/>
          <w:szCs w:val="24"/>
        </w:rPr>
        <w:t>w zakresie</w:t>
      </w:r>
      <w:r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iCs/>
          <w:sz w:val="24"/>
          <w:szCs w:val="24"/>
        </w:rPr>
        <w:t>rozbieżności w kwalifikacji struktur hybrydowych dotyczących państw trzecich.</w:t>
      </w:r>
    </w:p>
    <w:p w:rsidR="003725C9" w:rsidRPr="007428D3" w:rsidRDefault="003725C9" w:rsidP="007428D3">
      <w:pPr>
        <w:autoSpaceDE w:val="0"/>
        <w:autoSpaceDN w:val="0"/>
        <w:spacing w:after="120"/>
        <w:rPr>
          <w:rFonts w:ascii="Times New Roman" w:hAnsi="Times New Roman" w:cs="Times New Roman"/>
          <w:iCs/>
          <w:sz w:val="24"/>
          <w:szCs w:val="24"/>
        </w:rPr>
      </w:pPr>
    </w:p>
    <w:p w:rsidR="009D4918" w:rsidRPr="007428D3" w:rsidRDefault="008E5C00" w:rsidP="007428D3">
      <w:pPr>
        <w:pStyle w:val="Akapitzlist"/>
        <w:numPr>
          <w:ilvl w:val="0"/>
          <w:numId w:val="6"/>
        </w:numPr>
        <w:spacing w:after="1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428D3">
        <w:rPr>
          <w:rFonts w:ascii="Times New Roman" w:hAnsi="Times New Roman" w:cs="Times New Roman"/>
          <w:b/>
          <w:sz w:val="24"/>
          <w:szCs w:val="24"/>
        </w:rPr>
        <w:t>R</w:t>
      </w:r>
      <w:r w:rsidR="00BD1872" w:rsidRPr="007428D3">
        <w:rPr>
          <w:rFonts w:ascii="Times New Roman" w:hAnsi="Times New Roman" w:cs="Times New Roman"/>
          <w:b/>
          <w:sz w:val="24"/>
          <w:szCs w:val="24"/>
        </w:rPr>
        <w:t xml:space="preserve">aport, </w:t>
      </w:r>
      <w:r w:rsidRPr="007428D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D1872" w:rsidRPr="007428D3">
        <w:rPr>
          <w:rFonts w:ascii="Times New Roman" w:hAnsi="Times New Roman" w:cs="Times New Roman"/>
          <w:b/>
          <w:sz w:val="24"/>
          <w:szCs w:val="24"/>
        </w:rPr>
        <w:t xml:space="preserve">którym </w:t>
      </w:r>
      <w:r w:rsidRPr="007428D3">
        <w:rPr>
          <w:rFonts w:ascii="Times New Roman" w:hAnsi="Times New Roman" w:cs="Times New Roman"/>
          <w:b/>
          <w:sz w:val="24"/>
          <w:szCs w:val="24"/>
        </w:rPr>
        <w:t xml:space="preserve">autorzy wskazują na </w:t>
      </w:r>
      <w:r w:rsidR="00BD1872" w:rsidRPr="007428D3">
        <w:rPr>
          <w:rFonts w:ascii="Times New Roman" w:hAnsi="Times New Roman" w:cs="Times New Roman"/>
          <w:b/>
          <w:sz w:val="24"/>
          <w:szCs w:val="24"/>
        </w:rPr>
        <w:t xml:space="preserve">rzekomy brak </w:t>
      </w:r>
      <w:r w:rsidRPr="007428D3">
        <w:rPr>
          <w:rFonts w:ascii="Times New Roman" w:hAnsi="Times New Roman" w:cs="Times New Roman"/>
          <w:b/>
          <w:sz w:val="24"/>
          <w:szCs w:val="24"/>
        </w:rPr>
        <w:t>wpływu działań uszczelniających system podatkowy na wpływy z CIT</w:t>
      </w:r>
      <w:r w:rsidR="00BD1872" w:rsidRPr="007428D3">
        <w:rPr>
          <w:rFonts w:ascii="Times New Roman" w:hAnsi="Times New Roman" w:cs="Times New Roman"/>
          <w:b/>
          <w:sz w:val="24"/>
          <w:szCs w:val="24"/>
        </w:rPr>
        <w:t xml:space="preserve"> nie został poparty żadną analizą jakościową</w:t>
      </w:r>
      <w:r w:rsidR="00DD169E" w:rsidRPr="007428D3">
        <w:rPr>
          <w:rFonts w:ascii="Times New Roman" w:hAnsi="Times New Roman" w:cs="Times New Roman"/>
          <w:b/>
          <w:sz w:val="24"/>
          <w:szCs w:val="24"/>
        </w:rPr>
        <w:t>/ilościową</w:t>
      </w:r>
      <w:r w:rsidR="00BD1872" w:rsidRPr="007428D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1872" w:rsidRPr="007428D3" w:rsidRDefault="00BD1872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Raport nie wymienia i nie przedstawia żadnych analiz makro- lub mikro-ekonomicznych oceniających lub kwantyfikujących efekty działań uszczelniających system podatku CIT</w:t>
      </w:r>
      <w:r w:rsidR="009D4918" w:rsidRPr="007428D3">
        <w:rPr>
          <w:rFonts w:ascii="Times New Roman" w:hAnsi="Times New Roman" w:cs="Times New Roman"/>
          <w:sz w:val="24"/>
          <w:szCs w:val="24"/>
        </w:rPr>
        <w:t xml:space="preserve">, w przeciwieństwie do </w:t>
      </w:r>
      <w:r w:rsidRPr="007428D3">
        <w:rPr>
          <w:rFonts w:ascii="Times New Roman" w:hAnsi="Times New Roman" w:cs="Times New Roman"/>
          <w:sz w:val="24"/>
          <w:szCs w:val="24"/>
        </w:rPr>
        <w:t xml:space="preserve">Programu </w:t>
      </w:r>
      <w:r w:rsidR="009D4918" w:rsidRPr="007428D3">
        <w:rPr>
          <w:rFonts w:ascii="Times New Roman" w:hAnsi="Times New Roman" w:cs="Times New Roman"/>
          <w:sz w:val="24"/>
          <w:szCs w:val="24"/>
        </w:rPr>
        <w:t>K</w:t>
      </w:r>
      <w:r w:rsidRPr="007428D3">
        <w:rPr>
          <w:rFonts w:ascii="Times New Roman" w:hAnsi="Times New Roman" w:cs="Times New Roman"/>
          <w:sz w:val="24"/>
          <w:szCs w:val="24"/>
        </w:rPr>
        <w:t>onwergencji</w:t>
      </w:r>
      <w:r w:rsidR="008E5C00" w:rsidRPr="007428D3">
        <w:rPr>
          <w:rFonts w:ascii="Times New Roman" w:hAnsi="Times New Roman" w:cs="Times New Roman"/>
          <w:sz w:val="24"/>
          <w:szCs w:val="24"/>
        </w:rPr>
        <w:t xml:space="preserve">, </w:t>
      </w:r>
      <w:r w:rsidR="009D4918" w:rsidRPr="007428D3">
        <w:rPr>
          <w:rFonts w:ascii="Times New Roman" w:hAnsi="Times New Roman" w:cs="Times New Roman"/>
          <w:sz w:val="24"/>
          <w:szCs w:val="24"/>
        </w:rPr>
        <w:t>A</w:t>
      </w:r>
      <w:r w:rsidR="008E5C00" w:rsidRPr="007428D3">
        <w:rPr>
          <w:rFonts w:ascii="Times New Roman" w:hAnsi="Times New Roman" w:cs="Times New Roman"/>
          <w:sz w:val="24"/>
          <w:szCs w:val="24"/>
        </w:rPr>
        <w:t>ktualizacja 2019</w:t>
      </w:r>
      <w:r w:rsidR="009D4918" w:rsidRPr="007428D3">
        <w:rPr>
          <w:rFonts w:ascii="Times New Roman" w:hAnsi="Times New Roman" w:cs="Times New Roman"/>
          <w:sz w:val="24"/>
          <w:szCs w:val="24"/>
        </w:rPr>
        <w:t>, w którym ocena taka została dokonana. Zgodnie z dokumentem tym „w</w:t>
      </w:r>
      <w:r w:rsidRPr="007428D3">
        <w:rPr>
          <w:rFonts w:ascii="Times New Roman" w:hAnsi="Times New Roman" w:cs="Times New Roman"/>
          <w:sz w:val="24"/>
          <w:szCs w:val="24"/>
        </w:rPr>
        <w:t xml:space="preserve"> odniesieniu do podatku CIT oszacowano, że poprawa dochodów z CIT dzięki lepszemu przestrzeganiu przez podatników obowiązujących regulacji (tzw. </w:t>
      </w:r>
      <w:proofErr w:type="spellStart"/>
      <w:r w:rsidRPr="007428D3">
        <w:rPr>
          <w:rFonts w:ascii="Times New Roman" w:hAnsi="Times New Roman" w:cs="Times New Roman"/>
          <w:iCs/>
          <w:sz w:val="24"/>
          <w:szCs w:val="24"/>
        </w:rPr>
        <w:t>compliance</w:t>
      </w:r>
      <w:proofErr w:type="spellEnd"/>
      <w:r w:rsidRPr="007428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428D3">
        <w:rPr>
          <w:rFonts w:ascii="Times New Roman" w:hAnsi="Times New Roman" w:cs="Times New Roman"/>
          <w:iCs/>
          <w:sz w:val="24"/>
          <w:szCs w:val="24"/>
        </w:rPr>
        <w:t>effect</w:t>
      </w:r>
      <w:proofErr w:type="spellEnd"/>
      <w:r w:rsidRPr="007428D3">
        <w:rPr>
          <w:rFonts w:ascii="Times New Roman" w:hAnsi="Times New Roman" w:cs="Times New Roman"/>
          <w:sz w:val="24"/>
          <w:szCs w:val="24"/>
        </w:rPr>
        <w:t xml:space="preserve">) wyniosła 3,0 mld zł w 2017 r. i 4,2 mld zł w 2018 r. Metodologia szacunku jest analogiczna jak w przypadku luki VAT i wykorzystuje dane nt. wykonania dochodów z CIT oraz kształtowania się makroekonomicznych indykatorów podstawy do opodatkowania. Na pozytywne skutki wprowadzenia klauzuli przeciwko unikaniu opodatkowania wskazuje również analiza ekonometryczna przeprowadzona przy użyciu modelu zmiennej w czasie </w:t>
      </w:r>
      <w:proofErr w:type="spellStart"/>
      <w:r w:rsidRPr="007428D3">
        <w:rPr>
          <w:rFonts w:ascii="Times New Roman" w:hAnsi="Times New Roman" w:cs="Times New Roman"/>
          <w:sz w:val="24"/>
          <w:szCs w:val="24"/>
        </w:rPr>
        <w:t>kointegracji</w:t>
      </w:r>
      <w:proofErr w:type="spellEnd"/>
      <w:r w:rsidRPr="007428D3">
        <w:rPr>
          <w:rFonts w:ascii="Times New Roman" w:hAnsi="Times New Roman" w:cs="Times New Roman"/>
          <w:sz w:val="24"/>
          <w:szCs w:val="24"/>
        </w:rPr>
        <w:t xml:space="preserve"> z zastosowaniem elastyczności skorygowanych o cykl koniunkturalny. Po pierwsze, wskazuje ona na IV kwartał 2015 r. jako datę zmiany strukturalnej, co pokrywa się z momentem rozpoczęcia prac legislacyjnych nad wdrożeniem klauzuli. Po drugie, oszacowany w oparciu o model ARDL efekt zmiany parametrów długookresowych wynosi w 2017 r. 0,7 mld zł, a w 2018 r. 1,2 mld zł. </w:t>
      </w:r>
    </w:p>
    <w:p w:rsidR="00BD1872" w:rsidRPr="007428D3" w:rsidRDefault="00BD1872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Analizę skutku zmian systemowych, w szczególności wprowadzenia klauzuli o</w:t>
      </w:r>
      <w:r w:rsidR="0043258A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>przeciwdziałaniu unikaniu opodatkowania i JPK dla wpływów z opodatkowania działalności gospodarczej (łącznie CIT i liniowa stawka PIT), przeprowadzono także w oparciu o model panelowy uwzględniający dane dla krajów UE (z wyjątkiem Luksemburga, Malty, Cypru i</w:t>
      </w:r>
      <w:r w:rsidR="0043258A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>Chorwacji). Wynika z niej, że po wyeliminowaniu efektów cyklicznych wpływ działań uszczelniających wyniósł odpowiednio 1,8 mld zł w 2017 r. oraz 2,9 mld zł w 2018 r.</w:t>
      </w:r>
      <w:r w:rsidR="009D4918" w:rsidRPr="007428D3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471FBF" w:rsidRPr="007428D3" w:rsidRDefault="00471FBF" w:rsidP="007428D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71FBF" w:rsidRPr="007428D3" w:rsidRDefault="00471FBF" w:rsidP="007428D3">
      <w:pPr>
        <w:pStyle w:val="Akapitzlist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428D3">
        <w:rPr>
          <w:rFonts w:ascii="Times New Roman" w:hAnsi="Times New Roman" w:cs="Times New Roman"/>
          <w:b/>
          <w:sz w:val="24"/>
          <w:szCs w:val="24"/>
        </w:rPr>
        <w:t xml:space="preserve">Raport pomija istotne analizy NBP </w:t>
      </w:r>
      <w:r w:rsidR="0098157E" w:rsidRPr="007428D3">
        <w:rPr>
          <w:rFonts w:ascii="Times New Roman" w:hAnsi="Times New Roman" w:cs="Times New Roman"/>
          <w:b/>
          <w:sz w:val="24"/>
          <w:szCs w:val="24"/>
        </w:rPr>
        <w:t xml:space="preserve">oraz instytucji naukowych o światowej renomie </w:t>
      </w:r>
      <w:r w:rsidRPr="007428D3">
        <w:rPr>
          <w:rFonts w:ascii="Times New Roman" w:hAnsi="Times New Roman" w:cs="Times New Roman"/>
          <w:b/>
          <w:sz w:val="24"/>
          <w:szCs w:val="24"/>
        </w:rPr>
        <w:t>implikujące efektywność poboru CIT w Polsce</w:t>
      </w:r>
    </w:p>
    <w:p w:rsidR="0002568B" w:rsidRPr="007428D3" w:rsidRDefault="0098157E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Z</w:t>
      </w:r>
      <w:r w:rsidR="0002568B" w:rsidRPr="007428D3">
        <w:rPr>
          <w:rFonts w:ascii="Times New Roman" w:hAnsi="Times New Roman" w:cs="Times New Roman"/>
          <w:sz w:val="24"/>
          <w:szCs w:val="24"/>
        </w:rPr>
        <w:t>e wstępu do</w:t>
      </w:r>
      <w:r w:rsidRPr="007428D3">
        <w:rPr>
          <w:rFonts w:ascii="Times New Roman" w:hAnsi="Times New Roman" w:cs="Times New Roman"/>
          <w:sz w:val="24"/>
          <w:szCs w:val="24"/>
        </w:rPr>
        <w:t xml:space="preserve"> raportu Narodowego Banku Polskiego „Zagraniczne inwestycje bezpośrednie w Polsce i polskie inwestycje bezpośrednie za granicą w 2017 roku” (https://www.nbp.pl/publikacje/ib_raport</w:t>
      </w:r>
      <w:r w:rsidR="00B85702" w:rsidRPr="007428D3">
        <w:rPr>
          <w:rFonts w:ascii="Times New Roman" w:hAnsi="Times New Roman" w:cs="Times New Roman"/>
          <w:sz w:val="24"/>
          <w:szCs w:val="24"/>
        </w:rPr>
        <w:t xml:space="preserve">y/raport_ib_2017.pdf) </w:t>
      </w:r>
      <w:r w:rsidR="000B4144" w:rsidRPr="007428D3">
        <w:rPr>
          <w:rFonts w:ascii="Times New Roman" w:hAnsi="Times New Roman" w:cs="Times New Roman"/>
          <w:sz w:val="24"/>
          <w:szCs w:val="24"/>
        </w:rPr>
        <w:t>można zrozumieć</w:t>
      </w:r>
      <w:r w:rsidR="00B85702" w:rsidRPr="007428D3">
        <w:rPr>
          <w:rFonts w:ascii="Times New Roman" w:hAnsi="Times New Roman" w:cs="Times New Roman"/>
          <w:sz w:val="24"/>
          <w:szCs w:val="24"/>
        </w:rPr>
        <w:t>,</w:t>
      </w:r>
      <w:r w:rsidRPr="007428D3">
        <w:rPr>
          <w:rFonts w:ascii="Times New Roman" w:hAnsi="Times New Roman" w:cs="Times New Roman"/>
          <w:sz w:val="24"/>
          <w:szCs w:val="24"/>
        </w:rPr>
        <w:t xml:space="preserve"> że zmiany w przepisach prawa podatkowego, </w:t>
      </w:r>
      <w:r w:rsidR="00B85702" w:rsidRPr="007428D3">
        <w:rPr>
          <w:rFonts w:ascii="Times New Roman" w:hAnsi="Times New Roman" w:cs="Times New Roman"/>
          <w:sz w:val="24"/>
          <w:szCs w:val="24"/>
        </w:rPr>
        <w:t xml:space="preserve">przede wszystkim wprowadzenie </w:t>
      </w:r>
      <w:r w:rsidRPr="007428D3">
        <w:rPr>
          <w:rFonts w:ascii="Times New Roman" w:hAnsi="Times New Roman" w:cs="Times New Roman"/>
          <w:sz w:val="24"/>
          <w:szCs w:val="24"/>
        </w:rPr>
        <w:t>opodatkowani</w:t>
      </w:r>
      <w:r w:rsidR="00B85702" w:rsidRPr="007428D3">
        <w:rPr>
          <w:rFonts w:ascii="Times New Roman" w:hAnsi="Times New Roman" w:cs="Times New Roman"/>
          <w:sz w:val="24"/>
          <w:szCs w:val="24"/>
        </w:rPr>
        <w:t xml:space="preserve">a funduszy inwestycyjnych zamkniętych (FIZ), które były wykorzystywane do rażącego </w:t>
      </w:r>
      <w:r w:rsidR="00B85702" w:rsidRPr="007428D3">
        <w:rPr>
          <w:rFonts w:ascii="Times New Roman" w:hAnsi="Times New Roman" w:cs="Times New Roman"/>
          <w:sz w:val="24"/>
          <w:szCs w:val="24"/>
        </w:rPr>
        <w:lastRenderedPageBreak/>
        <w:t>unikania opodatkowania</w:t>
      </w:r>
      <w:r w:rsidR="003F2531" w:rsidRPr="007428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B85702" w:rsidRPr="007428D3">
        <w:rPr>
          <w:rFonts w:ascii="Times New Roman" w:hAnsi="Times New Roman" w:cs="Times New Roman"/>
          <w:sz w:val="24"/>
          <w:szCs w:val="24"/>
        </w:rPr>
        <w:t>,</w:t>
      </w:r>
      <w:r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B85702" w:rsidRPr="007428D3">
        <w:rPr>
          <w:rFonts w:ascii="Times New Roman" w:hAnsi="Times New Roman" w:cs="Times New Roman"/>
          <w:sz w:val="24"/>
          <w:szCs w:val="24"/>
        </w:rPr>
        <w:t>oraz wspomniane wyżej zmiany w UPO</w:t>
      </w:r>
      <w:r w:rsidR="00ED070D" w:rsidRPr="007428D3">
        <w:rPr>
          <w:rFonts w:ascii="Times New Roman" w:hAnsi="Times New Roman" w:cs="Times New Roman"/>
          <w:sz w:val="24"/>
          <w:szCs w:val="24"/>
        </w:rPr>
        <w:t>,</w:t>
      </w:r>
      <w:r w:rsidR="00B85702" w:rsidRPr="007428D3">
        <w:rPr>
          <w:rFonts w:ascii="Times New Roman" w:hAnsi="Times New Roman" w:cs="Times New Roman"/>
          <w:sz w:val="24"/>
          <w:szCs w:val="24"/>
        </w:rPr>
        <w:t xml:space="preserve"> znacząco </w:t>
      </w:r>
      <w:r w:rsidRPr="007428D3">
        <w:rPr>
          <w:rFonts w:ascii="Times New Roman" w:hAnsi="Times New Roman" w:cs="Times New Roman"/>
          <w:sz w:val="24"/>
          <w:szCs w:val="24"/>
        </w:rPr>
        <w:t xml:space="preserve">wpłynęły na ograniczenia unikania opodatkowania z wykorzystaniem </w:t>
      </w:r>
      <w:r w:rsidR="00B85702" w:rsidRPr="007428D3">
        <w:rPr>
          <w:rFonts w:ascii="Times New Roman" w:hAnsi="Times New Roman" w:cs="Times New Roman"/>
          <w:sz w:val="24"/>
          <w:szCs w:val="24"/>
        </w:rPr>
        <w:t>zagranicznych jurysdykcji, w szczególności Cypru. Świadczą o tym wyniki analizy NBP, z których wynika, że „[w]</w:t>
      </w:r>
      <w:r w:rsidRPr="007428D3">
        <w:rPr>
          <w:rFonts w:ascii="Times New Roman" w:hAnsi="Times New Roman" w:cs="Times New Roman"/>
          <w:sz w:val="24"/>
          <w:szCs w:val="24"/>
        </w:rPr>
        <w:t>artość transakcji z tytułu polskich inwestycji bezpośrednich za granicą w 2017 roku wyniosła 10,4 mld zł i była ponad czterokrotnie mniejsza niż w 2016 roku (45,7 mld zł). Tak znaczny spadek wynikał przede wszystkim z wyjątkowo wysokiej wartości transakcji związanych ze zmianami struktury aktywów fundu</w:t>
      </w:r>
      <w:r w:rsidR="00B85702" w:rsidRPr="007428D3">
        <w:rPr>
          <w:rFonts w:ascii="Times New Roman" w:hAnsi="Times New Roman" w:cs="Times New Roman"/>
          <w:sz w:val="24"/>
          <w:szCs w:val="24"/>
        </w:rPr>
        <w:t>szy inwestycyjnych w 2016 roku”, c</w:t>
      </w:r>
      <w:r w:rsidRPr="007428D3">
        <w:rPr>
          <w:rFonts w:ascii="Times New Roman" w:hAnsi="Times New Roman" w:cs="Times New Roman"/>
          <w:sz w:val="24"/>
          <w:szCs w:val="24"/>
        </w:rPr>
        <w:t>zyli</w:t>
      </w:r>
      <w:r w:rsidR="00B85702" w:rsidRPr="007428D3">
        <w:rPr>
          <w:rFonts w:ascii="Times New Roman" w:hAnsi="Times New Roman" w:cs="Times New Roman"/>
          <w:sz w:val="24"/>
          <w:szCs w:val="24"/>
        </w:rPr>
        <w:t xml:space="preserve"> zmianą aktywów F</w:t>
      </w:r>
      <w:r w:rsidR="000B4144" w:rsidRPr="007428D3">
        <w:rPr>
          <w:rFonts w:ascii="Times New Roman" w:hAnsi="Times New Roman" w:cs="Times New Roman"/>
          <w:sz w:val="24"/>
          <w:szCs w:val="24"/>
        </w:rPr>
        <w:t xml:space="preserve">IZów na skutek reakcji Towarzystw Funduszy Inwestycyjnych, które zarządzają </w:t>
      </w:r>
      <w:proofErr w:type="spellStart"/>
      <w:r w:rsidR="000B4144" w:rsidRPr="007428D3">
        <w:rPr>
          <w:rFonts w:ascii="Times New Roman" w:hAnsi="Times New Roman" w:cs="Times New Roman"/>
          <w:sz w:val="24"/>
          <w:szCs w:val="24"/>
        </w:rPr>
        <w:t>FIZami</w:t>
      </w:r>
      <w:proofErr w:type="spellEnd"/>
      <w:r w:rsidR="000B4144" w:rsidRPr="007428D3">
        <w:rPr>
          <w:rFonts w:ascii="Times New Roman" w:hAnsi="Times New Roman" w:cs="Times New Roman"/>
          <w:sz w:val="24"/>
          <w:szCs w:val="24"/>
        </w:rPr>
        <w:t>, na</w:t>
      </w:r>
      <w:r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="00B85702" w:rsidRPr="007428D3">
        <w:rPr>
          <w:rFonts w:ascii="Times New Roman" w:hAnsi="Times New Roman" w:cs="Times New Roman"/>
          <w:sz w:val="24"/>
          <w:szCs w:val="24"/>
        </w:rPr>
        <w:t>wprowadzenie</w:t>
      </w:r>
      <w:r w:rsidRPr="007428D3">
        <w:rPr>
          <w:rFonts w:ascii="Times New Roman" w:hAnsi="Times New Roman" w:cs="Times New Roman"/>
          <w:sz w:val="24"/>
          <w:szCs w:val="24"/>
        </w:rPr>
        <w:t xml:space="preserve"> opodatkowani</w:t>
      </w:r>
      <w:r w:rsidR="000B4144" w:rsidRPr="007428D3">
        <w:rPr>
          <w:rFonts w:ascii="Times New Roman" w:hAnsi="Times New Roman" w:cs="Times New Roman"/>
          <w:sz w:val="24"/>
          <w:szCs w:val="24"/>
        </w:rPr>
        <w:t>a</w:t>
      </w:r>
      <w:r w:rsidR="00B85702" w:rsidRPr="007428D3">
        <w:rPr>
          <w:rFonts w:ascii="Times New Roman" w:hAnsi="Times New Roman" w:cs="Times New Roman"/>
          <w:sz w:val="24"/>
          <w:szCs w:val="24"/>
        </w:rPr>
        <w:t xml:space="preserve"> dochodów</w:t>
      </w:r>
      <w:r w:rsidR="000B4144" w:rsidRPr="007428D3">
        <w:rPr>
          <w:rFonts w:ascii="Times New Roman" w:hAnsi="Times New Roman" w:cs="Times New Roman"/>
          <w:sz w:val="24"/>
          <w:szCs w:val="24"/>
        </w:rPr>
        <w:t xml:space="preserve"> FIZów</w:t>
      </w:r>
      <w:r w:rsidR="00B85702" w:rsidRPr="007428D3">
        <w:rPr>
          <w:rFonts w:ascii="Times New Roman" w:hAnsi="Times New Roman" w:cs="Times New Roman"/>
          <w:sz w:val="24"/>
          <w:szCs w:val="24"/>
        </w:rPr>
        <w:t xml:space="preserve"> uzyskiwanych ze sp</w:t>
      </w:r>
      <w:r w:rsidR="000B4144" w:rsidRPr="007428D3">
        <w:rPr>
          <w:rFonts w:ascii="Times New Roman" w:hAnsi="Times New Roman" w:cs="Times New Roman"/>
          <w:sz w:val="24"/>
          <w:szCs w:val="24"/>
        </w:rPr>
        <w:t xml:space="preserve">ółek transparentnych podatkowo </w:t>
      </w:r>
      <w:r w:rsidR="00B85702" w:rsidRPr="007428D3">
        <w:rPr>
          <w:rFonts w:ascii="Times New Roman" w:hAnsi="Times New Roman" w:cs="Times New Roman"/>
          <w:sz w:val="24"/>
          <w:szCs w:val="24"/>
        </w:rPr>
        <w:t>od 1 stycznia 2017 r.</w:t>
      </w:r>
      <w:r w:rsidR="0002568B" w:rsidRPr="007428D3">
        <w:rPr>
          <w:rFonts w:ascii="Times New Roman" w:hAnsi="Times New Roman" w:cs="Times New Roman"/>
          <w:sz w:val="24"/>
          <w:szCs w:val="24"/>
        </w:rPr>
        <w:t xml:space="preserve"> </w:t>
      </w:r>
      <w:r w:rsidRPr="007428D3">
        <w:rPr>
          <w:rFonts w:ascii="Times New Roman" w:hAnsi="Times New Roman" w:cs="Times New Roman"/>
          <w:sz w:val="24"/>
          <w:szCs w:val="24"/>
        </w:rPr>
        <w:t>Opodatkowanie FIZów w Polsce pozbawiło atrakcyjność Cypr (i mu podobne</w:t>
      </w:r>
      <w:r w:rsidR="0002568B" w:rsidRPr="007428D3">
        <w:rPr>
          <w:rFonts w:ascii="Times New Roman" w:hAnsi="Times New Roman" w:cs="Times New Roman"/>
          <w:sz w:val="24"/>
          <w:szCs w:val="24"/>
        </w:rPr>
        <w:t xml:space="preserve"> jurysdykcje</w:t>
      </w:r>
      <w:r w:rsidRPr="007428D3">
        <w:rPr>
          <w:rFonts w:ascii="Times New Roman" w:hAnsi="Times New Roman" w:cs="Times New Roman"/>
          <w:sz w:val="24"/>
          <w:szCs w:val="24"/>
        </w:rPr>
        <w:t>) i to znacznie</w:t>
      </w:r>
      <w:r w:rsidR="000B4144" w:rsidRPr="007428D3">
        <w:rPr>
          <w:rFonts w:ascii="Times New Roman" w:hAnsi="Times New Roman" w:cs="Times New Roman"/>
          <w:sz w:val="24"/>
          <w:szCs w:val="24"/>
        </w:rPr>
        <w:t>, ponieważ znakomita większość struktur unikania opodatkowania oparta była na odpowiednikach polskich FIZów założonych na Cyprze i bezpośrednio otrzymujących zyski ze spółek transparentnych podatkowo</w:t>
      </w:r>
      <w:r w:rsidR="000B4144" w:rsidRPr="007428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0B4144" w:rsidRPr="007428D3">
        <w:rPr>
          <w:rFonts w:ascii="Times New Roman" w:hAnsi="Times New Roman" w:cs="Times New Roman"/>
          <w:sz w:val="24"/>
          <w:szCs w:val="24"/>
        </w:rPr>
        <w:t xml:space="preserve">. </w:t>
      </w:r>
      <w:r w:rsidR="0002568B" w:rsidRPr="007428D3">
        <w:rPr>
          <w:rFonts w:ascii="Times New Roman" w:hAnsi="Times New Roman" w:cs="Times New Roman"/>
          <w:sz w:val="24"/>
          <w:szCs w:val="24"/>
        </w:rPr>
        <w:t>Na stronie 11 Raport NBP stwierdza natomiast, że „[w]</w:t>
      </w:r>
      <w:r w:rsidRPr="007428D3">
        <w:rPr>
          <w:rFonts w:ascii="Times New Roman" w:hAnsi="Times New Roman" w:cs="Times New Roman"/>
          <w:sz w:val="24"/>
          <w:szCs w:val="24"/>
        </w:rPr>
        <w:t xml:space="preserve"> strukturze geograficznej dochodów z tytułu polskich inwestycji bezpośrednich w 2017 roku warto odnotować wzrost roli Kanady i Norwegii w stosunku do 2016 roku przy jednoczesnym zmn</w:t>
      </w:r>
      <w:r w:rsidR="0002568B" w:rsidRPr="007428D3">
        <w:rPr>
          <w:rFonts w:ascii="Times New Roman" w:hAnsi="Times New Roman" w:cs="Times New Roman"/>
          <w:sz w:val="24"/>
          <w:szCs w:val="24"/>
        </w:rPr>
        <w:t>iejszeniu udziału Cypru”.</w:t>
      </w:r>
      <w:r w:rsidRPr="007428D3">
        <w:rPr>
          <w:rFonts w:ascii="Times New Roman" w:hAnsi="Times New Roman" w:cs="Times New Roman"/>
          <w:sz w:val="24"/>
          <w:szCs w:val="24"/>
        </w:rPr>
        <w:t xml:space="preserve"> To oznacza za ostatnie lata wzrastają </w:t>
      </w:r>
      <w:r w:rsidR="0002568B" w:rsidRPr="007428D3">
        <w:rPr>
          <w:rFonts w:ascii="Times New Roman" w:hAnsi="Times New Roman" w:cs="Times New Roman"/>
          <w:sz w:val="24"/>
          <w:szCs w:val="24"/>
        </w:rPr>
        <w:t>bezpośrednie inwestycje zagraniczne</w:t>
      </w:r>
      <w:r w:rsidRPr="007428D3">
        <w:rPr>
          <w:rFonts w:ascii="Times New Roman" w:hAnsi="Times New Roman" w:cs="Times New Roman"/>
          <w:sz w:val="24"/>
          <w:szCs w:val="24"/>
        </w:rPr>
        <w:t xml:space="preserve"> do państw </w:t>
      </w:r>
      <w:r w:rsidR="0002568B" w:rsidRPr="007428D3">
        <w:rPr>
          <w:rFonts w:ascii="Times New Roman" w:hAnsi="Times New Roman" w:cs="Times New Roman"/>
          <w:sz w:val="24"/>
          <w:szCs w:val="24"/>
        </w:rPr>
        <w:t>wysoko opodatkowanych</w:t>
      </w:r>
      <w:r w:rsidRPr="007428D3">
        <w:rPr>
          <w:rFonts w:ascii="Times New Roman" w:hAnsi="Times New Roman" w:cs="Times New Roman"/>
          <w:sz w:val="24"/>
          <w:szCs w:val="24"/>
        </w:rPr>
        <w:t xml:space="preserve"> w porównaniu do Cypru i tego typu państw</w:t>
      </w:r>
      <w:r w:rsidR="000B4144" w:rsidRPr="007428D3">
        <w:rPr>
          <w:rFonts w:ascii="Times New Roman" w:hAnsi="Times New Roman" w:cs="Times New Roman"/>
          <w:sz w:val="24"/>
          <w:szCs w:val="24"/>
        </w:rPr>
        <w:t xml:space="preserve"> jak Cypr</w:t>
      </w:r>
      <w:r w:rsidRPr="007428D3">
        <w:rPr>
          <w:rFonts w:ascii="Times New Roman" w:hAnsi="Times New Roman" w:cs="Times New Roman"/>
          <w:sz w:val="24"/>
          <w:szCs w:val="24"/>
        </w:rPr>
        <w:t>.</w:t>
      </w:r>
      <w:r w:rsidR="0002568B" w:rsidRPr="007428D3">
        <w:rPr>
          <w:rFonts w:ascii="Times New Roman" w:hAnsi="Times New Roman" w:cs="Times New Roman"/>
          <w:sz w:val="24"/>
          <w:szCs w:val="24"/>
        </w:rPr>
        <w:t xml:space="preserve"> Na stronie </w:t>
      </w:r>
      <w:r w:rsidRPr="007428D3">
        <w:rPr>
          <w:rFonts w:ascii="Times New Roman" w:hAnsi="Times New Roman" w:cs="Times New Roman"/>
          <w:sz w:val="24"/>
          <w:szCs w:val="24"/>
        </w:rPr>
        <w:t>24</w:t>
      </w:r>
      <w:r w:rsidR="0002568B" w:rsidRPr="007428D3">
        <w:rPr>
          <w:rFonts w:ascii="Times New Roman" w:hAnsi="Times New Roman" w:cs="Times New Roman"/>
          <w:sz w:val="24"/>
          <w:szCs w:val="24"/>
        </w:rPr>
        <w:t xml:space="preserve"> Raport NBP jasno wskazuje, </w:t>
      </w:r>
      <w:r w:rsidRPr="007428D3">
        <w:rPr>
          <w:rFonts w:ascii="Times New Roman" w:hAnsi="Times New Roman" w:cs="Times New Roman"/>
          <w:sz w:val="24"/>
          <w:szCs w:val="24"/>
        </w:rPr>
        <w:t>że Cypr jest daleko za Niemcami, Francją, czy też Wielką Brytanią</w:t>
      </w:r>
      <w:r w:rsidR="0002568B" w:rsidRPr="007428D3">
        <w:rPr>
          <w:rFonts w:ascii="Times New Roman" w:hAnsi="Times New Roman" w:cs="Times New Roman"/>
          <w:sz w:val="24"/>
          <w:szCs w:val="24"/>
        </w:rPr>
        <w:t>, jeśli chodzi o napływ bezpośrednich inwestycji zagranicznych z Polski mierzonych wo</w:t>
      </w:r>
      <w:r w:rsidR="000B4144" w:rsidRPr="007428D3">
        <w:rPr>
          <w:rFonts w:ascii="Times New Roman" w:hAnsi="Times New Roman" w:cs="Times New Roman"/>
          <w:sz w:val="24"/>
          <w:szCs w:val="24"/>
        </w:rPr>
        <w:t xml:space="preserve">lumenem zainwestowanego kapitału. NBP podkreśla, że </w:t>
      </w:r>
      <w:r w:rsidR="0002568B" w:rsidRPr="007428D3">
        <w:rPr>
          <w:rFonts w:ascii="Times New Roman" w:hAnsi="Times New Roman" w:cs="Times New Roman"/>
          <w:sz w:val="24"/>
          <w:szCs w:val="24"/>
        </w:rPr>
        <w:t xml:space="preserve">trend </w:t>
      </w:r>
      <w:r w:rsidRPr="007428D3">
        <w:rPr>
          <w:rFonts w:ascii="Times New Roman" w:hAnsi="Times New Roman" w:cs="Times New Roman"/>
          <w:sz w:val="24"/>
          <w:szCs w:val="24"/>
        </w:rPr>
        <w:t xml:space="preserve">spadku </w:t>
      </w:r>
      <w:r w:rsidR="0002568B" w:rsidRPr="007428D3">
        <w:rPr>
          <w:rFonts w:ascii="Times New Roman" w:hAnsi="Times New Roman" w:cs="Times New Roman"/>
          <w:sz w:val="24"/>
          <w:szCs w:val="24"/>
        </w:rPr>
        <w:t xml:space="preserve">bezpośrednich inwestycji zagranicznych </w:t>
      </w:r>
      <w:r w:rsidRPr="007428D3">
        <w:rPr>
          <w:rFonts w:ascii="Times New Roman" w:hAnsi="Times New Roman" w:cs="Times New Roman"/>
          <w:sz w:val="24"/>
          <w:szCs w:val="24"/>
        </w:rPr>
        <w:t xml:space="preserve">na Cypr z roku na rok jest coraz większy. </w:t>
      </w:r>
      <w:r w:rsidR="0002568B" w:rsidRPr="007428D3">
        <w:rPr>
          <w:rFonts w:ascii="Times New Roman" w:hAnsi="Times New Roman" w:cs="Times New Roman"/>
          <w:sz w:val="24"/>
          <w:szCs w:val="24"/>
        </w:rPr>
        <w:t>Wreszcie na stronie 29, NBP stwierdza, że „</w:t>
      </w:r>
      <w:r w:rsidRPr="007428D3">
        <w:rPr>
          <w:rFonts w:ascii="Times New Roman" w:hAnsi="Times New Roman" w:cs="Times New Roman"/>
          <w:sz w:val="24"/>
          <w:szCs w:val="24"/>
        </w:rPr>
        <w:t>Cypr był natomiast krajem, z którego polscy inwestorzy</w:t>
      </w:r>
      <w:r w:rsidR="0002568B" w:rsidRPr="007428D3">
        <w:rPr>
          <w:rFonts w:ascii="Times New Roman" w:hAnsi="Times New Roman" w:cs="Times New Roman"/>
          <w:sz w:val="24"/>
          <w:szCs w:val="24"/>
        </w:rPr>
        <w:t xml:space="preserve"> wycofywali najwięcej kapitału.” </w:t>
      </w:r>
    </w:p>
    <w:p w:rsidR="0098157E" w:rsidRPr="007428D3" w:rsidRDefault="0002568B" w:rsidP="007428D3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>Korelacja między wyżej wspomnianymi zmianami prawa podatkowego w Polsce i dynamicznym spadkiem zainwestowanego kapitału na Cyprze jest ewidentna.</w:t>
      </w:r>
    </w:p>
    <w:p w:rsidR="00145B46" w:rsidRPr="007428D3" w:rsidRDefault="0002568B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ab/>
        <w:t xml:space="preserve">Ponadto, z naukowego opracowania przygotowanego </w:t>
      </w:r>
      <w:r w:rsidR="00A82F9B" w:rsidRPr="007428D3">
        <w:rPr>
          <w:rFonts w:ascii="Times New Roman" w:hAnsi="Times New Roman" w:cs="Times New Roman"/>
          <w:sz w:val="24"/>
          <w:szCs w:val="24"/>
        </w:rPr>
        <w:t xml:space="preserve">wspólnie </w:t>
      </w:r>
      <w:r w:rsidRPr="007428D3">
        <w:rPr>
          <w:rFonts w:ascii="Times New Roman" w:hAnsi="Times New Roman" w:cs="Times New Roman"/>
          <w:sz w:val="24"/>
          <w:szCs w:val="24"/>
        </w:rPr>
        <w:t xml:space="preserve">przez </w:t>
      </w:r>
      <w:r w:rsidR="000B4144" w:rsidRPr="007428D3">
        <w:rPr>
          <w:rFonts w:ascii="Times New Roman" w:hAnsi="Times New Roman" w:cs="Times New Roman"/>
          <w:sz w:val="24"/>
          <w:szCs w:val="24"/>
        </w:rPr>
        <w:t>wiodące</w:t>
      </w:r>
      <w:r w:rsidR="00ED070D" w:rsidRPr="007428D3">
        <w:rPr>
          <w:rFonts w:ascii="Times New Roman" w:hAnsi="Times New Roman" w:cs="Times New Roman"/>
          <w:sz w:val="24"/>
          <w:szCs w:val="24"/>
        </w:rPr>
        <w:t xml:space="preserve"> na świecie</w:t>
      </w:r>
      <w:r w:rsidR="000B4144" w:rsidRPr="007428D3">
        <w:rPr>
          <w:rFonts w:ascii="Times New Roman" w:hAnsi="Times New Roman" w:cs="Times New Roman"/>
          <w:sz w:val="24"/>
          <w:szCs w:val="24"/>
        </w:rPr>
        <w:t xml:space="preserve"> w zakresie ekonomii </w:t>
      </w:r>
      <w:r w:rsidRPr="007428D3">
        <w:rPr>
          <w:rFonts w:ascii="Times New Roman" w:hAnsi="Times New Roman" w:cs="Times New Roman"/>
          <w:sz w:val="24"/>
          <w:szCs w:val="24"/>
        </w:rPr>
        <w:t>uczelnie amerykańskie i duńskie</w:t>
      </w:r>
      <w:r w:rsidR="00A82F9B" w:rsidRPr="007428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7428D3">
        <w:rPr>
          <w:rFonts w:ascii="Times New Roman" w:hAnsi="Times New Roman" w:cs="Times New Roman"/>
          <w:sz w:val="24"/>
          <w:szCs w:val="24"/>
        </w:rPr>
        <w:t xml:space="preserve"> wynika, że spośród państw OECD, Polska plasuje się na bardzo wysokim miejscu, jeśli chodzi o efektywność poboru CIT mierzoną odsetkiem utraty dochodów w CIT – w 2015 r. tak</w:t>
      </w:r>
      <w:r w:rsidR="00A82F9B" w:rsidRPr="007428D3">
        <w:rPr>
          <w:rFonts w:ascii="Times New Roman" w:hAnsi="Times New Roman" w:cs="Times New Roman"/>
          <w:sz w:val="24"/>
          <w:szCs w:val="24"/>
        </w:rPr>
        <w:t xml:space="preserve">i odsetek wynosił tylko 8%, co sprawia, że Polska nie później niż 4 lata temu miała skuteczność poboru CIT lepszą niż </w:t>
      </w:r>
      <w:r w:rsidR="006145D8" w:rsidRPr="007428D3">
        <w:rPr>
          <w:rFonts w:ascii="Times New Roman" w:hAnsi="Times New Roman" w:cs="Times New Roman"/>
          <w:sz w:val="24"/>
          <w:szCs w:val="24"/>
        </w:rPr>
        <w:t>niektóre</w:t>
      </w:r>
      <w:r w:rsidR="00A82F9B" w:rsidRPr="007428D3">
        <w:rPr>
          <w:rFonts w:ascii="Times New Roman" w:hAnsi="Times New Roman" w:cs="Times New Roman"/>
          <w:sz w:val="24"/>
          <w:szCs w:val="24"/>
        </w:rPr>
        <w:t xml:space="preserve"> państwa Skandynawskie, charakteryzujące się bardzo efektywnym systemem podatkowym. Taki rezultat efektywności poboru CIT w globalnym zestawieniu jeszcze przed wprowadzeniem wyżej wskazanych zmian uszczelniających CIT nie pozwala poważnie traktować stwierdzenia, że Polska nie posiada obecnie efektywnego systemu prawa podatkowego w zakresie uszczelnienia CIT, prowadzącego do nieakceptowalnej luki w CIT. </w:t>
      </w:r>
    </w:p>
    <w:p w:rsidR="006145D8" w:rsidRPr="007428D3" w:rsidRDefault="006145D8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ab/>
        <w:t>Należy również pamiętać, że luka w CIT, załóżmy, że obliczona rzetelnie a nie tendencyjnie pod udowodnienie tezy, nie musi w żadnym wypad</w:t>
      </w:r>
      <w:r w:rsidR="00ED070D" w:rsidRPr="007428D3">
        <w:rPr>
          <w:rFonts w:ascii="Times New Roman" w:hAnsi="Times New Roman" w:cs="Times New Roman"/>
          <w:sz w:val="24"/>
          <w:szCs w:val="24"/>
        </w:rPr>
        <w:t>k</w:t>
      </w:r>
      <w:r w:rsidRPr="007428D3">
        <w:rPr>
          <w:rFonts w:ascii="Times New Roman" w:hAnsi="Times New Roman" w:cs="Times New Roman"/>
          <w:sz w:val="24"/>
          <w:szCs w:val="24"/>
        </w:rPr>
        <w:t>u być syndromem dysfunkcyjności systemu podatkowego. Są bowiem jurysdykcje</w:t>
      </w:r>
      <w:r w:rsidR="005F1E6E" w:rsidRPr="007428D3">
        <w:rPr>
          <w:rFonts w:ascii="Times New Roman" w:hAnsi="Times New Roman" w:cs="Times New Roman"/>
          <w:sz w:val="24"/>
          <w:szCs w:val="24"/>
        </w:rPr>
        <w:t xml:space="preserve"> niebędące rajami podatkowymi</w:t>
      </w:r>
      <w:r w:rsidRPr="007428D3">
        <w:rPr>
          <w:rFonts w:ascii="Times New Roman" w:hAnsi="Times New Roman" w:cs="Times New Roman"/>
          <w:sz w:val="24"/>
          <w:szCs w:val="24"/>
        </w:rPr>
        <w:t xml:space="preserve">, których systemy podatkowe oparte o wielorakość zwolnień i ulg w CIT </w:t>
      </w:r>
      <w:r w:rsidRPr="007428D3">
        <w:rPr>
          <w:rFonts w:ascii="Times New Roman" w:hAnsi="Times New Roman" w:cs="Times New Roman"/>
          <w:sz w:val="24"/>
          <w:szCs w:val="24"/>
        </w:rPr>
        <w:lastRenderedPageBreak/>
        <w:t>prowadzą do de facto zamierzonej, niskiej skuteczności poboru w CIT, dzięki czemu jurysdykcje te czynią swoje gospodarki najbardziej atrakcyjnymi i konkurencyjnymi na świecie</w:t>
      </w:r>
      <w:r w:rsidR="005F1E6E" w:rsidRPr="007428D3">
        <w:rPr>
          <w:rFonts w:ascii="Times New Roman" w:hAnsi="Times New Roman" w:cs="Times New Roman"/>
          <w:sz w:val="24"/>
          <w:szCs w:val="24"/>
        </w:rPr>
        <w:t xml:space="preserve"> dla największych inwestorów, zwłaszcza w zakresie nowych technologii oraz usług o największej wartości dodanej</w:t>
      </w:r>
      <w:r w:rsidRPr="007428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7428D3">
        <w:rPr>
          <w:rFonts w:ascii="Times New Roman" w:hAnsi="Times New Roman" w:cs="Times New Roman"/>
          <w:sz w:val="24"/>
          <w:szCs w:val="24"/>
        </w:rPr>
        <w:t>.</w:t>
      </w:r>
      <w:r w:rsidR="005F1E6E" w:rsidRPr="007428D3">
        <w:rPr>
          <w:rFonts w:ascii="Times New Roman" w:hAnsi="Times New Roman" w:cs="Times New Roman"/>
          <w:sz w:val="24"/>
          <w:szCs w:val="24"/>
        </w:rPr>
        <w:t xml:space="preserve"> Raport SGH niestety całkowicie pomija rolę świadomej polityki fiskalnej, która można prowadzić do luki w CIT dla dobra rozwoju gospodarki oraz społeczeństwa, niejako bezrefleksyjnie zniechęcając Ministerstwo Finansów w podejmowaniu jakichkolwiek inteligentnych działań w zakresie zwolnień i ulg podatkowych w CIT dla dobra Polski.</w:t>
      </w:r>
    </w:p>
    <w:p w:rsidR="00471FBF" w:rsidRPr="007428D3" w:rsidRDefault="00471FBF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71FBF" w:rsidRPr="007428D3" w:rsidRDefault="00471FBF" w:rsidP="007428D3">
      <w:pPr>
        <w:pStyle w:val="Akapitzlist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428D3">
        <w:rPr>
          <w:rFonts w:ascii="Times New Roman" w:hAnsi="Times New Roman" w:cs="Times New Roman"/>
          <w:b/>
          <w:sz w:val="24"/>
          <w:szCs w:val="24"/>
        </w:rPr>
        <w:t>Konkluzja</w:t>
      </w:r>
    </w:p>
    <w:p w:rsidR="006C06E0" w:rsidRPr="007428D3" w:rsidRDefault="009D4918" w:rsidP="007428D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28D3">
        <w:rPr>
          <w:rFonts w:ascii="Times New Roman" w:hAnsi="Times New Roman" w:cs="Times New Roman"/>
          <w:sz w:val="24"/>
          <w:szCs w:val="24"/>
        </w:rPr>
        <w:t xml:space="preserve">Reasumując Raport </w:t>
      </w:r>
      <w:r w:rsidR="009E1446" w:rsidRPr="007428D3">
        <w:rPr>
          <w:rFonts w:ascii="Times New Roman" w:hAnsi="Times New Roman" w:cs="Times New Roman"/>
          <w:b/>
          <w:sz w:val="24"/>
          <w:szCs w:val="24"/>
        </w:rPr>
        <w:t>SGH pt. „Struktura wpływów podatkowych z CIT w Polsce w latach 2016-2018 w kontekście uszczelnienia systemu podatkowego”</w:t>
      </w:r>
      <w:r w:rsidR="000E3579" w:rsidRPr="0074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F9B" w:rsidRPr="007428D3">
        <w:rPr>
          <w:rFonts w:ascii="Times New Roman" w:hAnsi="Times New Roman" w:cs="Times New Roman"/>
          <w:sz w:val="24"/>
          <w:szCs w:val="24"/>
        </w:rPr>
        <w:t xml:space="preserve">wydaje się stanowić </w:t>
      </w:r>
      <w:r w:rsidR="001446AE" w:rsidRPr="007428D3">
        <w:rPr>
          <w:rFonts w:ascii="Times New Roman" w:hAnsi="Times New Roman" w:cs="Times New Roman"/>
          <w:sz w:val="24"/>
          <w:szCs w:val="24"/>
        </w:rPr>
        <w:t>niekoherentne</w:t>
      </w:r>
      <w:r w:rsidR="006145D8" w:rsidRPr="007428D3">
        <w:rPr>
          <w:rFonts w:ascii="Times New Roman" w:hAnsi="Times New Roman" w:cs="Times New Roman"/>
          <w:sz w:val="24"/>
          <w:szCs w:val="24"/>
        </w:rPr>
        <w:t xml:space="preserve"> wykorzystanie </w:t>
      </w:r>
      <w:r w:rsidRPr="007428D3">
        <w:rPr>
          <w:rFonts w:ascii="Times New Roman" w:hAnsi="Times New Roman" w:cs="Times New Roman"/>
          <w:sz w:val="24"/>
          <w:szCs w:val="24"/>
        </w:rPr>
        <w:t>danych prezentowanych przez instytucje takie jak MF, GUS i</w:t>
      </w:r>
      <w:r w:rsidR="0043258A" w:rsidRPr="007428D3">
        <w:rPr>
          <w:rFonts w:ascii="Times New Roman" w:hAnsi="Times New Roman" w:cs="Times New Roman"/>
          <w:sz w:val="24"/>
          <w:szCs w:val="24"/>
        </w:rPr>
        <w:t> </w:t>
      </w:r>
      <w:r w:rsidRPr="007428D3">
        <w:rPr>
          <w:rFonts w:ascii="Times New Roman" w:hAnsi="Times New Roman" w:cs="Times New Roman"/>
          <w:sz w:val="24"/>
          <w:szCs w:val="24"/>
        </w:rPr>
        <w:t>OECD</w:t>
      </w:r>
      <w:r w:rsidR="006145D8" w:rsidRPr="007428D3">
        <w:rPr>
          <w:rFonts w:ascii="Times New Roman" w:hAnsi="Times New Roman" w:cs="Times New Roman"/>
          <w:sz w:val="24"/>
          <w:szCs w:val="24"/>
        </w:rPr>
        <w:t xml:space="preserve"> dla „udowodnienia” odgórnie ustalonej tezy</w:t>
      </w:r>
      <w:r w:rsidRPr="007428D3">
        <w:rPr>
          <w:rFonts w:ascii="Times New Roman" w:hAnsi="Times New Roman" w:cs="Times New Roman"/>
          <w:sz w:val="24"/>
          <w:szCs w:val="24"/>
        </w:rPr>
        <w:t>. Brak natomiast analiz naukowych, które stanowiłyby potwierdzenie stawi</w:t>
      </w:r>
      <w:r w:rsidR="009E1446" w:rsidRPr="007428D3">
        <w:rPr>
          <w:rFonts w:ascii="Times New Roman" w:hAnsi="Times New Roman" w:cs="Times New Roman"/>
          <w:sz w:val="24"/>
          <w:szCs w:val="24"/>
        </w:rPr>
        <w:t>a</w:t>
      </w:r>
      <w:r w:rsidRPr="007428D3">
        <w:rPr>
          <w:rFonts w:ascii="Times New Roman" w:hAnsi="Times New Roman" w:cs="Times New Roman"/>
          <w:sz w:val="24"/>
          <w:szCs w:val="24"/>
        </w:rPr>
        <w:t>nych</w:t>
      </w:r>
      <w:r w:rsidR="009E1446" w:rsidRPr="007428D3">
        <w:rPr>
          <w:rFonts w:ascii="Times New Roman" w:hAnsi="Times New Roman" w:cs="Times New Roman"/>
          <w:sz w:val="24"/>
          <w:szCs w:val="24"/>
        </w:rPr>
        <w:t xml:space="preserve"> w Raporcie </w:t>
      </w:r>
      <w:r w:rsidR="006145D8" w:rsidRPr="007428D3">
        <w:rPr>
          <w:rFonts w:ascii="Times New Roman" w:hAnsi="Times New Roman" w:cs="Times New Roman"/>
          <w:sz w:val="24"/>
          <w:szCs w:val="24"/>
        </w:rPr>
        <w:t xml:space="preserve">tez, sprawia, że Raport SGH można co najwyżej potraktować anegdotycznie. </w:t>
      </w:r>
      <w:r w:rsidR="006C06E0" w:rsidRPr="007428D3">
        <w:rPr>
          <w:rFonts w:ascii="Times New Roman" w:hAnsi="Times New Roman" w:cs="Times New Roman"/>
          <w:sz w:val="24"/>
          <w:szCs w:val="24"/>
        </w:rPr>
        <w:t>W związku z tym faktem, jak i ewidentnymi błęd</w:t>
      </w:r>
      <w:r w:rsidR="004C5917" w:rsidRPr="007428D3">
        <w:rPr>
          <w:rFonts w:ascii="Times New Roman" w:hAnsi="Times New Roman" w:cs="Times New Roman"/>
          <w:sz w:val="24"/>
          <w:szCs w:val="24"/>
        </w:rPr>
        <w:t>a</w:t>
      </w:r>
      <w:r w:rsidR="006C06E0" w:rsidRPr="007428D3">
        <w:rPr>
          <w:rFonts w:ascii="Times New Roman" w:hAnsi="Times New Roman" w:cs="Times New Roman"/>
          <w:sz w:val="24"/>
          <w:szCs w:val="24"/>
        </w:rPr>
        <w:t>m</w:t>
      </w:r>
      <w:r w:rsidR="004C5917" w:rsidRPr="007428D3">
        <w:rPr>
          <w:rFonts w:ascii="Times New Roman" w:hAnsi="Times New Roman" w:cs="Times New Roman"/>
          <w:sz w:val="24"/>
          <w:szCs w:val="24"/>
        </w:rPr>
        <w:t>i</w:t>
      </w:r>
      <w:r w:rsidR="006C06E0" w:rsidRPr="007428D3">
        <w:rPr>
          <w:rFonts w:ascii="Times New Roman" w:hAnsi="Times New Roman" w:cs="Times New Roman"/>
          <w:sz w:val="24"/>
          <w:szCs w:val="24"/>
        </w:rPr>
        <w:t xml:space="preserve"> Raportu wykazanymi w tym opracowaniu</w:t>
      </w:r>
      <w:r w:rsidR="004C5917" w:rsidRPr="007428D3">
        <w:rPr>
          <w:rFonts w:ascii="Times New Roman" w:hAnsi="Times New Roman" w:cs="Times New Roman"/>
          <w:sz w:val="24"/>
          <w:szCs w:val="24"/>
        </w:rPr>
        <w:t>,</w:t>
      </w:r>
      <w:r w:rsidR="006C06E0" w:rsidRPr="007428D3">
        <w:rPr>
          <w:rFonts w:ascii="Times New Roman" w:hAnsi="Times New Roman" w:cs="Times New Roman"/>
          <w:sz w:val="24"/>
          <w:szCs w:val="24"/>
        </w:rPr>
        <w:t xml:space="preserve"> trudno jest wykorzystać zawarte w nim tezy </w:t>
      </w:r>
      <w:r w:rsidR="006145D8" w:rsidRPr="007428D3">
        <w:rPr>
          <w:rFonts w:ascii="Times New Roman" w:hAnsi="Times New Roman" w:cs="Times New Roman"/>
          <w:sz w:val="24"/>
          <w:szCs w:val="24"/>
        </w:rPr>
        <w:t>jakie podstawy do</w:t>
      </w:r>
      <w:r w:rsidR="006C06E0" w:rsidRPr="007428D3">
        <w:rPr>
          <w:rFonts w:ascii="Times New Roman" w:hAnsi="Times New Roman" w:cs="Times New Roman"/>
          <w:sz w:val="24"/>
          <w:szCs w:val="24"/>
        </w:rPr>
        <w:t xml:space="preserve"> dalszych wysiłków Ministerstwa Finansów w pracach nad uszczelnianiem systemu podatków dochodowych w</w:t>
      </w:r>
      <w:r w:rsidR="0043258A" w:rsidRPr="007428D3">
        <w:rPr>
          <w:rFonts w:ascii="Times New Roman" w:hAnsi="Times New Roman" w:cs="Times New Roman"/>
          <w:sz w:val="24"/>
          <w:szCs w:val="24"/>
        </w:rPr>
        <w:t> </w:t>
      </w:r>
      <w:r w:rsidR="006145D8" w:rsidRPr="007428D3">
        <w:rPr>
          <w:rFonts w:ascii="Times New Roman" w:hAnsi="Times New Roman" w:cs="Times New Roman"/>
          <w:sz w:val="24"/>
          <w:szCs w:val="24"/>
        </w:rPr>
        <w:t xml:space="preserve">Polsce oraz traktować jako wiarygodne źródło informacji na przedmiotowy temat. </w:t>
      </w:r>
      <w:bookmarkEnd w:id="0"/>
    </w:p>
    <w:sectPr w:rsidR="006C06E0" w:rsidRPr="007428D3" w:rsidSect="00F24E87">
      <w:footerReference w:type="default" r:id="rId10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B0F" w:rsidRDefault="00B10B0F" w:rsidP="006C417D">
      <w:r>
        <w:separator/>
      </w:r>
    </w:p>
  </w:endnote>
  <w:endnote w:type="continuationSeparator" w:id="0">
    <w:p w:rsidR="00B10B0F" w:rsidRDefault="00B10B0F" w:rsidP="006C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721093"/>
      <w:docPartObj>
        <w:docPartGallery w:val="Page Numbers (Bottom of Page)"/>
        <w:docPartUnique/>
      </w:docPartObj>
    </w:sdtPr>
    <w:sdtEndPr/>
    <w:sdtContent>
      <w:p w:rsidR="00125982" w:rsidRDefault="001259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8D3">
          <w:rPr>
            <w:noProof/>
          </w:rPr>
          <w:t>2</w:t>
        </w:r>
        <w:r>
          <w:fldChar w:fldCharType="end"/>
        </w:r>
      </w:p>
    </w:sdtContent>
  </w:sdt>
  <w:p w:rsidR="00125982" w:rsidRDefault="001259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B0F" w:rsidRDefault="00B10B0F" w:rsidP="006C417D">
      <w:r>
        <w:separator/>
      </w:r>
    </w:p>
  </w:footnote>
  <w:footnote w:type="continuationSeparator" w:id="0">
    <w:p w:rsidR="00B10B0F" w:rsidRDefault="00B10B0F" w:rsidP="006C417D">
      <w:r>
        <w:continuationSeparator/>
      </w:r>
    </w:p>
  </w:footnote>
  <w:footnote w:id="1">
    <w:p w:rsidR="00DE58BE" w:rsidRPr="00A82F9B" w:rsidRDefault="00DE58BE" w:rsidP="00DE58BE">
      <w:pPr>
        <w:ind w:left="142"/>
        <w:rPr>
          <w:rFonts w:ascii="Times New Roman" w:hAnsi="Times New Roman" w:cs="Times New Roman"/>
          <w:sz w:val="20"/>
          <w:szCs w:val="20"/>
        </w:rPr>
      </w:pPr>
      <w:r w:rsidRPr="00A82F9B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82F9B">
        <w:rPr>
          <w:rFonts w:ascii="Times New Roman" w:hAnsi="Times New Roman" w:cs="Times New Roman"/>
          <w:sz w:val="20"/>
          <w:szCs w:val="20"/>
        </w:rPr>
        <w:t xml:space="preserve"> </w:t>
      </w:r>
      <w:r w:rsidRPr="00A82F9B">
        <w:rPr>
          <w:rStyle w:val="Hipercze"/>
          <w:rFonts w:ascii="Times New Roman" w:hAnsi="Times New Roman" w:cs="Times New Roman"/>
          <w:sz w:val="20"/>
          <w:szCs w:val="20"/>
        </w:rPr>
        <w:t>https://www.fmleasing.pl/aktualnosci/leasing-na-polrocze-2019-po-raz-pierwszy-od-10-lat-na-minusie</w:t>
      </w:r>
      <w:r w:rsidR="000E297E" w:rsidRPr="00A82F9B">
        <w:rPr>
          <w:rStyle w:val="Hipercze"/>
          <w:rFonts w:ascii="Times New Roman" w:hAnsi="Times New Roman" w:cs="Times New Roman"/>
          <w:sz w:val="20"/>
          <w:szCs w:val="20"/>
        </w:rPr>
        <w:t>.</w:t>
      </w:r>
    </w:p>
    <w:p w:rsidR="00DE58BE" w:rsidRPr="00A82F9B" w:rsidRDefault="00B10B0F" w:rsidP="00DE58BE">
      <w:pPr>
        <w:ind w:left="142"/>
        <w:rPr>
          <w:rFonts w:ascii="Times New Roman" w:hAnsi="Times New Roman" w:cs="Times New Roman"/>
          <w:sz w:val="20"/>
          <w:szCs w:val="20"/>
        </w:rPr>
      </w:pPr>
      <w:hyperlink r:id="rId1" w:history="1">
        <w:r w:rsidR="00DE58BE" w:rsidRPr="00A82F9B">
          <w:rPr>
            <w:rStyle w:val="Hipercze"/>
            <w:rFonts w:ascii="Times New Roman" w:hAnsi="Times New Roman" w:cs="Times New Roman"/>
            <w:sz w:val="20"/>
            <w:szCs w:val="20"/>
          </w:rPr>
          <w:t>http://www.egospodarka.pl/157894,Branza-leasingowa-w-I-pol-2019-r,1,39,1.html</w:t>
        </w:r>
      </w:hyperlink>
    </w:p>
    <w:p w:rsidR="00DE58BE" w:rsidRPr="00A82F9B" w:rsidRDefault="00B10B0F" w:rsidP="00DE58BE">
      <w:pPr>
        <w:ind w:left="142"/>
        <w:rPr>
          <w:rFonts w:ascii="Times New Roman" w:hAnsi="Times New Roman" w:cs="Times New Roman"/>
          <w:sz w:val="20"/>
          <w:szCs w:val="20"/>
        </w:rPr>
      </w:pPr>
      <w:hyperlink r:id="rId2" w:history="1">
        <w:r w:rsidR="00DE58BE" w:rsidRPr="00A82F9B">
          <w:rPr>
            <w:rStyle w:val="Hipercze"/>
            <w:rFonts w:ascii="Times New Roman" w:hAnsi="Times New Roman" w:cs="Times New Roman"/>
            <w:sz w:val="20"/>
            <w:szCs w:val="20"/>
          </w:rPr>
          <w:t>https://www.leason.pl/rynek-leasingu-po-i-polroczu-2019/</w:t>
        </w:r>
      </w:hyperlink>
      <w:r w:rsidR="000E297E" w:rsidRPr="00A82F9B">
        <w:rPr>
          <w:rStyle w:val="Hipercze"/>
          <w:rFonts w:ascii="Times New Roman" w:hAnsi="Times New Roman" w:cs="Times New Roman"/>
          <w:sz w:val="20"/>
          <w:szCs w:val="20"/>
        </w:rPr>
        <w:t>.</w:t>
      </w:r>
    </w:p>
    <w:p w:rsidR="00DE58BE" w:rsidRPr="00A82F9B" w:rsidRDefault="00B10B0F" w:rsidP="00DE58BE">
      <w:pPr>
        <w:ind w:left="142"/>
        <w:rPr>
          <w:rFonts w:ascii="Times New Roman" w:hAnsi="Times New Roman" w:cs="Times New Roman"/>
          <w:sz w:val="20"/>
          <w:szCs w:val="20"/>
        </w:rPr>
      </w:pPr>
      <w:hyperlink r:id="rId3" w:history="1">
        <w:r w:rsidR="00DE58BE" w:rsidRPr="00A82F9B">
          <w:rPr>
            <w:rStyle w:val="Hipercze"/>
            <w:rFonts w:ascii="Times New Roman" w:hAnsi="Times New Roman" w:cs="Times New Roman"/>
            <w:sz w:val="20"/>
            <w:szCs w:val="20"/>
          </w:rPr>
          <w:t>https://www.sgbleasing.pl/perly-polskiego-leasingu-2019-sgb-leasing-z-wyroznieniem/</w:t>
        </w:r>
      </w:hyperlink>
      <w:r w:rsidR="000E297E" w:rsidRPr="00A82F9B">
        <w:rPr>
          <w:rStyle w:val="Hipercze"/>
          <w:rFonts w:ascii="Times New Roman" w:hAnsi="Times New Roman" w:cs="Times New Roman"/>
          <w:sz w:val="20"/>
          <w:szCs w:val="20"/>
        </w:rPr>
        <w:t>.</w:t>
      </w:r>
    </w:p>
    <w:p w:rsidR="00DE58BE" w:rsidRPr="00A82F9B" w:rsidRDefault="00B10B0F" w:rsidP="00DE58BE">
      <w:pPr>
        <w:ind w:left="142"/>
        <w:rPr>
          <w:rFonts w:ascii="Times New Roman" w:hAnsi="Times New Roman" w:cs="Times New Roman"/>
          <w:sz w:val="20"/>
          <w:szCs w:val="20"/>
        </w:rPr>
      </w:pPr>
      <w:hyperlink r:id="rId4" w:history="1">
        <w:r w:rsidR="00DE58BE" w:rsidRPr="00A82F9B">
          <w:rPr>
            <w:rStyle w:val="Hipercze"/>
            <w:rFonts w:ascii="Times New Roman" w:hAnsi="Times New Roman" w:cs="Times New Roman"/>
            <w:sz w:val="20"/>
            <w:szCs w:val="20"/>
          </w:rPr>
          <w:t>https://alebank.pl/poziom-rynku-leasingu-stabilny-za-10-lat-bedzie-przynosil-korzysci-podatkowe/</w:t>
        </w:r>
      </w:hyperlink>
      <w:r w:rsidR="000E297E" w:rsidRPr="00A82F9B">
        <w:rPr>
          <w:rStyle w:val="Hipercze"/>
          <w:rFonts w:ascii="Times New Roman" w:hAnsi="Times New Roman" w:cs="Times New Roman"/>
          <w:sz w:val="20"/>
          <w:szCs w:val="20"/>
        </w:rPr>
        <w:t>.</w:t>
      </w:r>
    </w:p>
    <w:p w:rsidR="00DE58BE" w:rsidRPr="00A82F9B" w:rsidRDefault="00DE58BE">
      <w:pPr>
        <w:pStyle w:val="Tekstprzypisudolnego"/>
        <w:rPr>
          <w:rFonts w:ascii="Times New Roman" w:hAnsi="Times New Roman" w:cs="Times New Roman"/>
        </w:rPr>
      </w:pPr>
    </w:p>
  </w:footnote>
  <w:footnote w:id="2">
    <w:p w:rsidR="003F2531" w:rsidRPr="000B4144" w:rsidRDefault="003F2531" w:rsidP="003F2531">
      <w:pPr>
        <w:pStyle w:val="Tekstprzypisudolnego"/>
        <w:jc w:val="both"/>
        <w:rPr>
          <w:rFonts w:ascii="Times New Roman" w:hAnsi="Times New Roman" w:cs="Times New Roman"/>
        </w:rPr>
      </w:pPr>
      <w:r w:rsidRPr="003F2531">
        <w:rPr>
          <w:rStyle w:val="Odwoanieprzypisudolnego"/>
          <w:rFonts w:ascii="Times New Roman" w:hAnsi="Times New Roman" w:cs="Times New Roman"/>
        </w:rPr>
        <w:footnoteRef/>
      </w:r>
      <w:r w:rsidRPr="003F2531">
        <w:rPr>
          <w:rFonts w:ascii="Times New Roman" w:hAnsi="Times New Roman" w:cs="Times New Roman"/>
        </w:rPr>
        <w:t xml:space="preserve">Zob. B. Kuźniacki, </w:t>
      </w:r>
      <w:r w:rsidRPr="003F2531">
        <w:rPr>
          <w:rFonts w:ascii="Times New Roman" w:hAnsi="Times New Roman" w:cs="Times New Roman"/>
          <w:i/>
        </w:rPr>
        <w:t>Opodatkowanie zagranicznych spółek kontrolowanych (CFC): Konieczność reformy</w:t>
      </w:r>
      <w:r w:rsidRPr="003F2531">
        <w:rPr>
          <w:rFonts w:ascii="Times New Roman" w:hAnsi="Times New Roman" w:cs="Times New Roman"/>
        </w:rPr>
        <w:t xml:space="preserve">, Warszawa: Wolters Kluwer, 2017, </w:t>
      </w:r>
      <w:r w:rsidR="00AC393F">
        <w:rPr>
          <w:rFonts w:ascii="Times New Roman" w:hAnsi="Times New Roman" w:cs="Times New Roman"/>
        </w:rPr>
        <w:t>podrozdział</w:t>
      </w:r>
      <w:r>
        <w:rPr>
          <w:rFonts w:ascii="Times New Roman" w:hAnsi="Times New Roman" w:cs="Times New Roman"/>
        </w:rPr>
        <w:t xml:space="preserve"> 2.3.2; B. </w:t>
      </w:r>
      <w:proofErr w:type="spellStart"/>
      <w:r>
        <w:rPr>
          <w:rFonts w:ascii="Times New Roman" w:hAnsi="Times New Roman" w:cs="Times New Roman"/>
        </w:rPr>
        <w:t>Kuźniacki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0B4144" w:rsidRPr="000B4144">
        <w:rPr>
          <w:rFonts w:ascii="Times New Roman" w:hAnsi="Times New Roman" w:cs="Times New Roman"/>
          <w:i/>
        </w:rPr>
        <w:t>Tax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</w:t>
      </w:r>
      <w:proofErr w:type="spellStart"/>
      <w:r w:rsidR="000B4144" w:rsidRPr="000B4144">
        <w:rPr>
          <w:rFonts w:ascii="Times New Roman" w:hAnsi="Times New Roman" w:cs="Times New Roman"/>
          <w:i/>
        </w:rPr>
        <w:t>Avoidance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</w:t>
      </w:r>
      <w:proofErr w:type="spellStart"/>
      <w:r w:rsidR="000B4144" w:rsidRPr="000B4144">
        <w:rPr>
          <w:rFonts w:ascii="Times New Roman" w:hAnsi="Times New Roman" w:cs="Times New Roman"/>
          <w:i/>
        </w:rPr>
        <w:t>through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</w:t>
      </w:r>
      <w:proofErr w:type="spellStart"/>
      <w:r w:rsidR="000B4144" w:rsidRPr="000B4144">
        <w:rPr>
          <w:rFonts w:ascii="Times New Roman" w:hAnsi="Times New Roman" w:cs="Times New Roman"/>
          <w:i/>
        </w:rPr>
        <w:t>Controlled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</w:t>
      </w:r>
      <w:proofErr w:type="spellStart"/>
      <w:r w:rsidR="000B4144" w:rsidRPr="000B4144">
        <w:rPr>
          <w:rFonts w:ascii="Times New Roman" w:hAnsi="Times New Roman" w:cs="Times New Roman"/>
          <w:i/>
        </w:rPr>
        <w:t>Foreign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</w:t>
      </w:r>
      <w:proofErr w:type="spellStart"/>
      <w:r w:rsidR="000B4144" w:rsidRPr="000B4144">
        <w:rPr>
          <w:rFonts w:ascii="Times New Roman" w:hAnsi="Times New Roman" w:cs="Times New Roman"/>
          <w:i/>
        </w:rPr>
        <w:t>Companies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</w:t>
      </w:r>
      <w:proofErr w:type="spellStart"/>
      <w:r w:rsidR="000B4144" w:rsidRPr="000B4144">
        <w:rPr>
          <w:rFonts w:ascii="Times New Roman" w:hAnsi="Times New Roman" w:cs="Times New Roman"/>
          <w:i/>
        </w:rPr>
        <w:t>under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</w:t>
      </w:r>
      <w:proofErr w:type="spellStart"/>
      <w:r w:rsidR="000B4144" w:rsidRPr="000B4144">
        <w:rPr>
          <w:rFonts w:ascii="Times New Roman" w:hAnsi="Times New Roman" w:cs="Times New Roman"/>
          <w:i/>
        </w:rPr>
        <w:t>European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Union Law with Specific Reference to Poland</w:t>
      </w:r>
      <w:r w:rsidR="000B4144">
        <w:rPr>
          <w:rFonts w:ascii="Times New Roman" w:hAnsi="Times New Roman" w:cs="Times New Roman"/>
        </w:rPr>
        <w:t>, [w:]</w:t>
      </w:r>
      <w:r w:rsidR="000B4144" w:rsidRPr="000B4144">
        <w:rPr>
          <w:rFonts w:ascii="Times New Roman" w:hAnsi="Times New Roman" w:cs="Times New Roman"/>
        </w:rPr>
        <w:t xml:space="preserve"> </w:t>
      </w:r>
      <w:r w:rsidR="000B4144" w:rsidRPr="000B4144">
        <w:rPr>
          <w:rFonts w:ascii="Times New Roman" w:hAnsi="Times New Roman" w:cs="Times New Roman"/>
          <w:i/>
        </w:rPr>
        <w:t xml:space="preserve">Accounting, Economics, and Law: A </w:t>
      </w:r>
      <w:proofErr w:type="spellStart"/>
      <w:r w:rsidR="000B4144" w:rsidRPr="000B4144">
        <w:rPr>
          <w:rFonts w:ascii="Times New Roman" w:hAnsi="Times New Roman" w:cs="Times New Roman"/>
          <w:i/>
        </w:rPr>
        <w:t>Convivium</w:t>
      </w:r>
      <w:proofErr w:type="spellEnd"/>
      <w:r w:rsidR="000B4144" w:rsidRPr="000B4144">
        <w:rPr>
          <w:rFonts w:ascii="Times New Roman" w:hAnsi="Times New Roman" w:cs="Times New Roman"/>
          <w:i/>
        </w:rPr>
        <w:t xml:space="preserve"> (AEL</w:t>
      </w:r>
      <w:r w:rsidR="000B4144">
        <w:rPr>
          <w:rFonts w:ascii="Times New Roman" w:hAnsi="Times New Roman" w:cs="Times New Roman"/>
          <w:i/>
        </w:rPr>
        <w:t>)</w:t>
      </w:r>
      <w:r w:rsidR="000B4144">
        <w:rPr>
          <w:rFonts w:ascii="Times New Roman" w:hAnsi="Times New Roman" w:cs="Times New Roman"/>
        </w:rPr>
        <w:t xml:space="preserve">, pod. red. </w:t>
      </w:r>
      <w:r w:rsidR="000B4144" w:rsidRPr="000B4144">
        <w:rPr>
          <w:rFonts w:ascii="Times New Roman" w:hAnsi="Times New Roman" w:cs="Times New Roman"/>
        </w:rPr>
        <w:t xml:space="preserve"> R. S. </w:t>
      </w:r>
      <w:proofErr w:type="spellStart"/>
      <w:r w:rsidR="000B4144" w:rsidRPr="000B4144">
        <w:rPr>
          <w:rFonts w:ascii="Times New Roman" w:hAnsi="Times New Roman" w:cs="Times New Roman"/>
        </w:rPr>
        <w:t>Avi</w:t>
      </w:r>
      <w:proofErr w:type="spellEnd"/>
      <w:r w:rsidR="000B4144" w:rsidRPr="000B4144">
        <w:rPr>
          <w:rFonts w:ascii="Times New Roman" w:hAnsi="Times New Roman" w:cs="Times New Roman"/>
        </w:rPr>
        <w:t>–</w:t>
      </w:r>
      <w:proofErr w:type="spellStart"/>
      <w:r w:rsidR="000B4144" w:rsidRPr="000B4144">
        <w:rPr>
          <w:rFonts w:ascii="Times New Roman" w:hAnsi="Times New Roman" w:cs="Times New Roman"/>
        </w:rPr>
        <w:t>Yonah</w:t>
      </w:r>
      <w:proofErr w:type="spellEnd"/>
      <w:r w:rsidR="000B4144" w:rsidRPr="000B4144">
        <w:rPr>
          <w:rFonts w:ascii="Times New Roman" w:hAnsi="Times New Roman" w:cs="Times New Roman"/>
        </w:rPr>
        <w:t xml:space="preserve">, Y. </w:t>
      </w:r>
      <w:proofErr w:type="spellStart"/>
      <w:r w:rsidR="000B4144" w:rsidRPr="000B4144">
        <w:rPr>
          <w:rFonts w:ascii="Times New Roman" w:hAnsi="Times New Roman" w:cs="Times New Roman"/>
        </w:rPr>
        <w:t>Biondi</w:t>
      </w:r>
      <w:proofErr w:type="spellEnd"/>
      <w:r w:rsidR="000B4144" w:rsidRPr="000B4144">
        <w:rPr>
          <w:rFonts w:ascii="Times New Roman" w:hAnsi="Times New Roman" w:cs="Times New Roman"/>
        </w:rPr>
        <w:t xml:space="preserve"> oraz S. </w:t>
      </w:r>
      <w:proofErr w:type="spellStart"/>
      <w:r w:rsidR="000B4144" w:rsidRPr="000B4144">
        <w:rPr>
          <w:rFonts w:ascii="Times New Roman" w:hAnsi="Times New Roman" w:cs="Times New Roman"/>
        </w:rPr>
        <w:t>Sunder</w:t>
      </w:r>
      <w:proofErr w:type="spellEnd"/>
      <w:r w:rsidR="000B4144" w:rsidRPr="000B4144">
        <w:rPr>
          <w:rFonts w:ascii="Times New Roman" w:hAnsi="Times New Roman" w:cs="Times New Roman"/>
        </w:rPr>
        <w:t xml:space="preserve">, </w:t>
      </w:r>
      <w:r w:rsidR="000B4144">
        <w:rPr>
          <w:rFonts w:ascii="Times New Roman" w:hAnsi="Times New Roman" w:cs="Times New Roman"/>
        </w:rPr>
        <w:t>podrozdział 3.4, (</w:t>
      </w:r>
      <w:r w:rsidR="000B4144" w:rsidRPr="000B4144">
        <w:rPr>
          <w:rFonts w:ascii="Times New Roman" w:hAnsi="Times New Roman" w:cs="Times New Roman"/>
        </w:rPr>
        <w:t>https://www.degruyter.com/view/j/ael.2017.7.issue-1/</w:t>
      </w:r>
      <w:r w:rsidR="000B4144">
        <w:rPr>
          <w:rFonts w:ascii="Times New Roman" w:hAnsi="Times New Roman" w:cs="Times New Roman"/>
        </w:rPr>
        <w:t>ael-2015-0018/ael-2015-0018.xml).</w:t>
      </w:r>
    </w:p>
  </w:footnote>
  <w:footnote w:id="3">
    <w:p w:rsidR="000B4144" w:rsidRPr="000B4144" w:rsidRDefault="000B4144">
      <w:pPr>
        <w:pStyle w:val="Tekstprzypisudolnego"/>
        <w:rPr>
          <w:rFonts w:ascii="Times New Roman" w:hAnsi="Times New Roman" w:cs="Times New Roman"/>
        </w:rPr>
      </w:pPr>
      <w:r w:rsidRPr="000B4144">
        <w:rPr>
          <w:rStyle w:val="Odwoanieprzypisudolnego"/>
          <w:rFonts w:ascii="Times New Roman" w:hAnsi="Times New Roman" w:cs="Times New Roman"/>
        </w:rPr>
        <w:footnoteRef/>
      </w:r>
      <w:r w:rsidRPr="000B4144">
        <w:rPr>
          <w:rFonts w:ascii="Times New Roman" w:hAnsi="Times New Roman" w:cs="Times New Roman"/>
        </w:rPr>
        <w:t xml:space="preserve"> Zob. opracowania wskazane w przypisie powyżej (nr 2).</w:t>
      </w:r>
    </w:p>
  </w:footnote>
  <w:footnote w:id="4">
    <w:p w:rsidR="00A82F9B" w:rsidRPr="006145D8" w:rsidRDefault="00A82F9B">
      <w:pPr>
        <w:pStyle w:val="Tekstprzypisudolnego"/>
        <w:rPr>
          <w:rFonts w:ascii="Times New Roman" w:hAnsi="Times New Roman" w:cs="Times New Roman"/>
          <w:lang w:val="en-GB"/>
        </w:rPr>
      </w:pPr>
      <w:r w:rsidRPr="00A82F9B">
        <w:rPr>
          <w:rStyle w:val="Odwoanieprzypisudolnego"/>
          <w:rFonts w:ascii="Times New Roman" w:hAnsi="Times New Roman" w:cs="Times New Roman"/>
        </w:rPr>
        <w:footnoteRef/>
      </w:r>
      <w:r w:rsidRPr="003F2531">
        <w:rPr>
          <w:rFonts w:ascii="Times New Roman" w:hAnsi="Times New Roman" w:cs="Times New Roman"/>
          <w:lang w:val="en-GB"/>
        </w:rPr>
        <w:t xml:space="preserve"> Zob. M. </w:t>
      </w:r>
      <w:proofErr w:type="spellStart"/>
      <w:r w:rsidRPr="003F2531">
        <w:rPr>
          <w:rFonts w:ascii="Times New Roman" w:hAnsi="Times New Roman" w:cs="Times New Roman"/>
          <w:lang w:val="en-GB"/>
        </w:rPr>
        <w:t>Zucman</w:t>
      </w:r>
      <w:proofErr w:type="spellEnd"/>
      <w:r w:rsidRPr="003F2531">
        <w:rPr>
          <w:rFonts w:ascii="Times New Roman" w:hAnsi="Times New Roman" w:cs="Times New Roman"/>
          <w:lang w:val="en-GB"/>
        </w:rPr>
        <w:t xml:space="preserve">, T. </w:t>
      </w:r>
      <w:proofErr w:type="spellStart"/>
      <w:r w:rsidRPr="003F2531">
        <w:rPr>
          <w:rFonts w:ascii="Times New Roman" w:hAnsi="Times New Roman" w:cs="Times New Roman"/>
          <w:lang w:val="en-GB"/>
        </w:rPr>
        <w:t>Tørsløv</w:t>
      </w:r>
      <w:proofErr w:type="spellEnd"/>
      <w:r w:rsidRPr="003F2531">
        <w:rPr>
          <w:rFonts w:ascii="Times New Roman" w:hAnsi="Times New Roman" w:cs="Times New Roman"/>
          <w:lang w:val="en-GB"/>
        </w:rPr>
        <w:t xml:space="preserve"> i L. </w:t>
      </w:r>
      <w:proofErr w:type="spellStart"/>
      <w:r w:rsidRPr="003F2531">
        <w:rPr>
          <w:rFonts w:ascii="Times New Roman" w:hAnsi="Times New Roman" w:cs="Times New Roman"/>
          <w:lang w:val="en-GB"/>
        </w:rPr>
        <w:t>Wier</w:t>
      </w:r>
      <w:proofErr w:type="spellEnd"/>
      <w:r w:rsidRPr="003F2531">
        <w:rPr>
          <w:rFonts w:ascii="Times New Roman" w:hAnsi="Times New Roman" w:cs="Times New Roman"/>
          <w:lang w:val="en-GB"/>
        </w:rPr>
        <w:t xml:space="preserve">, </w:t>
      </w:r>
      <w:r w:rsidRPr="003F2531">
        <w:rPr>
          <w:rFonts w:ascii="Times New Roman" w:hAnsi="Times New Roman" w:cs="Times New Roman"/>
          <w:i/>
          <w:lang w:val="en-GB"/>
        </w:rPr>
        <w:t>The Missing Profits of Nations</w:t>
      </w:r>
      <w:r w:rsidRPr="003F2531">
        <w:rPr>
          <w:rFonts w:ascii="Times New Roman" w:hAnsi="Times New Roman" w:cs="Times New Roman"/>
          <w:lang w:val="en-GB"/>
        </w:rPr>
        <w:t xml:space="preserve">, NBER working paper 24701, </w:t>
      </w:r>
      <w:proofErr w:type="spellStart"/>
      <w:r w:rsidRPr="003F2531">
        <w:rPr>
          <w:rFonts w:ascii="Times New Roman" w:hAnsi="Times New Roman" w:cs="Times New Roman"/>
          <w:lang w:val="en-GB"/>
        </w:rPr>
        <w:t>ostatnia</w:t>
      </w:r>
      <w:proofErr w:type="spellEnd"/>
      <w:r w:rsidRPr="003F253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145D8">
        <w:rPr>
          <w:rFonts w:ascii="Times New Roman" w:hAnsi="Times New Roman" w:cs="Times New Roman"/>
          <w:lang w:val="en-GB"/>
        </w:rPr>
        <w:t>wersja</w:t>
      </w:r>
      <w:proofErr w:type="spellEnd"/>
      <w:r w:rsidRPr="006145D8">
        <w:rPr>
          <w:rFonts w:ascii="Times New Roman" w:hAnsi="Times New Roman" w:cs="Times New Roman"/>
          <w:lang w:val="en-GB"/>
        </w:rPr>
        <w:t xml:space="preserve"> z </w:t>
      </w:r>
      <w:proofErr w:type="spellStart"/>
      <w:r w:rsidRPr="006145D8">
        <w:rPr>
          <w:rFonts w:ascii="Times New Roman" w:hAnsi="Times New Roman" w:cs="Times New Roman"/>
          <w:lang w:val="en-GB"/>
        </w:rPr>
        <w:t>września</w:t>
      </w:r>
      <w:proofErr w:type="spellEnd"/>
      <w:r w:rsidRPr="006145D8">
        <w:rPr>
          <w:rFonts w:ascii="Times New Roman" w:hAnsi="Times New Roman" w:cs="Times New Roman"/>
          <w:lang w:val="en-GB"/>
        </w:rPr>
        <w:t xml:space="preserve"> 2019, s. 46 (https://www.nber.org/papers/w24701).</w:t>
      </w:r>
    </w:p>
  </w:footnote>
  <w:footnote w:id="5">
    <w:p w:rsidR="006145D8" w:rsidRDefault="006145D8" w:rsidP="005F1E6E">
      <w:pPr>
        <w:pStyle w:val="Tekstprzypisudolnego"/>
        <w:jc w:val="both"/>
      </w:pPr>
      <w:r w:rsidRPr="006145D8">
        <w:rPr>
          <w:rStyle w:val="Odwoanieprzypisudolnego"/>
          <w:rFonts w:ascii="Times New Roman" w:hAnsi="Times New Roman" w:cs="Times New Roman"/>
        </w:rPr>
        <w:footnoteRef/>
      </w:r>
      <w:r w:rsidRPr="00614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Por. wypowiedź</w:t>
      </w:r>
      <w:r w:rsidRPr="006145D8">
        <w:t xml:space="preserve"> </w:t>
      </w:r>
      <w:r>
        <w:rPr>
          <w:rFonts w:ascii="Times New Roman" w:hAnsi="Times New Roman" w:cs="Times New Roman"/>
        </w:rPr>
        <w:t>Podsekretarza Stanu w Ministerstwie Przedsiębiorczości i Technologii</w:t>
      </w:r>
      <w:r w:rsidRPr="006145D8">
        <w:rPr>
          <w:rFonts w:ascii="Times New Roman" w:hAnsi="Times New Roman" w:cs="Times New Roman"/>
        </w:rPr>
        <w:t xml:space="preserve"> sugeruj</w:t>
      </w:r>
      <w:r w:rsidR="005F1E6E">
        <w:rPr>
          <w:rFonts w:ascii="Times New Roman" w:hAnsi="Times New Roman" w:cs="Times New Roman"/>
        </w:rPr>
        <w:t xml:space="preserve">ącą, że </w:t>
      </w:r>
      <w:r w:rsidRPr="006145D8">
        <w:rPr>
          <w:rFonts w:ascii="Times New Roman" w:hAnsi="Times New Roman" w:cs="Times New Roman"/>
        </w:rPr>
        <w:t>pod względem działań wspierających rozwój biznesu w zakres</w:t>
      </w:r>
      <w:r w:rsidR="005F1E6E">
        <w:rPr>
          <w:rFonts w:ascii="Times New Roman" w:hAnsi="Times New Roman" w:cs="Times New Roman"/>
        </w:rPr>
        <w:t xml:space="preserve">ie nowych technologii w Polsce </w:t>
      </w:r>
      <w:r w:rsidRPr="006145D8">
        <w:rPr>
          <w:rFonts w:ascii="Times New Roman" w:hAnsi="Times New Roman" w:cs="Times New Roman"/>
        </w:rPr>
        <w:t>moż</w:t>
      </w:r>
      <w:r w:rsidR="005F1E6E">
        <w:rPr>
          <w:rFonts w:ascii="Times New Roman" w:hAnsi="Times New Roman" w:cs="Times New Roman"/>
        </w:rPr>
        <w:t xml:space="preserve">e </w:t>
      </w:r>
      <w:r w:rsidRPr="006145D8">
        <w:rPr>
          <w:rFonts w:ascii="Times New Roman" w:hAnsi="Times New Roman" w:cs="Times New Roman"/>
        </w:rPr>
        <w:t>się wzorowa</w:t>
      </w:r>
      <w:r w:rsidR="005F1E6E">
        <w:rPr>
          <w:rFonts w:ascii="Times New Roman" w:hAnsi="Times New Roman" w:cs="Times New Roman"/>
        </w:rPr>
        <w:t>ć na tzw. azjatyckich tygrysach</w:t>
      </w:r>
      <w:r w:rsidRPr="006145D8">
        <w:rPr>
          <w:rFonts w:ascii="Times New Roman" w:hAnsi="Times New Roman" w:cs="Times New Roman"/>
        </w:rPr>
        <w:t xml:space="preserve"> (https://c8jiuhczmlmzqll67hrc.ssl.mf.gov.pl/pl-pl/wiadomosci/other/azjatyckie-tygrysy-wzorem-dla-polski/ar-AAItz4p). </w:t>
      </w:r>
      <w:r w:rsidR="005F1E6E">
        <w:rPr>
          <w:rFonts w:ascii="Times New Roman" w:hAnsi="Times New Roman" w:cs="Times New Roman"/>
        </w:rPr>
        <w:t>Dla przykładu, Singapur, jako</w:t>
      </w:r>
      <w:r w:rsidRPr="006145D8">
        <w:rPr>
          <w:rFonts w:ascii="Times New Roman" w:hAnsi="Times New Roman" w:cs="Times New Roman"/>
        </w:rPr>
        <w:t xml:space="preserve"> jed</w:t>
      </w:r>
      <w:r w:rsidR="005F1E6E">
        <w:rPr>
          <w:rFonts w:ascii="Times New Roman" w:hAnsi="Times New Roman" w:cs="Times New Roman"/>
        </w:rPr>
        <w:t>en</w:t>
      </w:r>
      <w:r w:rsidRPr="006145D8">
        <w:rPr>
          <w:rFonts w:ascii="Times New Roman" w:hAnsi="Times New Roman" w:cs="Times New Roman"/>
        </w:rPr>
        <w:t xml:space="preserve"> z</w:t>
      </w:r>
      <w:r w:rsidR="005F1E6E">
        <w:rPr>
          <w:rFonts w:ascii="Times New Roman" w:hAnsi="Times New Roman" w:cs="Times New Roman"/>
        </w:rPr>
        <w:t xml:space="preserve"> najmniejszych terytorialnie, ale i </w:t>
      </w:r>
      <w:r w:rsidRPr="006145D8">
        <w:rPr>
          <w:rFonts w:ascii="Times New Roman" w:hAnsi="Times New Roman" w:cs="Times New Roman"/>
        </w:rPr>
        <w:t xml:space="preserve">najpotężniejszych </w:t>
      </w:r>
      <w:r w:rsidR="005F1E6E">
        <w:rPr>
          <w:rFonts w:ascii="Times New Roman" w:hAnsi="Times New Roman" w:cs="Times New Roman"/>
        </w:rPr>
        <w:t xml:space="preserve">gospodarczo </w:t>
      </w:r>
      <w:r w:rsidRPr="006145D8">
        <w:rPr>
          <w:rFonts w:ascii="Times New Roman" w:hAnsi="Times New Roman" w:cs="Times New Roman"/>
        </w:rPr>
        <w:t>azjatyckich tygrysów – w szczególności</w:t>
      </w:r>
      <w:r w:rsidR="005F1E6E">
        <w:rPr>
          <w:rFonts w:ascii="Times New Roman" w:hAnsi="Times New Roman" w:cs="Times New Roman"/>
        </w:rPr>
        <w:t xml:space="preserve"> z zakresu systemu podatkowego</w:t>
      </w:r>
      <w:r w:rsidR="00ED070D">
        <w:rPr>
          <w:rFonts w:ascii="Times New Roman" w:hAnsi="Times New Roman" w:cs="Times New Roman"/>
        </w:rPr>
        <w:t>,</w:t>
      </w:r>
      <w:r w:rsidR="005F1E6E">
        <w:rPr>
          <w:rFonts w:ascii="Times New Roman" w:hAnsi="Times New Roman" w:cs="Times New Roman"/>
        </w:rPr>
        <w:t xml:space="preserve"> uznany jest</w:t>
      </w:r>
      <w:r w:rsidRPr="006145D8">
        <w:rPr>
          <w:rFonts w:ascii="Times New Roman" w:hAnsi="Times New Roman" w:cs="Times New Roman"/>
        </w:rPr>
        <w:t xml:space="preserve"> obecnie za nr 1 jurysdykcję na świecie jeśli chodzi o łatwość w prowadzeniu biznesu oraz konkurencyjność gospodarki, wyprzedzając nawet USA </w:t>
      </w:r>
      <w:r w:rsidR="005F1E6E">
        <w:rPr>
          <w:rFonts w:ascii="Times New Roman" w:hAnsi="Times New Roman" w:cs="Times New Roman"/>
        </w:rPr>
        <w:t xml:space="preserve">na tym polu </w:t>
      </w:r>
      <w:r w:rsidRPr="006145D8">
        <w:rPr>
          <w:rFonts w:ascii="Times New Roman" w:hAnsi="Times New Roman" w:cs="Times New Roman"/>
        </w:rPr>
        <w:t>(https://c8jiuhczmlmzmfb6iklc.ssl.mf.gov.pl/wcc/world-competitiveness-center/)</w:t>
      </w:r>
      <w:r w:rsidR="005F1E6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0BB3"/>
    <w:multiLevelType w:val="hybridMultilevel"/>
    <w:tmpl w:val="19C03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7851"/>
    <w:multiLevelType w:val="hybridMultilevel"/>
    <w:tmpl w:val="0FC0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575"/>
    <w:multiLevelType w:val="hybridMultilevel"/>
    <w:tmpl w:val="139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389B"/>
    <w:multiLevelType w:val="hybridMultilevel"/>
    <w:tmpl w:val="FA66DB8C"/>
    <w:lvl w:ilvl="0" w:tplc="9092C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75AD"/>
    <w:multiLevelType w:val="hybridMultilevel"/>
    <w:tmpl w:val="7BBEC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C0EF6"/>
    <w:multiLevelType w:val="hybridMultilevel"/>
    <w:tmpl w:val="C6F409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D81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4844"/>
    <w:multiLevelType w:val="hybridMultilevel"/>
    <w:tmpl w:val="83EE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B11EB"/>
    <w:multiLevelType w:val="hybridMultilevel"/>
    <w:tmpl w:val="B3B48762"/>
    <w:lvl w:ilvl="0" w:tplc="D87EF31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72"/>
    <w:rsid w:val="0002568B"/>
    <w:rsid w:val="000B4144"/>
    <w:rsid w:val="000D18C2"/>
    <w:rsid w:val="000E297E"/>
    <w:rsid w:val="000E3579"/>
    <w:rsid w:val="000E55B6"/>
    <w:rsid w:val="000F38C1"/>
    <w:rsid w:val="00107C45"/>
    <w:rsid w:val="00125982"/>
    <w:rsid w:val="001446AE"/>
    <w:rsid w:val="00145B46"/>
    <w:rsid w:val="00147973"/>
    <w:rsid w:val="00152678"/>
    <w:rsid w:val="001E4F70"/>
    <w:rsid w:val="002A6427"/>
    <w:rsid w:val="003725C9"/>
    <w:rsid w:val="003D727E"/>
    <w:rsid w:val="003F03CB"/>
    <w:rsid w:val="003F2531"/>
    <w:rsid w:val="003F4F7B"/>
    <w:rsid w:val="00402AA4"/>
    <w:rsid w:val="004060ED"/>
    <w:rsid w:val="0043258A"/>
    <w:rsid w:val="00471FBF"/>
    <w:rsid w:val="00491F8F"/>
    <w:rsid w:val="004A312B"/>
    <w:rsid w:val="004C5917"/>
    <w:rsid w:val="004C786A"/>
    <w:rsid w:val="0056733B"/>
    <w:rsid w:val="005E0499"/>
    <w:rsid w:val="005E254A"/>
    <w:rsid w:val="005F1E6E"/>
    <w:rsid w:val="006145D8"/>
    <w:rsid w:val="00624C98"/>
    <w:rsid w:val="006C06E0"/>
    <w:rsid w:val="006C417D"/>
    <w:rsid w:val="006E65E4"/>
    <w:rsid w:val="007428D3"/>
    <w:rsid w:val="007B2F3A"/>
    <w:rsid w:val="007C2DF7"/>
    <w:rsid w:val="007C5654"/>
    <w:rsid w:val="007F126A"/>
    <w:rsid w:val="008E1E5A"/>
    <w:rsid w:val="008E5C00"/>
    <w:rsid w:val="009102A1"/>
    <w:rsid w:val="0096415F"/>
    <w:rsid w:val="0098157E"/>
    <w:rsid w:val="009B3A1F"/>
    <w:rsid w:val="009C2F71"/>
    <w:rsid w:val="009D4918"/>
    <w:rsid w:val="009D7936"/>
    <w:rsid w:val="009E1446"/>
    <w:rsid w:val="00A7679F"/>
    <w:rsid w:val="00A82F9B"/>
    <w:rsid w:val="00A900AC"/>
    <w:rsid w:val="00AB7787"/>
    <w:rsid w:val="00AC393F"/>
    <w:rsid w:val="00B035C6"/>
    <w:rsid w:val="00B10B0F"/>
    <w:rsid w:val="00B11E0C"/>
    <w:rsid w:val="00B85702"/>
    <w:rsid w:val="00B86C6C"/>
    <w:rsid w:val="00BD1872"/>
    <w:rsid w:val="00BF286B"/>
    <w:rsid w:val="00C238EF"/>
    <w:rsid w:val="00C62872"/>
    <w:rsid w:val="00C72F21"/>
    <w:rsid w:val="00C94495"/>
    <w:rsid w:val="00D0366A"/>
    <w:rsid w:val="00D3445D"/>
    <w:rsid w:val="00DB240F"/>
    <w:rsid w:val="00DB6693"/>
    <w:rsid w:val="00DC4894"/>
    <w:rsid w:val="00DC70C0"/>
    <w:rsid w:val="00DD169E"/>
    <w:rsid w:val="00DE58BE"/>
    <w:rsid w:val="00DE685D"/>
    <w:rsid w:val="00DE74C7"/>
    <w:rsid w:val="00DE7574"/>
    <w:rsid w:val="00E545EE"/>
    <w:rsid w:val="00E84384"/>
    <w:rsid w:val="00EB0EE6"/>
    <w:rsid w:val="00ED070D"/>
    <w:rsid w:val="00ED2B46"/>
    <w:rsid w:val="00F24E87"/>
    <w:rsid w:val="00F364BC"/>
    <w:rsid w:val="00F455D6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7143E-D104-4ACE-ACC9-BCA2F58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87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87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39"/>
    <w:rsid w:val="007B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1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17D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17D"/>
    <w:rPr>
      <w:vertAlign w:val="superscript"/>
    </w:rPr>
  </w:style>
  <w:style w:type="table" w:styleId="Tabelasiatki1jasnaakcent2">
    <w:name w:val="Grid Table 1 Light Accent 2"/>
    <w:basedOn w:val="Standardowy"/>
    <w:uiPriority w:val="46"/>
    <w:rsid w:val="0096415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DE685D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152678"/>
    <w:rPr>
      <w:i/>
      <w:iCs/>
    </w:rPr>
  </w:style>
  <w:style w:type="character" w:styleId="Pogrubienie">
    <w:name w:val="Strong"/>
    <w:basedOn w:val="Domylnaczcionkaakapitu"/>
    <w:uiPriority w:val="22"/>
    <w:qFormat/>
    <w:rsid w:val="0015267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8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8B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8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4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49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5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98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25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82"/>
    <w:rPr>
      <w:rFonts w:ascii="Calibri" w:hAnsi="Calibri" w:cs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5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5C9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gbleasing.pl/perly-polskiego-leasingu-2019-sgb-leasing-z-wyroznieniem/" TargetMode="External"/><Relationship Id="rId2" Type="http://schemas.openxmlformats.org/officeDocument/2006/relationships/hyperlink" Target="https://www.leason.pl/rynek-leasingu-po-i-polroczu-2019/" TargetMode="External"/><Relationship Id="rId1" Type="http://schemas.openxmlformats.org/officeDocument/2006/relationships/hyperlink" Target="http://www.egospodarka.pl/157894,Branza-leasingowa-w-I-pol-2019-r,1,39,1.html" TargetMode="External"/><Relationship Id="rId4" Type="http://schemas.openxmlformats.org/officeDocument/2006/relationships/hyperlink" Target="https://alebank.pl/poziom-rynku-leasingu-stabilny-za-10-lat-bedzie-przynosil-korzysci-podatkowe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ES\AppData\Local\Microsoft\Windows\INetCache\Content.Outlook\N7GC5T7A\Wp&#322;ywy%20CIT%20wykres%20+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ES\AppData\Local\Microsoft\Windows\INetCache\Content.Outlook\N7GC5T7A\STRATY%20CIT%202015-201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Wpływy </a:t>
            </a:r>
            <a:r>
              <a:rPr lang="en-US" sz="1100"/>
              <a:t>z tytułu CIT
w mld zł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'CIT i PIT wykres (4)'!$Y$10</c:f>
              <c:strCache>
                <c:ptCount val="1"/>
                <c:pt idx="0">
                  <c:v>Kwota wpływów z tytułu CIT
w mld zł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'CIT i PIT wykres (4)'!$X$11:$X$15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I-IX 2019*)</c:v>
                </c:pt>
              </c:strCache>
            </c:strRef>
          </c:cat>
          <c:val>
            <c:numRef>
              <c:f>'CIT i PIT wykres (4)'!$Y$11:$Y$15</c:f>
              <c:numCache>
                <c:formatCode>0.0</c:formatCode>
                <c:ptCount val="5"/>
                <c:pt idx="0">
                  <c:v>32.894199999999998</c:v>
                </c:pt>
                <c:pt idx="1">
                  <c:v>33.825199999999995</c:v>
                </c:pt>
                <c:pt idx="2">
                  <c:v>38.144400000000005</c:v>
                </c:pt>
                <c:pt idx="3">
                  <c:v>44.3</c:v>
                </c:pt>
                <c:pt idx="4">
                  <c:v>38.799999999999997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BD-4639-A3DB-1C41A5200E7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23742152"/>
        <c:axId val="423742544"/>
      </c:barChart>
      <c:catAx>
        <c:axId val="42374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742544"/>
        <c:crosses val="autoZero"/>
        <c:auto val="1"/>
        <c:lblAlgn val="ctr"/>
        <c:lblOffset val="100"/>
        <c:noMultiLvlLbl val="0"/>
      </c:catAx>
      <c:valAx>
        <c:axId val="4237425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423742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Odliczeni</a:t>
            </a:r>
            <a:r>
              <a:rPr lang="pl-PL" sz="1100"/>
              <a:t>a</a:t>
            </a:r>
            <a:r>
              <a:rPr lang="en-US" sz="1100"/>
              <a:t> strat z lat ubiegłych</a:t>
            </a:r>
            <a:r>
              <a:rPr lang="pl-PL" sz="1100"/>
              <a:t> [mld zł]</a:t>
            </a:r>
            <a:r>
              <a:rPr lang="en-US" sz="11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'straty CIT 2015-2017 (2)'!$A$12</c:f>
              <c:strCache>
                <c:ptCount val="1"/>
                <c:pt idx="0">
                  <c:v>Odliczenie strat z lat ubiegłych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254-4FFD-BA97-EDB22C4C4DA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283408221001527E-3"/>
                  <c:y val="0.184749657803616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254-4FFD-BA97-EDB22C4C4DA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254-4FFD-BA97-EDB22C4C4DA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19,5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254-4FFD-BA97-EDB22C4C4DA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20,7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254-4FFD-BA97-EDB22C4C4DA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'straty CIT 2015-2017 (2)'!$B$11:$F$11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'straty CIT 2015-2017 (2)'!$B$12:$F$12</c:f>
              <c:numCache>
                <c:formatCode>#,##0</c:formatCode>
                <c:ptCount val="5"/>
                <c:pt idx="0">
                  <c:v>15609</c:v>
                </c:pt>
                <c:pt idx="1">
                  <c:v>13705</c:v>
                </c:pt>
                <c:pt idx="2">
                  <c:v>14438</c:v>
                </c:pt>
                <c:pt idx="3">
                  <c:v>19461</c:v>
                </c:pt>
                <c:pt idx="4">
                  <c:v>20706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254-4FFD-BA97-EDB22C4C4DA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23746072"/>
        <c:axId val="423740584"/>
      </c:barChart>
      <c:catAx>
        <c:axId val="42374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740584"/>
        <c:crosses val="autoZero"/>
        <c:auto val="1"/>
        <c:lblAlgn val="ctr"/>
        <c:lblOffset val="100"/>
        <c:noMultiLvlLbl val="0"/>
      </c:catAx>
      <c:valAx>
        <c:axId val="4237405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23746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C075-3E5C-4C17-B133-DD0EE091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2655</Words>
  <Characters>15930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Finansów</Company>
  <LinksUpToDate>false</LinksUpToDate>
  <CharactersWithSpaces>18548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revision>4</cp:revision>
  <cp:lastPrinted>2019-10-25T07:07:00Z</cp:lastPrinted>
  <dcterms:created xsi:type="dcterms:W3CDTF">2019-10-28T09:51:00Z</dcterms:created>
  <dcterms:modified xsi:type="dcterms:W3CDTF">2019-10-28T10:04:00Z</dcterms:modified>
</cp:coreProperties>
</file>