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898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60" w:line="259" w:lineRule="auto"/>
        <w:ind w:left="0" w:right="0" w:firstLine="0"/>
        <w:jc w:val="both"/>
      </w:pPr>
      <w:r>
        <w:rPr>
          <w:rStyle w:val="CharStyle8"/>
        </w:rPr>
        <w:t xml:space="preserve">DLŁ-WNO.053.10.2026.AP </w:t>
      </w:r>
      <w:r>
        <w:rPr>
          <w:rStyle w:val="CharStyle8"/>
          <w:sz w:val="17"/>
          <w:szCs w:val="17"/>
        </w:rPr>
        <w:t xml:space="preserve">4434258.18527661.14922506 </w:t>
      </w:r>
      <w:r>
        <w:rPr>
          <w:rStyle w:val="CharStyle8"/>
        </w:rPr>
        <w:t>Warszawa, 05-08-2026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60" w:line="264" w:lineRule="auto"/>
        <w:ind w:left="0" w:right="0" w:firstLine="0"/>
        <w:jc w:val="both"/>
      </w:pPr>
      <w:r>
        <w:rPr>
          <w:rStyle w:val="CharStyle8"/>
          <w:b/>
          <w:bCs/>
          <w:sz w:val="19"/>
          <w:szCs w:val="19"/>
        </w:rPr>
        <w:t xml:space="preserve">Dotyczy: </w:t>
      </w:r>
      <w:r>
        <w:rPr>
          <w:rStyle w:val="CharStyle8"/>
        </w:rPr>
        <w:t>Zawiadomienie o sposobie załatwienia petycji</w:t>
      </w:r>
      <w:r>
        <w:rPr>
          <w:rStyle w:val="CharStyle8"/>
          <w:vertAlign w:val="superscript"/>
        </w:rPr>
        <w:t>1</w:t>
      </w:r>
      <w:r>
        <w:rPr>
          <w:rStyle w:val="CharStyle8"/>
        </w:rPr>
        <w:t xml:space="preserve"> ws. doprecyzowania przepisów ustawy z dnia 13 października 1995 r. - </w:t>
      </w:r>
      <w:r>
        <w:rPr>
          <w:rStyle w:val="CharStyle8"/>
          <w:i/>
          <w:iCs/>
        </w:rPr>
        <w:t>Prawo łowieckie</w:t>
      </w:r>
      <w:r>
        <w:rPr>
          <w:rStyle w:val="CharStyle8"/>
          <w:i/>
          <w:iCs/>
          <w:vertAlign w:val="superscript"/>
        </w:rPr>
        <w:t>2</w:t>
      </w:r>
      <w:r>
        <w:rPr>
          <w:rStyle w:val="CharStyle8"/>
        </w:rPr>
        <w:t xml:space="preserve"> dotyczących odłowu i odstrzału redukcyjnego na terenach zurbanizowanych (art. 45 ust. 3 ustawy) w celu dookreślenia właściwości podmiotów wykonujących zadania i zapewniających ich finansowanie oraz ws. zabezpieczenia środków na realizację tego rodzaju zadań w budżecie państwa.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200" w:line="240" w:lineRule="auto"/>
        <w:ind w:left="0" w:right="0" w:firstLine="0"/>
        <w:jc w:val="both"/>
      </w:pPr>
      <w:r>
        <w:rPr>
          <w:rStyle w:val="CharStyle8"/>
          <w:b/>
          <w:bCs/>
          <w:sz w:val="19"/>
          <w:szCs w:val="19"/>
        </w:rPr>
        <w:t>Pan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Szanowny Panie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po przeanalizowaniu przesłanej petycji informuję, że </w:t>
      </w:r>
      <w:r>
        <w:rPr>
          <w:rStyle w:val="CharStyle8"/>
          <w:b/>
          <w:bCs/>
          <w:sz w:val="19"/>
          <w:szCs w:val="19"/>
        </w:rPr>
        <w:t>została ona częściowo uwzględniona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  <w:b/>
          <w:bCs/>
          <w:sz w:val="19"/>
          <w:szCs w:val="19"/>
          <w:u w:val="single"/>
        </w:rPr>
        <w:t>Uzasadnienie</w:t>
      </w:r>
      <w:r>
        <w:rPr>
          <w:rStyle w:val="CharStyle8"/>
          <w:b/>
          <w:bCs/>
          <w:sz w:val="19"/>
          <w:szCs w:val="19"/>
        </w:rPr>
        <w:t>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Pogląd, że zadania starosty z zakresu odłowu lub odstrzału redukcyjnego zarządzanego na podstawie art. 45 ust. 3 </w:t>
      </w:r>
      <w:r>
        <w:rPr>
          <w:rStyle w:val="CharStyle8"/>
          <w:i/>
          <w:iCs/>
        </w:rPr>
        <w:t>Prawa łowieckiego</w:t>
      </w:r>
      <w:r>
        <w:rPr>
          <w:rStyle w:val="CharStyle8"/>
        </w:rPr>
        <w:t xml:space="preserve"> są zadaniami z zakresu administracji rządowej, bazuje jedynie na wykładni art. 7 i art. 45 ust. 3 </w:t>
      </w:r>
      <w:r>
        <w:rPr>
          <w:rStyle w:val="CharStyle8"/>
          <w:i/>
          <w:iCs/>
        </w:rPr>
        <w:t>Prawa łowieckiego</w:t>
      </w:r>
      <w:r>
        <w:rPr>
          <w:rStyle w:val="CharStyle8"/>
        </w:rPr>
        <w:t>, pomijając pozostałe przepisy tej ustawy.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W opinii Ministerstwa Klimatu i Środowiska</w:t>
      </w:r>
      <w:r>
        <w:rPr>
          <w:rStyle w:val="CharStyle8"/>
          <w:vertAlign w:val="superscript"/>
        </w:rPr>
        <w:t>3</w:t>
      </w:r>
      <w:r>
        <w:rPr>
          <w:rStyle w:val="CharStyle8"/>
        </w:rPr>
        <w:t xml:space="preserve">, odłowy, odłowy wraz z uśmierceniem oraz odstrzały redukcyjne są zadaniami własnymi starosty. Ocena, czy zadania są zadaniami zleconymi, czy też własnymi, nie powinna opierać się jedynie na art. 7 ustawy – </w:t>
      </w:r>
      <w:r>
        <w:rPr>
          <w:rStyle w:val="CharStyle8"/>
          <w:i/>
          <w:iCs/>
        </w:rPr>
        <w:t>Prawo łowieckie</w:t>
      </w:r>
      <w:r>
        <w:rPr>
          <w:rStyle w:val="CharStyle8"/>
        </w:rPr>
        <w:t>, lecz także na pozostałych przepisach. Nie wszystkie działania dotyczące zwierzyny są bowiem działaniami z zakresu gospodarki łowieckiej.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Niezależnie, Ministerstwo Klimatu i Środowiska dostrzega problemy wynikające z nieprecyzyjnych regulacji prawnych, w szczególności dotyczących kompetencji organów administracji oraz zasad finansowania działań związanych z odłowem lub odstrzałem redukcyjnym zwierząt łownych. Zgadzamy się, że obowiązujące przepisy, w tym art. 45 ust. 3 ustawy </w:t>
      </w:r>
      <w:r>
        <w:rPr>
          <w:rStyle w:val="CharStyle8"/>
          <w:i/>
          <w:iCs/>
        </w:rPr>
        <w:t>– Prawo łowieckie</w:t>
      </w:r>
      <w:r>
        <w:rPr>
          <w:rStyle w:val="CharStyle8"/>
        </w:rPr>
        <w:t>, w kontekście orzecznictwa sądów oraz stanowisk regionalnych izb obrachunkowych wymagają uszczegółowienia, aby uniknąć rozbieżnych interpretacji oraz praktycznych trudności.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60"/>
        <w:ind w:left="0" w:right="0" w:firstLine="0"/>
        <w:jc w:val="both"/>
      </w:pPr>
      <w:r>
        <w:rPr>
          <w:rStyle w:val="CharStyle8"/>
        </w:rPr>
        <w:t xml:space="preserve">Problematyka obecności dzikich zwierząt w miastach była przedmiotem prac </w:t>
      </w:r>
      <w:r>
        <w:rPr>
          <w:rStyle w:val="CharStyle8"/>
          <w:i/>
          <w:iCs/>
        </w:rPr>
        <w:t>Zespołu do spraw zmian systemowych w łowiectwie</w:t>
      </w:r>
      <w:r>
        <w:rPr>
          <w:rStyle w:val="CharStyle8"/>
        </w:rPr>
        <w:t xml:space="preserve"> (dalej: </w:t>
      </w:r>
      <w:r>
        <w:rPr>
          <w:rStyle w:val="CharStyle8"/>
          <w:i/>
          <w:iCs/>
        </w:rPr>
        <w:t>Zespołu</w:t>
      </w:r>
      <w:r>
        <w:rPr>
          <w:rStyle w:val="CharStyle8"/>
        </w:rPr>
        <w:t>) – jako organu pomocniczego Ministra Klimatu i Środowiska. W toku prac analizowano m.in. ryzyka i ograniczenia związane ze stosowaniem odstrzału redukcyjnego na terenach zurbanizowanych.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Z 22 czerwca 2026 r., znak sprawy: Rpc.6140. 44 .2026,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9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Dz. U. z 2025 r., poz. 539 z późn.zm., dalej także: </w:t>
      </w:r>
      <w:r>
        <w:rPr>
          <w:rStyle w:val="CharStyle3"/>
          <w:i/>
          <w:iCs/>
        </w:rPr>
        <w:t>Prawo łowieckie</w:t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9" w:val="left"/>
        </w:tabs>
        <w:bidi w:val="0"/>
        <w:spacing w:before="0" w:after="520"/>
        <w:ind w:left="0" w:right="0" w:firstLine="0"/>
        <w:jc w:val="both"/>
      </w:pPr>
      <w:r>
        <w:rPr>
          <w:rStyle w:val="CharStyle3"/>
        </w:rPr>
        <w:t>Wyrażonej m.in. w piśmie Ministra Klimatu i Środowiska z dnia 12 sierpnia 2022 r., znak: DLŁ-WKO.053.14.2022, opublikowanym w Biuletynie Informacji Publicznej [</w:t>
      </w:r>
      <w:r>
        <w:fldChar w:fldCharType="begin"/>
      </w:r>
      <w:r>
        <w:rPr/>
        <w:instrText> HYPERLINK "https://bip.mos.gov.pl/skargi-wnioski-petycjesygnaly-o-nieprawidlowosc/petycje/petycje-z-2022-roku/szczegoly/news/petycja-z-dnia-12-maja-2022-r-w-sprawie-doprecy/index.html" </w:instrText>
      </w:r>
      <w:r>
        <w:fldChar w:fldCharType="separate"/>
      </w:r>
      <w:r>
        <w:rPr>
          <w:rStyle w:val="CharStyle3"/>
          <w:color w:val="0000FF"/>
          <w:u w:val="single"/>
        </w:rPr>
        <w:t>link do strony</w:t>
      </w:r>
      <w:r>
        <w:fldChar w:fldCharType="end"/>
      </w:r>
      <w:r>
        <w:rPr>
          <w:rStyle w:val="CharStyle3"/>
        </w:rPr>
        <w:t>].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3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  <w:rPr>
          <w:sz w:val="16"/>
          <w:szCs w:val="1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898" w:bottom="487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 xml:space="preserve">Jednym z celów </w:t>
      </w:r>
      <w:r>
        <w:rPr>
          <w:rStyle w:val="CharStyle8"/>
          <w:i/>
          <w:iCs/>
        </w:rPr>
        <w:t>Zespołu</w:t>
      </w:r>
      <w:r>
        <w:rPr>
          <w:rStyle w:val="CharStyle8"/>
        </w:rPr>
        <w:t xml:space="preserve"> było doprecyzowanie przepisu, wynikającego z art. 45 ust. 3 ustawy </w:t>
      </w:r>
      <w:r>
        <w:rPr>
          <w:rStyle w:val="CharStyle8"/>
          <w:i/>
          <w:iCs/>
        </w:rPr>
        <w:t>– Prawo łowieckie</w:t>
      </w:r>
      <w:r>
        <w:rPr>
          <w:rStyle w:val="CharStyle8"/>
        </w:rPr>
        <w:t>, uprawniającego właściwego terytorialnie starostę do wydania zezwolenia na odłów, odłów wraz z uśmierceniem lub odstrzał redukcyjny zwierzyny, w przypadku występowania szczególnego zagrożenia w prawidłowym funkcjonowaniu obiektów produkcyjnych lub użyteczności publicznej – tak, aby jego stosowanie było jednoznaczne, przewidywalne i spójne z potrzebami samorządów oraz realiami terenowymi.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 xml:space="preserve">Wypracowane założenia uwzględniają kwestie zagospodarowania tusz pochodzących z odstrzału redukcyjnego oraz dokładne wskazanie sposobu finansowania działań związanych z realizacją obowiązku wynikającego z art. 45 ust. 3 ustawy </w:t>
      </w:r>
      <w:r>
        <w:rPr>
          <w:rStyle w:val="CharStyle8"/>
          <w:i/>
          <w:iCs/>
        </w:rPr>
        <w:t>– Prawo łowieckie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40"/>
        <w:ind w:left="0" w:right="0" w:firstLine="0"/>
        <w:jc w:val="left"/>
      </w:pPr>
      <w:r>
        <w:rPr>
          <w:rStyle w:val="CharStyle8"/>
        </w:rPr>
        <w:t xml:space="preserve">Przyjęte przez </w:t>
      </w:r>
      <w:r>
        <w:rPr>
          <w:rStyle w:val="CharStyle8"/>
          <w:i/>
          <w:iCs/>
        </w:rPr>
        <w:t>Zespół</w:t>
      </w:r>
      <w:r>
        <w:rPr>
          <w:rStyle w:val="CharStyle8"/>
        </w:rPr>
        <w:t xml:space="preserve"> kierunkowe zmiany systemowe w zakresie łowiectwa zostały przekazane do akceptacji Kierownictwa Ministerstwa Klimatu i Środowiska. Po ostatecznym ustaleniu zakresu zmian przygotowany będzie projekt nowelizacji ustawy </w:t>
      </w:r>
      <w:r>
        <w:rPr>
          <w:rStyle w:val="CharStyle8"/>
          <w:i/>
          <w:iCs/>
        </w:rPr>
        <w:t xml:space="preserve">– Prawołowieckie. </w:t>
      </w:r>
      <w:r>
        <w:rPr>
          <w:rStyle w:val="CharStyle8"/>
        </w:rPr>
        <w:t>Planowane na chwilę obecną rozwiązanie jest spójne z dotychczasową wykładnią przepisów przedstawianą przez Ministerstwo Klimatu i Środowiska, dlatego aktualnie nie przychylamy się do postulatu o zabezpieczenie środków na realizację odłowu i odstrzału redukcyjnego na terenach zurbanizowanych w budżecie państwa.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8"/>
          <w:b/>
          <w:bCs/>
          <w:sz w:val="19"/>
          <w:szCs w:val="19"/>
        </w:rPr>
        <w:t>Podstawa prawna: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8"/>
        </w:rPr>
        <w:t>Art. 12 i 13 ustawy z dnia 11 lipca 2014 r. o petycjach.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8"/>
          <w:b/>
          <w:bCs/>
          <w:sz w:val="19"/>
          <w:szCs w:val="19"/>
        </w:rPr>
        <w:t>Pouczenie: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343" w:lineRule="auto"/>
        <w:ind w:left="0" w:right="0" w:firstLine="0"/>
        <w:jc w:val="left"/>
      </w:pPr>
      <w:r>
        <w:rPr>
          <w:rStyle w:val="CharStyle8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00" w:line="343" w:lineRule="auto"/>
        <w:ind w:left="0" w:right="0" w:firstLine="0"/>
        <w:jc w:val="left"/>
      </w:pPr>
      <w:r>
        <w:rPr>
          <w:rStyle w:val="CharStyle8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>Z wyrazami szacunku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left"/>
      </w:pPr>
      <w:r>
        <w:rPr>
          <w:rStyle w:val="CharStyle8"/>
        </w:rPr>
        <w:t>Z up. Ministra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Zastępca Dyrektora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Departament Leśnictwa i Łowiectwa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Ministerstwo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8"/>
        </w:rPr>
        <w:t>/ – podpisany cyfrowo/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  <w:b/>
          <w:bCs/>
          <w:sz w:val="19"/>
          <w:szCs w:val="19"/>
          <w:u w:val="single"/>
        </w:rPr>
        <w:t>Do wiadomości</w:t>
      </w:r>
      <w:r>
        <w:rPr>
          <w:rStyle w:val="CharStyle8"/>
          <w:b/>
          <w:bCs/>
          <w:sz w:val="19"/>
          <w:szCs w:val="19"/>
        </w:rPr>
        <w:t>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8"/>
        </w:rPr>
        <w:t>Biuro Kontroli i Audytu w Ministerstwie Klimatu i Środowiska.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0" w:name="bookmark0"/>
      <w:r>
        <w:rPr>
          <w:rStyle w:val="CharStyle19"/>
          <w:b/>
          <w:bCs/>
        </w:rPr>
        <w:t>Klauzula informacyjna</w:t>
        <w:br/>
        <w:t>dotycząca przetwarzania danych osobowych osób wnoszących petycję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" w:name="bookmark2"/>
      <w:r>
        <w:rPr>
          <w:rStyle w:val="CharStyle19"/>
          <w:b/>
          <w:bCs/>
        </w:rPr>
        <w:t>Tożsamość administratora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Administratorem Pani/Pana danych osobowych jest 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adres eDoręczeń: AE:PL-76338-88700-JTFJE-30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left"/>
      </w:pPr>
      <w:r>
        <w:rPr>
          <w:rStyle w:val="CharStyle3"/>
        </w:rPr>
        <w:t>telefonicznie: 22 36 92 900.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4" w:name="bookmark4"/>
      <w:r>
        <w:rPr>
          <w:rStyle w:val="CharStyle19"/>
          <w:b/>
          <w:bCs/>
        </w:rPr>
        <w:t>Dane kontaktowe inspektora ochrony danych osobowych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left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6" w:name="bookmark6"/>
      <w:r>
        <w:rPr>
          <w:rStyle w:val="CharStyle19"/>
          <w:b/>
          <w:bCs/>
        </w:rPr>
        <w:t>Cele przetwarzania danych osobowych i podstawa prawna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8" w:name="bookmark8"/>
      <w:r>
        <w:rPr>
          <w:rStyle w:val="CharStyle19"/>
          <w:b/>
          <w:bCs/>
        </w:rPr>
        <w:t>Odbiorcy danych osobowych lub kategorie odbiorców danych osobowych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0" w:name="bookmark10"/>
      <w:r>
        <w:rPr>
          <w:rStyle w:val="CharStyle19"/>
          <w:b/>
          <w:bCs/>
        </w:rPr>
        <w:t>Okres przechowywania danych osobowych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2" w:name="bookmark12"/>
      <w:r>
        <w:rPr>
          <w:rStyle w:val="CharStyle19"/>
          <w:b/>
          <w:bCs/>
        </w:rPr>
        <w:t>Przysługujące uprawnienia związane z przetwarzaniem danych osobowych</w:t>
      </w:r>
      <w:bookmarkEnd w:id="1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200"/>
        <w:ind w:left="740" w:right="0" w:hanging="360"/>
        <w:jc w:val="left"/>
      </w:pPr>
      <w:r>
        <w:rPr>
          <w:rStyle w:val="CharStyle3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left"/>
      </w:pPr>
      <w:bookmarkStart w:id="14" w:name="bookmark14"/>
      <w:r>
        <w:rPr>
          <w:rStyle w:val="CharStyle19"/>
          <w:b/>
          <w:bCs/>
        </w:rPr>
        <w:t>Informacja o przekazywaniu danych osobowych do państw trzecich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88" w:lineRule="auto"/>
        <w:ind w:left="0" w:right="0" w:firstLine="0"/>
        <w:jc w:val="left"/>
      </w:pPr>
      <w:r>
        <w:rPr>
          <w:rStyle w:val="CharStyle3"/>
        </w:rPr>
        <w:t>Nie przekazujemy Pani/Pana danych osobowych do państw trzecich.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left"/>
      </w:pPr>
      <w:bookmarkStart w:id="16" w:name="bookmark16"/>
      <w:r>
        <w:rPr>
          <w:rStyle w:val="CharStyle19"/>
          <w:b/>
          <w:bCs/>
        </w:rPr>
        <w:t>Informacja o profilowaniu</w:t>
      </w:r>
      <w:bookmarkEnd w:id="1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88" w:lineRule="auto"/>
        <w:ind w:left="0" w:right="0" w:firstLine="0"/>
        <w:jc w:val="left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left"/>
      </w:pPr>
      <w:bookmarkStart w:id="18" w:name="bookmark18"/>
      <w:r>
        <w:rPr>
          <w:rStyle w:val="CharStyle19"/>
          <w:b/>
          <w:bCs/>
        </w:rPr>
        <w:t>Informacja o dowolności lub obowiązku podania danych</w:t>
      </w:r>
      <w:bookmarkEnd w:id="1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88" w:lineRule="auto"/>
        <w:ind w:left="0" w:right="0" w:firstLine="0"/>
        <w:jc w:val="left"/>
        <w:rPr>
          <w:sz w:val="19"/>
          <w:szCs w:val="19"/>
        </w:rPr>
      </w:pPr>
      <w:r>
        <w:rPr>
          <w:rStyle w:val="CharStyle3"/>
        </w:rPr>
        <w:t>Podanie przez Panią/Pana danych osobowych jest wymogiem ustawowym. Skutkiem niepodania danych osobowych będzie pozostawienie petycji bez rozpoznania</w:t>
      </w:r>
      <w:r>
        <w:rPr>
          <w:rStyle w:val="CharStyle3"/>
          <w:sz w:val="19"/>
          <w:szCs w:val="19"/>
        </w:rPr>
        <w:t>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127" w:right="1944" w:bottom="2177" w:left="1902" w:header="1699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3725545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6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3.35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6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8">
    <w:name w:val="Body text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6">
    <w:name w:val="Header or footer (2)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9">
    <w:name w:val="Heading #1_"/>
    <w:basedOn w:val="DefaultParagraphFont"/>
    <w:link w:val="Style18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spacing w:after="18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7">
    <w:name w:val="Body text"/>
    <w:basedOn w:val="Normal"/>
    <w:link w:val="CharStyle8"/>
    <w:qFormat/>
    <w:pPr>
      <w:widowControl w:val="0"/>
      <w:shd w:val="clear" w:color="auto" w:fill="auto"/>
      <w:spacing w:after="100" w:line="290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5">
    <w:name w:val="Header or footer (2)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8">
    <w:name w:val="Heading #1"/>
    <w:basedOn w:val="Normal"/>
    <w:link w:val="CharStyle19"/>
    <w:pPr>
      <w:widowControl w:val="0"/>
      <w:shd w:val="clear" w:color="auto" w:fill="auto"/>
      <w:spacing w:line="283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