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660"/>
        <w:gridCol w:w="420"/>
        <w:gridCol w:w="465"/>
        <w:gridCol w:w="405"/>
        <w:gridCol w:w="165"/>
        <w:gridCol w:w="180"/>
        <w:gridCol w:w="390"/>
        <w:gridCol w:w="570"/>
        <w:gridCol w:w="270"/>
        <w:gridCol w:w="300"/>
        <w:gridCol w:w="345"/>
        <w:gridCol w:w="60"/>
        <w:gridCol w:w="165"/>
        <w:gridCol w:w="570"/>
        <w:gridCol w:w="75"/>
        <w:gridCol w:w="75"/>
        <w:gridCol w:w="420"/>
        <w:gridCol w:w="105"/>
        <w:gridCol w:w="405"/>
        <w:gridCol w:w="60"/>
        <w:gridCol w:w="570"/>
        <w:gridCol w:w="270"/>
        <w:gridCol w:w="45"/>
        <w:gridCol w:w="255"/>
        <w:gridCol w:w="570"/>
        <w:gridCol w:w="105"/>
        <w:gridCol w:w="1443"/>
      </w:tblGrid>
      <w:tr w:rsidR="001F1840" w14:paraId="6A333F20" w14:textId="77777777">
        <w:trPr>
          <w:trHeight w:val="1611"/>
        </w:trPr>
        <w:tc>
          <w:tcPr>
            <w:tcW w:w="67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69A1" w14:textId="187B7E57" w:rsidR="001F1840" w:rsidRDefault="004963E1">
            <w:pPr>
              <w:pStyle w:val="Standard"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54AA9BCE" w14:textId="5E6338CD" w:rsidR="00006318" w:rsidRPr="001B1E42" w:rsidRDefault="00FE6AE8" w:rsidP="00006318">
            <w:pPr>
              <w:pStyle w:val="Standard"/>
              <w:spacing w:before="120"/>
              <w:ind w:hanging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</w:t>
            </w:r>
            <w:r w:rsidR="00356593" w:rsidRPr="001B1E42">
              <w:rPr>
                <w:rFonts w:ascii="Times New Roman" w:hAnsi="Times New Roman"/>
              </w:rPr>
              <w:t>ozporządzeni</w:t>
            </w:r>
            <w:r w:rsidR="00EF24A4">
              <w:rPr>
                <w:rFonts w:ascii="Times New Roman" w:hAnsi="Times New Roman"/>
              </w:rPr>
              <w:t>a</w:t>
            </w:r>
            <w:r w:rsidR="001B1E42" w:rsidRPr="001B1E42">
              <w:rPr>
                <w:rFonts w:ascii="Times New Roman" w:hAnsi="Times New Roman"/>
              </w:rPr>
              <w:t xml:space="preserve"> Rady Ministrów w sprawie wsparcia </w:t>
            </w:r>
            <w:r>
              <w:rPr>
                <w:rFonts w:ascii="Times New Roman" w:hAnsi="Times New Roman"/>
              </w:rPr>
              <w:t xml:space="preserve">finansowego </w:t>
            </w:r>
            <w:r w:rsidR="001B1E42" w:rsidRPr="001B1E42">
              <w:rPr>
                <w:rFonts w:ascii="Times New Roman" w:hAnsi="Times New Roman"/>
              </w:rPr>
              <w:t xml:space="preserve">podmiotów prowadzących działalność kulturalną w dziedzinie teatru, muzyki lub tańca </w:t>
            </w:r>
          </w:p>
          <w:p w14:paraId="22197789" w14:textId="44A3C9F9" w:rsidR="001F1840" w:rsidRDefault="004963E1">
            <w:pPr>
              <w:pStyle w:val="Standard"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60B7DF6" w14:textId="416AD4D6" w:rsidR="001F1840" w:rsidRDefault="001B1C86">
            <w:pPr>
              <w:pStyle w:val="Standard"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4963E1">
              <w:rPr>
                <w:rFonts w:ascii="Times New Roman" w:hAnsi="Times New Roman"/>
                <w:color w:val="000000"/>
              </w:rPr>
              <w:t>Kultury i Dziedzictwa Narodowego</w:t>
            </w:r>
          </w:p>
          <w:p w14:paraId="41EC333D" w14:textId="77777777" w:rsidR="001F1840" w:rsidRDefault="001F1840">
            <w:pPr>
              <w:pStyle w:val="Standard"/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1D768214" w14:textId="56BD9D03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433D666A" w14:textId="61B352D0" w:rsidR="00F30538" w:rsidRPr="00F30538" w:rsidRDefault="00F30538">
            <w:pPr>
              <w:pStyle w:val="Standard"/>
              <w:spacing w:line="240" w:lineRule="auto"/>
            </w:pPr>
            <w:r w:rsidRPr="00F30538">
              <w:rPr>
                <w:rFonts w:ascii="Times New Roman" w:hAnsi="Times New Roman"/>
                <w:sz w:val="21"/>
                <w:szCs w:val="24"/>
              </w:rPr>
              <w:t>Paweł Lewandowski – Podsekretarz Stanu</w:t>
            </w:r>
            <w:r w:rsidR="00FE6AE8">
              <w:rPr>
                <w:rFonts w:ascii="Times New Roman" w:hAnsi="Times New Roman"/>
                <w:sz w:val="21"/>
                <w:szCs w:val="24"/>
              </w:rPr>
              <w:t xml:space="preserve"> w MKiDN</w:t>
            </w:r>
          </w:p>
          <w:p w14:paraId="6659D823" w14:textId="64EB0D8D" w:rsidR="001F1840" w:rsidRDefault="004963E1">
            <w:pPr>
              <w:pStyle w:val="Standard"/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B19144E" w14:textId="6100C1BB" w:rsidR="001F1840" w:rsidRDefault="00F30538" w:rsidP="00272EDA">
            <w:pPr>
              <w:pStyle w:val="Standard"/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Agnieszka Komar-Morawska – Dyrektor Departamentu Narodowych Instytucji Kultury (tel. 22 421 02 69</w:t>
            </w:r>
            <w:r w:rsidR="004B5004">
              <w:rPr>
                <w:rFonts w:ascii="Times New Roman" w:hAnsi="Times New Roman"/>
                <w:color w:val="000000"/>
              </w:rPr>
              <w:t>; e-mail akomar@mkidn.gov.pl</w:t>
            </w:r>
            <w:r>
              <w:rPr>
                <w:rFonts w:ascii="Times New Roman" w:hAnsi="Times New Roman"/>
                <w:color w:val="000000"/>
              </w:rPr>
              <w:t>), Łukasz Ciołko – Zastępca Dyrektora Departamentu Własności Intelektualnej i Mediów (tel. 22 692 55 46</w:t>
            </w:r>
            <w:r w:rsidR="00F20869">
              <w:rPr>
                <w:rFonts w:ascii="Times New Roman" w:hAnsi="Times New Roman"/>
                <w:color w:val="000000"/>
              </w:rPr>
              <w:t>; e-mail l</w:t>
            </w:r>
            <w:r w:rsidR="004B5004">
              <w:rPr>
                <w:rFonts w:ascii="Times New Roman" w:hAnsi="Times New Roman"/>
                <w:color w:val="000000"/>
              </w:rPr>
              <w:t>ciolko@mkidn.gov.pl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CE4A8" w14:textId="21390D99" w:rsidR="001F1840" w:rsidRDefault="005575E5">
            <w:pPr>
              <w:pStyle w:val="Standard"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24CB64D9" w14:textId="299FD183" w:rsidR="005575E5" w:rsidRPr="005575E5" w:rsidRDefault="00FE6AE8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  <w:r w:rsidR="005575E5" w:rsidRPr="005575E5">
              <w:rPr>
                <w:rFonts w:ascii="Times New Roman" w:hAnsi="Times New Roman"/>
                <w:sz w:val="21"/>
                <w:szCs w:val="21"/>
              </w:rPr>
              <w:t xml:space="preserve"> sierpnia 2020r.</w:t>
            </w:r>
          </w:p>
          <w:p w14:paraId="314CBF4C" w14:textId="77777777" w:rsidR="001F1840" w:rsidRDefault="001F1840">
            <w:pPr>
              <w:pStyle w:val="Standard"/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8539E4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</w:p>
          <w:p w14:paraId="6AEBD133" w14:textId="5E8E6761" w:rsidR="001F1840" w:rsidRPr="00133FA3" w:rsidRDefault="00FE6AE8" w:rsidP="00133FA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Przepis art. 65 ust. 29 ustawy</w:t>
            </w:r>
            <w:r w:rsidR="001B1E42" w:rsidRPr="001B1E42">
              <w:rPr>
                <w:rFonts w:ascii="Times New Roman" w:hAnsi="Times New Roman"/>
              </w:rPr>
              <w:t xml:space="preserve"> z dnia 31 marca 2020 r. o zmianie ustawy o szczególnych rozwiązaniach związanych z zapobieganiem, przeciwdziałaniem i zwalczaniem COVID-19, innych chorób zakaźnych oraz wywołanych nimi sytuacji kryzysowych oraz niektórych innych ustaw (Dz. U. poz. 568, 695, 1086, 1262</w:t>
            </w:r>
            <w:r w:rsidR="001B1C86">
              <w:rPr>
                <w:rFonts w:ascii="Times New Roman" w:hAnsi="Times New Roman"/>
              </w:rPr>
              <w:t xml:space="preserve"> i </w:t>
            </w:r>
            <w:r w:rsidR="00351117">
              <w:rPr>
                <w:rFonts w:ascii="Times New Roman" w:hAnsi="Times New Roman"/>
              </w:rPr>
              <w:t>1478</w:t>
            </w:r>
            <w:r w:rsidR="001B1E42" w:rsidRPr="001B1E42">
              <w:rPr>
                <w:rFonts w:ascii="Times New Roman" w:hAnsi="Times New Roman"/>
              </w:rPr>
              <w:t>)</w:t>
            </w:r>
            <w:r w:rsidR="001B1E42">
              <w:rPr>
                <w:rFonts w:ascii="Times New Roman" w:hAnsi="Times New Roman"/>
              </w:rPr>
              <w:t>.</w:t>
            </w:r>
          </w:p>
          <w:p w14:paraId="73C56F56" w14:textId="77777777" w:rsidR="001F1840" w:rsidRDefault="004963E1">
            <w:pPr>
              <w:pStyle w:val="Standard"/>
              <w:spacing w:before="12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Pr="00A554A5">
              <w:rPr>
                <w:rFonts w:ascii="Times New Roman" w:hAnsi="Times New Roman"/>
                <w:b/>
                <w:color w:val="FF0000"/>
              </w:rPr>
              <w:t>………………….</w:t>
            </w:r>
          </w:p>
          <w:p w14:paraId="784D1FF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     </w:t>
            </w:r>
          </w:p>
          <w:p w14:paraId="41D02BF5" w14:textId="77777777" w:rsidR="001F1840" w:rsidRDefault="001F184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1840" w14:paraId="4C9BF72A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A8C2" w14:textId="29E8B080" w:rsidR="001F1840" w:rsidRDefault="004963E1">
            <w:pPr>
              <w:pStyle w:val="Standard"/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F1840" w14:paraId="5B89E551" w14:textId="77777777">
        <w:trPr>
          <w:trHeight w:val="333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D430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F1840" w14:paraId="1CB93A07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30E3" w14:textId="2842456B" w:rsidR="001F1840" w:rsidRPr="00006318" w:rsidRDefault="00006318" w:rsidP="004B5004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006318">
              <w:rPr>
                <w:rFonts w:ascii="Times New Roman" w:hAnsi="Times New Roman"/>
                <w:color w:val="000000"/>
              </w:rPr>
              <w:t>W celu przeciwdziałania epidemii COVID-19 w 2020</w:t>
            </w:r>
            <w:r w:rsidR="00FE6AE8">
              <w:rPr>
                <w:rFonts w:ascii="Times New Roman" w:hAnsi="Times New Roman"/>
                <w:color w:val="000000"/>
              </w:rPr>
              <w:t xml:space="preserve"> r.</w:t>
            </w:r>
            <w:r w:rsidRPr="00006318">
              <w:rPr>
                <w:rFonts w:ascii="Times New Roman" w:hAnsi="Times New Roman"/>
                <w:color w:val="000000"/>
              </w:rPr>
              <w:t xml:space="preserve"> podjęte zostały  działania mające zapobiegać rozprzestrzenianiu się koronawirusa. Wśród nich było czasowe ograniczenie działalności kulturalnej i rozrywkowej z</w:t>
            </w:r>
            <w:r w:rsidR="005F5D07">
              <w:rPr>
                <w:rFonts w:ascii="Times New Roman" w:hAnsi="Times New Roman"/>
                <w:color w:val="000000"/>
              </w:rPr>
              <w:t> </w:t>
            </w:r>
            <w:r w:rsidRPr="00006318">
              <w:rPr>
                <w:rFonts w:ascii="Times New Roman" w:hAnsi="Times New Roman"/>
                <w:color w:val="000000"/>
              </w:rPr>
              <w:t xml:space="preserve">udziałem publiczności, które trwało od </w:t>
            </w:r>
            <w:r w:rsidR="00EF24A4">
              <w:rPr>
                <w:rFonts w:ascii="Times New Roman" w:hAnsi="Times New Roman"/>
                <w:color w:val="000000"/>
              </w:rPr>
              <w:t xml:space="preserve">dnia 12 </w:t>
            </w:r>
            <w:r w:rsidRPr="00006318">
              <w:rPr>
                <w:rFonts w:ascii="Times New Roman" w:hAnsi="Times New Roman"/>
                <w:color w:val="000000"/>
              </w:rPr>
              <w:t>marca 2020</w:t>
            </w:r>
            <w:r w:rsidR="00FE6AE8">
              <w:rPr>
                <w:rFonts w:ascii="Times New Roman" w:hAnsi="Times New Roman"/>
                <w:color w:val="000000"/>
              </w:rPr>
              <w:t xml:space="preserve"> r.</w:t>
            </w:r>
            <w:r w:rsidRPr="00006318">
              <w:rPr>
                <w:rFonts w:ascii="Times New Roman" w:hAnsi="Times New Roman"/>
                <w:color w:val="000000"/>
              </w:rPr>
              <w:t xml:space="preserve"> w szczególności w obszarze działalności </w:t>
            </w:r>
            <w:r w:rsidR="00EF24A4">
              <w:rPr>
                <w:rFonts w:ascii="Times New Roman" w:hAnsi="Times New Roman"/>
                <w:color w:val="000000"/>
              </w:rPr>
              <w:t xml:space="preserve">twórczej o charakterze </w:t>
            </w:r>
            <w:r w:rsidRPr="00006318">
              <w:rPr>
                <w:rFonts w:ascii="Times New Roman" w:hAnsi="Times New Roman"/>
                <w:color w:val="000000"/>
              </w:rPr>
              <w:t>artystyczn</w:t>
            </w:r>
            <w:r w:rsidR="00EF24A4">
              <w:rPr>
                <w:rFonts w:ascii="Times New Roman" w:hAnsi="Times New Roman"/>
                <w:color w:val="000000"/>
              </w:rPr>
              <w:t>ym</w:t>
            </w:r>
            <w:r w:rsidRPr="00006318">
              <w:rPr>
                <w:rFonts w:ascii="Times New Roman" w:hAnsi="Times New Roman"/>
                <w:color w:val="000000"/>
              </w:rPr>
              <w:t>, realizowanej przez zespoły artystyczne z udziałem publiczności na żywo.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6AE8">
              <w:rPr>
                <w:rFonts w:ascii="Times New Roman" w:hAnsi="Times New Roman"/>
                <w:color w:val="000000"/>
              </w:rPr>
              <w:t>O</w:t>
            </w:r>
            <w:r w:rsidR="00FE6AE8" w:rsidRPr="00BA5047">
              <w:rPr>
                <w:rFonts w:ascii="Times New Roman" w:hAnsi="Times New Roman"/>
                <w:color w:val="000000"/>
              </w:rPr>
              <w:t xml:space="preserve">d dnia 6 czerwca 2020 r. możliwe jest </w:t>
            </w:r>
            <w:r w:rsidR="00FE6AE8">
              <w:rPr>
                <w:rFonts w:ascii="Times New Roman" w:hAnsi="Times New Roman"/>
                <w:color w:val="000000"/>
              </w:rPr>
              <w:t xml:space="preserve"> </w:t>
            </w:r>
            <w:r w:rsidR="00FE6AE8" w:rsidRPr="00BA5047">
              <w:rPr>
                <w:rFonts w:ascii="Times New Roman" w:hAnsi="Times New Roman"/>
                <w:color w:val="000000"/>
              </w:rPr>
              <w:t>prowadzenie działalności twórczej związanej z wszelkimi zbiorowymi formami kultury i rozrywki</w:t>
            </w:r>
            <w:r w:rsidR="007D6E5C">
              <w:rPr>
                <w:rFonts w:ascii="Times New Roman" w:hAnsi="Times New Roman"/>
                <w:color w:val="000000"/>
              </w:rPr>
              <w:t>,</w:t>
            </w:r>
            <w:r w:rsidR="00FE6AE8" w:rsidRPr="00BA5047">
              <w:rPr>
                <w:rFonts w:ascii="Times New Roman" w:hAnsi="Times New Roman"/>
                <w:color w:val="000000"/>
              </w:rPr>
              <w:t xml:space="preserve"> pod warunkiem udostępnienia nie więcej niż połowy liczby miejsc na widowni oraz przestrzegania norm sanitarnych. Z powyższych powodów doszło do znacznego obniżenia przychodów z działalności statutowej (sprzedaż biletów) oraz przychodów dodatkowych (najmy, sprzedaż usług). Utrzymujący się trend spadkowy przychodó</w:t>
            </w:r>
            <w:r w:rsidR="007D6E5C">
              <w:rPr>
                <w:rFonts w:ascii="Times New Roman" w:hAnsi="Times New Roman"/>
                <w:color w:val="000000"/>
              </w:rPr>
              <w:t>w</w:t>
            </w:r>
            <w:r w:rsidR="00FE6AE8" w:rsidRPr="00BA5047">
              <w:rPr>
                <w:rFonts w:ascii="Times New Roman" w:hAnsi="Times New Roman"/>
                <w:color w:val="000000"/>
              </w:rPr>
              <w:t xml:space="preserve"> podmiotów prowadzących działalność artystyczną, pogorszył w sposób trwały </w:t>
            </w:r>
            <w:r w:rsidR="00EF24A4">
              <w:rPr>
                <w:rFonts w:ascii="Times New Roman" w:hAnsi="Times New Roman"/>
                <w:color w:val="000000"/>
              </w:rPr>
              <w:t xml:space="preserve"> kondycję </w:t>
            </w:r>
            <w:r w:rsidR="00FE6AE8" w:rsidRPr="00BA5047">
              <w:rPr>
                <w:rFonts w:ascii="Times New Roman" w:hAnsi="Times New Roman"/>
                <w:color w:val="000000"/>
              </w:rPr>
              <w:t xml:space="preserve"> finansową </w:t>
            </w:r>
            <w:r w:rsidR="007D6E5C">
              <w:rPr>
                <w:rFonts w:ascii="Times New Roman" w:hAnsi="Times New Roman"/>
                <w:color w:val="000000"/>
              </w:rPr>
              <w:t xml:space="preserve">tych </w:t>
            </w:r>
            <w:r w:rsidR="00FE6AE8" w:rsidRPr="00BA5047">
              <w:rPr>
                <w:rFonts w:ascii="Times New Roman" w:hAnsi="Times New Roman"/>
                <w:color w:val="000000"/>
              </w:rPr>
              <w:t>podmiotów i stanowi zagrożenie dla ciągłości prowadzonej przez nie działalności artystycznej, dla stabilności miejsc pracy oraz dla możliwości wdrażania niezbędnych działań w ramach zapewnienia bezpieczeństwa pracy i </w:t>
            </w:r>
            <w:r w:rsidR="007D6E5C">
              <w:rPr>
                <w:rFonts w:ascii="Times New Roman" w:hAnsi="Times New Roman"/>
                <w:color w:val="000000"/>
              </w:rPr>
              <w:t xml:space="preserve">bezpiecznego </w:t>
            </w:r>
            <w:r w:rsidR="00FE6AE8" w:rsidRPr="00BA5047">
              <w:rPr>
                <w:rFonts w:ascii="Times New Roman" w:hAnsi="Times New Roman"/>
                <w:color w:val="000000"/>
              </w:rPr>
              <w:t xml:space="preserve">udziału publiczności w wydarzeniach artystycznych w warunkach epidemii. </w:t>
            </w:r>
            <w:r w:rsidR="001D6367">
              <w:rPr>
                <w:rFonts w:ascii="Times New Roman" w:hAnsi="Times New Roman"/>
                <w:color w:val="000000"/>
              </w:rPr>
              <w:t>I c</w:t>
            </w:r>
            <w:r>
              <w:rPr>
                <w:rFonts w:ascii="Times New Roman" w:hAnsi="Times New Roman"/>
                <w:color w:val="000000"/>
              </w:rPr>
              <w:t xml:space="preserve">hoć obostrzenia obowiązujące w tym zakresie były stopniowo ograniczane, a teatry oraz instytucje muzyki i tańca mogły powrócić do pracy w nowym reżimie sanitarnym od </w:t>
            </w:r>
            <w:r w:rsidR="00EF24A4">
              <w:rPr>
                <w:rFonts w:ascii="Times New Roman" w:hAnsi="Times New Roman"/>
                <w:color w:val="000000"/>
              </w:rPr>
              <w:t xml:space="preserve">dnia 6 </w:t>
            </w:r>
            <w:r>
              <w:rPr>
                <w:rFonts w:ascii="Times New Roman" w:hAnsi="Times New Roman"/>
                <w:color w:val="000000"/>
              </w:rPr>
              <w:t>czerwca</w:t>
            </w:r>
            <w:r w:rsidR="00EF24A4">
              <w:rPr>
                <w:rFonts w:ascii="Times New Roman" w:hAnsi="Times New Roman"/>
                <w:color w:val="000000"/>
              </w:rPr>
              <w:t xml:space="preserve"> br.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="002B50E8">
              <w:rPr>
                <w:rFonts w:ascii="Times New Roman" w:hAnsi="Times New Roman"/>
                <w:color w:val="000000"/>
              </w:rPr>
              <w:t xml:space="preserve">to </w:t>
            </w:r>
            <w:r>
              <w:rPr>
                <w:rFonts w:ascii="Times New Roman" w:hAnsi="Times New Roman"/>
                <w:color w:val="000000"/>
              </w:rPr>
              <w:t xml:space="preserve">spadek zainteresowania publiczności, a także ograniczenia dotyczące dostępu do oferty kulturalnej sprawiają, że podmioty prowadzące działalność artystyczną nadal ponoszą znaczące straty, zagrażające ich dalszemu funkcjonowaniu, trwałości zespołów artystycznych oraz </w:t>
            </w:r>
            <w:r w:rsidR="00EF24A4">
              <w:rPr>
                <w:rFonts w:ascii="Times New Roman" w:hAnsi="Times New Roman"/>
                <w:color w:val="000000"/>
              </w:rPr>
              <w:t xml:space="preserve">stabilności </w:t>
            </w:r>
            <w:r>
              <w:rPr>
                <w:rFonts w:ascii="Times New Roman" w:hAnsi="Times New Roman"/>
                <w:color w:val="000000"/>
              </w:rPr>
              <w:t>zatrudnieni</w:t>
            </w:r>
            <w:r w:rsidR="00EF24A4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BCB8BF7" w14:textId="26EB9C9F" w:rsidR="00F36FFC" w:rsidRDefault="002B50E8" w:rsidP="004B5004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 w:rsidRPr="00BA5047">
              <w:rPr>
                <w:rFonts w:ascii="Times New Roman" w:hAnsi="Times New Roman"/>
                <w:color w:val="000000"/>
              </w:rPr>
              <w:t>Z przeprowadzonego na zlecenie Narodowego Centrum Kultury badania skłonności obywateli do udziału w wydarzeniach kulturalnych wynika, że zaledwie 21% badanych wyraziło skłonność uczestnictwa z chwilą stworzenia takiej możliwości, 28% - zadeklarowało możliwość rozważenia uczestnictwa w wydarzeniach kulturalnych minimum miesiąc po otwarciu, 27% - minimum 3 miesiące po otwarciu, 16% zadeklarowało całkowity brak możliwości uczestnictwa w wydarzeniach kulturalnych na obecnie dostępnych warunkach w sytuacji epidemii. Na podstawie powyższego badania należy uznać spadek przychodów własnych za stan trwały, który będzie utrzymywał się w całym czasie trwania epidemii, pogarszając trwale sytuację finansową podmiotów prowadzących działalność artystyczną.</w:t>
            </w:r>
            <w:r w:rsidR="00F36FF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7E4552E" w14:textId="116DE135" w:rsidR="00F36FFC" w:rsidRPr="00EF24A4" w:rsidRDefault="00F36FFC" w:rsidP="004B5004">
            <w:pPr>
              <w:pStyle w:val="Standard"/>
              <w:jc w:val="both"/>
              <w:rPr>
                <w:rFonts w:ascii="Times New Roman" w:hAnsi="Times New Roman"/>
              </w:rPr>
            </w:pPr>
            <w:r w:rsidRPr="00EF24A4">
              <w:rPr>
                <w:rFonts w:ascii="Times New Roman" w:hAnsi="Times New Roman"/>
              </w:rPr>
              <w:t xml:space="preserve">Z analizy danych zebranych przez MKiDN wynika, że spadek przychodów przedsiębiorstw świadczących usługi wsparcia technicznego </w:t>
            </w:r>
            <w:r w:rsidR="006F6DE5" w:rsidRPr="00EF24A4">
              <w:rPr>
                <w:rFonts w:ascii="Times New Roman" w:hAnsi="Times New Roman"/>
              </w:rPr>
              <w:t>w dziedzinie teatru, muzyki i tańca w okresie marzec – lipiec 2020</w:t>
            </w:r>
            <w:r w:rsidR="001D6367">
              <w:rPr>
                <w:rFonts w:ascii="Times New Roman" w:hAnsi="Times New Roman"/>
              </w:rPr>
              <w:t xml:space="preserve"> r.</w:t>
            </w:r>
            <w:r w:rsidR="006F6DE5" w:rsidRPr="00EF24A4">
              <w:rPr>
                <w:rFonts w:ascii="Times New Roman" w:hAnsi="Times New Roman"/>
              </w:rPr>
              <w:t xml:space="preserve"> </w:t>
            </w:r>
            <w:r w:rsidR="00A940F8" w:rsidRPr="00EF24A4">
              <w:rPr>
                <w:rFonts w:ascii="Times New Roman" w:hAnsi="Times New Roman"/>
              </w:rPr>
              <w:t xml:space="preserve">wyniósł </w:t>
            </w:r>
            <w:r w:rsidR="006F6DE5" w:rsidRPr="00EF24A4">
              <w:rPr>
                <w:rFonts w:ascii="Times New Roman" w:hAnsi="Times New Roman"/>
              </w:rPr>
              <w:t xml:space="preserve"> od 30% do nawet 80% względem analogicznego okresu poprzedniego roku. </w:t>
            </w:r>
            <w:r w:rsidR="003A6DA9" w:rsidRPr="00EF24A4">
              <w:rPr>
                <w:rFonts w:ascii="Times New Roman" w:hAnsi="Times New Roman"/>
              </w:rPr>
              <w:t>Wobec ograniczonych możliwości organizacji koncertów i wydarzeń artystycznych</w:t>
            </w:r>
            <w:r w:rsidR="00A940F8" w:rsidRPr="00EF24A4">
              <w:rPr>
                <w:rFonts w:ascii="Times New Roman" w:hAnsi="Times New Roman"/>
              </w:rPr>
              <w:t xml:space="preserve">, </w:t>
            </w:r>
            <w:r w:rsidR="003A6DA9" w:rsidRPr="00EF24A4">
              <w:rPr>
                <w:rFonts w:ascii="Times New Roman" w:hAnsi="Times New Roman"/>
              </w:rPr>
              <w:t xml:space="preserve"> podmioty gospodarcze stale współpracujące z artystami w zakresie usług wsparcia technicznego mają bardzo ograniczone możliwości prowadzenia działalności oraz zapewnienia utrzymania swoich pracowników i podwykonawców. </w:t>
            </w:r>
          </w:p>
          <w:p w14:paraId="30648E70" w14:textId="52CE993A" w:rsidR="00F36FFC" w:rsidRPr="00006318" w:rsidRDefault="00F36FFC" w:rsidP="004B5004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0F36DFB0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E222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F1840" w14:paraId="166E9355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5D11" w14:textId="1E78073F" w:rsidR="002B50E8" w:rsidRPr="00EF24A4" w:rsidRDefault="00FE6AE8" w:rsidP="00BA5047">
            <w:pPr>
              <w:pStyle w:val="Standard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Pr="00DE3788">
              <w:rPr>
                <w:rFonts w:ascii="Times New Roman" w:eastAsia="Times New Roman" w:hAnsi="Times New Roman"/>
              </w:rPr>
              <w:t xml:space="preserve">rojektowana regulacja ma na celu przeciwdziałanie skutkom społeczno-gospodarczym COVID-19 w zakresie działalności kulturalnej prowadzonej przez samorządowe instytucje artystyczne w rozumieniu ustawy z dnia 25 października 1991 r. o organizowaniu i prowadzeniu działalności kulturalnej (Dz. U. z 2020 r. poz. 194), organizacje pozarządowe w rozumieniu przepisów ustawy z dnia 24 kwietnia 2003 r. o działalności pożytku publicznego i o wolontariacie (Dz. U. z 2020 r. poz. </w:t>
            </w:r>
            <w:r w:rsidRPr="00DE3788">
              <w:rPr>
                <w:rFonts w:ascii="Times New Roman" w:eastAsia="Times New Roman" w:hAnsi="Times New Roman"/>
              </w:rPr>
              <w:lastRenderedPageBreak/>
              <w:t xml:space="preserve">1057) prowadzące działalność w dziedzinie teatru, muzyki lub tańca oraz </w:t>
            </w:r>
            <w:r w:rsidRPr="00DE3788">
              <w:rPr>
                <w:rFonts w:ascii="Times New Roman" w:eastAsia="Times" w:hAnsi="Times New Roman"/>
                <w:color w:val="000000"/>
              </w:rPr>
              <w:t xml:space="preserve">przedsiębiorców w rozumieniu przepisów ustawy z dnia 6 marca 2018 r. - Prawo przedsiębiorców (Dz. U. z 2019 r. poz. 1292 i 1492 oraz z 2020 r. poz. 424 i 1086) </w:t>
            </w:r>
            <w:r w:rsidRPr="00DE3788">
              <w:rPr>
                <w:rFonts w:ascii="Times New Roman" w:hAnsi="Times New Roman"/>
              </w:rPr>
              <w:t>prowadzących działalność gospodarczą w dziedzinie teatru, m</w:t>
            </w:r>
            <w:r w:rsidRPr="00EF24A4">
              <w:rPr>
                <w:rFonts w:ascii="Times New Roman" w:hAnsi="Times New Roman"/>
                <w:color w:val="000000" w:themeColor="text1"/>
              </w:rPr>
              <w:t>u</w:t>
            </w:r>
            <w:r w:rsidR="00430D35" w:rsidRPr="00EF24A4">
              <w:rPr>
                <w:rFonts w:ascii="Times New Roman" w:hAnsi="Times New Roman"/>
                <w:color w:val="000000" w:themeColor="text1"/>
              </w:rPr>
              <w:t xml:space="preserve">zyki i </w:t>
            </w:r>
            <w:r w:rsidRPr="00EF24A4">
              <w:rPr>
                <w:rFonts w:ascii="Times New Roman" w:hAnsi="Times New Roman"/>
                <w:color w:val="000000" w:themeColor="text1"/>
              </w:rPr>
              <w:t>tańca</w:t>
            </w:r>
            <w:r w:rsidR="00430D35" w:rsidRPr="00EF24A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30D35" w:rsidRPr="00EF24A4">
              <w:rPr>
                <w:rFonts w:ascii="Times New Roman" w:hAnsi="Times New Roman"/>
              </w:rPr>
              <w:t>lub świadczących usługi wspomagające tę działalność przez organizację zaplecza technicznego</w:t>
            </w:r>
            <w:r w:rsidR="00430D35" w:rsidRPr="00EF24A4">
              <w:rPr>
                <w:rFonts w:ascii="Times New Roman" w:eastAsia="Times New Roman" w:hAnsi="Times New Roman"/>
              </w:rPr>
              <w:t xml:space="preserve">.  </w:t>
            </w:r>
          </w:p>
          <w:p w14:paraId="1D8D05D5" w14:textId="77777777" w:rsidR="002B50E8" w:rsidRPr="00DE3788" w:rsidRDefault="002B50E8" w:rsidP="002B50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378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Projekt rozporządzenia przewiduje zatem możliwość ubiegania się przez poszczególne podmioty prowadzące działalność kulturalną w dziedzinie teatru, muzyki lub tańca o wsparcie finansowe pochodzące ze środków Funduszu Przeciwdziałania COVID-19 </w:t>
            </w:r>
            <w:r w:rsidRPr="00DE3788">
              <w:rPr>
                <w:rFonts w:ascii="Times New Roman" w:hAnsi="Times New Roman" w:cs="Times New Roman"/>
                <w:sz w:val="22"/>
                <w:szCs w:val="22"/>
              </w:rPr>
              <w:t xml:space="preserve">jako rekompensatę z tytułu utraconych przychodów w okresie od dnia 12 marca do dnia 31 grudnia 2020 r. </w:t>
            </w:r>
            <w:r w:rsidRPr="00DE3788">
              <w:rPr>
                <w:rFonts w:ascii="Times New Roman" w:eastAsia="Times New Roman" w:hAnsi="Times New Roman" w:cs="Times New Roman"/>
                <w:sz w:val="22"/>
                <w:szCs w:val="22"/>
              </w:rPr>
              <w:t>w następującym zakresie:</w:t>
            </w:r>
          </w:p>
          <w:p w14:paraId="46256E95" w14:textId="77777777" w:rsidR="002B50E8" w:rsidRPr="00DE3788" w:rsidRDefault="002B50E8" w:rsidP="002B50E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10186E" w14:textId="77777777" w:rsidR="002B50E8" w:rsidRPr="00DE3788" w:rsidRDefault="002B50E8" w:rsidP="002B50E8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DE3788">
              <w:rPr>
                <w:rFonts w:ascii="Times New Roman" w:eastAsia="Times New Roman" w:hAnsi="Times New Roman"/>
                <w:color w:val="000000"/>
              </w:rPr>
              <w:t xml:space="preserve">samorządowe instytucje artystyczne </w:t>
            </w:r>
            <w:r w:rsidRPr="00DE3788">
              <w:rPr>
                <w:rFonts w:ascii="Times New Roman" w:eastAsia="Times New Roman" w:hAnsi="Times New Roman"/>
              </w:rPr>
              <w:t>w rozumieniu ustawy z dnia 25 października 1991 r. o organizowaniu i prowadzeniu działalności kulturalnej</w:t>
            </w:r>
            <w:r w:rsidRPr="00EB209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B2095">
              <w:rPr>
                <w:rFonts w:ascii="Times New Roman" w:eastAsia="Times" w:hAnsi="Times New Roman"/>
                <w:color w:val="000000"/>
              </w:rPr>
              <w:t>prowadzące działalność w dziedzinie teatru, muzyki lub tańca</w:t>
            </w:r>
            <w:r w:rsidRPr="00EB2095">
              <w:rPr>
                <w:rFonts w:ascii="Times New Roman" w:eastAsia="Times New Roman" w:hAnsi="Times New Roman"/>
                <w:color w:val="000000"/>
              </w:rPr>
              <w:t xml:space="preserve"> w wysokości do 40% przychodów netto </w:t>
            </w:r>
            <w:r w:rsidRPr="00DE3788">
              <w:rPr>
                <w:rFonts w:ascii="Times New Roman" w:eastAsia="Times New Roman" w:hAnsi="Times New Roman"/>
                <w:color w:val="000000"/>
              </w:rPr>
              <w:t>z działalności statutowej oraz dodatkowej, obliczonych na podstawie danych z analogicznego okresu w 2019 r.;</w:t>
            </w:r>
          </w:p>
          <w:p w14:paraId="758606AE" w14:textId="77777777" w:rsidR="002B50E8" w:rsidRPr="00DE3788" w:rsidRDefault="002B50E8" w:rsidP="002B50E8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DE3788">
              <w:rPr>
                <w:rFonts w:ascii="Times New Roman" w:eastAsia="Times" w:hAnsi="Times New Roman"/>
                <w:color w:val="000000"/>
              </w:rPr>
              <w:t xml:space="preserve">organizacje pozarządowe </w:t>
            </w:r>
            <w:r w:rsidRPr="00DE3788">
              <w:rPr>
                <w:rFonts w:ascii="Times New Roman" w:eastAsia="Times New Roman" w:hAnsi="Times New Roman"/>
              </w:rPr>
              <w:t>w rozumieniu przepisów ustawy z dnia 24 kwietnia 2003 r. o działalności pożytku publicznego i o wolontariacie</w:t>
            </w:r>
            <w:r w:rsidRPr="00DE3788">
              <w:rPr>
                <w:rFonts w:ascii="Times New Roman" w:eastAsia="Times" w:hAnsi="Times New Roman"/>
                <w:color w:val="000000"/>
              </w:rPr>
              <w:t xml:space="preserve"> prowadzące działalność w dziedzinie teatru, muzyki lub tańca </w:t>
            </w:r>
            <w:r w:rsidRPr="00DE3788">
              <w:rPr>
                <w:rFonts w:ascii="Times New Roman" w:eastAsia="Times New Roman" w:hAnsi="Times New Roman"/>
                <w:color w:val="000000"/>
              </w:rPr>
              <w:t xml:space="preserve">w wysokości do </w:t>
            </w:r>
            <w:r w:rsidRPr="00DE3788">
              <w:rPr>
                <w:rFonts w:ascii="Times New Roman" w:hAnsi="Times New Roman"/>
              </w:rPr>
              <w:t>50% przychodów netto ze sprzedaży usług związanych z działalnością kulturalną w dziedzinie teatru muzyki lub tańca</w:t>
            </w:r>
            <w:r w:rsidRPr="00DE3788">
              <w:rPr>
                <w:rFonts w:ascii="Times New Roman" w:eastAsia="Times New Roman" w:hAnsi="Times New Roman"/>
                <w:color w:val="000000"/>
              </w:rPr>
              <w:t>, obliczonych na podstawie danych z analogicznego okresu w 2019 r.;</w:t>
            </w:r>
          </w:p>
          <w:p w14:paraId="31BB2F6F" w14:textId="77777777" w:rsidR="002B50E8" w:rsidRPr="00DE3788" w:rsidRDefault="002B50E8" w:rsidP="002B50E8">
            <w:pPr>
              <w:pStyle w:val="Akapitzlist"/>
              <w:numPr>
                <w:ilvl w:val="0"/>
                <w:numId w:val="40"/>
              </w:numPr>
              <w:suppressAutoHyphens w:val="0"/>
              <w:autoSpaceDN/>
              <w:spacing w:after="160" w:line="254" w:lineRule="auto"/>
              <w:contextualSpacing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  <w:r w:rsidRPr="00DE3788">
              <w:rPr>
                <w:rFonts w:ascii="Times New Roman" w:eastAsia="Times New Roman" w:hAnsi="Times New Roman"/>
                <w:color w:val="000000"/>
              </w:rPr>
              <w:t xml:space="preserve">przedsiębiorcy </w:t>
            </w:r>
            <w:r w:rsidRPr="00DE3788">
              <w:rPr>
                <w:rFonts w:ascii="Times New Roman" w:eastAsia="Times" w:hAnsi="Times New Roman"/>
                <w:color w:val="000000"/>
              </w:rPr>
              <w:t>w rozumieniu przepisów ustawy z dnia 6 marca 2018 r. - Prawo przedsiębiorców</w:t>
            </w:r>
            <w:r w:rsidRPr="00DE3788">
              <w:rPr>
                <w:rFonts w:ascii="Times New Roman" w:eastAsia="Times New Roman" w:hAnsi="Times New Roman"/>
                <w:color w:val="000000"/>
              </w:rPr>
              <w:t xml:space="preserve"> prowadzący działalność gospodarczą w dziedzinie teatru, muzyki lub tańca </w:t>
            </w:r>
            <w:r w:rsidRPr="00DE3788">
              <w:rPr>
                <w:rFonts w:ascii="Times New Roman" w:hAnsi="Times New Roman"/>
              </w:rPr>
              <w:t xml:space="preserve"> </w:t>
            </w:r>
            <w:r w:rsidRPr="00DE3788">
              <w:rPr>
                <w:rFonts w:ascii="Times New Roman" w:eastAsia="Times New Roman" w:hAnsi="Times New Roman"/>
                <w:color w:val="000000"/>
              </w:rPr>
              <w:t xml:space="preserve">w wysokości do </w:t>
            </w:r>
            <w:r w:rsidRPr="00DE3788">
              <w:rPr>
                <w:rFonts w:ascii="Times New Roman" w:hAnsi="Times New Roman"/>
              </w:rPr>
              <w:t xml:space="preserve">50 % przychodów netto ze sprzedaży usług związanych z działalnością kulturalną w </w:t>
            </w:r>
            <w:r w:rsidRPr="00EB2095">
              <w:rPr>
                <w:rFonts w:ascii="Times New Roman" w:hAnsi="Times New Roman"/>
              </w:rPr>
              <w:t>dziedzinie teatru, muzyki lub tańca, w tym usług wspomagających tę działalność przez organizację zaplecza technicznego</w:t>
            </w:r>
            <w:r w:rsidRPr="00DE3788">
              <w:rPr>
                <w:rFonts w:ascii="Times New Roman" w:eastAsia="Times New Roman" w:hAnsi="Times New Roman"/>
                <w:color w:val="000000"/>
              </w:rPr>
              <w:t>, obliczonych na podstawie danych z analogicznego okresu w 2019 r.</w:t>
            </w:r>
          </w:p>
          <w:p w14:paraId="107ECC18" w14:textId="75F1D8D3" w:rsidR="00522574" w:rsidRPr="00DE3788" w:rsidRDefault="008F15D8" w:rsidP="00BA5047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DE3788">
              <w:rPr>
                <w:rFonts w:ascii="Times New Roman" w:hAnsi="Times New Roman"/>
                <w:color w:val="000000"/>
              </w:rPr>
              <w:t xml:space="preserve">W celu ograniczenia możliwości łączenia wsparcia z różnych </w:t>
            </w:r>
            <w:r w:rsidR="00EF24A4">
              <w:rPr>
                <w:rFonts w:ascii="Times New Roman" w:hAnsi="Times New Roman"/>
                <w:color w:val="000000"/>
              </w:rPr>
              <w:t>źródeł budżetowych,</w:t>
            </w:r>
            <w:r w:rsidRPr="00DE3788">
              <w:rPr>
                <w:rFonts w:ascii="Times New Roman" w:hAnsi="Times New Roman"/>
                <w:color w:val="000000"/>
              </w:rPr>
              <w:t xml:space="preserve"> środki otrzymywane przez poszczególne podmioty pomniejszone </w:t>
            </w:r>
            <w:r w:rsidR="002B50E8" w:rsidRPr="00DE3788">
              <w:rPr>
                <w:rFonts w:ascii="Times New Roman" w:hAnsi="Times New Roman"/>
                <w:color w:val="000000"/>
              </w:rPr>
              <w:t xml:space="preserve">będą </w:t>
            </w:r>
            <w:r w:rsidRPr="00DE3788">
              <w:rPr>
                <w:rFonts w:ascii="Times New Roman" w:hAnsi="Times New Roman"/>
                <w:color w:val="000000"/>
              </w:rPr>
              <w:t xml:space="preserve">o wsparcie otrzymane przez </w:t>
            </w:r>
            <w:r w:rsidR="002B50E8" w:rsidRPr="00DE3788">
              <w:rPr>
                <w:rFonts w:ascii="Times New Roman" w:hAnsi="Times New Roman"/>
                <w:color w:val="000000"/>
              </w:rPr>
              <w:t xml:space="preserve">te </w:t>
            </w:r>
            <w:r w:rsidRPr="00DE3788">
              <w:rPr>
                <w:rFonts w:ascii="Times New Roman" w:hAnsi="Times New Roman"/>
                <w:color w:val="000000"/>
              </w:rPr>
              <w:t>podmioty ze środków publicznych w związku z</w:t>
            </w:r>
            <w:r w:rsidR="00BA5506" w:rsidRPr="00DE3788">
              <w:rPr>
                <w:rFonts w:ascii="Times New Roman" w:hAnsi="Times New Roman"/>
                <w:color w:val="000000"/>
              </w:rPr>
              <w:t> </w:t>
            </w:r>
            <w:r w:rsidRPr="00DE3788">
              <w:rPr>
                <w:rFonts w:ascii="Times New Roman" w:hAnsi="Times New Roman"/>
                <w:color w:val="000000"/>
              </w:rPr>
              <w:t>przeciwdziałaniem i</w:t>
            </w:r>
            <w:r w:rsidR="00BD608E" w:rsidRPr="00DE3788">
              <w:rPr>
                <w:rFonts w:ascii="Times New Roman" w:hAnsi="Times New Roman"/>
                <w:color w:val="000000"/>
              </w:rPr>
              <w:t> </w:t>
            </w:r>
            <w:r w:rsidRPr="00DE3788">
              <w:rPr>
                <w:rFonts w:ascii="Times New Roman" w:hAnsi="Times New Roman"/>
                <w:color w:val="000000"/>
              </w:rPr>
              <w:t>zwalczaniem COVID-19.</w:t>
            </w:r>
          </w:p>
          <w:p w14:paraId="5CFA3565" w14:textId="0F54CC78" w:rsidR="008F15D8" w:rsidRPr="00DE3788" w:rsidRDefault="00DE3788" w:rsidP="00BA5047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DE3788">
              <w:rPr>
                <w:rFonts w:ascii="Times New Roman" w:hAnsi="Times New Roman"/>
              </w:rPr>
              <w:t>Projekt określa zasady rozdziału i przekazywania  ww. wsparcia, zakres, sposób i termin przedstawiania informacji o wykorzystaniu wsparcia oraz sposób udzielania wsparcia przez ministra właściwego do spraw kultury i ochrony dziedzictwa narodowego lub przez wskazane państwowe instytucje kultury podległe ministrowi właściwemu do spraw kultury i ochrony dziedzictwa narodowego.</w:t>
            </w:r>
          </w:p>
          <w:p w14:paraId="5D58101A" w14:textId="3A6337A3" w:rsidR="00BD608E" w:rsidRPr="00E30E2F" w:rsidRDefault="00BD608E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29BD484A" w14:textId="77777777">
        <w:trPr>
          <w:trHeight w:val="307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EE36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1F1840" w14:paraId="092E00FC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F26B" w14:textId="1E3C99FB" w:rsidR="001F1840" w:rsidRDefault="000A4FAE" w:rsidP="00FE7937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Kraje Unii Europejskiej podjęły działania mające na celu wsparcie sektora kultury, a w szczególności branży widowisk, która w sposób szczególny ucierpiała w wyniku pandemii koronawirusa COVID-19.</w:t>
            </w:r>
          </w:p>
          <w:p w14:paraId="376DC511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F1840" w14:paraId="24DA767A" w14:textId="77777777">
        <w:trPr>
          <w:trHeight w:val="359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4ED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F1840" w14:paraId="6F148381" w14:textId="77777777">
        <w:trPr>
          <w:trHeight w:val="142"/>
        </w:trPr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D9A5" w14:textId="77777777" w:rsidR="001F1840" w:rsidRDefault="004963E1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1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790A" w14:textId="77777777" w:rsidR="001F1840" w:rsidRDefault="004963E1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5644" w14:textId="77777777" w:rsidR="001F1840" w:rsidRDefault="004963E1">
            <w:pPr>
              <w:pStyle w:val="Standard"/>
              <w:spacing w:before="40" w:line="240" w:lineRule="auto"/>
              <w:jc w:val="center"/>
            </w:pPr>
            <w:r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3C2D" w14:textId="77777777" w:rsidR="001F1840" w:rsidRDefault="004963E1">
            <w:pPr>
              <w:pStyle w:val="Standard"/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F1840" w14:paraId="53DA590A" w14:textId="77777777">
        <w:trPr>
          <w:trHeight w:val="142"/>
        </w:trPr>
        <w:tc>
          <w:tcPr>
            <w:tcW w:w="2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D622" w14:textId="41A6E7FD" w:rsidR="001F1840" w:rsidRDefault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Samorządowe instytucje artystyczne</w:t>
            </w:r>
          </w:p>
        </w:tc>
        <w:tc>
          <w:tcPr>
            <w:tcW w:w="315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07C6" w14:textId="3D369934" w:rsidR="001F1840" w:rsidRPr="00F44839" w:rsidRDefault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14:paraId="3A1CFB7D" w14:textId="77777777" w:rsidR="001F1840" w:rsidRPr="00F44839" w:rsidRDefault="001F1840">
            <w:pPr>
              <w:pStyle w:val="Standard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E5AF99" w14:textId="1F55CDC4" w:rsidR="001F1840" w:rsidRPr="00F44839" w:rsidRDefault="001F1840">
            <w:pPr>
              <w:pStyle w:val="Standard"/>
              <w:spacing w:line="240" w:lineRule="auto"/>
            </w:pPr>
          </w:p>
        </w:tc>
        <w:tc>
          <w:tcPr>
            <w:tcW w:w="271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58B8" w14:textId="24EA1FD9" w:rsidR="001F1840" w:rsidRPr="00F44839" w:rsidRDefault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Dane własne MKiDN, GUS</w:t>
            </w:r>
          </w:p>
        </w:tc>
        <w:tc>
          <w:tcPr>
            <w:tcW w:w="2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6848" w14:textId="29F05244" w:rsidR="001F1840" w:rsidRPr="00F44839" w:rsidRDefault="009C16F2" w:rsidP="00DE3788">
            <w:pPr>
              <w:pStyle w:val="Standard"/>
              <w:spacing w:before="4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Możliw</w:t>
            </w:r>
            <w:r w:rsidR="00C220B6">
              <w:rPr>
                <w:rFonts w:ascii="Times New Roman" w:hAnsi="Times New Roman"/>
                <w:sz w:val="20"/>
                <w:szCs w:val="20"/>
              </w:rPr>
              <w:t xml:space="preserve">ość złożenia wniosku o </w:t>
            </w:r>
            <w:r w:rsidR="00DE3788">
              <w:rPr>
                <w:rFonts w:ascii="Times New Roman" w:hAnsi="Times New Roman"/>
                <w:sz w:val="20"/>
                <w:szCs w:val="20"/>
              </w:rPr>
              <w:t>wsparcie finansowe</w:t>
            </w:r>
            <w:r w:rsidR="00284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1840" w14:paraId="0A8935F3" w14:textId="77777777">
        <w:trPr>
          <w:trHeight w:val="142"/>
        </w:trPr>
        <w:tc>
          <w:tcPr>
            <w:tcW w:w="2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A806" w14:textId="14537B9A" w:rsidR="001F1840" w:rsidRDefault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Organizacje pozarządowe prowadzące </w:t>
            </w:r>
            <w:r w:rsidRPr="0028434D">
              <w:rPr>
                <w:rFonts w:ascii="Times New Roman" w:hAnsi="Times New Roman"/>
                <w:sz w:val="20"/>
                <w:szCs w:val="20"/>
              </w:rPr>
              <w:t>działalność w dziedzinie teatru, muzyki lub tańca</w:t>
            </w:r>
          </w:p>
        </w:tc>
        <w:tc>
          <w:tcPr>
            <w:tcW w:w="315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3A87" w14:textId="241795D8" w:rsidR="001F1840" w:rsidRPr="00F44839" w:rsidRDefault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271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1E20" w14:textId="4BAB6E12" w:rsidR="001F1840" w:rsidRPr="00F44839" w:rsidRDefault="0028434D" w:rsidP="0028434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8434D">
              <w:rPr>
                <w:rFonts w:ascii="Times New Roman" w:hAnsi="Times New Roman"/>
                <w:sz w:val="20"/>
                <w:szCs w:val="20"/>
              </w:rPr>
              <w:t>apo</w:t>
            </w:r>
            <w:r>
              <w:rPr>
                <w:rFonts w:ascii="Times New Roman" w:hAnsi="Times New Roman"/>
                <w:sz w:val="20"/>
                <w:szCs w:val="20"/>
              </w:rPr>
              <w:t>rty</w:t>
            </w:r>
            <w:r w:rsidRPr="0028434D">
              <w:rPr>
                <w:rFonts w:ascii="Times New Roman" w:hAnsi="Times New Roman"/>
                <w:sz w:val="20"/>
                <w:szCs w:val="20"/>
              </w:rPr>
              <w:t xml:space="preserve"> GUS z 2016 r. oraz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8434D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28434D">
              <w:rPr>
                <w:rFonts w:ascii="Times New Roman" w:hAnsi="Times New Roman"/>
                <w:sz w:val="20"/>
                <w:szCs w:val="20"/>
              </w:rPr>
              <w:t xml:space="preserve"> z 2018 r.</w:t>
            </w:r>
          </w:p>
        </w:tc>
        <w:tc>
          <w:tcPr>
            <w:tcW w:w="2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8BD7" w14:textId="77777777" w:rsidR="001F1840" w:rsidRPr="00F44839" w:rsidRDefault="004963E1">
            <w:pPr>
              <w:pStyle w:val="Standard"/>
              <w:spacing w:before="40" w:line="240" w:lineRule="auto"/>
            </w:pPr>
            <w:r w:rsidRPr="00F44839">
              <w:rPr>
                <w:rFonts w:ascii="Times New Roman" w:hAnsi="Times New Roman"/>
                <w:sz w:val="20"/>
                <w:szCs w:val="20"/>
              </w:rPr>
              <w:t>jw.</w:t>
            </w:r>
          </w:p>
          <w:p w14:paraId="2E4790C2" w14:textId="77777777" w:rsidR="001F1840" w:rsidRPr="00F44839" w:rsidRDefault="001F1840">
            <w:pPr>
              <w:pStyle w:val="Standard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840" w:rsidRPr="00EF24A4" w14:paraId="6CCE10F1" w14:textId="77777777">
        <w:trPr>
          <w:trHeight w:val="142"/>
        </w:trPr>
        <w:tc>
          <w:tcPr>
            <w:tcW w:w="27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6C17" w14:textId="7A5EF616" w:rsidR="001F1840" w:rsidRPr="00EF24A4" w:rsidRDefault="002430BB">
            <w:pPr>
              <w:pStyle w:val="Standard"/>
              <w:spacing w:line="240" w:lineRule="auto"/>
            </w:pPr>
            <w:r w:rsidRPr="00EF24A4">
              <w:rPr>
                <w:rFonts w:ascii="Times New Roman" w:hAnsi="Times New Roman"/>
                <w:sz w:val="20"/>
                <w:szCs w:val="20"/>
              </w:rPr>
              <w:t>Przedsiębiorcy prowadzący działalność gospodarczą w dziedzinie teatru, muzyki lub tańca</w:t>
            </w:r>
            <w:r w:rsidR="00E47158" w:rsidRPr="00EF24A4">
              <w:rPr>
                <w:rFonts w:ascii="Times New Roman" w:hAnsi="Times New Roman"/>
                <w:sz w:val="20"/>
                <w:szCs w:val="20"/>
              </w:rPr>
              <w:t xml:space="preserve"> w tym świadczący usługi wspierające tę działalność w zakresie zaplecza technicznego </w:t>
            </w:r>
          </w:p>
        </w:tc>
        <w:tc>
          <w:tcPr>
            <w:tcW w:w="315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C475" w14:textId="0390B813" w:rsidR="001F1840" w:rsidRPr="00EF24A4" w:rsidRDefault="00E47158">
            <w:pPr>
              <w:pStyle w:val="Standard"/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24A4">
              <w:rPr>
                <w:rFonts w:ascii="Times New Roman" w:hAnsi="Times New Roman"/>
                <w:sz w:val="20"/>
                <w:szCs w:val="20"/>
              </w:rPr>
              <w:t xml:space="preserve">10 000  </w:t>
            </w:r>
          </w:p>
        </w:tc>
        <w:tc>
          <w:tcPr>
            <w:tcW w:w="271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0FF3" w14:textId="61F25B4F" w:rsidR="001F1840" w:rsidRPr="006363F2" w:rsidRDefault="00687A3C">
            <w:pPr>
              <w:pStyle w:val="Standard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3F2">
              <w:rPr>
                <w:rFonts w:ascii="Times New Roman" w:hAnsi="Times New Roman"/>
                <w:sz w:val="20"/>
                <w:szCs w:val="20"/>
              </w:rPr>
              <w:t>Informacja sygnalna GUS z 14.08.2020r. - Wpływ pandemii COVID-19 na podmioty działające w obszarze kultury w I kwartale 2020 r.</w:t>
            </w:r>
          </w:p>
        </w:tc>
        <w:tc>
          <w:tcPr>
            <w:tcW w:w="24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A177" w14:textId="5B57ED43" w:rsidR="001F1840" w:rsidRPr="00EF24A4" w:rsidRDefault="00057611" w:rsidP="00F40BAC">
            <w:pPr>
              <w:pStyle w:val="Standard"/>
              <w:spacing w:before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4A4">
              <w:rPr>
                <w:rFonts w:ascii="Times New Roman" w:hAnsi="Times New Roman"/>
                <w:sz w:val="20"/>
                <w:szCs w:val="20"/>
              </w:rPr>
              <w:t xml:space="preserve">j.w. </w:t>
            </w:r>
          </w:p>
        </w:tc>
      </w:tr>
      <w:tr w:rsidR="001F1840" w14:paraId="461AB496" w14:textId="77777777">
        <w:trPr>
          <w:trHeight w:val="30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EF07" w14:textId="77777777" w:rsidR="001F1840" w:rsidRPr="00F44839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 w:rsidRPr="00F44839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F1840" w14:paraId="19005399" w14:textId="77777777" w:rsidTr="00294EC9">
        <w:trPr>
          <w:trHeight w:val="138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104B" w14:textId="5CD2B459" w:rsidR="001F1840" w:rsidRDefault="00DE3788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</w:t>
            </w:r>
            <w:r w:rsidR="00272EDA">
              <w:rPr>
                <w:rFonts w:ascii="Times New Roman" w:hAnsi="Times New Roman"/>
                <w:color w:val="000000"/>
                <w:spacing w:val="-2"/>
              </w:rPr>
              <w:t>ozporządzenie</w:t>
            </w:r>
            <w:r w:rsidR="00294EC9">
              <w:rPr>
                <w:rFonts w:ascii="Times New Roman" w:hAnsi="Times New Roman"/>
                <w:color w:val="000000"/>
                <w:spacing w:val="-2"/>
              </w:rPr>
              <w:t xml:space="preserve"> odpowiada na apele środowiska artystycznego o wsparcie i rekompensatę strat poniesionych w wyniku epidemii COVID-19. Propozycja mechanizmu wsparcia została sformułowana przez działający przy Instytucie Teatralnym im.</w:t>
            </w:r>
            <w:r w:rsidR="0003719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294EC9">
              <w:rPr>
                <w:rFonts w:ascii="Times New Roman" w:hAnsi="Times New Roman"/>
                <w:color w:val="000000"/>
                <w:spacing w:val="-2"/>
              </w:rPr>
              <w:t>Zbigniewa Raszewskiego</w:t>
            </w:r>
            <w:r w:rsidR="00C4762F" w:rsidRPr="00C4762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F79E3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C4762F" w:rsidRPr="00C4762F">
              <w:rPr>
                <w:rFonts w:ascii="Times New Roman" w:hAnsi="Times New Roman"/>
                <w:color w:val="000000"/>
                <w:spacing w:val="-2"/>
              </w:rPr>
              <w:t>espół ekspercki ds. sytuacji teatru w czasie pandemii</w:t>
            </w:r>
            <w:r w:rsidR="0034002B" w:rsidRPr="0034002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6351BB">
              <w:t xml:space="preserve"> </w:t>
            </w:r>
            <w:r w:rsidR="00EF24A4">
              <w:t xml:space="preserve"> </w:t>
            </w:r>
            <w:r w:rsidR="00EF24A4" w:rsidRPr="00EF24A4">
              <w:rPr>
                <w:rFonts w:ascii="Times New Roman" w:hAnsi="Times New Roman"/>
              </w:rPr>
              <w:t>skupiający</w:t>
            </w:r>
            <w:r w:rsidR="00EF24A4">
              <w:t xml:space="preserve">  </w:t>
            </w:r>
            <w:r w:rsidR="006351BB" w:rsidRPr="006351BB">
              <w:rPr>
                <w:rFonts w:ascii="Times New Roman" w:hAnsi="Times New Roman"/>
                <w:color w:val="000000"/>
                <w:spacing w:val="-2"/>
              </w:rPr>
              <w:t xml:space="preserve"> prakty</w:t>
            </w:r>
            <w:r w:rsidR="00EF24A4">
              <w:rPr>
                <w:rFonts w:ascii="Times New Roman" w:hAnsi="Times New Roman"/>
                <w:color w:val="000000"/>
                <w:spacing w:val="-2"/>
              </w:rPr>
              <w:t>ków</w:t>
            </w:r>
            <w:r w:rsidR="006351BB" w:rsidRPr="006351BB">
              <w:rPr>
                <w:rFonts w:ascii="Times New Roman" w:hAnsi="Times New Roman"/>
                <w:color w:val="000000"/>
                <w:spacing w:val="-2"/>
              </w:rPr>
              <w:t xml:space="preserve"> pracujący</w:t>
            </w:r>
            <w:r w:rsidR="00EF24A4">
              <w:rPr>
                <w:rFonts w:ascii="Times New Roman" w:hAnsi="Times New Roman"/>
                <w:color w:val="000000"/>
                <w:spacing w:val="-2"/>
              </w:rPr>
              <w:t>ch</w:t>
            </w:r>
            <w:r w:rsidR="006351BB" w:rsidRPr="006351BB">
              <w:rPr>
                <w:rFonts w:ascii="Times New Roman" w:hAnsi="Times New Roman"/>
                <w:color w:val="000000"/>
                <w:spacing w:val="-2"/>
              </w:rPr>
              <w:t xml:space="preserve"> w różnych obszarach teatru, przedstawiciel</w:t>
            </w:r>
            <w:r w:rsidR="00EF24A4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6351BB" w:rsidRPr="006351BB">
              <w:rPr>
                <w:rFonts w:ascii="Times New Roman" w:hAnsi="Times New Roman"/>
                <w:color w:val="000000"/>
                <w:spacing w:val="-2"/>
              </w:rPr>
              <w:t xml:space="preserve"> związków i stowarzyszeń zawodowych oraz organizatorów życia teatralnego w</w:t>
            </w:r>
            <w:r w:rsidR="00846CF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6351BB" w:rsidRPr="006351BB">
              <w:rPr>
                <w:rFonts w:ascii="Times New Roman" w:hAnsi="Times New Roman"/>
                <w:color w:val="000000"/>
                <w:spacing w:val="-2"/>
              </w:rPr>
              <w:t>Polsce</w:t>
            </w:r>
            <w:r w:rsidR="004F79E3">
              <w:rPr>
                <w:rFonts w:ascii="Times New Roman" w:hAnsi="Times New Roman"/>
                <w:color w:val="000000"/>
                <w:spacing w:val="-2"/>
              </w:rPr>
              <w:t>, przy udziale  przedstawicieli samorządu i MKiDN.</w:t>
            </w:r>
          </w:p>
          <w:p w14:paraId="543863E2" w14:textId="5A18185A" w:rsidR="00272EDA" w:rsidRPr="00272EDA" w:rsidRDefault="00272EDA" w:rsidP="00A940F8">
            <w:pPr>
              <w:pStyle w:val="Standard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C0509">
              <w:rPr>
                <w:rFonts w:ascii="Times New Roman" w:hAnsi="Times New Roman"/>
                <w:color w:val="000000"/>
                <w:spacing w:val="-2"/>
              </w:rPr>
              <w:t xml:space="preserve">Planuje się przekazanie projektu do </w:t>
            </w:r>
            <w:r w:rsidR="00DE3788" w:rsidRPr="000C0509">
              <w:rPr>
                <w:rFonts w:ascii="Times New Roman" w:hAnsi="Times New Roman"/>
                <w:color w:val="000000"/>
                <w:spacing w:val="-2"/>
              </w:rPr>
              <w:t xml:space="preserve">roboczych 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>konsultacji publicznych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EB2095" w:rsidRPr="000C0509">
              <w:rPr>
                <w:rFonts w:ascii="Times New Roman" w:hAnsi="Times New Roman"/>
              </w:rPr>
              <w:t xml:space="preserve">z uwagi na jego 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 xml:space="preserve">szczególny charakter i </w:t>
            </w:r>
            <w:r w:rsidR="00EB2095" w:rsidRPr="000C0509">
              <w:rPr>
                <w:rFonts w:ascii="Times New Roman" w:hAnsi="Times New Roman"/>
              </w:rPr>
              <w:t>konieczność jego pilnego wejścia w życie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 xml:space="preserve">Planuje się procedowanie projektu w trybie odrębnym, zgodnie z § 98 w związku z § </w:t>
            </w:r>
            <w:r w:rsidR="001B1C86" w:rsidRPr="000C0509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1B1C86">
              <w:rPr>
                <w:rFonts w:ascii="Times New Roman" w:hAnsi="Times New Roman"/>
                <w:color w:val="000000"/>
                <w:spacing w:val="-2"/>
              </w:rPr>
              <w:t>32</w:t>
            </w:r>
            <w:r w:rsidR="001B1C86" w:rsidRPr="000C050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uchwały nr 190 Rady Ministrów z dnia 29 października 2013 r. – Regulamin pracy Rady Ministrów (M. P. z 2016 r. poz. 1006, z późn. zm.), z pominięciem etapu 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 xml:space="preserve">zaopiniowania 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>Komisj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 xml:space="preserve"> Wspóln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 xml:space="preserve"> Rządu i Samorządu Terytorialnego</w:t>
            </w:r>
            <w:r w:rsidR="00EB2095" w:rsidRPr="000C0509">
              <w:rPr>
                <w:rFonts w:ascii="Times New Roman" w:hAnsi="Times New Roman"/>
                <w:color w:val="000000"/>
                <w:spacing w:val="-2"/>
              </w:rPr>
              <w:t xml:space="preserve"> oraz rozpatrzenia przez SKRM</w:t>
            </w:r>
            <w:r w:rsidRPr="000C050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25CBBC2" w14:textId="77777777" w:rsidR="00272EDA" w:rsidRPr="00272EDA" w:rsidRDefault="00272EDA" w:rsidP="00272EDA">
            <w:pPr>
              <w:pStyle w:val="Standard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973DDB5" w14:textId="0A9BAF1D" w:rsidR="00272EDA" w:rsidRPr="00F44839" w:rsidRDefault="00272EDA" w:rsidP="00272EDA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72EDA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 oraz § 4 i § 52 ust. 1 uchwały nr 190 Rady Ministrów z dnia 29 października 2013 r. – Regulamin pracy Rady Ministrów (M.P. z 2016 r. poz. 1006, z późn. zm.) projektowane rozporządzenie zostanie udostępnione na stronie Rządowego Centrum Legislacji w serwisie „Rządowy Proces Legislacyjny”.</w:t>
            </w:r>
          </w:p>
          <w:p w14:paraId="5AAF7AA1" w14:textId="2F4D8287" w:rsidR="001F1840" w:rsidRPr="00F44839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F1840" w14:paraId="0EC49E39" w14:textId="77777777">
        <w:trPr>
          <w:trHeight w:val="363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D7A5" w14:textId="77777777" w:rsidR="001F1840" w:rsidRPr="00F44839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 w:rsidRPr="00F44839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 </w:t>
            </w:r>
            <w:r w:rsidRPr="00F44839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1F1840" w14:paraId="5E87A8B2" w14:textId="77777777">
        <w:trPr>
          <w:trHeight w:val="142"/>
        </w:trPr>
        <w:tc>
          <w:tcPr>
            <w:tcW w:w="32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BCE9" w14:textId="77777777" w:rsidR="001F1840" w:rsidRPr="00F44839" w:rsidRDefault="004963E1">
            <w:pPr>
              <w:pStyle w:val="Standard"/>
              <w:spacing w:before="40" w:after="40"/>
            </w:pPr>
            <w:r w:rsidRPr="00F44839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0612" w14:textId="77777777" w:rsidR="001F1840" w:rsidRPr="00F44839" w:rsidRDefault="004963E1">
            <w:pPr>
              <w:pStyle w:val="Standard"/>
              <w:spacing w:before="40" w:after="40" w:line="240" w:lineRule="auto"/>
              <w:jc w:val="center"/>
            </w:pPr>
            <w:r w:rsidRPr="00F44839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F1840" w14:paraId="5F87B765" w14:textId="77777777">
        <w:trPr>
          <w:trHeight w:val="142"/>
        </w:trPr>
        <w:tc>
          <w:tcPr>
            <w:tcW w:w="32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8B6F" w14:textId="77777777" w:rsidR="001F1840" w:rsidRDefault="001F1840">
            <w:pPr>
              <w:suppressAutoHyphens w:val="0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E1D7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B7A4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F3CE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0EE3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E744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FC84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FB23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DD8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C252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AF3C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7CC5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6198" w14:textId="77777777" w:rsidR="001F1840" w:rsidRDefault="004963E1">
            <w:pPr>
              <w:pStyle w:val="Standard"/>
              <w:spacing w:before="40" w:after="40" w:line="240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1F1840" w14:paraId="3A1F652B" w14:textId="77777777">
        <w:trPr>
          <w:trHeight w:val="321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79D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8A1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A15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676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1B0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E83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50A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271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44D8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E1B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169B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175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648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F1840" w14:paraId="46F66E94" w14:textId="77777777">
        <w:trPr>
          <w:trHeight w:val="321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E45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762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B2BB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78B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E01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984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2E3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A33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52A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98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51E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BAE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069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F1840" w14:paraId="7FDDACCB" w14:textId="77777777">
        <w:trPr>
          <w:trHeight w:val="344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10C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D3D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FEB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3B4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E97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19F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92A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425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375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6EF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4D9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C10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BFD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14:paraId="3FAD1B11" w14:textId="77777777">
        <w:trPr>
          <w:trHeight w:val="344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DF5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95D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805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73E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1BB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26A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785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669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C04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A04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D11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E8A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15F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14:paraId="42BF1AF7" w14:textId="77777777">
        <w:trPr>
          <w:trHeight w:val="330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247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68B5" w14:textId="16488FF9" w:rsidR="001F1840" w:rsidRPr="00BD608E" w:rsidRDefault="00404672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B741" w14:textId="273BE3CF" w:rsidR="001F1840" w:rsidRDefault="00F40B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07B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B04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879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6AD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BDB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BAB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095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7EE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73C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69CF" w14:textId="2E41537E" w:rsidR="001F1840" w:rsidRPr="00BD608E" w:rsidRDefault="00404672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</w:tr>
      <w:tr w:rsidR="001F1840" w14:paraId="1CE34CCA" w14:textId="77777777">
        <w:trPr>
          <w:trHeight w:val="330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5DC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8D24" w14:textId="21BF8C93" w:rsidR="001F1840" w:rsidRPr="00BD608E" w:rsidRDefault="00404672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67BC" w14:textId="5B369786" w:rsidR="001F1840" w:rsidRDefault="00F40B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5FF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B0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7F6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0AD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19C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8CD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A14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92E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E3B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71E5" w14:textId="7EE0A81C" w:rsidR="001F1840" w:rsidRPr="00BD608E" w:rsidRDefault="00404672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</w:tr>
      <w:tr w:rsidR="001F1840" w14:paraId="7E45A19E" w14:textId="77777777">
        <w:trPr>
          <w:trHeight w:val="351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98C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06D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5BE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4E7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197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EBD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59E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273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840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D3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F02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F57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0A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14:paraId="4F666629" w14:textId="77777777">
        <w:trPr>
          <w:trHeight w:val="351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258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B07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711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7CB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278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8F4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9A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036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220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073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83F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D93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02C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14:paraId="4B9BE73D" w14:textId="77777777">
        <w:trPr>
          <w:trHeight w:val="360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1E1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3BF7" w14:textId="5026C723" w:rsidR="001F1840" w:rsidRPr="00BD608E" w:rsidRDefault="00F40BAC" w:rsidP="006E048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404672"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4F1D" w14:textId="7F2EC6CA" w:rsidR="001F1840" w:rsidRDefault="00F40B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F0A5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85C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7158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2A7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F2F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A7C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7AC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A15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902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1AEE" w14:textId="2C14888E" w:rsidR="001F1840" w:rsidRPr="00BD608E" w:rsidRDefault="006D369D" w:rsidP="006E048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404672"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</w:tr>
      <w:tr w:rsidR="001F1840" w14:paraId="4D889591" w14:textId="77777777">
        <w:trPr>
          <w:trHeight w:val="360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F3A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A450" w14:textId="44012B7E" w:rsidR="001F1840" w:rsidRPr="00BD608E" w:rsidRDefault="00F40BAC" w:rsidP="006E048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404672"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3A59" w14:textId="3524065A" w:rsidR="001F1840" w:rsidRDefault="00F40BAC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456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FE1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C6B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5F2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4C7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3D0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819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68F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61A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58E1" w14:textId="0410F3F3" w:rsidR="001F1840" w:rsidRPr="00BD608E" w:rsidRDefault="006D369D" w:rsidP="006E0483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="00404672" w:rsidRPr="00BD608E">
              <w:rPr>
                <w:rFonts w:ascii="Times New Roman" w:hAnsi="Times New Roman"/>
                <w:color w:val="000000"/>
                <w:sz w:val="21"/>
                <w:szCs w:val="21"/>
              </w:rPr>
              <w:t>400</w:t>
            </w:r>
          </w:p>
        </w:tc>
      </w:tr>
      <w:tr w:rsidR="001F1840" w14:paraId="042C8344" w14:textId="77777777">
        <w:trPr>
          <w:trHeight w:val="357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EAFC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049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ABE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C79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D40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D06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363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CA2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2E0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D58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448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E60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5F7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14:paraId="71626EA2" w14:textId="77777777">
        <w:trPr>
          <w:trHeight w:val="357"/>
        </w:trPr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7BE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241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CE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B58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CAF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63A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F14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3B7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E63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3C3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1154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B88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EEC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F1840" w:rsidRPr="00F44839" w14:paraId="7E87AE28" w14:textId="77777777">
        <w:trPr>
          <w:trHeight w:val="348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1FFB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Źródła finansowania</w:t>
            </w:r>
          </w:p>
        </w:tc>
        <w:tc>
          <w:tcPr>
            <w:tcW w:w="87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3818" w14:textId="6DE8A169" w:rsidR="001F1840" w:rsidRPr="00F44839" w:rsidRDefault="006B0FF7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4839">
              <w:rPr>
                <w:rFonts w:ascii="Georgia" w:hAnsi="Georgia"/>
                <w:color w:val="212121"/>
                <w:shd w:val="clear" w:color="auto" w:fill="FFFFFF"/>
              </w:rPr>
              <w:t xml:space="preserve"> </w:t>
            </w:r>
            <w:r w:rsidR="006351BB">
              <w:rPr>
                <w:rFonts w:ascii="Georgia" w:hAnsi="Georgia"/>
                <w:color w:val="212121"/>
                <w:shd w:val="clear" w:color="auto" w:fill="FFFFFF"/>
              </w:rPr>
              <w:t>Fundusz PrzeciwdziałaniaCOVID-19</w:t>
            </w:r>
          </w:p>
        </w:tc>
      </w:tr>
      <w:tr w:rsidR="001F1840" w14:paraId="41BE1951" w14:textId="77777777" w:rsidTr="00652258">
        <w:trPr>
          <w:trHeight w:val="983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32A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C77D" w14:textId="105C6A51" w:rsidR="001F1840" w:rsidRDefault="00924C6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Wysokość wsparcia</w:t>
            </w:r>
            <w:r w:rsidR="00E30E2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przewidzianego na mocy </w:t>
            </w:r>
            <w:r w:rsidR="0003719E">
              <w:rPr>
                <w:rFonts w:ascii="Times New Roman" w:hAnsi="Times New Roman"/>
                <w:color w:val="000000"/>
                <w:sz w:val="21"/>
                <w:szCs w:val="21"/>
              </w:rPr>
              <w:t>rozporządzenia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oszacowana została na kwotę </w:t>
            </w:r>
            <w:r w:rsidR="006E0483">
              <w:rPr>
                <w:rFonts w:ascii="Times New Roman" w:hAnsi="Times New Roman"/>
                <w:color w:val="000000"/>
                <w:sz w:val="21"/>
                <w:szCs w:val="21"/>
              </w:rPr>
              <w:t>do 4</w:t>
            </w:r>
            <w:r w:rsidR="0003719E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 w:rsidR="006351BB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zł.</w:t>
            </w:r>
          </w:p>
          <w:p w14:paraId="3A9D5B23" w14:textId="3AE7ED95" w:rsidR="00A940F8" w:rsidRDefault="00652258" w:rsidP="000C0509">
            <w:pPr>
              <w:pStyle w:val="Standard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Wyliczenie oparto na </w:t>
            </w:r>
            <w:r w:rsidR="00A940F8"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danych oficjalnych statystyki publicznej:</w:t>
            </w:r>
            <w:r w:rsid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940F8"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m.in.  </w:t>
            </w:r>
            <w:r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„Wyniki finansowe instytucji kultury w</w:t>
            </w:r>
            <w:r w:rsidR="0003719E"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2019 roku” </w:t>
            </w:r>
            <w:r w:rsidR="00C25A7E" w:rsidRPr="000C050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</w:t>
            </w:r>
            <w:r w:rsidR="000C0509">
              <w:rPr>
                <w:rFonts w:ascii="Times New Roman" w:hAnsi="Times New Roman"/>
                <w:color w:val="000000"/>
                <w:sz w:val="21"/>
                <w:szCs w:val="21"/>
              </w:rPr>
              <w:t>„</w:t>
            </w:r>
            <w:r w:rsidR="00A940F8" w:rsidRPr="00A940F8">
              <w:rPr>
                <w:rFonts w:ascii="Times New Roman" w:hAnsi="Times New Roman"/>
                <w:color w:val="000000"/>
                <w:sz w:val="21"/>
                <w:szCs w:val="21"/>
              </w:rPr>
              <w:t>Informacja sygnalna GUS z 14.08.2020r. - Wpływ pandemii COVID-19 na podmioty działające w obszarze kultury w I kwartale 2020 r.</w:t>
            </w:r>
            <w:r w:rsidR="000C0509">
              <w:rPr>
                <w:rFonts w:ascii="Times New Roman" w:hAnsi="Times New Roman"/>
                <w:color w:val="000000"/>
                <w:sz w:val="21"/>
                <w:szCs w:val="21"/>
              </w:rPr>
              <w:t>”</w:t>
            </w:r>
          </w:p>
        </w:tc>
      </w:tr>
      <w:tr w:rsidR="001F1840" w14:paraId="4804DA24" w14:textId="77777777">
        <w:trPr>
          <w:trHeight w:val="345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1CD5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120" w:after="12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>konkurencyjność gospodarki i przedsiębiorczość, w tym funkcjonowanie przedsiębiorców oraz na rodzinę, obywateli i gospodarstwa domowe</w:t>
            </w:r>
          </w:p>
        </w:tc>
      </w:tr>
      <w:tr w:rsidR="001F1840" w14:paraId="6BDCE384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6AD8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F1840" w14:paraId="28CF1573" w14:textId="77777777">
        <w:trPr>
          <w:trHeight w:val="142"/>
        </w:trPr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335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87B5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306D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A13D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5A42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5931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5DA8" w14:textId="77777777" w:rsidR="001F1840" w:rsidRDefault="004963E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B9FD" w14:textId="77777777" w:rsidR="001F1840" w:rsidRDefault="004963E1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1F1840" w14:paraId="3B73F05E" w14:textId="77777777">
        <w:trPr>
          <w:trHeight w:val="14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9E0B" w14:textId="77777777" w:rsidR="001F1840" w:rsidRDefault="004963E1">
            <w:pPr>
              <w:pStyle w:val="Standard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0099C77E" w14:textId="77777777" w:rsidR="001F1840" w:rsidRDefault="004963E1">
            <w:pPr>
              <w:pStyle w:val="Standard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</w:t>
            </w:r>
          </w:p>
          <w:p w14:paraId="2686E8CB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D7A2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122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901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893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02C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6E4D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49E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EDA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39C29C69" w14:textId="77777777">
        <w:trPr>
          <w:trHeight w:val="14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11AD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F748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726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ACD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87C6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7319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5A73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DBD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E72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01237B89" w14:textId="77777777">
        <w:trPr>
          <w:trHeight w:val="14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286E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FE5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5B17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704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A7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4C68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1C8E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473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8B0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219FB1B6" w14:textId="77777777">
        <w:trPr>
          <w:trHeight w:val="14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E5E6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8C1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25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A748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630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DBEF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06A2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788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A5E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06C8A0A1" w14:textId="77777777">
        <w:trPr>
          <w:trHeight w:val="14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4818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844E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7808" w14:textId="50747581" w:rsidR="001F1840" w:rsidRDefault="001F184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1840" w14:paraId="573D6256" w14:textId="77777777">
        <w:trPr>
          <w:trHeight w:val="14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EC2C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29DA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702E" w14:textId="6EAEABB2" w:rsidR="001F1840" w:rsidRDefault="008537CD" w:rsidP="001D6367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Fundusz jest istotnym mechanizmem pomocowym, skierowanym m.in. do przedsiębiorców </w:t>
            </w:r>
            <w:r w:rsidRPr="00853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 rozum</w:t>
            </w:r>
            <w:r w:rsidR="00846CF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ieniu przepisów ustawy z dnia 6 </w:t>
            </w:r>
            <w:r w:rsidRPr="00853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marca 2018 r. Prawo przedsiębiorców (</w:t>
            </w:r>
            <w:r w:rsidRPr="00DA258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Dz.U. z 2019 r. poz. 1292 i 1492 oraz z</w:t>
            </w:r>
            <w:r w:rsidR="00846CF3" w:rsidRPr="00DA258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Pr="00DA258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2020 r. poz. 424 i 1086</w:t>
            </w:r>
            <w:r w:rsidRPr="00853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</w:t>
            </w:r>
            <w:r w:rsidR="001E2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853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innych podmiotów, prowadzących działalność gospodarcz</w:t>
            </w:r>
            <w:r w:rsidR="001E2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ą w dziedzinie teatru, muzyki </w:t>
            </w:r>
            <w:r w:rsidRPr="008537C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lub tańca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– a zatem przedsiębiorców mikro-, małych i średnich. W obliczu kryzysu wywołanego przez COVID-19 oraz konieczności zawieszenia, a następnie ograniczenia działalności z udziałem publiczności, podmioty te utraciły znaczną część przychodów przewidywanych na rok 2020, co grozi likwidacją wielu z nich oraz zapaścią całej branży widowisk. Zakł</w:t>
            </w:r>
            <w:r w:rsidR="00BA504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ada się, że wypłaty z Funduszu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umożliwią przetrwanie najtrudniejszego okresu wielu z tych </w:t>
            </w:r>
            <w:r w:rsidR="001E2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podmiotów, a zatem wpływ </w:t>
            </w:r>
            <w:r w:rsidR="001E2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regulacji na ten sektor jest jednoznacznie pozytywny i wyczekiwany przez środowisko artystyczne.</w:t>
            </w:r>
          </w:p>
        </w:tc>
      </w:tr>
      <w:tr w:rsidR="001F1840" w14:paraId="28AD29AB" w14:textId="77777777">
        <w:trPr>
          <w:trHeight w:val="596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5DF9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0667" w14:textId="77777777" w:rsidR="001F1840" w:rsidRDefault="004963E1">
            <w:pPr>
              <w:pStyle w:val="Standard"/>
              <w:tabs>
                <w:tab w:val="right" w:pos="1936"/>
              </w:tabs>
              <w:spacing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51A4" w14:textId="77777777" w:rsidR="000C0509" w:rsidRDefault="001E2A14" w:rsidP="001D6367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Fundusz ma pomóc w utrzymaniu miejsc pracy w sektorze zajmującym się realizacją widowisk z udziałem publiczności na żywo. Ma ograniczyć likwidację miejsc pracy w samorządowych instytucjach kultury, organizacjach pozarządowych oraz innych podmiotach, prowadzących działalność gospodarczą w dziedzinie teatru, muzyki lub tańca. Tym samym </w:t>
            </w:r>
            <w:r w:rsid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regulacj</w:t>
            </w:r>
            <w:r w:rsid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a ma bezpośredni </w:t>
            </w:r>
            <w:r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na sytuację rodziny, obywateli i gospodarstw</w:t>
            </w:r>
            <w:r w:rsidR="00846CF3"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domowych związanych zawodowo z </w:t>
            </w:r>
            <w:r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sektorem widowisk</w:t>
            </w:r>
            <w:r w:rsid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który </w:t>
            </w:r>
            <w:r w:rsidRPr="000C050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jest jednoznacznie pozytywny.</w:t>
            </w:r>
            <w:r w:rsidR="00A940F8" w:rsidRPr="000C0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5E7B4E" w14:textId="691DAE06" w:rsidR="001F1840" w:rsidRDefault="00A940F8" w:rsidP="001D6367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C0509">
              <w:rPr>
                <w:rFonts w:ascii="Times New Roman" w:hAnsi="Times New Roman"/>
                <w:sz w:val="20"/>
                <w:szCs w:val="20"/>
              </w:rPr>
              <w:t xml:space="preserve">Projektowana regulacja wpłynie 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również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pozytywnie 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na poziom partycypacji </w:t>
            </w:r>
            <w:r w:rsidR="000C0509" w:rsidRPr="000C0509">
              <w:rPr>
                <w:rFonts w:ascii="Times New Roman" w:hAnsi="Times New Roman"/>
                <w:sz w:val="20"/>
                <w:szCs w:val="20"/>
              </w:rPr>
              <w:t xml:space="preserve">różnych grup społecznych w tym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>młodzieży i seniorów w wydarzeniach kulturalnych.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W szczególności osoby starsze są  pożądanymi  odbiorcami wydarzeń kulturalnych dlatego wsparcie podmiotów realizujących wydarzenia kulturalne będzie pozytywnie oddziaływało na seniorów i ich możliwości korzystania z 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artystycznych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>dóbr kultury</w:t>
            </w:r>
            <w:r w:rsidR="000C0509">
              <w:rPr>
                <w:rFonts w:ascii="Times New Roman" w:hAnsi="Times New Roman"/>
                <w:sz w:val="20"/>
                <w:szCs w:val="20"/>
              </w:rPr>
              <w:t>.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 W 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 odniesieniu do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osób ze szczególnymi potrzebami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wsparcie podmiotów organizujących wydarzenie kulturalne również wpłynie pozytywnie </w:t>
            </w:r>
            <w:r w:rsidR="000C0509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 wzmocnienie  możliwości uczestniczenia w nich os</w:t>
            </w:r>
            <w:r w:rsidR="000C0509">
              <w:rPr>
                <w:rFonts w:ascii="Times New Roman" w:hAnsi="Times New Roman"/>
                <w:sz w:val="20"/>
                <w:szCs w:val="20"/>
              </w:rPr>
              <w:t>ób</w:t>
            </w:r>
            <w:r w:rsidRPr="000C0509">
              <w:rPr>
                <w:rFonts w:ascii="Times New Roman" w:hAnsi="Times New Roman"/>
                <w:sz w:val="20"/>
                <w:szCs w:val="20"/>
              </w:rPr>
              <w:t xml:space="preserve">  z niepełnosprawnościami.</w:t>
            </w:r>
          </w:p>
        </w:tc>
      </w:tr>
      <w:tr w:rsidR="001F1840" w14:paraId="1FD2F20E" w14:textId="77777777">
        <w:trPr>
          <w:trHeight w:val="24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3FCB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0AD8" w14:textId="687709B1" w:rsidR="001F1840" w:rsidRDefault="004963E1">
            <w:pPr>
              <w:pStyle w:val="Standard"/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  <w:r w:rsidR="0005761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A783" w14:textId="77777777" w:rsidR="001F1840" w:rsidRDefault="001F1840">
            <w:pPr>
              <w:pStyle w:val="Standard"/>
              <w:tabs>
                <w:tab w:val="left" w:pos="3000"/>
              </w:tabs>
              <w:snapToGrid w:val="0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F1840" w14:paraId="4BC6A164" w14:textId="77777777">
        <w:trPr>
          <w:trHeight w:val="142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D607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CDA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E2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5A46A81A" w14:textId="77777777">
        <w:trPr>
          <w:trHeight w:val="142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54E5" w14:textId="77777777" w:rsidR="001F1840" w:rsidRDefault="001F1840">
            <w:pPr>
              <w:suppressAutoHyphens w:val="0"/>
            </w:pPr>
          </w:p>
        </w:tc>
        <w:tc>
          <w:tcPr>
            <w:tcW w:w="2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8751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(dodaj/usuń)</w:t>
            </w:r>
          </w:p>
        </w:tc>
        <w:tc>
          <w:tcPr>
            <w:tcW w:w="70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1C20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1F1840" w14:paraId="0F481491" w14:textId="77777777">
        <w:trPr>
          <w:trHeight w:val="1643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DB4A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8AA9" w14:textId="77777777" w:rsidR="001F1840" w:rsidRDefault="001F1840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902D79B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D1637B1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86347BC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3C3C740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8BF8E76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C8FECA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4E34E85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F1840" w14:paraId="385AD047" w14:textId="77777777">
        <w:trPr>
          <w:trHeight w:val="3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C6C1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1F1840" w14:paraId="66EB561F" w14:textId="77777777">
        <w:trPr>
          <w:trHeight w:val="151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F86E" w14:textId="0177E2B5" w:rsidR="001F1840" w:rsidRDefault="008537CD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>X</w:t>
            </w:r>
            <w:r w:rsidR="004963E1">
              <w:rPr>
                <w:rFonts w:ascii="Times New Roman" w:hAnsi="Times New Roman"/>
                <w:color w:val="000000"/>
              </w:rPr>
              <w:t xml:space="preserve"> </w:t>
            </w:r>
            <w:r w:rsidR="004963E1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F1840" w14:paraId="4854FB3F" w14:textId="77777777">
        <w:trPr>
          <w:trHeight w:val="946"/>
        </w:trPr>
        <w:tc>
          <w:tcPr>
            <w:tcW w:w="5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CC02" w14:textId="77777777" w:rsidR="001F1840" w:rsidRDefault="004963E1">
            <w:pPr>
              <w:pStyle w:val="Standard"/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666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052889B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94F7555" w14:textId="77777777" w:rsidR="001F1840" w:rsidRDefault="004963E1">
            <w:pPr>
              <w:pStyle w:val="Standard"/>
            </w:pP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F1840" w14:paraId="780A620B" w14:textId="77777777">
        <w:trPr>
          <w:trHeight w:val="1245"/>
        </w:trPr>
        <w:tc>
          <w:tcPr>
            <w:tcW w:w="5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70A8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0CE9D5E5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1BF6539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69AE392" w14:textId="77777777" w:rsidR="001F1840" w:rsidRDefault="004963E1">
            <w:pPr>
              <w:pStyle w:val="Standard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     </w:t>
            </w:r>
          </w:p>
        </w:tc>
        <w:tc>
          <w:tcPr>
            <w:tcW w:w="58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23CC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27F05BA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E0B886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B7C1350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     </w:t>
            </w:r>
          </w:p>
          <w:p w14:paraId="01FD9359" w14:textId="77777777" w:rsidR="001F1840" w:rsidRDefault="001F184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2BF88430" w14:textId="77777777">
        <w:trPr>
          <w:trHeight w:val="870"/>
        </w:trPr>
        <w:tc>
          <w:tcPr>
            <w:tcW w:w="5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405A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pacing w:val="-2"/>
              </w:rPr>
              <w:t>Wprowadzane obciążenia są przystosowane do ich elektronizacji.</w:t>
            </w:r>
          </w:p>
        </w:tc>
        <w:tc>
          <w:tcPr>
            <w:tcW w:w="58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8CF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ED8E7FE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48F16F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3631A66" w14:textId="77777777" w:rsidR="001F1840" w:rsidRDefault="001F1840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1697A051" w14:textId="77777777">
        <w:trPr>
          <w:trHeight w:val="630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E3B3" w14:textId="77777777" w:rsidR="001F1840" w:rsidRDefault="004963E1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6273480E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BA02F01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B38251C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3F484CE" w14:textId="77777777" w:rsidR="001F1840" w:rsidRDefault="001F1840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301799BF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EFDC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rynek pracy</w:t>
            </w:r>
          </w:p>
        </w:tc>
      </w:tr>
      <w:tr w:rsidR="001F1840" w14:paraId="52ABA279" w14:textId="77777777" w:rsidTr="006351BB">
        <w:trPr>
          <w:trHeight w:val="70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1187" w14:textId="77777777" w:rsidR="001F1840" w:rsidRDefault="001F1840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717130C" w14:textId="047EF97B" w:rsidR="001F1840" w:rsidRDefault="00294EC9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</w:t>
            </w:r>
            <w:r w:rsidR="001B1E42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B1E42">
              <w:rPr>
                <w:rFonts w:ascii="Times New Roman" w:hAnsi="Times New Roman"/>
                <w:color w:val="000000"/>
              </w:rPr>
              <w:t>rozporządzenie</w:t>
            </w:r>
            <w:r>
              <w:rPr>
                <w:rFonts w:ascii="Times New Roman" w:hAnsi="Times New Roman"/>
                <w:color w:val="000000"/>
              </w:rPr>
              <w:t xml:space="preserve"> będzie miał</w:t>
            </w:r>
            <w:r w:rsidR="001B1E42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 xml:space="preserve"> pozytywny wpływ na utrzymanie miejsc pracy w sektorze kultury – w</w:t>
            </w:r>
            <w:r w:rsidR="005F5D07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szczególnie dotkniętej przez ograniczenia związane z COVID-19 branży artystycznej.</w:t>
            </w:r>
          </w:p>
          <w:p w14:paraId="5A709BBA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132628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840" w14:paraId="0E01CE27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E2E9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F1840" w14:paraId="1F6C1638" w14:textId="77777777">
        <w:trPr>
          <w:trHeight w:val="1031"/>
        </w:trPr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68E9" w14:textId="77777777" w:rsidR="001F1840" w:rsidRDefault="001F1840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391B9C12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33F27E4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EA4F5C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t>     </w:t>
            </w:r>
          </w:p>
        </w:tc>
        <w:tc>
          <w:tcPr>
            <w:tcW w:w="36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6E3D" w14:textId="77777777" w:rsidR="001F1840" w:rsidRDefault="001F1840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8D8F0A1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5941B7E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83CB" w14:textId="77777777" w:rsidR="001F1840" w:rsidRDefault="001F1840">
            <w:pPr>
              <w:pStyle w:val="Standard"/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89FE67A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959A718" w14:textId="77777777" w:rsidR="001F1840" w:rsidRDefault="004963E1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F1840" w14:paraId="234C5FDB" w14:textId="77777777">
        <w:trPr>
          <w:trHeight w:val="71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154C" w14:textId="77777777" w:rsidR="001F1840" w:rsidRDefault="004963E1">
            <w:pPr>
              <w:pStyle w:val="Stand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70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CBDD" w14:textId="77777777" w:rsidR="001F1840" w:rsidRDefault="001F1840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807D386" w14:textId="57EAEDA9" w:rsidR="001F1840" w:rsidRDefault="001B1E42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rozporządzenie wpisuje się w działania mające na celu zniwelowanie negatywnych skutków epidemii COVID-19, nie będzie miał</w:t>
            </w:r>
            <w:r w:rsidR="0003719E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jednak bezpośredniego wpływu na zdrowie, czy demografię, a także środowisko naturalne, mienie państwowe i informatyzację. Ponieważ jego działaniem zostaną objęte podmioty działające w całej Polsce, będzie miało pozytywny wpływ, polegający na utrzymaniu miejsc pracy we wszystkich regionach.</w:t>
            </w:r>
          </w:p>
          <w:p w14:paraId="1F4A876F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93A794E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F1840" w14:paraId="3B62B9E9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2914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F1840" w14:paraId="0E6A803C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EAB9" w14:textId="77777777" w:rsidR="001F1840" w:rsidRDefault="001F1840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  <w:p w14:paraId="6D8E4EA0" w14:textId="5141A4FC" w:rsidR="00DA2585" w:rsidRDefault="008537CD" w:rsidP="00DA25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1E42">
              <w:rPr>
                <w:rFonts w:ascii="Times New Roman" w:hAnsi="Times New Roman"/>
                <w:spacing w:val="-2"/>
              </w:rPr>
              <w:t xml:space="preserve">Przewiduje się, że </w:t>
            </w:r>
            <w:r w:rsidR="00EB2095">
              <w:rPr>
                <w:rFonts w:ascii="Times New Roman" w:hAnsi="Times New Roman"/>
                <w:spacing w:val="-2"/>
              </w:rPr>
              <w:t>projektowane r</w:t>
            </w:r>
            <w:r w:rsidRPr="001B1E42">
              <w:rPr>
                <w:rFonts w:ascii="Times New Roman" w:hAnsi="Times New Roman"/>
                <w:spacing w:val="-2"/>
              </w:rPr>
              <w:t xml:space="preserve">ozporządzenie wejdzie w życie z dniem </w:t>
            </w:r>
            <w:r w:rsidR="001B1E42" w:rsidRPr="001B1E42">
              <w:rPr>
                <w:rFonts w:ascii="Times New Roman" w:hAnsi="Times New Roman"/>
                <w:spacing w:val="-2"/>
              </w:rPr>
              <w:t>następującym po dniu ogłoszenia</w:t>
            </w:r>
            <w:r w:rsidR="00DA2585">
              <w:rPr>
                <w:rFonts w:ascii="Times New Roman" w:eastAsia="Times New Roman" w:hAnsi="Times New Roman" w:cs="Times New Roman"/>
              </w:rPr>
              <w:t xml:space="preserve">, z uwagi na pilną potrzebę wdrożenia wprowadzanych przez nie instrumentów wsparcia i udzielenia pomocy sektorowi kultury. </w:t>
            </w:r>
            <w:r w:rsidR="00DA2585">
              <w:rPr>
                <w:bCs/>
              </w:rPr>
              <w:t>Wejście w życie projektowanego rozporządzenia w tym terminie nie narusza więc konstytucyjnych standardów państwa prawa.</w:t>
            </w:r>
          </w:p>
          <w:p w14:paraId="5F2F7EC5" w14:textId="016728A1" w:rsidR="001F1840" w:rsidRPr="001B1E42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3C1F4314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165D253E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F1840" w14:paraId="1F9BD6BB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46EE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F1840" w14:paraId="471908ED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D47C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E0C82C5" w14:textId="6AAFD26A" w:rsidR="001F1840" w:rsidRDefault="008537CD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przewiduje się</w:t>
            </w:r>
          </w:p>
          <w:p w14:paraId="5101A4B8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F1840" w14:paraId="6DC9C93F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3D06" w14:textId="77777777" w:rsidR="001F1840" w:rsidRDefault="004963E1">
            <w:pPr>
              <w:pStyle w:val="Standard"/>
              <w:numPr>
                <w:ilvl w:val="0"/>
                <w:numId w:val="10"/>
              </w:numPr>
              <w:spacing w:before="60" w:after="60" w:line="240" w:lineRule="auto"/>
              <w:ind w:left="318" w:hanging="284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1F1840" w14:paraId="33A79743" w14:textId="77777777">
        <w:trPr>
          <w:trHeight w:val="142"/>
        </w:trPr>
        <w:tc>
          <w:tcPr>
            <w:tcW w:w="110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6D52" w14:textId="77777777" w:rsidR="001F1840" w:rsidRDefault="001F1840">
            <w:pPr>
              <w:pStyle w:val="Standard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 w:val="18"/>
                <w:szCs w:val="18"/>
              </w:rPr>
            </w:pPr>
          </w:p>
          <w:p w14:paraId="0DEA9A8B" w14:textId="168B173B" w:rsidR="001F1840" w:rsidRDefault="008537CD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7C378DF9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A4E9498" w14:textId="77777777" w:rsidR="001F1840" w:rsidRDefault="001F1840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3F62AB8C" w14:textId="77777777" w:rsidR="001F1840" w:rsidRDefault="004963E1">
      <w:pPr>
        <w:pStyle w:val="Nagwek1"/>
        <w:pageBreakBefore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14:paraId="475BFB44" w14:textId="77777777" w:rsidR="001F1840" w:rsidRDefault="001F1840">
      <w:pPr>
        <w:pStyle w:val="Standard"/>
        <w:rPr>
          <w:rFonts w:ascii="Times New Roman" w:hAnsi="Times New Roman"/>
          <w:sz w:val="20"/>
          <w:szCs w:val="20"/>
          <w:lang w:eastAsia="pl-PL"/>
        </w:rPr>
      </w:pPr>
    </w:p>
    <w:p w14:paraId="2EC33EA3" w14:textId="77777777" w:rsidR="001F1840" w:rsidRDefault="004963E1">
      <w:pPr>
        <w:pStyle w:val="Standard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Metryczka</w:t>
      </w:r>
    </w:p>
    <w:p w14:paraId="1346D260" w14:textId="77777777" w:rsidR="001F1840" w:rsidRDefault="004963E1">
      <w:pPr>
        <w:pStyle w:val="Standard"/>
        <w:spacing w:after="120"/>
        <w:jc w:val="both"/>
      </w:pPr>
      <w:r>
        <w:rPr>
          <w:rFonts w:ascii="Times New Roman" w:hAnsi="Times New Roman"/>
          <w:sz w:val="20"/>
          <w:szCs w:val="20"/>
        </w:rPr>
        <w:t>W niniejszej części należy podać podstawowe informacje na temat oceny skutków regulacji:</w:t>
      </w:r>
    </w:p>
    <w:p w14:paraId="1F017A94" w14:textId="77777777" w:rsidR="001F1840" w:rsidRDefault="004963E1">
      <w:pPr>
        <w:pStyle w:val="Standard"/>
        <w:numPr>
          <w:ilvl w:val="0"/>
          <w:numId w:val="26"/>
        </w:num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>Nazwa projektu:</w:t>
      </w:r>
    </w:p>
    <w:p w14:paraId="16C8411B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podać np. wstępny tytuł projektu wpisany do wykazu prac legislacyjnych.</w:t>
      </w:r>
    </w:p>
    <w:p w14:paraId="1B766B46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>Ministerstwo wiodące i ministerstwa współpracujące:</w:t>
      </w:r>
    </w:p>
    <w:p w14:paraId="28FE1454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wskazać organ odpowiedzialny za przygotowanie projektu, jego koordynację oraz wdrożenie (ministerstwo wiodące). W przypadku, gdy projekt jest przedmiotem prac więcej niż jednego ministerstwa, proszę wskazać również podmioty współpracujące.</w:t>
      </w:r>
    </w:p>
    <w:p w14:paraId="365EA153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>Osoba odpowiedzialna za projekt w randze Ministra, Sekretarza Stanu lub Podsekretarza Stanu:</w:t>
      </w:r>
    </w:p>
    <w:p w14:paraId="675FB994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wskazać osobę, która w ministerstwie wiodącym nadzoruje prace jednostki odpowiedzialnej za merytoryczne przygotowanie projektu.</w:t>
      </w:r>
    </w:p>
    <w:p w14:paraId="5E5F4718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>Kontakt do opiekuna merytorycznego projektu:</w:t>
      </w:r>
    </w:p>
    <w:p w14:paraId="083745E1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podać kontakt (telefon, adres e-mail) do osoby, która jest odpowiedzialna za opracowanie projektu (np. kierownika komórki organizacyjnej) i będzie w stanie odpowiedzieć na ewentualne pytania związane z przedstawionymi w ocenie informacjami lub wskaże odpowiednią osobę.</w:t>
      </w:r>
    </w:p>
    <w:p w14:paraId="4B807A44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14:paraId="1ADF5F04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podać datę przygotowania OSR.</w:t>
      </w:r>
    </w:p>
    <w:p w14:paraId="064CEDE7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14:paraId="504F7B67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Z rozwijanej listy proszę wybrać źródło, na podstawie którego przygotowywany jest projekt (punkt exposé, data decyzji, nazwa strategii, nr dyrektywy, sygn. orzeczenia TK, nazwa ustawy, inne).</w:t>
      </w:r>
    </w:p>
    <w:p w14:paraId="143DF902" w14:textId="77777777" w:rsidR="001F1840" w:rsidRDefault="004963E1">
      <w:pPr>
        <w:pStyle w:val="Standard"/>
        <w:numPr>
          <w:ilvl w:val="0"/>
          <w:numId w:val="16"/>
        </w:numPr>
        <w:spacing w:after="120" w:line="240" w:lineRule="auto"/>
        <w:jc w:val="both"/>
      </w:pPr>
      <w:r>
        <w:rPr>
          <w:rFonts w:ascii="Times New Roman" w:hAnsi="Times New Roman"/>
          <w:sz w:val="20"/>
          <w:szCs w:val="20"/>
        </w:rPr>
        <w:t>Nr w wykazie prac:</w:t>
      </w:r>
    </w:p>
    <w:p w14:paraId="28868C5B" w14:textId="77777777" w:rsidR="001F1840" w:rsidRDefault="004963E1">
      <w:pPr>
        <w:pStyle w:val="Standard"/>
        <w:spacing w:after="120" w:line="240" w:lineRule="auto"/>
        <w:ind w:left="420"/>
        <w:jc w:val="both"/>
      </w:pPr>
      <w:r>
        <w:rPr>
          <w:rFonts w:ascii="Times New Roman" w:hAnsi="Times New Roman"/>
          <w:sz w:val="20"/>
          <w:szCs w:val="20"/>
        </w:rPr>
        <w:t>Proszę podać numer z właściwego wykazu prac legislacyjnych.</w:t>
      </w:r>
    </w:p>
    <w:p w14:paraId="4CC3559A" w14:textId="77777777" w:rsidR="001F1840" w:rsidRDefault="004963E1">
      <w:pPr>
        <w:pStyle w:val="Standard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Jaki problem jest rozwiązywany?</w:t>
      </w:r>
    </w:p>
    <w:p w14:paraId="7CB7C6EA" w14:textId="77777777" w:rsidR="001F1840" w:rsidRDefault="004963E1">
      <w:pPr>
        <w:pStyle w:val="Standard"/>
        <w:spacing w:after="120"/>
        <w:ind w:left="360"/>
        <w:jc w:val="both"/>
      </w:pPr>
      <w:r>
        <w:rPr>
          <w:rFonts w:ascii="Times New Roman" w:hAnsi="Times New Roman"/>
          <w:sz w:val="20"/>
          <w:szCs w:val="20"/>
        </w:rPr>
        <w:t>Proszę opisać istotę problemu (np. zawodność rynku, zapotrzebowanie na dobro publiczne, wysokie koszty transakcyjne, bariery w prowadzeniu działalności gospodarczej itp.) i jego praktyczny wymiar (np. zbyt mała ochrona leasingobiorców, niewystarczający komfort i długi czas podróży koleją, występujące obciążenia administracyjne pobierczego danego przepisu itp.). Istotą problemu nie jest brak określonej regulacji - nowa regulacja może być jednym z instrumentów (sposobem) rozwiązania problemu. Dobrze i zwięźle wypełniona rubryka umożliwi zrozumienie problemu, który ma być rozwiązany oraz skali i przyczyn jego występowania.</w:t>
      </w:r>
    </w:p>
    <w:p w14:paraId="3156F446" w14:textId="77777777" w:rsidR="001F1840" w:rsidRDefault="004963E1">
      <w:pPr>
        <w:pStyle w:val="Standard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14:paraId="6FE5DF3E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14:paraId="60B2481B" w14:textId="77777777" w:rsidR="001F1840" w:rsidRDefault="004963E1">
      <w:pPr>
        <w:pStyle w:val="Standard"/>
        <w:spacing w:after="120"/>
        <w:ind w:left="360"/>
        <w:jc w:val="both"/>
      </w:pPr>
      <w:r>
        <w:rPr>
          <w:rFonts w:ascii="Times New Roman" w:hAnsi="Times New Roman"/>
          <w:sz w:val="20"/>
          <w:szCs w:val="20"/>
        </w:rPr>
        <w:t>Proszę zwięźle opisać proponowane rozwiązanie problemu opisanego w pkt 1 oraz oczekiwane rezultaty jego (ich) wdrożenia, sformułowane w możliwie konkretny, mierzalny i określony w czasie sposób - w przypadkach w których jest to możliwe powinien być zgodny z zasadą SMART (prosty, mierzalny, osiągalny, istotny, określony w czasie), np. osiągnięcie do 2020 r. wskaźnika upowszechnienia wychowania przedszkolnego co najmniej 90%.</w:t>
      </w:r>
    </w:p>
    <w:p w14:paraId="328513F1" w14:textId="77777777" w:rsidR="001F1840" w:rsidRDefault="004963E1">
      <w:pPr>
        <w:pStyle w:val="Standard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14:paraId="365AE01D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>
        <w:rPr>
          <w:rFonts w:ascii="Times New Roman" w:hAnsi="Times New Roman"/>
          <w:b/>
          <w:color w:val="000000"/>
          <w:sz w:val="20"/>
          <w:szCs w:val="20"/>
        </w:rPr>
        <w:t>?</w:t>
      </w:r>
    </w:p>
    <w:p w14:paraId="57549106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>Proszę wskazać - tam gdzie to możliwe - rozwiązania w minimum 3 krajach i źródła informacji. Proszę wskazać kraje,</w:t>
      </w:r>
      <w:r>
        <w:rPr>
          <w:rFonts w:ascii="Times New Roman" w:hAnsi="Times New Roman"/>
          <w:sz w:val="20"/>
          <w:szCs w:val="20"/>
        </w:rPr>
        <w:br/>
        <w:t>z których rozwiązania przeanalizowano oraz wyniki tych analiz.</w:t>
      </w:r>
    </w:p>
    <w:p w14:paraId="624C80DF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wskazać informacje odnoszące się do zagadnień najważniejszych.</w:t>
      </w:r>
    </w:p>
    <w:p w14:paraId="2BF8E838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14:paraId="06F173D4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>Proszę wyszczególnić jakie podmioty (zarówno osoby fizyczne, prawne lub jednostki nieposiadające osobowości prawnej) są objęte projektem. Proszę oszacować ich liczbę (wraz z podaniem źródła danych) oraz opisać charakter oddziaływania projektu na daną grupę.</w:t>
      </w:r>
    </w:p>
    <w:p w14:paraId="77F54A6E" w14:textId="77777777" w:rsidR="001F1840" w:rsidRDefault="004963E1">
      <w:pPr>
        <w:pStyle w:val="Standard"/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Proszę dostosować liczbę wierszy w tabeli, zgodnie z potrzebami projektu. Puste wiersze proszę usunąć.</w:t>
      </w:r>
    </w:p>
    <w:p w14:paraId="18354391" w14:textId="77777777" w:rsidR="001F1840" w:rsidRDefault="004963E1">
      <w:pPr>
        <w:pStyle w:val="Standard"/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grupy: obywatele, MŚP, rolnicy, rodzina, inwestorzy, lekarze, emeryci, osoby niepełnosprawne.</w:t>
      </w:r>
    </w:p>
    <w:p w14:paraId="4E6DD0D7" w14:textId="77777777" w:rsidR="001F1840" w:rsidRDefault="001F1840">
      <w:pPr>
        <w:pStyle w:val="Standard"/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</w:p>
    <w:p w14:paraId="65F1A6AA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Informacje na temat zakresu, czasu trwania i podsumowanie wyników konsultacji</w:t>
      </w:r>
    </w:p>
    <w:p w14:paraId="0293AA71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Proszę podać informacje o konsultacjach poprzedzających przygotowanie projektu oraz wskazać, jaki jest planowany zakres konsultacji publicznych i opiniowania projektu, w szczególności uwzględniając:</w:t>
      </w:r>
    </w:p>
    <w:p w14:paraId="75FE6CFE" w14:textId="77777777" w:rsidR="001F1840" w:rsidRDefault="004963E1">
      <w:pPr>
        <w:pStyle w:val="Standard"/>
        <w:numPr>
          <w:ilvl w:val="0"/>
          <w:numId w:val="28"/>
        </w:numPr>
        <w:spacing w:line="240" w:lineRule="auto"/>
        <w:jc w:val="both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wskazanie, czy były (i jak długo) prowadzone konsultacje poprzedzające przygotowanie projektu (tzw. pre-konsultacje publiczne), podmioty, z którymi były prowadzone te konsultacje (w tym ekspertów), w jaki sposób komunikowano się z grupami wskazanymi w pkt 6 (metody konsultacji np. warsztaty, kwestionariusz on-line), krótkie podsumowanie wyników konsultacji,</w:t>
      </w:r>
    </w:p>
    <w:p w14:paraId="3CA8321B" w14:textId="77777777" w:rsidR="001F1840" w:rsidRDefault="004963E1">
      <w:pPr>
        <w:pStyle w:val="Standard"/>
        <w:numPr>
          <w:ilvl w:val="0"/>
          <w:numId w:val="17"/>
        </w:numPr>
        <w:spacing w:line="240" w:lineRule="auto"/>
        <w:jc w:val="both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konsultowany projekt, wskazanie przepisu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  <w:t>z którego wynika obowiązek zasięgnięcia opinii.</w:t>
      </w:r>
    </w:p>
    <w:p w14:paraId="1B96FA85" w14:textId="77777777" w:rsidR="001F1840" w:rsidRDefault="001F1840">
      <w:pPr>
        <w:pStyle w:val="Standard"/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A158973" w14:textId="77777777" w:rsidR="001F1840" w:rsidRDefault="004963E1">
      <w:pPr>
        <w:pStyle w:val="Standard"/>
        <w:numPr>
          <w:ilvl w:val="0"/>
          <w:numId w:val="29"/>
        </w:numPr>
        <w:spacing w:after="120" w:line="240" w:lineRule="auto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14:paraId="7746BF0A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>W przygotowaniu kalkulacji skutków dla sektora finansów publicznych proszę uwzględnić aktualne wytyczne dotyczące założeń makroekonomicznych, o których mowa w art. 50a ustawy o finansach publicznych.</w:t>
      </w:r>
    </w:p>
    <w:p w14:paraId="701BE0A9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 xml:space="preserve">Jeśli to możliwe proszę wskazać skumulowane koszty/oszczędności. </w:t>
      </w:r>
      <w:r>
        <w:rPr>
          <w:rFonts w:ascii="Times New Roman" w:hAnsi="Times New Roman"/>
          <w:color w:val="000000"/>
          <w:sz w:val="20"/>
          <w:szCs w:val="20"/>
        </w:rPr>
        <w:t>Prognozę proszę przeprowadzić w podziale na proponowane kategorie w horyzoncie 10-letnim, w wartościach stałych (np. ceny stałe dla pierwszego roku prognozy).</w:t>
      </w:r>
      <w:r>
        <w:rPr>
          <w:rFonts w:ascii="Times New Roman" w:hAnsi="Times New Roman"/>
          <w:color w:val="000000"/>
          <w:sz w:val="20"/>
          <w:szCs w:val="20"/>
        </w:rPr>
        <w:br/>
        <w:t>W przypadku gdy analiza wpływu obejmuje dłuższy niż 10-letni horyzont (np. zmiany w systemie emerytalnym), możliwe jest dostosowanie kolumn tabeli do horyzontu projektu.</w:t>
      </w:r>
    </w:p>
    <w:p w14:paraId="7886A150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Jeżeli obliczenia zostały wykonane na podstawie opracowania własnego, proszę je przedstawić w formie załącznika oraz wskazać to opracowanie w pkt 13.</w:t>
      </w:r>
    </w:p>
    <w:p w14:paraId="5FE765E2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opracowywanej analizie wpływu, co do zasady, należy przyjąć kalkulację w cenach stałych. W przypadku zastosowania cen bieżących, prezentacja skutków finansowych powinna uwzględniać wskaźniki makroekonomiczne podawane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</w:t>
      </w:r>
      <w:hyperlink r:id="rId7" w:anchor="p_p_id_101_INSTANCE_S0gu_" w:history="1">
        <w:r>
          <w:rPr>
            <w:rStyle w:val="Internetlink"/>
            <w:rFonts w:ascii="Times New Roman" w:hAnsi="Times New Roman"/>
            <w:i/>
            <w:sz w:val="20"/>
            <w:szCs w:val="20"/>
          </w:rPr>
          <w:t>Wytycznych dotyczących stosowania jednolitych wskaźników makroekonomicznych będących podstawą oszacowania skutków finansowych projektowanych ustaw</w:t>
        </w:r>
      </w:hyperlink>
      <w:r>
        <w:rPr>
          <w:rFonts w:ascii="Times New Roman" w:hAnsi="Times New Roman"/>
          <w:color w:val="000000"/>
          <w:sz w:val="20"/>
          <w:szCs w:val="20"/>
        </w:rPr>
        <w:t>. Jeżeli nie zastosowano wskaźników makroekonomicznych podanych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</w:t>
      </w:r>
      <w:hyperlink r:id="rId8" w:history="1">
        <w:r>
          <w:rPr>
            <w:rStyle w:val="Internetlink"/>
            <w:rFonts w:ascii="Times New Roman" w:hAnsi="Times New Roman"/>
            <w:i/>
            <w:sz w:val="20"/>
            <w:szCs w:val="20"/>
          </w:rPr>
          <w:t>Wytycznych MF</w:t>
        </w:r>
      </w:hyperlink>
      <w:r>
        <w:rPr>
          <w:rFonts w:ascii="Times New Roman" w:hAnsi="Times New Roman"/>
          <w:color w:val="000000"/>
          <w:sz w:val="20"/>
          <w:szCs w:val="20"/>
        </w:rPr>
        <w:t>, proszę  dołączyć stosowną informację wyjaśniającą.</w:t>
      </w:r>
    </w:p>
    <w:p w14:paraId="4B3C77A0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Proszę wskazać źródła finansowania planowanych wydatków. Proszę wskazać również wszystkie przyjęte do obliczeń założenia i źródła danych.</w:t>
      </w:r>
    </w:p>
    <w:p w14:paraId="69C61DDF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sz w:val="20"/>
          <w:szCs w:val="20"/>
        </w:rPr>
        <w:t>Skutki proszę skalkulować dla roku wejścia w życie regulacji (0), a następnie w kolejnych latach jej obowiązywania.</w:t>
      </w:r>
      <w:r>
        <w:rPr>
          <w:rFonts w:ascii="Times New Roman" w:hAnsi="Times New Roman"/>
          <w:sz w:val="20"/>
          <w:szCs w:val="20"/>
        </w:rPr>
        <w:br/>
        <w:t xml:space="preserve">W kolumnie </w:t>
      </w:r>
      <w:r>
        <w:rPr>
          <w:rFonts w:ascii="Times New Roman" w:hAnsi="Times New Roman"/>
          <w:i/>
          <w:sz w:val="20"/>
          <w:szCs w:val="20"/>
        </w:rPr>
        <w:t>Łącznie</w:t>
      </w:r>
      <w:r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14:paraId="7074F1AA" w14:textId="77777777" w:rsidR="001F1840" w:rsidRDefault="004963E1">
      <w:pPr>
        <w:pStyle w:val="Standard"/>
        <w:spacing w:after="120"/>
        <w:ind w:left="360"/>
        <w:jc w:val="both"/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dokonać analizy wpływu na SFP dla najważniejszych zmian.</w:t>
      </w:r>
    </w:p>
    <w:p w14:paraId="5167F80C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 rodzinę, obywateli i gospodarstwa domowe</w:t>
      </w:r>
    </w:p>
    <w:p w14:paraId="1CA3D6C7" w14:textId="77777777" w:rsidR="001F1840" w:rsidRDefault="004963E1">
      <w:pPr>
        <w:pStyle w:val="Standard"/>
        <w:spacing w:line="240" w:lineRule="auto"/>
        <w:ind w:left="360"/>
        <w:jc w:val="both"/>
      </w:pPr>
      <w:r>
        <w:rPr>
          <w:rFonts w:ascii="Times New Roman" w:hAnsi="Times New Roman"/>
          <w:color w:val="000000"/>
          <w:sz w:val="20"/>
          <w:szCs w:val="20"/>
        </w:rPr>
        <w:t>Proszę oszacować wpływ na konkurencyjność gospodarki, przedsiębiorczości oraz na sytuację rodziny. Skutki należy przypisać do odpowiedniej grupy w tabeli.</w:t>
      </w:r>
    </w:p>
    <w:p w14:paraId="547351C8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gdy regulacja będzie oddziaływać na inne niż wymienione w formularzu podmioty proszę odpowiednio uzupełnić formularz.</w:t>
      </w:r>
    </w:p>
    <w:p w14:paraId="6715360D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Proszę wskazać wartość finansową, z uwzględnieniem m.in. kosztów ponoszonych w związku z wejściem w życie aktu (np. koszt aktualizacji systemów informatycznych, zakupu nowych urządzeń), podatków i opłat lokalnych, itp.</w:t>
      </w:r>
    </w:p>
    <w:p w14:paraId="33C78D1B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ujęciu niepieniężnym proszę podać wartości najważniejszych wskaźników, które ulegną zmianie (np. skrócenie czasu wydania pozwolenia na budowę o 100 dni, wzrost wskaźnika upowszechnienia wychowania przedszkolnego o 20 punktów procentowych).</w:t>
      </w:r>
    </w:p>
    <w:p w14:paraId="097D0C5E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gdy nie ma możliwości podania żadnych wartości liczbowych (lub wpływ dotyczy także zmian, których nie można skwantyfikować) proszę odpowiednio opisać analizę wpływu w pozycji: „niemierzalne”.</w:t>
      </w:r>
    </w:p>
    <w:p w14:paraId="1D503789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Skutki proszę skalkulować dla roku wejścia w życie regulacji (0), a następnie w 1, 2, 3, 5 i 10 roku jej obowiązywania.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kolumnie </w:t>
      </w:r>
      <w:r>
        <w:rPr>
          <w:rFonts w:ascii="Times New Roman" w:hAnsi="Times New Roman"/>
          <w:i/>
          <w:color w:val="000000"/>
          <w:sz w:val="20"/>
          <w:szCs w:val="20"/>
        </w:rPr>
        <w:t>Łącznie</w:t>
      </w:r>
      <w:r>
        <w:rPr>
          <w:rFonts w:ascii="Times New Roman" w:hAnsi="Times New Roman"/>
          <w:color w:val="000000"/>
          <w:sz w:val="20"/>
          <w:szCs w:val="20"/>
        </w:rPr>
        <w:t xml:space="preserve"> proszę wpisać skumulowane skutki za okres 10 lat obowiązywania regulacji.</w:t>
      </w:r>
    </w:p>
    <w:p w14:paraId="296F3DE4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gdy analiza wpływu obejmuje dłuższy niż 10-letni horyzont (np. zmiany w systemie emerytalnym), możliwe jest dostosowanie kolumn tabeli do horyzontu projektu.</w:t>
      </w:r>
    </w:p>
    <w:p w14:paraId="2BA6135E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sz w:val="20"/>
          <w:szCs w:val="20"/>
        </w:rPr>
        <w:t xml:space="preserve">Jeżeli </w:t>
      </w:r>
      <w:r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zmian.</w:t>
      </w:r>
    </w:p>
    <w:p w14:paraId="1D41D830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sz w:val="20"/>
          <w:szCs w:val="20"/>
        </w:rPr>
        <w:t xml:space="preserve">Proszę dostosować </w:t>
      </w:r>
      <w:r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14:paraId="020F7784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Zmiana obciążeń regulacyjnych (w tym obowiązków informacyjnych) wynikających z projektu</w:t>
      </w:r>
    </w:p>
    <w:p w14:paraId="2668C0C5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Obciążenia regulacyjne należy rozumieć jako wszystkie czynności, które muszą wykonać podmioty (adresaci regulacji)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eastAsia="Batang, 바탕" w:hAnsi="Times New Roman"/>
          <w:sz w:val="20"/>
          <w:szCs w:val="20"/>
          <w:lang w:eastAsia="ko-KR"/>
        </w:rPr>
        <w:t>w związku wykonywaniem projektowanych przepisów.</w:t>
      </w:r>
    </w:p>
    <w:p w14:paraId="1BB819CA" w14:textId="77777777" w:rsidR="001F1840" w:rsidRDefault="004963E1">
      <w:pPr>
        <w:pStyle w:val="Standard"/>
        <w:spacing w:after="120"/>
        <w:ind w:left="357"/>
        <w:jc w:val="both"/>
      </w:pPr>
      <w:r>
        <w:rPr>
          <w:rFonts w:ascii="Times New Roman" w:eastAsia="Batang, 바탕" w:hAnsi="Times New Roman"/>
          <w:sz w:val="20"/>
          <w:szCs w:val="20"/>
          <w:lang w:eastAsia="ko-KR"/>
        </w:rPr>
        <w:t xml:space="preserve">Przykładem takich obciążeń są m.in. obowiązki informacyjne (OI). </w:t>
      </w:r>
      <w:r>
        <w:rPr>
          <w:rFonts w:ascii="Times New Roman" w:hAnsi="Times New Roman"/>
          <w:sz w:val="20"/>
          <w:szCs w:val="20"/>
        </w:rPr>
        <w:t>OI polega na dostarczaniu lub przechowywaniu przez podmioty zobowiązane danych informacji. Identyfikowanie OI dokonywane jest w oparciu o przepisy ustawy. Dany przepis nakłada OI, jeżeli podmiot realizujący obowiązek musi wykonać szereg czynności administracyjnych. Przepis można uznać za OI w przypadku gdy jego wykonanie będzie związane z wykonaniem jednej lub więcej czynności składowych z listy poniżej:</w:t>
      </w:r>
    </w:p>
    <w:p w14:paraId="00C22B29" w14:textId="77777777" w:rsidR="001F1840" w:rsidRDefault="004963E1">
      <w:pPr>
        <w:pStyle w:val="Standard"/>
        <w:numPr>
          <w:ilvl w:val="0"/>
          <w:numId w:val="30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przyswajanie wiedzy dotyczącej wykonywania konkretnego obowiązku informacyjnego (w tym bieżące śledzenie zmian w przepisach),</w:t>
      </w:r>
    </w:p>
    <w:p w14:paraId="33FE7007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szkolenie pracowników w zakresie wykonywania OI,</w:t>
      </w:r>
    </w:p>
    <w:p w14:paraId="431C95DC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pozyskiwanie odpowiednich informacji z posiadanych danych,</w:t>
      </w:r>
    </w:p>
    <w:p w14:paraId="3AADEBAE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przetwarzanie posiadanych danych w celu wykonania OI,</w:t>
      </w:r>
    </w:p>
    <w:p w14:paraId="3D3750C5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generowanie nowych danych,</w:t>
      </w:r>
    </w:p>
    <w:p w14:paraId="0E227840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projektowanie materiałów informacyjnych,</w:t>
      </w:r>
    </w:p>
    <w:p w14:paraId="5B6BEB31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wypełnianie kwestionariuszy,</w:t>
      </w:r>
    </w:p>
    <w:p w14:paraId="562A9CA1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odbywanie spotkań,</w:t>
      </w:r>
    </w:p>
    <w:p w14:paraId="3BC7A08F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kontrola i sprawdzanie poprawności,</w:t>
      </w:r>
    </w:p>
    <w:p w14:paraId="74676025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kopiowanie/sporządzanie dokumentacji,</w:t>
      </w:r>
    </w:p>
    <w:p w14:paraId="3CE04F3F" w14:textId="77777777" w:rsidR="001F1840" w:rsidRDefault="004963E1">
      <w:pPr>
        <w:pStyle w:val="Standard"/>
        <w:numPr>
          <w:ilvl w:val="0"/>
          <w:numId w:val="14"/>
        </w:numPr>
        <w:tabs>
          <w:tab w:val="left" w:pos="-1023"/>
        </w:tabs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>przekazywanie wymaganej informacji do adresata,</w:t>
      </w:r>
    </w:p>
    <w:p w14:paraId="044CFBA2" w14:textId="77777777" w:rsidR="001F1840" w:rsidRDefault="004963E1">
      <w:pPr>
        <w:pStyle w:val="Standard"/>
        <w:numPr>
          <w:ilvl w:val="0"/>
          <w:numId w:val="14"/>
        </w:numPr>
        <w:tabs>
          <w:tab w:val="left" w:pos="3161"/>
        </w:tabs>
        <w:spacing w:after="120" w:line="240" w:lineRule="auto"/>
        <w:ind w:left="1043" w:hanging="357"/>
        <w:jc w:val="both"/>
      </w:pPr>
      <w:r>
        <w:rPr>
          <w:rFonts w:ascii="Times New Roman" w:hAnsi="Times New Roman"/>
          <w:sz w:val="20"/>
          <w:szCs w:val="20"/>
        </w:rPr>
        <w:t>archiwizacja informacji.</w:t>
      </w:r>
    </w:p>
    <w:p w14:paraId="185E1DDE" w14:textId="77777777" w:rsidR="001F1840" w:rsidRDefault="004963E1">
      <w:pPr>
        <w:pStyle w:val="Standard"/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14:paraId="6DAC80F9" w14:textId="77777777" w:rsidR="001F1840" w:rsidRDefault="004963E1">
      <w:pPr>
        <w:pStyle w:val="Standard"/>
        <w:numPr>
          <w:ilvl w:val="0"/>
          <w:numId w:val="31"/>
        </w:numPr>
        <w:spacing w:after="12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regulacyjnych, zaznaczyć pole „nie dotyczy”,</w:t>
      </w:r>
    </w:p>
    <w:p w14:paraId="0DDCBA8F" w14:textId="77777777" w:rsidR="001F1840" w:rsidRDefault="004963E1">
      <w:pPr>
        <w:pStyle w:val="Standard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14:paraId="67EDBB37" w14:textId="77777777" w:rsidR="001F1840" w:rsidRDefault="004963E1">
      <w:pPr>
        <w:pStyle w:val="Standard"/>
        <w:numPr>
          <w:ilvl w:val="0"/>
          <w:numId w:val="21"/>
        </w:numPr>
        <w:spacing w:after="12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 przez UE,</w:t>
      </w:r>
    </w:p>
    <w:p w14:paraId="263420D2" w14:textId="77777777" w:rsidR="001F1840" w:rsidRDefault="004963E1">
      <w:pPr>
        <w:pStyle w:val="Standard"/>
        <w:numPr>
          <w:ilvl w:val="0"/>
          <w:numId w:val="21"/>
        </w:numPr>
        <w:spacing w:after="12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wskazać, czy dane obciążenia są przystosowane do ich ewentualnej elektronizacji (dotyczy sytuacji kiedy wprowadzane obciążenia wpływają na systemy teleinformatyczne podmiotów publicznych lub na podmioty prywatne – przedsiębiorcy, obywatele).</w:t>
      </w:r>
    </w:p>
    <w:p w14:paraId="38DBEB16" w14:textId="77777777" w:rsidR="001F1840" w:rsidRDefault="004963E1">
      <w:pPr>
        <w:pStyle w:val="Standard"/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14:paraId="67D679D1" w14:textId="77777777" w:rsidR="001F1840" w:rsidRDefault="004963E1">
      <w:pPr>
        <w:pStyle w:val="Standard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14:paraId="2A0C2410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Proszę opisać, czy i w jaki sposób projektowana regulacja może spowodować zmiany na rynku pracy w odniesieniu do zatrudnienia oraz innych wskaźników (np. czasu poszukiwania pracy, kwalifikacji pracowników).</w:t>
      </w:r>
    </w:p>
    <w:p w14:paraId="2ED04B30" w14:textId="77777777" w:rsidR="001F1840" w:rsidRDefault="004963E1">
      <w:pPr>
        <w:pStyle w:val="Standard"/>
        <w:spacing w:after="120"/>
        <w:ind w:left="360"/>
        <w:jc w:val="both"/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dokonać analizy wpływu dla najważniejszych zmian.</w:t>
      </w:r>
    </w:p>
    <w:p w14:paraId="07E12DF5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14:paraId="64ACC859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sz w:val="20"/>
          <w:szCs w:val="20"/>
        </w:rPr>
        <w:t>Proszę zaznaczyć pola - zakres oddziaływania projektu na obszary niewymienione w pkt 6, 7 i 9. Dla zaznaczonych obszarów proszę dokonać analizy wpływu.</w:t>
      </w:r>
    </w:p>
    <w:p w14:paraId="538EEEF3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analizy wpływu na obszar „informatyzacja” proszę w szczególności rozważyć następujące kwestie:</w:t>
      </w:r>
    </w:p>
    <w:p w14:paraId="2D71BA58" w14:textId="77777777" w:rsidR="001F1840" w:rsidRDefault="004963E1">
      <w:pPr>
        <w:pStyle w:val="Standard"/>
        <w:numPr>
          <w:ilvl w:val="0"/>
          <w:numId w:val="33"/>
        </w:numPr>
        <w:spacing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>Czy projekt spełnia wymagania interoperacyjności (zdolność sieci do efektywnej współpracy w celu zapewnienia wzajemnego dostępu użytkowników do usług świadczonych w tych sieciach)?</w:t>
      </w:r>
    </w:p>
    <w:p w14:paraId="7F06822E" w14:textId="77777777" w:rsidR="001F1840" w:rsidRDefault="004963E1">
      <w:pPr>
        <w:pStyle w:val="Standard"/>
        <w:numPr>
          <w:ilvl w:val="0"/>
          <w:numId w:val="7"/>
        </w:numPr>
        <w:spacing w:after="120" w:line="240" w:lineRule="auto"/>
        <w:ind w:left="1077" w:hanging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Czy projekt spełnia wymogi neutralności technologicznej, wielojęzyczności, elektronicznej komunikacji, wykorzystania danych z rejestrów publicznych, ochrony danych osobowych?</w:t>
      </w:r>
    </w:p>
    <w:p w14:paraId="37BD121A" w14:textId="77777777" w:rsidR="001F1840" w:rsidRDefault="004963E1">
      <w:pPr>
        <w:pStyle w:val="Standard"/>
        <w:spacing w:after="120" w:line="240" w:lineRule="auto"/>
        <w:ind w:left="357"/>
        <w:jc w:val="both"/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wpływ, jaki będzie miała projektowana regulacja na wymienione obszary.</w:t>
      </w:r>
    </w:p>
    <w:p w14:paraId="6B6C3ECB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dokonać analizy wpływu dla najważniejszych zmian.</w:t>
      </w:r>
    </w:p>
    <w:p w14:paraId="32B1D94C" w14:textId="77777777" w:rsidR="001F1840" w:rsidRDefault="004963E1">
      <w:pPr>
        <w:pStyle w:val="Standard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/>
          <w:b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14:paraId="6BEA13A5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spacing w:val="-2"/>
          <w:sz w:val="20"/>
          <w:szCs w:val="20"/>
        </w:rPr>
        <w:t>Proszę opisać kiedy planuje się rozwiązanie problemu zidentyfikowanego w pkt 1 (wejście przepisów w życie nie zawsze rozwiązuje dany problem a jedynie daje podstawę do wdrożenia instrumentów do jego rozwiązania). Proszę przedstawić harmonogram wdrożenia działań wykonania aktu prawnego (np. gdy rozwiązywanym problemem jest zwiększona zachorowalność, to działaniami będą: ew. zatrudnienie dodatkowych pracowników, zakup majątku - urządzeń, przeprowadzenie szczepień, zakup szczepionek itp.)).</w:t>
      </w:r>
    </w:p>
    <w:p w14:paraId="0E009562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sz w:val="20"/>
          <w:szCs w:val="20"/>
        </w:rPr>
        <w:t xml:space="preserve">Jeżeli akt prawny ma charakter przekrojowy i dotyczy wielu zagadnień (np. ustawa deregulująca zawody, ustawa o ułatwieniu wykonywania działalności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gospodarczej</w:t>
      </w:r>
      <w:r>
        <w:rPr>
          <w:rFonts w:ascii="Times New Roman" w:hAnsi="Times New Roman"/>
          <w:sz w:val="20"/>
          <w:szCs w:val="20"/>
        </w:rPr>
        <w:t>) proszę opisać planowane wykonanie dla najważniejszych zmian.</w:t>
      </w:r>
    </w:p>
    <w:p w14:paraId="476F8E91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Jeżeli projektowana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regulacja</w:t>
      </w:r>
      <w:r>
        <w:rPr>
          <w:rFonts w:ascii="Times New Roman" w:hAnsi="Times New Roman"/>
          <w:sz w:val="20"/>
          <w:szCs w:val="20"/>
        </w:rPr>
        <w:t xml:space="preserve"> oddziałuje na przedsiębiorców (na prowadzenie działalności gospodarczej), zgodnie z </w:t>
      </w:r>
      <w:r>
        <w:rPr>
          <w:rFonts w:ascii="Times New Roman" w:hAnsi="Times New Roman"/>
          <w:i/>
          <w:sz w:val="20"/>
          <w:szCs w:val="20"/>
        </w:rPr>
        <w:t>Uchwałą Rady Ministrów z dnia 18 lutego 2014 r. w sprawie zaleceń ujednolicenia terminów wejścia w życie niektórych aktów normatywnych</w:t>
      </w:r>
      <w:r>
        <w:rPr>
          <w:rFonts w:ascii="Times New Roman" w:hAnsi="Times New Roman"/>
          <w:sz w:val="20"/>
          <w:szCs w:val="20"/>
        </w:rPr>
        <w:t xml:space="preserve">, terminem wejścia w życie przepisów, po minimum 30-dniowym </w:t>
      </w:r>
      <w:r>
        <w:rPr>
          <w:rFonts w:ascii="Times New Roman" w:hAnsi="Times New Roman"/>
          <w:i/>
          <w:sz w:val="20"/>
          <w:szCs w:val="20"/>
        </w:rPr>
        <w:t>vacatio legis</w:t>
      </w:r>
      <w:r>
        <w:rPr>
          <w:rFonts w:ascii="Times New Roman" w:hAnsi="Times New Roman"/>
          <w:sz w:val="20"/>
          <w:szCs w:val="20"/>
        </w:rPr>
        <w:t>, powinien być 1 stycznia lub 1 czerwca. Jeżeli termin ten nie zostanie zachowany, proszę wskazać powód odstąpienia od wyznaczonych terminów.</w:t>
      </w:r>
    </w:p>
    <w:p w14:paraId="1DBD32D6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b/>
          <w:spacing w:val="-2"/>
          <w:sz w:val="20"/>
          <w:szCs w:val="20"/>
        </w:rPr>
        <w:t>W jaki sposób i kiedy nastąpi ewaluacja efektów projektu oraz jakie mierniki zostaną zastosowane?</w:t>
      </w:r>
    </w:p>
    <w:p w14:paraId="7E53ED44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Proszę opisać, kiedy i w jaki sposób będzie mierzone osiągnięcie efektu opisanego w pkt 2. Po jakim czasie nastąpi przegląd kosztów i korzyści projektowanych oddziaływań. Proszę również wskazać mierniki, które pozwolą określić, czy oczekiwane efekty zostały uzyskane.</w:t>
      </w:r>
    </w:p>
    <w:p w14:paraId="74C24C60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sz w:val="20"/>
          <w:szCs w:val="20"/>
        </w:rPr>
        <w:t>W tym punkcie proszę też podać informację dotyczącą przygotowania oceny funkcjonowania ustawy (OSR ex-post), jeżeli w odniesieniu do projektu ustawy przewiduje się przedstawienie wyników ewaluacji w OSR ex-post.</w:t>
      </w:r>
    </w:p>
    <w:p w14:paraId="5CF8F6AF" w14:textId="77777777" w:rsidR="001F1840" w:rsidRDefault="004963E1">
      <w:pPr>
        <w:pStyle w:val="Standard"/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14:paraId="561C827F" w14:textId="77777777" w:rsidR="001F1840" w:rsidRDefault="004963E1">
      <w:pPr>
        <w:pStyle w:val="Standard"/>
        <w:spacing w:after="120" w:line="240" w:lineRule="auto"/>
        <w:ind w:left="360"/>
        <w:jc w:val="both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Jeśli specyfika danego projektu uniemożliwia zastosowanie mierników lub też niezasadna jest jego ewaluacja (z uwagi na zakres lub charakter projektu) proszę to opisać.</w:t>
      </w:r>
    </w:p>
    <w:p w14:paraId="1EC723B2" w14:textId="77777777" w:rsidR="001F1840" w:rsidRDefault="004963E1">
      <w:pPr>
        <w:pStyle w:val="Standard"/>
        <w:numPr>
          <w:ilvl w:val="0"/>
          <w:numId w:val="6"/>
        </w:numPr>
        <w:spacing w:after="120" w:line="240" w:lineRule="auto"/>
        <w:jc w:val="both"/>
      </w:pP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analizy, itp.</w:t>
      </w: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14:paraId="58B12A2C" w14:textId="77777777" w:rsidR="001F1840" w:rsidRDefault="004963E1">
      <w:pPr>
        <w:pStyle w:val="Standard"/>
        <w:spacing w:after="120"/>
        <w:ind w:left="360"/>
        <w:jc w:val="both"/>
      </w:pPr>
      <w:r>
        <w:rPr>
          <w:rFonts w:ascii="Times New Roman" w:hAnsi="Times New Roman"/>
          <w:sz w:val="20"/>
          <w:szCs w:val="20"/>
        </w:rPr>
        <w:t>Proszę wymienić dodatkowe dokumenty, które stanowią załączniki do projektu i formularza. Załączanie dodatkowych dokumentów jest opcjonalne.</w:t>
      </w:r>
    </w:p>
    <w:sectPr w:rsidR="001F1840">
      <w:pgSz w:w="11906" w:h="16838"/>
      <w:pgMar w:top="568" w:right="707" w:bottom="56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0B974" w14:textId="77777777" w:rsidR="00582972" w:rsidRDefault="00582972">
      <w:r>
        <w:separator/>
      </w:r>
    </w:p>
  </w:endnote>
  <w:endnote w:type="continuationSeparator" w:id="0">
    <w:p w14:paraId="64D5A6BA" w14:textId="77777777" w:rsidR="00582972" w:rsidRDefault="0058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default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029A" w14:textId="77777777" w:rsidR="00582972" w:rsidRDefault="00582972">
      <w:r>
        <w:rPr>
          <w:color w:val="000000"/>
        </w:rPr>
        <w:separator/>
      </w:r>
    </w:p>
  </w:footnote>
  <w:footnote w:type="continuationSeparator" w:id="0">
    <w:p w14:paraId="2FEDFAFD" w14:textId="77777777" w:rsidR="00582972" w:rsidRDefault="0058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898"/>
    <w:multiLevelType w:val="multilevel"/>
    <w:tmpl w:val="B4CEE5AA"/>
    <w:styleLink w:val="WW8Num4"/>
    <w:lvl w:ilvl="0">
      <w:start w:val="1"/>
      <w:numFmt w:val="decimal"/>
      <w:lvlText w:val="%1."/>
      <w:lvlJc w:val="left"/>
      <w:pPr>
        <w:ind w:left="1047" w:hanging="360"/>
      </w:pPr>
    </w:lvl>
    <w:lvl w:ilvl="1">
      <w:numFmt w:val="bullet"/>
      <w:lvlText w:val=""/>
      <w:lvlJc w:val="left"/>
      <w:pPr>
        <w:ind w:left="1767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1" w15:restartNumberingAfterBreak="0">
    <w:nsid w:val="0770757A"/>
    <w:multiLevelType w:val="multilevel"/>
    <w:tmpl w:val="241EE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B02880"/>
    <w:multiLevelType w:val="hybridMultilevel"/>
    <w:tmpl w:val="24F88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930"/>
    <w:multiLevelType w:val="hybridMultilevel"/>
    <w:tmpl w:val="6AA83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929"/>
    <w:multiLevelType w:val="multilevel"/>
    <w:tmpl w:val="B9CE8A54"/>
    <w:styleLink w:val="WW8Num2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E3A60A7"/>
    <w:multiLevelType w:val="multilevel"/>
    <w:tmpl w:val="591C13EA"/>
    <w:styleLink w:val="WW8Num12"/>
    <w:lvl w:ilvl="0">
      <w:numFmt w:val="bullet"/>
      <w:lvlText w:val="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6" w15:restartNumberingAfterBreak="0">
    <w:nsid w:val="239D7C5F"/>
    <w:multiLevelType w:val="multilevel"/>
    <w:tmpl w:val="3D4E425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9F"/>
    <w:multiLevelType w:val="multilevel"/>
    <w:tmpl w:val="A9849AA4"/>
    <w:lvl w:ilvl="0">
      <w:start w:val="1"/>
      <w:numFmt w:val="decimal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7A46E25"/>
    <w:multiLevelType w:val="multilevel"/>
    <w:tmpl w:val="9E9C41C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978A6"/>
    <w:multiLevelType w:val="multilevel"/>
    <w:tmpl w:val="A406E96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77E8"/>
    <w:multiLevelType w:val="multilevel"/>
    <w:tmpl w:val="C64E29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22646"/>
    <w:multiLevelType w:val="multilevel"/>
    <w:tmpl w:val="F978257E"/>
    <w:styleLink w:val="WW8Num17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color w:val="000000"/>
        <w:spacing w:val="-2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34DF1A4C"/>
    <w:multiLevelType w:val="multilevel"/>
    <w:tmpl w:val="2D706F98"/>
    <w:styleLink w:val="WW8Num2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6884BA2"/>
    <w:multiLevelType w:val="multilevel"/>
    <w:tmpl w:val="80407F72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878AA"/>
    <w:multiLevelType w:val="multilevel"/>
    <w:tmpl w:val="B25C2A8A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7B8B"/>
    <w:multiLevelType w:val="multilevel"/>
    <w:tmpl w:val="B3D0D2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E445B78"/>
    <w:multiLevelType w:val="multilevel"/>
    <w:tmpl w:val="A7A87418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B838AB"/>
    <w:multiLevelType w:val="multilevel"/>
    <w:tmpl w:val="70F26DC2"/>
    <w:styleLink w:val="WW8Num11"/>
    <w:lvl w:ilvl="0">
      <w:start w:val="1"/>
      <w:numFmt w:val="decimal"/>
      <w:lvlText w:val="%1."/>
      <w:lvlJc w:val="left"/>
      <w:pPr>
        <w:ind w:left="1047" w:hanging="360"/>
      </w:pPr>
    </w:lvl>
    <w:lvl w:ilvl="1">
      <w:start w:val="1"/>
      <w:numFmt w:val="lowerLetter"/>
      <w:lvlText w:val="%2."/>
      <w:lvlJc w:val="left"/>
      <w:pPr>
        <w:ind w:left="1767" w:hanging="360"/>
      </w:pPr>
    </w:lvl>
    <w:lvl w:ilvl="2">
      <w:start w:val="1"/>
      <w:numFmt w:val="lowerRoman"/>
      <w:lvlText w:val="%3."/>
      <w:lvlJc w:val="right"/>
      <w:pPr>
        <w:ind w:left="2487" w:hanging="18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lowerLetter"/>
      <w:lvlText w:val="%5."/>
      <w:lvlJc w:val="left"/>
      <w:pPr>
        <w:ind w:left="3927" w:hanging="360"/>
      </w:pPr>
    </w:lvl>
    <w:lvl w:ilvl="5">
      <w:start w:val="1"/>
      <w:numFmt w:val="lowerRoman"/>
      <w:lvlText w:val="%6."/>
      <w:lvlJc w:val="right"/>
      <w:pPr>
        <w:ind w:left="4647" w:hanging="18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lowerLetter"/>
      <w:lvlText w:val="%8."/>
      <w:lvlJc w:val="left"/>
      <w:pPr>
        <w:ind w:left="6087" w:hanging="360"/>
      </w:pPr>
    </w:lvl>
    <w:lvl w:ilvl="8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5B2C66DB"/>
    <w:multiLevelType w:val="multilevel"/>
    <w:tmpl w:val="6CC42CBA"/>
    <w:styleLink w:val="WW8Num21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5E5B07C1"/>
    <w:multiLevelType w:val="multilevel"/>
    <w:tmpl w:val="54361146"/>
    <w:styleLink w:val="WW8Num14"/>
    <w:lvl w:ilvl="0">
      <w:start w:val="1"/>
      <w:numFmt w:val="decimal"/>
      <w:lvlText w:val="%1)"/>
      <w:lvlJc w:val="left"/>
      <w:pPr>
        <w:ind w:left="104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767" w:hanging="360"/>
      </w:pPr>
    </w:lvl>
    <w:lvl w:ilvl="2">
      <w:start w:val="1"/>
      <w:numFmt w:val="decimal"/>
      <w:lvlText w:val="%3."/>
      <w:lvlJc w:val="left"/>
      <w:pPr>
        <w:ind w:left="2487" w:hanging="36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decimal"/>
      <w:lvlText w:val="%5."/>
      <w:lvlJc w:val="left"/>
      <w:pPr>
        <w:ind w:left="392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decimal"/>
      <w:lvlText w:val="%8."/>
      <w:lvlJc w:val="left"/>
      <w:pPr>
        <w:ind w:left="6087" w:hanging="360"/>
      </w:pPr>
    </w:lvl>
    <w:lvl w:ilvl="8">
      <w:start w:val="1"/>
      <w:numFmt w:val="decimal"/>
      <w:lvlText w:val="%9."/>
      <w:lvlJc w:val="left"/>
      <w:pPr>
        <w:ind w:left="6807" w:hanging="360"/>
      </w:pPr>
    </w:lvl>
  </w:abstractNum>
  <w:abstractNum w:abstractNumId="20" w15:restartNumberingAfterBreak="0">
    <w:nsid w:val="5F451372"/>
    <w:multiLevelType w:val="hybridMultilevel"/>
    <w:tmpl w:val="78DC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91DF7"/>
    <w:multiLevelType w:val="multilevel"/>
    <w:tmpl w:val="993649F4"/>
    <w:styleLink w:val="WW8Num18"/>
    <w:lvl w:ilvl="0">
      <w:numFmt w:val="bullet"/>
      <w:lvlText w:val=""/>
      <w:lvlJc w:val="left"/>
      <w:pPr>
        <w:ind w:left="11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 w:cs="Wingdings"/>
      </w:rPr>
    </w:lvl>
  </w:abstractNum>
  <w:abstractNum w:abstractNumId="22" w15:restartNumberingAfterBreak="0">
    <w:nsid w:val="64D100A0"/>
    <w:multiLevelType w:val="multilevel"/>
    <w:tmpl w:val="2C6EBD48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3" w15:restartNumberingAfterBreak="0">
    <w:nsid w:val="66644F94"/>
    <w:multiLevelType w:val="multilevel"/>
    <w:tmpl w:val="4B14BBF6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113C"/>
    <w:multiLevelType w:val="multilevel"/>
    <w:tmpl w:val="9E247AA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b/>
        <w:color w:val="000000"/>
        <w:spacing w:val="-2"/>
        <w:sz w:val="20"/>
        <w:szCs w:val="20"/>
      </w:rPr>
    </w:lvl>
  </w:abstractNum>
  <w:abstractNum w:abstractNumId="25" w15:restartNumberingAfterBreak="0">
    <w:nsid w:val="67FC69A5"/>
    <w:multiLevelType w:val="multilevel"/>
    <w:tmpl w:val="49EEA7D4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0431D"/>
    <w:multiLevelType w:val="hybridMultilevel"/>
    <w:tmpl w:val="0958C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922BF8"/>
    <w:multiLevelType w:val="multilevel"/>
    <w:tmpl w:val="E722BCF6"/>
    <w:styleLink w:val="WW8Num8"/>
    <w:lvl w:ilvl="0">
      <w:start w:val="1"/>
      <w:numFmt w:val="decimal"/>
      <w:lvlText w:val="%1."/>
      <w:lvlJc w:val="left"/>
      <w:pPr>
        <w:ind w:left="1047" w:hanging="360"/>
      </w:pPr>
    </w:lvl>
    <w:lvl w:ilvl="1">
      <w:start w:val="1"/>
      <w:numFmt w:val="decimal"/>
      <w:lvlText w:val="%2."/>
      <w:lvlJc w:val="left"/>
      <w:pPr>
        <w:ind w:left="1767" w:hanging="360"/>
      </w:pPr>
    </w:lvl>
    <w:lvl w:ilvl="2">
      <w:start w:val="1"/>
      <w:numFmt w:val="decimal"/>
      <w:lvlText w:val="%3."/>
      <w:lvlJc w:val="left"/>
      <w:pPr>
        <w:ind w:left="2487" w:hanging="360"/>
      </w:pPr>
    </w:lvl>
    <w:lvl w:ilvl="3">
      <w:start w:val="1"/>
      <w:numFmt w:val="decimal"/>
      <w:lvlText w:val="%4."/>
      <w:lvlJc w:val="left"/>
      <w:pPr>
        <w:ind w:left="3207" w:hanging="360"/>
      </w:pPr>
    </w:lvl>
    <w:lvl w:ilvl="4">
      <w:start w:val="1"/>
      <w:numFmt w:val="decimal"/>
      <w:lvlText w:val="%5."/>
      <w:lvlJc w:val="left"/>
      <w:pPr>
        <w:ind w:left="392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367" w:hanging="360"/>
      </w:pPr>
    </w:lvl>
    <w:lvl w:ilvl="7">
      <w:start w:val="1"/>
      <w:numFmt w:val="decimal"/>
      <w:lvlText w:val="%8."/>
      <w:lvlJc w:val="left"/>
      <w:pPr>
        <w:ind w:left="6087" w:hanging="360"/>
      </w:pPr>
    </w:lvl>
    <w:lvl w:ilvl="8">
      <w:start w:val="1"/>
      <w:numFmt w:val="decimal"/>
      <w:lvlText w:val="%9."/>
      <w:lvlJc w:val="left"/>
      <w:pPr>
        <w:ind w:left="6807" w:hanging="360"/>
      </w:pPr>
    </w:lvl>
  </w:abstractNum>
  <w:abstractNum w:abstractNumId="28" w15:restartNumberingAfterBreak="0">
    <w:nsid w:val="73EB3F42"/>
    <w:multiLevelType w:val="multilevel"/>
    <w:tmpl w:val="0EA05EC0"/>
    <w:styleLink w:val="WW8Num16"/>
    <w:lvl w:ilvl="0">
      <w:numFmt w:val="bullet"/>
      <w:lvlText w:val=""/>
      <w:lvlJc w:val="left"/>
      <w:pPr>
        <w:ind w:left="78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9" w15:restartNumberingAfterBreak="0">
    <w:nsid w:val="77472318"/>
    <w:multiLevelType w:val="multilevel"/>
    <w:tmpl w:val="1FFA371E"/>
    <w:styleLink w:val="WW8Num15"/>
    <w:lvl w:ilvl="0">
      <w:numFmt w:val="bullet"/>
      <w:lvlText w:val="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0"/>
  </w:num>
  <w:num w:numId="5">
    <w:abstractNumId w:val="13"/>
  </w:num>
  <w:num w:numId="6">
    <w:abstractNumId w:val="24"/>
  </w:num>
  <w:num w:numId="7">
    <w:abstractNumId w:val="22"/>
  </w:num>
  <w:num w:numId="8">
    <w:abstractNumId w:val="27"/>
  </w:num>
  <w:num w:numId="9">
    <w:abstractNumId w:val="23"/>
  </w:num>
  <w:num w:numId="10">
    <w:abstractNumId w:val="6"/>
  </w:num>
  <w:num w:numId="11">
    <w:abstractNumId w:val="17"/>
  </w:num>
  <w:num w:numId="12">
    <w:abstractNumId w:val="5"/>
  </w:num>
  <w:num w:numId="13">
    <w:abstractNumId w:val="9"/>
  </w:num>
  <w:num w:numId="14">
    <w:abstractNumId w:val="19"/>
  </w:num>
  <w:num w:numId="15">
    <w:abstractNumId w:val="29"/>
  </w:num>
  <w:num w:numId="16">
    <w:abstractNumId w:val="28"/>
  </w:num>
  <w:num w:numId="17">
    <w:abstractNumId w:val="11"/>
  </w:num>
  <w:num w:numId="18">
    <w:abstractNumId w:val="21"/>
  </w:num>
  <w:num w:numId="19">
    <w:abstractNumId w:val="14"/>
  </w:num>
  <w:num w:numId="20">
    <w:abstractNumId w:val="12"/>
  </w:num>
  <w:num w:numId="21">
    <w:abstractNumId w:val="18"/>
  </w:num>
  <w:num w:numId="22">
    <w:abstractNumId w:val="4"/>
  </w:num>
  <w:num w:numId="23">
    <w:abstractNumId w:val="8"/>
  </w:num>
  <w:num w:numId="24">
    <w:abstractNumId w:val="15"/>
  </w:num>
  <w:num w:numId="25">
    <w:abstractNumId w:val="24"/>
    <w:lvlOverride w:ilvl="0">
      <w:startOverride w:val="1"/>
    </w:lvlOverride>
  </w:num>
  <w:num w:numId="26">
    <w:abstractNumId w:val="28"/>
  </w:num>
  <w:num w:numId="27">
    <w:abstractNumId w:val="24"/>
    <w:lvlOverride w:ilvl="0">
      <w:startOverride w:val="1"/>
    </w:lvlOverride>
  </w:num>
  <w:num w:numId="28">
    <w:abstractNumId w:val="11"/>
  </w:num>
  <w:num w:numId="29">
    <w:abstractNumId w:val="24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8"/>
  </w:num>
  <w:num w:numId="32">
    <w:abstractNumId w:val="24"/>
    <w:lvlOverride w:ilvl="0">
      <w:startOverride w:val="1"/>
    </w:lvlOverride>
  </w:num>
  <w:num w:numId="33">
    <w:abstractNumId w:val="22"/>
  </w:num>
  <w:num w:numId="34">
    <w:abstractNumId w:val="24"/>
    <w:lvlOverride w:ilvl="0">
      <w:startOverride w:val="1"/>
    </w:lvlOverride>
  </w:num>
  <w:num w:numId="35">
    <w:abstractNumId w:val="26"/>
  </w:num>
  <w:num w:numId="36">
    <w:abstractNumId w:val="3"/>
  </w:num>
  <w:num w:numId="37">
    <w:abstractNumId w:val="7"/>
  </w:num>
  <w:num w:numId="38">
    <w:abstractNumId w:val="2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0"/>
    <w:rsid w:val="00006318"/>
    <w:rsid w:val="00013AF4"/>
    <w:rsid w:val="0003414F"/>
    <w:rsid w:val="0003719E"/>
    <w:rsid w:val="000378B3"/>
    <w:rsid w:val="00057611"/>
    <w:rsid w:val="00072B8A"/>
    <w:rsid w:val="00076DBB"/>
    <w:rsid w:val="000850B3"/>
    <w:rsid w:val="00087207"/>
    <w:rsid w:val="000A4FAE"/>
    <w:rsid w:val="000C0509"/>
    <w:rsid w:val="00117EE9"/>
    <w:rsid w:val="00133FA3"/>
    <w:rsid w:val="001811D2"/>
    <w:rsid w:val="001A45E8"/>
    <w:rsid w:val="001A6681"/>
    <w:rsid w:val="001B1C86"/>
    <w:rsid w:val="001B1E42"/>
    <w:rsid w:val="001D6367"/>
    <w:rsid w:val="001E2A14"/>
    <w:rsid w:val="001E32AF"/>
    <w:rsid w:val="001F1840"/>
    <w:rsid w:val="002313BC"/>
    <w:rsid w:val="00242FC7"/>
    <w:rsid w:val="002430BB"/>
    <w:rsid w:val="00244C09"/>
    <w:rsid w:val="00272EDA"/>
    <w:rsid w:val="00280E3C"/>
    <w:rsid w:val="0028434D"/>
    <w:rsid w:val="00294EC9"/>
    <w:rsid w:val="002B50E8"/>
    <w:rsid w:val="002D1A99"/>
    <w:rsid w:val="00300324"/>
    <w:rsid w:val="0034002B"/>
    <w:rsid w:val="00351117"/>
    <w:rsid w:val="00356593"/>
    <w:rsid w:val="003637F0"/>
    <w:rsid w:val="003673A1"/>
    <w:rsid w:val="00386FF4"/>
    <w:rsid w:val="003A0AAF"/>
    <w:rsid w:val="003A6DA9"/>
    <w:rsid w:val="003E7D43"/>
    <w:rsid w:val="004009C0"/>
    <w:rsid w:val="00404672"/>
    <w:rsid w:val="00430D35"/>
    <w:rsid w:val="0044159F"/>
    <w:rsid w:val="0044352D"/>
    <w:rsid w:val="004461D1"/>
    <w:rsid w:val="00471E59"/>
    <w:rsid w:val="00493673"/>
    <w:rsid w:val="004963E1"/>
    <w:rsid w:val="004B5004"/>
    <w:rsid w:val="004B5E45"/>
    <w:rsid w:val="004F39D8"/>
    <w:rsid w:val="004F79E3"/>
    <w:rsid w:val="005047D4"/>
    <w:rsid w:val="00510F3B"/>
    <w:rsid w:val="00522574"/>
    <w:rsid w:val="00545660"/>
    <w:rsid w:val="005575E5"/>
    <w:rsid w:val="00577E26"/>
    <w:rsid w:val="00582972"/>
    <w:rsid w:val="0059369E"/>
    <w:rsid w:val="005A3186"/>
    <w:rsid w:val="005C3613"/>
    <w:rsid w:val="005E322C"/>
    <w:rsid w:val="005F5D07"/>
    <w:rsid w:val="006316CD"/>
    <w:rsid w:val="006351BB"/>
    <w:rsid w:val="006363F2"/>
    <w:rsid w:val="00642EEF"/>
    <w:rsid w:val="00652258"/>
    <w:rsid w:val="00682BEE"/>
    <w:rsid w:val="00686828"/>
    <w:rsid w:val="00687A3C"/>
    <w:rsid w:val="006B0FF7"/>
    <w:rsid w:val="006B354F"/>
    <w:rsid w:val="006D369D"/>
    <w:rsid w:val="006E0483"/>
    <w:rsid w:val="006F232F"/>
    <w:rsid w:val="006F576F"/>
    <w:rsid w:val="006F6DE5"/>
    <w:rsid w:val="00797429"/>
    <w:rsid w:val="007D6E5C"/>
    <w:rsid w:val="007F0561"/>
    <w:rsid w:val="00846CF3"/>
    <w:rsid w:val="008537CD"/>
    <w:rsid w:val="008B0F59"/>
    <w:rsid w:val="008F15D8"/>
    <w:rsid w:val="00902D3F"/>
    <w:rsid w:val="00924C60"/>
    <w:rsid w:val="00943DA8"/>
    <w:rsid w:val="009808C2"/>
    <w:rsid w:val="009867D9"/>
    <w:rsid w:val="009973BA"/>
    <w:rsid w:val="009C16F2"/>
    <w:rsid w:val="009C1C96"/>
    <w:rsid w:val="00A1439E"/>
    <w:rsid w:val="00A243B0"/>
    <w:rsid w:val="00A554A5"/>
    <w:rsid w:val="00A71EB5"/>
    <w:rsid w:val="00A74A8E"/>
    <w:rsid w:val="00A87554"/>
    <w:rsid w:val="00A940F8"/>
    <w:rsid w:val="00AB059B"/>
    <w:rsid w:val="00AE5711"/>
    <w:rsid w:val="00AF45BC"/>
    <w:rsid w:val="00B536CE"/>
    <w:rsid w:val="00B55261"/>
    <w:rsid w:val="00BA5047"/>
    <w:rsid w:val="00BA5506"/>
    <w:rsid w:val="00BD5485"/>
    <w:rsid w:val="00BD608E"/>
    <w:rsid w:val="00BE4B0A"/>
    <w:rsid w:val="00BF55AD"/>
    <w:rsid w:val="00C01630"/>
    <w:rsid w:val="00C073CB"/>
    <w:rsid w:val="00C20220"/>
    <w:rsid w:val="00C220B6"/>
    <w:rsid w:val="00C25A7E"/>
    <w:rsid w:val="00C306A3"/>
    <w:rsid w:val="00C4534A"/>
    <w:rsid w:val="00C4762F"/>
    <w:rsid w:val="00C630E0"/>
    <w:rsid w:val="00C875EC"/>
    <w:rsid w:val="00CC5BC2"/>
    <w:rsid w:val="00CF01CE"/>
    <w:rsid w:val="00CF0D02"/>
    <w:rsid w:val="00D025B9"/>
    <w:rsid w:val="00D41252"/>
    <w:rsid w:val="00D41260"/>
    <w:rsid w:val="00D50DFE"/>
    <w:rsid w:val="00D51683"/>
    <w:rsid w:val="00D8570A"/>
    <w:rsid w:val="00DA2585"/>
    <w:rsid w:val="00DA4E11"/>
    <w:rsid w:val="00DE3788"/>
    <w:rsid w:val="00E30E2F"/>
    <w:rsid w:val="00E36930"/>
    <w:rsid w:val="00E47158"/>
    <w:rsid w:val="00E60270"/>
    <w:rsid w:val="00EB2095"/>
    <w:rsid w:val="00EC0156"/>
    <w:rsid w:val="00ED3E5E"/>
    <w:rsid w:val="00EF24A4"/>
    <w:rsid w:val="00F05856"/>
    <w:rsid w:val="00F20869"/>
    <w:rsid w:val="00F30538"/>
    <w:rsid w:val="00F36FFC"/>
    <w:rsid w:val="00F40BAC"/>
    <w:rsid w:val="00F44839"/>
    <w:rsid w:val="00F81A44"/>
    <w:rsid w:val="00FA29A8"/>
    <w:rsid w:val="00FE6AE8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64B"/>
  <w15:docId w15:val="{B9874B5C-2E41-4CAE-8E07-8AE846F4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pPr>
      <w:spacing w:line="240" w:lineRule="auto"/>
    </w:p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dymka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line="240" w:lineRule="auto"/>
    </w:pPr>
  </w:style>
  <w:style w:type="paragraph" w:customStyle="1" w:styleId="Endnote">
    <w:name w:val="Endnote"/>
    <w:basedOn w:val="Standard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eastAsia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color w:val="000000"/>
      <w:spacing w:val="-2"/>
      <w:sz w:val="20"/>
      <w:szCs w:val="20"/>
    </w:rPr>
  </w:style>
  <w:style w:type="character" w:customStyle="1" w:styleId="WW8Num7z0">
    <w:name w:val="WW8Num7z0"/>
    <w:rPr>
      <w:rFonts w:ascii="Symbol" w:eastAsia="Symbol" w:hAnsi="Symbol" w:cs="Symbol"/>
      <w:color w:val="000000"/>
      <w:sz w:val="20"/>
      <w:szCs w:val="2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  <w:sz w:val="20"/>
      <w:szCs w:val="20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  <w:color w:val="000000"/>
      <w:spacing w:val="-2"/>
      <w:sz w:val="20"/>
      <w:szCs w:val="20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Num2">
    <w:name w:val="WWNum2"/>
    <w:basedOn w:val="Bezlisty"/>
    <w:pPr>
      <w:numPr>
        <w:numId w:val="23"/>
      </w:numPr>
    </w:pPr>
  </w:style>
  <w:style w:type="character" w:styleId="Hipercze">
    <w:name w:val="Hyperlink"/>
    <w:basedOn w:val="Domylnaczcionkaakapitu"/>
    <w:uiPriority w:val="99"/>
    <w:unhideWhenUsed/>
    <w:rsid w:val="009C1C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1C9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272ED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4489</Words>
  <Characters>26938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lastModifiedBy>Bożena Sawicka</cp:lastModifiedBy>
  <cp:revision>2</cp:revision>
  <dcterms:created xsi:type="dcterms:W3CDTF">2020-08-31T09:03:00Z</dcterms:created>
  <dcterms:modified xsi:type="dcterms:W3CDTF">2020-08-31T09:03:00Z</dcterms:modified>
</cp:coreProperties>
</file>