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D207C" w14:textId="40CB2F47" w:rsidR="00C1630E" w:rsidRPr="00A505F5" w:rsidRDefault="00C1630E" w:rsidP="00D12E85">
      <w:pPr>
        <w:spacing w:after="0" w:line="260" w:lineRule="exact"/>
        <w:rPr>
          <w:rFonts w:ascii="Lato" w:eastAsia="Calibri" w:hAnsi="Lato" w:cs="Times New Roman"/>
          <w:spacing w:val="4"/>
        </w:rPr>
      </w:pPr>
      <w:r w:rsidRPr="00A505F5">
        <w:rPr>
          <w:rFonts w:ascii="Lato" w:eastAsia="Calibri" w:hAnsi="Lato" w:cs="Times New Roman"/>
          <w:spacing w:val="4"/>
        </w:rPr>
        <w:t xml:space="preserve">Znak sprawy: </w:t>
      </w:r>
      <w:r w:rsidR="002202E8" w:rsidRPr="002202E8">
        <w:rPr>
          <w:rFonts w:ascii="Lato" w:eastAsia="Calibri" w:hAnsi="Lato" w:cs="Times New Roman"/>
          <w:spacing w:val="4"/>
        </w:rPr>
        <w:t>DLI-II.7621.5.2026.AZ.</w:t>
      </w:r>
      <w:r w:rsidR="002202E8">
        <w:rPr>
          <w:rFonts w:ascii="Lato" w:eastAsia="Calibri" w:hAnsi="Lato" w:cs="Times New Roman"/>
          <w:spacing w:val="4"/>
        </w:rPr>
        <w:t>4</w:t>
      </w:r>
    </w:p>
    <w:p w14:paraId="24F3F304" w14:textId="44ADA287" w:rsidR="00C1630E" w:rsidRPr="00DF4B3D" w:rsidRDefault="00C1630E" w:rsidP="00004FE5">
      <w:pPr>
        <w:spacing w:after="480" w:line="240" w:lineRule="exact"/>
        <w:rPr>
          <w:rFonts w:ascii="Lato" w:eastAsia="Calibri" w:hAnsi="Lato" w:cs="Times New Roman"/>
          <w:spacing w:val="4"/>
        </w:rPr>
      </w:pPr>
      <w:r w:rsidRPr="00DF4B3D">
        <w:rPr>
          <w:rFonts w:ascii="Lato" w:eastAsia="Calibri" w:hAnsi="Lato" w:cs="Times New Roman"/>
          <w:spacing w:val="4"/>
        </w:rPr>
        <w:t>Warszawa,</w:t>
      </w:r>
      <w:bookmarkStart w:id="0" w:name="ezdDataPodpisu"/>
      <w:r w:rsidRPr="00DF4B3D">
        <w:rPr>
          <w:rFonts w:ascii="Lato" w:eastAsia="Calibri" w:hAnsi="Lato" w:cs="Times New Roman"/>
          <w:spacing w:val="4"/>
        </w:rPr>
        <w:t xml:space="preserve"> </w:t>
      </w:r>
      <w:r w:rsidR="002E3B5F">
        <w:rPr>
          <w:rFonts w:ascii="Lato" w:eastAsia="Calibri" w:hAnsi="Lato" w:cs="Times New Roman"/>
          <w:spacing w:val="4"/>
        </w:rPr>
        <w:t>28</w:t>
      </w:r>
      <w:r w:rsidRPr="00DF4B3D">
        <w:rPr>
          <w:rFonts w:ascii="Lato" w:eastAsia="Calibri" w:hAnsi="Lato" w:cs="Times New Roman"/>
          <w:spacing w:val="4"/>
        </w:rPr>
        <w:t xml:space="preserve"> </w:t>
      </w:r>
      <w:r w:rsidR="00004FE5" w:rsidRPr="00DF4B3D">
        <w:rPr>
          <w:rFonts w:ascii="Lato" w:eastAsia="Calibri" w:hAnsi="Lato" w:cs="Times New Roman"/>
          <w:spacing w:val="4"/>
        </w:rPr>
        <w:t>kwietnia</w:t>
      </w:r>
      <w:r w:rsidRPr="00DF4B3D">
        <w:rPr>
          <w:rFonts w:ascii="Lato" w:eastAsia="Calibri" w:hAnsi="Lato" w:cs="Times New Roman"/>
          <w:spacing w:val="4"/>
        </w:rPr>
        <w:t xml:space="preserve"> 202</w:t>
      </w:r>
      <w:r w:rsidR="00087135" w:rsidRPr="00DF4B3D">
        <w:rPr>
          <w:rFonts w:ascii="Lato" w:eastAsia="Calibri" w:hAnsi="Lato" w:cs="Times New Roman"/>
          <w:spacing w:val="4"/>
        </w:rPr>
        <w:t>6</w:t>
      </w:r>
      <w:r w:rsidRPr="00DF4B3D">
        <w:rPr>
          <w:rFonts w:ascii="Lato" w:eastAsia="Calibri" w:hAnsi="Lato" w:cs="Times New Roman"/>
          <w:spacing w:val="4"/>
        </w:rPr>
        <w:t xml:space="preserve"> r.</w:t>
      </w:r>
      <w:bookmarkEnd w:id="0"/>
    </w:p>
    <w:p w14:paraId="6B46FB1F" w14:textId="77777777" w:rsidR="00D12E85" w:rsidRPr="00DF4B3D" w:rsidRDefault="00D12E85" w:rsidP="00D12E85">
      <w:pPr>
        <w:spacing w:after="0" w:line="240" w:lineRule="exact"/>
        <w:rPr>
          <w:rFonts w:ascii="Lato" w:eastAsia="Calibri" w:hAnsi="Lato" w:cs="Times New Roman"/>
          <w:spacing w:val="4"/>
        </w:rPr>
      </w:pPr>
    </w:p>
    <w:p w14:paraId="74D09941" w14:textId="77777777" w:rsidR="00D12E85" w:rsidRPr="00DF4B3D" w:rsidRDefault="00D12E85" w:rsidP="00D12E85">
      <w:pPr>
        <w:spacing w:after="0" w:line="240" w:lineRule="exact"/>
        <w:rPr>
          <w:rFonts w:ascii="Lato" w:eastAsia="Calibri" w:hAnsi="Lato" w:cs="Times New Roman"/>
          <w:spacing w:val="4"/>
        </w:rPr>
      </w:pPr>
    </w:p>
    <w:p w14:paraId="50F141D5" w14:textId="77777777" w:rsidR="0064532A" w:rsidRPr="00DF4B3D" w:rsidRDefault="0064532A" w:rsidP="0035458F">
      <w:pPr>
        <w:spacing w:after="360" w:line="240" w:lineRule="exact"/>
        <w:jc w:val="center"/>
        <w:rPr>
          <w:rFonts w:ascii="Lato" w:eastAsia="Calibri" w:hAnsi="Lato" w:cs="Times New Roman"/>
          <w:spacing w:val="4"/>
        </w:rPr>
      </w:pPr>
      <w:r w:rsidRPr="00DF4B3D">
        <w:rPr>
          <w:rFonts w:ascii="Lato" w:eastAsia="Calibri" w:hAnsi="Lato" w:cs="Times New Roman"/>
          <w:b/>
          <w:spacing w:val="4"/>
        </w:rPr>
        <w:t>DECYZJA</w:t>
      </w:r>
    </w:p>
    <w:p w14:paraId="3A04951A" w14:textId="2FE2A587" w:rsidR="002202E8" w:rsidRPr="00DF4B3D" w:rsidRDefault="0064532A" w:rsidP="0035458F">
      <w:pPr>
        <w:spacing w:after="240" w:line="240" w:lineRule="exact"/>
        <w:jc w:val="both"/>
        <w:outlineLvl w:val="0"/>
        <w:rPr>
          <w:rFonts w:ascii="Lato" w:eastAsia="Times New Roman" w:hAnsi="Lato" w:cs="Arial"/>
          <w:bCs/>
          <w:spacing w:val="4"/>
          <w:lang w:eastAsia="pl-PL"/>
        </w:rPr>
      </w:pPr>
      <w:r w:rsidRPr="00DF4B3D">
        <w:rPr>
          <w:rFonts w:ascii="Lato" w:eastAsia="Calibri" w:hAnsi="Lato" w:cs="Arial"/>
          <w:spacing w:val="4"/>
        </w:rPr>
        <w:t xml:space="preserve">Na podstawie art. 155 ustawy z dnia 14 czerwca 1960 r. – Kodeks postępowania administracyjnego (t.j. </w:t>
      </w:r>
      <w:r w:rsidR="0059044E" w:rsidRPr="00DF4B3D">
        <w:rPr>
          <w:rFonts w:ascii="Lato" w:eastAsia="Calibri" w:hAnsi="Lato" w:cs="Arial"/>
          <w:spacing w:val="4"/>
        </w:rPr>
        <w:t>Dz.U. z 2025 r. poz. 1691</w:t>
      </w:r>
      <w:r w:rsidRPr="00DF4B3D">
        <w:rPr>
          <w:rFonts w:ascii="Lato" w:eastAsia="Calibri" w:hAnsi="Lato" w:cs="Arial"/>
          <w:spacing w:val="4"/>
        </w:rPr>
        <w:t xml:space="preserve">), zwanej dalej „kpa”, oraz art. 11f ust. 8 ustawy z dnia 10 kwietnia 2003 r. o szczególnych zasadach przygotowania i realizacji inwestycji w zakresie dróg publicznych (t.j. </w:t>
      </w:r>
      <w:r w:rsidR="0059044E" w:rsidRPr="00DF4B3D">
        <w:rPr>
          <w:rFonts w:ascii="Lato" w:eastAsia="Calibri" w:hAnsi="Lato" w:cs="Arial"/>
          <w:spacing w:val="4"/>
        </w:rPr>
        <w:t>Dz.U. z 2024 r. poz. 311</w:t>
      </w:r>
      <w:r w:rsidRPr="00DF4B3D">
        <w:rPr>
          <w:rFonts w:ascii="Lato" w:eastAsia="Calibri" w:hAnsi="Lato" w:cs="Arial"/>
          <w:spacing w:val="4"/>
        </w:rPr>
        <w:t xml:space="preserve">), zwanej dalej „specustawą drogową”, po rozpatrzeniu wniosku Zarządu </w:t>
      </w:r>
      <w:r w:rsidR="0059044E" w:rsidRPr="00DF4B3D">
        <w:rPr>
          <w:rFonts w:ascii="Lato" w:eastAsia="Calibri" w:hAnsi="Lato" w:cs="Arial"/>
          <w:spacing w:val="4"/>
        </w:rPr>
        <w:t xml:space="preserve">Województwa Śląskiego </w:t>
      </w:r>
      <w:r w:rsidR="0052357D" w:rsidRPr="00DF4B3D">
        <w:rPr>
          <w:rFonts w:ascii="Lato" w:eastAsia="Calibri" w:hAnsi="Lato" w:cs="Arial"/>
          <w:spacing w:val="4"/>
        </w:rPr>
        <w:br/>
      </w:r>
      <w:r w:rsidR="0059044E" w:rsidRPr="00DF4B3D">
        <w:rPr>
          <w:rFonts w:ascii="Lato" w:eastAsia="Calibri" w:hAnsi="Lato" w:cs="Arial"/>
          <w:spacing w:val="4"/>
        </w:rPr>
        <w:t xml:space="preserve">o zmianę </w:t>
      </w:r>
      <w:bookmarkStart w:id="1" w:name="_Hlk130904825"/>
      <w:r w:rsidRPr="00DF4B3D">
        <w:rPr>
          <w:rFonts w:ascii="Lato" w:eastAsia="Times New Roman" w:hAnsi="Lato" w:cs="Arial"/>
          <w:bCs/>
          <w:spacing w:val="4"/>
          <w:lang w:eastAsia="pl-PL"/>
        </w:rPr>
        <w:t xml:space="preserve">decyzji </w:t>
      </w:r>
      <w:bookmarkStart w:id="2" w:name="_Hlk158621952"/>
      <w:r w:rsidR="002202E8" w:rsidRPr="00DF4B3D">
        <w:rPr>
          <w:rFonts w:ascii="Lato" w:eastAsia="Times New Roman" w:hAnsi="Lato" w:cs="Arial"/>
          <w:bCs/>
          <w:spacing w:val="4"/>
          <w:lang w:eastAsia="pl-PL"/>
        </w:rPr>
        <w:t xml:space="preserve">Ministra Finansów i Gospodarki z dnia 16 września 2025 r., znak: </w:t>
      </w:r>
      <w:r w:rsidR="002202E8" w:rsidRPr="00DF4B3D">
        <w:rPr>
          <w:rFonts w:ascii="Lato" w:eastAsia="Times New Roman" w:hAnsi="Lato" w:cs="Arial"/>
          <w:bCs/>
          <w:spacing w:val="4"/>
          <w:lang w:eastAsia="pl-PL"/>
        </w:rPr>
        <w:br/>
        <w:t xml:space="preserve">DLI-II.7621.24.2023.AZ.15, uchylającej w części i orzekającej w tym zakresie co do istoty sprawy, a w pozostałej części utrzymującej w mocy decyzję Wojewody Śląskiego </w:t>
      </w:r>
      <w:r w:rsidR="002202E8" w:rsidRPr="00DF4B3D">
        <w:rPr>
          <w:rFonts w:ascii="Lato" w:eastAsia="Times New Roman" w:hAnsi="Lato" w:cs="Arial"/>
          <w:bCs/>
          <w:spacing w:val="4"/>
          <w:lang w:eastAsia="pl-PL"/>
        </w:rPr>
        <w:br/>
        <w:t>Nr 4/2023/ZRID z dnia 23 marca 2023 r., znak: IFXIII.7820.24.2022, o zezwoleniu na realizację inwestycji drogowej pn.: „Budowa mostu nad rzeką Odra w ciągu drogi wojewódzkiej nr 421 – dokumentacja projektowa wraz z pełnieniem nadzoru autorskiego”</w:t>
      </w:r>
      <w:r w:rsidR="002202E8" w:rsidRPr="00DF4B3D">
        <w:rPr>
          <w:rFonts w:ascii="Lato" w:hAnsi="Lato" w:cs="Arial"/>
          <w:spacing w:val="4"/>
          <w:sz w:val="20"/>
          <w:szCs w:val="20"/>
        </w:rPr>
        <w:t xml:space="preserve"> </w:t>
      </w:r>
      <w:r w:rsidR="002202E8" w:rsidRPr="00DF4B3D">
        <w:rPr>
          <w:rFonts w:ascii="Lato" w:eastAsia="Times New Roman" w:hAnsi="Lato" w:cs="Arial"/>
          <w:bCs/>
          <w:spacing w:val="4"/>
          <w:lang w:eastAsia="pl-PL"/>
        </w:rPr>
        <w:t>– w zakresie dotyczącym działki nr 1180/54, z obrębu 0009 Łubowice (AR_1).</w:t>
      </w:r>
    </w:p>
    <w:bookmarkEnd w:id="1"/>
    <w:bookmarkEnd w:id="2"/>
    <w:p w14:paraId="4E53FAA8" w14:textId="3445B53B" w:rsidR="0035458F" w:rsidRPr="00DF4B3D" w:rsidRDefault="0052357D" w:rsidP="0035458F">
      <w:pPr>
        <w:spacing w:after="240" w:line="240" w:lineRule="exact"/>
        <w:jc w:val="both"/>
        <w:outlineLvl w:val="0"/>
        <w:rPr>
          <w:rFonts w:ascii="Lato" w:eastAsia="Calibri" w:hAnsi="Lato" w:cs="Arial"/>
          <w:b/>
          <w:bCs/>
          <w:spacing w:val="4"/>
        </w:rPr>
      </w:pPr>
      <w:r w:rsidRPr="00DF4B3D">
        <w:rPr>
          <w:rFonts w:ascii="Lato" w:eastAsia="Calibri" w:hAnsi="Lato" w:cs="Arial"/>
          <w:b/>
          <w:bCs/>
          <w:spacing w:val="4"/>
        </w:rPr>
        <w:t xml:space="preserve">zmieniam ww. decyzję Ministra </w:t>
      </w:r>
      <w:r w:rsidR="002202E8" w:rsidRPr="00DF4B3D">
        <w:rPr>
          <w:rFonts w:ascii="Lato" w:eastAsia="Calibri" w:hAnsi="Lato" w:cs="Arial"/>
          <w:b/>
          <w:bCs/>
          <w:spacing w:val="4"/>
        </w:rPr>
        <w:t xml:space="preserve">Finansów i Gospodarki z dnia 16 września 2025 r., znak: </w:t>
      </w:r>
      <w:r w:rsidR="002202E8" w:rsidRPr="00DF4B3D">
        <w:rPr>
          <w:rFonts w:ascii="Lato" w:eastAsia="Calibri" w:hAnsi="Lato" w:cs="Arial"/>
          <w:b/>
          <w:bCs/>
          <w:spacing w:val="4"/>
        </w:rPr>
        <w:br/>
        <w:t xml:space="preserve">DLI-II.7621.24.2023.AZ.15 </w:t>
      </w:r>
      <w:r w:rsidR="0035458F" w:rsidRPr="00DF4B3D">
        <w:rPr>
          <w:rFonts w:ascii="Lato" w:eastAsia="Calibri" w:hAnsi="Lato" w:cs="Arial"/>
          <w:b/>
          <w:bCs/>
          <w:spacing w:val="4"/>
        </w:rPr>
        <w:t>- w części dotyczącej pkt II - w następujący sposób:</w:t>
      </w:r>
    </w:p>
    <w:p w14:paraId="6000957E" w14:textId="202A0E89" w:rsidR="0064532A" w:rsidRPr="00DF4B3D" w:rsidRDefault="00042DDD" w:rsidP="00004FE5">
      <w:pPr>
        <w:tabs>
          <w:tab w:val="left" w:pos="709"/>
        </w:tabs>
        <w:spacing w:after="240" w:line="240" w:lineRule="exact"/>
        <w:jc w:val="both"/>
        <w:rPr>
          <w:rFonts w:ascii="Lato" w:eastAsia="Times New Roman" w:hAnsi="Lato" w:cs="Arial"/>
          <w:b/>
          <w:bCs/>
          <w:spacing w:val="4"/>
          <w:lang w:eastAsia="pl-PL"/>
        </w:rPr>
      </w:pPr>
      <w:r w:rsidRPr="00DF4B3D">
        <w:rPr>
          <w:rFonts w:ascii="Lato" w:eastAsia="Times New Roman" w:hAnsi="Lato" w:cs="Arial"/>
          <w:b/>
          <w:bCs/>
          <w:spacing w:val="4"/>
          <w:lang w:eastAsia="pl-PL"/>
        </w:rPr>
        <w:t xml:space="preserve">II. </w:t>
      </w:r>
      <w:r w:rsidR="0064532A" w:rsidRPr="00DF4B3D">
        <w:rPr>
          <w:rFonts w:ascii="Lato" w:eastAsia="Times New Roman" w:hAnsi="Lato" w:cs="Arial"/>
          <w:b/>
          <w:bCs/>
          <w:spacing w:val="4"/>
          <w:lang w:eastAsia="pl-PL"/>
        </w:rPr>
        <w:t>Uchylam:</w:t>
      </w:r>
      <w:r w:rsidRPr="00DF4B3D">
        <w:rPr>
          <w:rFonts w:ascii="Lato" w:eastAsia="Times New Roman" w:hAnsi="Lato" w:cs="Arial"/>
          <w:b/>
          <w:bCs/>
          <w:spacing w:val="4"/>
          <w:lang w:eastAsia="pl-PL"/>
        </w:rPr>
        <w:t xml:space="preserve"> </w:t>
      </w:r>
    </w:p>
    <w:p w14:paraId="1B382756" w14:textId="5D23D6DB" w:rsidR="0035458F" w:rsidRPr="00DF4B3D" w:rsidRDefault="0035458F" w:rsidP="00004FE5">
      <w:pPr>
        <w:pStyle w:val="Akapitzlist"/>
        <w:numPr>
          <w:ilvl w:val="0"/>
          <w:numId w:val="9"/>
        </w:numPr>
        <w:spacing w:after="240" w:line="240" w:lineRule="exact"/>
        <w:ind w:left="567" w:hanging="284"/>
        <w:contextualSpacing w:val="0"/>
        <w:jc w:val="both"/>
        <w:rPr>
          <w:rFonts w:ascii="Lato" w:eastAsia="Times New Roman" w:hAnsi="Lato" w:cs="Arial"/>
          <w:bCs/>
          <w:spacing w:val="4"/>
          <w:lang w:eastAsia="pl-PL"/>
        </w:rPr>
      </w:pPr>
      <w:r w:rsidRPr="00DF4B3D">
        <w:rPr>
          <w:rFonts w:ascii="Lato" w:eastAsia="Times New Roman" w:hAnsi="Lato" w:cs="Arial"/>
          <w:bCs/>
          <w:spacing w:val="4"/>
          <w:lang w:eastAsia="pl-PL"/>
        </w:rPr>
        <w:t>mapę z projektem podziału działki nr 1180/54, z obrębu 0009 Łubowice_AR_1, stanowiącą część załącznika nr 2 do zaskarżonej decyzji,</w:t>
      </w:r>
    </w:p>
    <w:p w14:paraId="4A59F041" w14:textId="77777777" w:rsidR="0064532A" w:rsidRPr="00DF4B3D" w:rsidRDefault="0064532A" w:rsidP="00004FE5">
      <w:pPr>
        <w:spacing w:after="240" w:line="240" w:lineRule="exact"/>
        <w:ind w:left="993" w:hanging="709"/>
        <w:jc w:val="both"/>
        <w:rPr>
          <w:rFonts w:ascii="Lato" w:eastAsia="Times New Roman" w:hAnsi="Lato" w:cs="Arial"/>
          <w:spacing w:val="4"/>
          <w:lang w:eastAsia="pl-PL"/>
        </w:rPr>
      </w:pPr>
      <w:r w:rsidRPr="00DF4B3D">
        <w:rPr>
          <w:rFonts w:ascii="Lato" w:eastAsia="Times New Roman" w:hAnsi="Lato" w:cs="Arial"/>
          <w:b/>
          <w:spacing w:val="4"/>
          <w:lang w:eastAsia="pl-PL"/>
        </w:rPr>
        <w:t xml:space="preserve">i orzekam w tym zakresie </w:t>
      </w:r>
      <w:r w:rsidRPr="00DF4B3D">
        <w:rPr>
          <w:rFonts w:ascii="Lato" w:eastAsia="Times New Roman" w:hAnsi="Lato" w:cs="Arial"/>
          <w:spacing w:val="4"/>
          <w:lang w:eastAsia="pl-PL"/>
        </w:rPr>
        <w:t>poprzez:</w:t>
      </w:r>
    </w:p>
    <w:p w14:paraId="7E0C1407" w14:textId="26988651" w:rsidR="00B31C0A" w:rsidRPr="00DF4B3D" w:rsidRDefault="00373744" w:rsidP="00004FE5">
      <w:pPr>
        <w:numPr>
          <w:ilvl w:val="0"/>
          <w:numId w:val="3"/>
        </w:numPr>
        <w:spacing w:after="240" w:line="240" w:lineRule="exact"/>
        <w:ind w:left="567" w:hanging="283"/>
        <w:jc w:val="both"/>
        <w:rPr>
          <w:rFonts w:ascii="Lato" w:eastAsia="Times New Roman" w:hAnsi="Lato" w:cs="Arial"/>
          <w:spacing w:val="4"/>
          <w:lang w:eastAsia="pl-PL"/>
        </w:rPr>
      </w:pPr>
      <w:r w:rsidRPr="00DF4B3D">
        <w:rPr>
          <w:rFonts w:ascii="Lato" w:eastAsia="Times New Roman" w:hAnsi="Lato" w:cs="Arial"/>
          <w:bCs/>
          <w:spacing w:val="4"/>
          <w:lang w:eastAsia="pl-PL" w:bidi="pl-PL"/>
        </w:rPr>
        <w:t>zatwierdzenie, w miejsce uchylenia,</w:t>
      </w:r>
      <w:r w:rsidRPr="00DF4B3D">
        <w:rPr>
          <w:rFonts w:ascii="Lato" w:eastAsia="Times New Roman" w:hAnsi="Lato" w:cs="Arial"/>
          <w:spacing w:val="4"/>
          <w:lang w:eastAsia="pl-PL"/>
        </w:rPr>
        <w:t xml:space="preserve"> </w:t>
      </w:r>
      <w:r w:rsidRPr="00DF4B3D">
        <w:rPr>
          <w:rFonts w:ascii="Lato" w:eastAsia="Times New Roman" w:hAnsi="Lato" w:cs="Arial"/>
          <w:bCs/>
          <w:spacing w:val="4"/>
          <w:lang w:eastAsia="pl-PL"/>
        </w:rPr>
        <w:t xml:space="preserve">mapy z projektem podziału </w:t>
      </w:r>
      <w:r w:rsidRPr="00DF4B3D">
        <w:rPr>
          <w:rFonts w:ascii="Lato" w:eastAsia="Times New Roman" w:hAnsi="Lato" w:cs="Arial"/>
          <w:bCs/>
          <w:spacing w:val="4"/>
          <w:lang w:eastAsia="pl-PL" w:bidi="pl-PL"/>
        </w:rPr>
        <w:t xml:space="preserve">działki </w:t>
      </w:r>
      <w:r w:rsidRPr="00DF4B3D">
        <w:rPr>
          <w:rFonts w:ascii="Lato" w:eastAsia="Times New Roman" w:hAnsi="Lato" w:cs="Arial"/>
          <w:bCs/>
          <w:spacing w:val="4"/>
          <w:lang w:eastAsia="pl-PL" w:bidi="pl-PL"/>
        </w:rPr>
        <w:br/>
        <w:t xml:space="preserve">nr </w:t>
      </w:r>
      <w:r w:rsidR="0035458F" w:rsidRPr="00DF4B3D">
        <w:rPr>
          <w:rFonts w:ascii="Lato" w:eastAsia="Times New Roman" w:hAnsi="Lato" w:cs="Arial"/>
          <w:bCs/>
          <w:spacing w:val="4"/>
          <w:lang w:eastAsia="pl-PL" w:bidi="pl-PL"/>
        </w:rPr>
        <w:t>1180/54, z obrębu 0009 Łubowice_AR_1</w:t>
      </w:r>
      <w:r w:rsidRPr="00DF4B3D">
        <w:rPr>
          <w:rFonts w:ascii="Lato" w:eastAsia="Times New Roman" w:hAnsi="Lato" w:cs="Arial"/>
          <w:bCs/>
          <w:spacing w:val="4"/>
          <w:lang w:eastAsia="pl-PL" w:bidi="pl-PL"/>
        </w:rPr>
        <w:t xml:space="preserve">, stanowiącej załącznik nr </w:t>
      </w:r>
      <w:r w:rsidR="0035458F" w:rsidRPr="00DF4B3D">
        <w:rPr>
          <w:rFonts w:ascii="Lato" w:eastAsia="Times New Roman" w:hAnsi="Lato" w:cs="Arial"/>
          <w:bCs/>
          <w:spacing w:val="4"/>
          <w:lang w:eastAsia="pl-PL" w:bidi="pl-PL"/>
        </w:rPr>
        <w:t>1</w:t>
      </w:r>
      <w:r w:rsidRPr="00DF4B3D">
        <w:rPr>
          <w:rFonts w:ascii="Lato" w:eastAsia="Times New Roman" w:hAnsi="Lato" w:cs="Arial"/>
          <w:bCs/>
          <w:spacing w:val="4"/>
          <w:lang w:eastAsia="pl-PL" w:bidi="pl-PL"/>
        </w:rPr>
        <w:t xml:space="preserve"> do niniejszej decyzji.</w:t>
      </w:r>
    </w:p>
    <w:p w14:paraId="73158898" w14:textId="77777777" w:rsidR="0064532A" w:rsidRPr="00DF4B3D" w:rsidRDefault="0064532A" w:rsidP="00004FE5">
      <w:pPr>
        <w:spacing w:after="600" w:line="240" w:lineRule="exact"/>
        <w:jc w:val="both"/>
        <w:rPr>
          <w:rFonts w:ascii="Lato" w:eastAsia="Calibri" w:hAnsi="Lato" w:cs="Arial"/>
          <w:b/>
          <w:bCs/>
          <w:spacing w:val="4"/>
          <w:lang w:bidi="pl-PL"/>
        </w:rPr>
      </w:pPr>
      <w:r w:rsidRPr="00DF4B3D">
        <w:rPr>
          <w:rFonts w:ascii="Lato" w:eastAsia="Calibri" w:hAnsi="Lato" w:cs="Arial"/>
          <w:b/>
          <w:bCs/>
          <w:spacing w:val="4"/>
          <w:lang w:bidi="pl-PL"/>
        </w:rPr>
        <w:t>III. W pozostałej części zaskarżoną decyzję utrzymuję w mocy.</w:t>
      </w:r>
    </w:p>
    <w:p w14:paraId="1C26356B" w14:textId="77777777" w:rsidR="0064532A" w:rsidRPr="00DF4B3D" w:rsidRDefault="0064532A" w:rsidP="00AA424A">
      <w:pPr>
        <w:spacing w:after="240" w:line="240" w:lineRule="exact"/>
        <w:ind w:left="74"/>
        <w:jc w:val="center"/>
        <w:outlineLvl w:val="0"/>
        <w:rPr>
          <w:rFonts w:ascii="Lato" w:eastAsia="Times New Roman" w:hAnsi="Lato" w:cs="Times New Roman"/>
          <w:lang w:eastAsia="pl-PL"/>
        </w:rPr>
      </w:pPr>
      <w:r w:rsidRPr="00DF4B3D">
        <w:rPr>
          <w:rFonts w:ascii="Lato" w:eastAsia="Times New Roman" w:hAnsi="Lato" w:cs="Arial"/>
          <w:b/>
          <w:bCs/>
          <w:spacing w:val="4"/>
          <w:lang w:eastAsia="pl-PL"/>
        </w:rPr>
        <w:t>UZASADNIENIE</w:t>
      </w:r>
    </w:p>
    <w:p w14:paraId="66E22FF0" w14:textId="77777777" w:rsidR="0035458F" w:rsidRPr="00DF4B3D" w:rsidRDefault="0035458F" w:rsidP="0035458F">
      <w:pPr>
        <w:spacing w:after="240" w:line="240" w:lineRule="exact"/>
        <w:jc w:val="both"/>
        <w:rPr>
          <w:rFonts w:ascii="Lato" w:hAnsi="Lato" w:cs="Arial"/>
          <w:spacing w:val="4"/>
        </w:rPr>
      </w:pPr>
      <w:r w:rsidRPr="00DF4B3D">
        <w:rPr>
          <w:rFonts w:ascii="Lato" w:hAnsi="Lato" w:cs="Arial"/>
          <w:color w:val="000000"/>
          <w:spacing w:val="4"/>
        </w:rPr>
        <w:t xml:space="preserve">Wnioskiem z dnia 24 sierpnia 2022 r., skorygowanym w trakcie prowadzonego postępowania, </w:t>
      </w:r>
      <w:r w:rsidRPr="00DF4B3D">
        <w:rPr>
          <w:rFonts w:ascii="Lato" w:hAnsi="Lato" w:cs="Arial"/>
          <w:spacing w:val="4"/>
        </w:rPr>
        <w:t>Zarząd Województwa Śląskiego, zwany dalej „</w:t>
      </w:r>
      <w:r w:rsidRPr="00DF4B3D">
        <w:rPr>
          <w:rFonts w:ascii="Lato" w:hAnsi="Lato" w:cs="Arial"/>
          <w:iCs/>
          <w:spacing w:val="4"/>
        </w:rPr>
        <w:t>inwestorem</w:t>
      </w:r>
      <w:r w:rsidRPr="00DF4B3D">
        <w:rPr>
          <w:rFonts w:ascii="Lato" w:hAnsi="Lato" w:cs="Arial"/>
          <w:spacing w:val="4"/>
        </w:rPr>
        <w:t>”, reprezentowany przez ustanowionego w sprawie pełnomocnika, wystąpił do Wojewody Śląskiego</w:t>
      </w:r>
      <w:r w:rsidRPr="00DF4B3D">
        <w:rPr>
          <w:rFonts w:ascii="Lato" w:eastAsia="Times New Roman" w:hAnsi="Lato" w:cs="Arial"/>
          <w:spacing w:val="4"/>
          <w:lang w:eastAsia="pl-PL"/>
        </w:rPr>
        <w:t xml:space="preserve"> o wydanie decyzji o zezwoleniu na realizację inwestycji drogowej dla przedsięwzięcia pn.: „</w:t>
      </w:r>
      <w:r w:rsidRPr="00DF4B3D">
        <w:rPr>
          <w:rFonts w:ascii="Lato" w:hAnsi="Lato" w:cs="Arial"/>
          <w:spacing w:val="4"/>
        </w:rPr>
        <w:t>Budowa mostu nad rzeką Odra w ciągu drogi wojewódzkiej nr 421 – dokumentacja projektowa wraz z pełnieniem nadzoru autorskiego”. Inwestor wniósł także o nadanie decyzji rygoru natychmiastowej wykonalności, uzasadniając konieczność jego nadania interesem społecznym i gospodarczym.</w:t>
      </w:r>
    </w:p>
    <w:p w14:paraId="0E55E6A7" w14:textId="31211403" w:rsidR="0035458F" w:rsidRPr="00DF4B3D" w:rsidRDefault="0035458F" w:rsidP="0035458F">
      <w:pPr>
        <w:spacing w:after="240" w:line="240" w:lineRule="exact"/>
        <w:jc w:val="both"/>
        <w:rPr>
          <w:rFonts w:ascii="Arial" w:eastAsia="Times New Roman" w:hAnsi="Arial" w:cs="Arial"/>
          <w:i/>
          <w:spacing w:val="4"/>
          <w:sz w:val="20"/>
          <w:szCs w:val="20"/>
          <w:lang w:eastAsia="pl-PL"/>
        </w:rPr>
      </w:pPr>
      <w:r w:rsidRPr="00DF4B3D">
        <w:rPr>
          <w:rFonts w:ascii="Lato" w:hAnsi="Lato" w:cs="Arial"/>
          <w:spacing w:val="4"/>
        </w:rPr>
        <w:t xml:space="preserve">Po przeprowadzeniu postępowania w sprawie ww. wniosku, Wojewoda Śląski wydał </w:t>
      </w:r>
      <w:r w:rsidRPr="00DF4B3D">
        <w:rPr>
          <w:rFonts w:ascii="Lato" w:hAnsi="Lato" w:cs="Arial"/>
          <w:spacing w:val="4"/>
        </w:rPr>
        <w:br/>
        <w:t xml:space="preserve">w dniu 23 marca 2023 r. decyzję Nr 4/2023/ZRID, znak: IFXIII.7820.24.2022, </w:t>
      </w:r>
      <w:r w:rsidRPr="00DF4B3D">
        <w:rPr>
          <w:rFonts w:ascii="Lato" w:hAnsi="Lato" w:cs="Arial"/>
          <w:spacing w:val="4"/>
        </w:rPr>
        <w:br/>
        <w:t xml:space="preserve">o zezwoleniu na realizację inwestycji drogowej pn.: „Budowa mostu nad rzeką Odra </w:t>
      </w:r>
      <w:r w:rsidRPr="00DF4B3D">
        <w:rPr>
          <w:rFonts w:ascii="Lato" w:hAnsi="Lato" w:cs="Arial"/>
          <w:spacing w:val="4"/>
        </w:rPr>
        <w:br/>
      </w:r>
      <w:r w:rsidRPr="00DF4B3D">
        <w:rPr>
          <w:rFonts w:ascii="Lato" w:hAnsi="Lato" w:cs="Arial"/>
          <w:spacing w:val="4"/>
        </w:rPr>
        <w:lastRenderedPageBreak/>
        <w:t>w ciągu drogi wojewódzkiej nr 421 – dokumentacja projektowa wraz z pełnieniem nadzoru autorskiego”, zwaną dalej „decyzją Wojewody Śląskiego</w:t>
      </w:r>
      <w:proofErr w:type="gramStart"/>
      <w:r w:rsidRPr="00DF4B3D">
        <w:rPr>
          <w:rFonts w:ascii="Lato" w:hAnsi="Lato" w:cs="Arial"/>
          <w:spacing w:val="4"/>
        </w:rPr>
        <w:t>”,</w:t>
      </w:r>
      <w:proofErr w:type="gramEnd"/>
      <w:r w:rsidRPr="00DF4B3D">
        <w:rPr>
          <w:rFonts w:ascii="Lato" w:hAnsi="Lato" w:cs="Arial"/>
          <w:spacing w:val="4"/>
        </w:rPr>
        <w:t xml:space="preserve"> oraz nadał jej rygor natychmiastowej wykonalności.</w:t>
      </w:r>
      <w:r w:rsidRPr="00DF4B3D">
        <w:rPr>
          <w:rFonts w:ascii="Arial" w:eastAsia="Times New Roman" w:hAnsi="Arial" w:cs="Arial"/>
          <w:i/>
          <w:spacing w:val="4"/>
          <w:sz w:val="20"/>
          <w:szCs w:val="20"/>
          <w:lang w:eastAsia="pl-PL"/>
        </w:rPr>
        <w:t xml:space="preserve"> </w:t>
      </w:r>
      <w:r w:rsidRPr="00DF4B3D">
        <w:rPr>
          <w:rFonts w:ascii="Lato" w:hAnsi="Lato" w:cs="Arial"/>
          <w:iCs/>
          <w:spacing w:val="4"/>
        </w:rPr>
        <w:t>Decyzja Wojewody Śląskiego</w:t>
      </w:r>
      <w:r w:rsidRPr="00DF4B3D">
        <w:rPr>
          <w:rFonts w:ascii="Lato" w:hAnsi="Lato" w:cs="Arial"/>
          <w:spacing w:val="4"/>
        </w:rPr>
        <w:t xml:space="preserve"> została następnie sprostowana postanowieniem Wojewody Śląskiego z dnia 21 kwietnia 2023 r., znak: IFXIII.7820.24.2022, z uwagi na występujące w treści przedmiotowej decyzji oczywiste omyłki pisarskie.</w:t>
      </w:r>
    </w:p>
    <w:p w14:paraId="4ED6BC80" w14:textId="77777777" w:rsidR="00004FE5" w:rsidRPr="00DF4B3D" w:rsidRDefault="0035458F" w:rsidP="0035458F">
      <w:pPr>
        <w:spacing w:after="240" w:line="240" w:lineRule="exact"/>
        <w:jc w:val="both"/>
        <w:rPr>
          <w:rFonts w:ascii="Lato" w:hAnsi="Lato" w:cs="Arial"/>
          <w:spacing w:val="4"/>
        </w:rPr>
      </w:pPr>
      <w:r w:rsidRPr="00DF4B3D">
        <w:rPr>
          <w:rFonts w:ascii="Lato" w:hAnsi="Lato" w:cs="Arial"/>
          <w:spacing w:val="4"/>
        </w:rPr>
        <w:t xml:space="preserve">Od decyzji Wojewody Śląskiego zostały wniesione odwołania. </w:t>
      </w:r>
    </w:p>
    <w:p w14:paraId="58DF3F23" w14:textId="1F0A5AA3" w:rsidR="0035458F" w:rsidRPr="00DF4B3D" w:rsidRDefault="0035458F" w:rsidP="0035458F">
      <w:pPr>
        <w:spacing w:after="240" w:line="240" w:lineRule="exact"/>
        <w:jc w:val="both"/>
        <w:rPr>
          <w:rFonts w:ascii="Lato" w:hAnsi="Lato" w:cs="Arial"/>
          <w:bCs/>
          <w:spacing w:val="4"/>
        </w:rPr>
      </w:pPr>
      <w:r w:rsidRPr="00DF4B3D">
        <w:rPr>
          <w:rFonts w:ascii="Lato" w:hAnsi="Lato" w:cs="Arial"/>
          <w:spacing w:val="4"/>
        </w:rPr>
        <w:t xml:space="preserve">Po rozpatrzeniu </w:t>
      </w:r>
      <w:proofErr w:type="spellStart"/>
      <w:r w:rsidRPr="00DF4B3D">
        <w:rPr>
          <w:rFonts w:ascii="Lato" w:hAnsi="Lato" w:cs="Arial"/>
          <w:spacing w:val="4"/>
        </w:rPr>
        <w:t>odwołań</w:t>
      </w:r>
      <w:proofErr w:type="spellEnd"/>
      <w:r w:rsidRPr="00DF4B3D">
        <w:rPr>
          <w:rFonts w:ascii="Lato" w:hAnsi="Lato" w:cs="Arial"/>
          <w:spacing w:val="4"/>
        </w:rPr>
        <w:t xml:space="preserve">, </w:t>
      </w:r>
      <w:r w:rsidRPr="00DF4B3D">
        <w:rPr>
          <w:rFonts w:ascii="Lato" w:hAnsi="Lato" w:cs="Arial"/>
          <w:bCs/>
          <w:spacing w:val="4"/>
        </w:rPr>
        <w:t>Minister Finansów i Gospodarki</w:t>
      </w:r>
      <w:r w:rsidR="00EE7EAF" w:rsidRPr="00DF4B3D">
        <w:rPr>
          <w:rFonts w:ascii="Lato" w:hAnsi="Lato" w:cs="Arial"/>
          <w:bCs/>
          <w:spacing w:val="4"/>
        </w:rPr>
        <w:t xml:space="preserve">, zwany dalej „Ministrem”, </w:t>
      </w:r>
      <w:r w:rsidRPr="00DF4B3D">
        <w:rPr>
          <w:rFonts w:ascii="Lato" w:hAnsi="Lato" w:cs="Arial"/>
          <w:spacing w:val="4"/>
        </w:rPr>
        <w:t xml:space="preserve">decyzją z dnia 16 września 2025 r., znak: </w:t>
      </w:r>
      <w:r w:rsidRPr="00DF4B3D">
        <w:rPr>
          <w:rFonts w:ascii="Lato" w:hAnsi="Lato" w:cs="Arial"/>
          <w:bCs/>
          <w:spacing w:val="4"/>
        </w:rPr>
        <w:t xml:space="preserve">DLI-II.7621.24.2023.AZ.15, zwaną dalej „decyzją Ministra Finansów i Gospodarki”, </w:t>
      </w:r>
      <w:r w:rsidRPr="00DF4B3D">
        <w:rPr>
          <w:rFonts w:ascii="Lato" w:eastAsia="Arial" w:hAnsi="Lato" w:cs="Arial"/>
          <w:bCs/>
          <w:color w:val="000000"/>
          <w:spacing w:val="4"/>
          <w:position w:val="-1"/>
          <w:lang w:eastAsia="pl-PL"/>
        </w:rPr>
        <w:t xml:space="preserve">uchylił w części </w:t>
      </w:r>
      <w:r w:rsidRPr="00DF4B3D">
        <w:rPr>
          <w:rFonts w:ascii="Lato" w:eastAsia="Arial" w:hAnsi="Lato" w:cs="Arial"/>
          <w:color w:val="000000"/>
          <w:spacing w:val="4"/>
          <w:position w:val="-1"/>
          <w:lang w:eastAsia="pl-PL"/>
        </w:rPr>
        <w:t xml:space="preserve">i orzekł w tym zakresie co do istoty sprawy, a w pozostałej części utrzymał w mocy decyzję </w:t>
      </w:r>
      <w:r w:rsidRPr="00DF4B3D">
        <w:rPr>
          <w:rFonts w:ascii="Lato" w:eastAsia="Arial" w:hAnsi="Lato" w:cs="Arial"/>
          <w:bCs/>
          <w:color w:val="000000"/>
          <w:spacing w:val="4"/>
          <w:position w:val="-1"/>
          <w:lang w:eastAsia="pl-PL"/>
        </w:rPr>
        <w:t>Wojewody Śląskiego.</w:t>
      </w:r>
    </w:p>
    <w:p w14:paraId="2E5A5254" w14:textId="532C46DF" w:rsidR="00EE7EAF" w:rsidRPr="00DF4B3D" w:rsidRDefault="0064532A" w:rsidP="005E326D">
      <w:pPr>
        <w:tabs>
          <w:tab w:val="left" w:pos="851"/>
        </w:tabs>
        <w:spacing w:after="240" w:line="240" w:lineRule="exact"/>
        <w:jc w:val="both"/>
        <w:rPr>
          <w:rFonts w:ascii="Lato" w:eastAsia="Calibri" w:hAnsi="Lato" w:cs="Arial"/>
          <w:bCs/>
          <w:spacing w:val="4"/>
        </w:rPr>
      </w:pPr>
      <w:r w:rsidRPr="00DF4B3D">
        <w:rPr>
          <w:rFonts w:ascii="Lato" w:eastAsia="Calibri" w:hAnsi="Lato" w:cs="Arial"/>
          <w:bCs/>
          <w:spacing w:val="4"/>
        </w:rPr>
        <w:t xml:space="preserve">Pismem z dnia </w:t>
      </w:r>
      <w:r w:rsidR="005E326D" w:rsidRPr="00DF4B3D">
        <w:rPr>
          <w:rFonts w:ascii="Lato" w:eastAsia="Calibri" w:hAnsi="Lato" w:cs="Arial"/>
          <w:bCs/>
          <w:spacing w:val="4"/>
        </w:rPr>
        <w:t>22 stycznia 2026 r., znak</w:t>
      </w:r>
      <w:r w:rsidRPr="00DF4B3D">
        <w:rPr>
          <w:rFonts w:ascii="Lato" w:eastAsia="Calibri" w:hAnsi="Lato" w:cs="Arial"/>
          <w:bCs/>
          <w:spacing w:val="4"/>
        </w:rPr>
        <w:t>: WI-G.5601.</w:t>
      </w:r>
      <w:r w:rsidR="005E326D" w:rsidRPr="00DF4B3D">
        <w:rPr>
          <w:rFonts w:ascii="Lato" w:eastAsia="Calibri" w:hAnsi="Lato" w:cs="Arial"/>
          <w:bCs/>
          <w:spacing w:val="4"/>
        </w:rPr>
        <w:t>22.13.2019.BKRA.921.26</w:t>
      </w:r>
      <w:r w:rsidR="000D0CCD" w:rsidRPr="00DF4B3D">
        <w:rPr>
          <w:rFonts w:ascii="Lato" w:eastAsia="Calibri" w:hAnsi="Lato" w:cs="Arial"/>
          <w:bCs/>
          <w:spacing w:val="4"/>
        </w:rPr>
        <w:t xml:space="preserve">, </w:t>
      </w:r>
      <w:r w:rsidRPr="00DF4B3D">
        <w:rPr>
          <w:rFonts w:ascii="Lato" w:eastAsia="Calibri" w:hAnsi="Lato" w:cs="Arial"/>
          <w:bCs/>
          <w:spacing w:val="4"/>
        </w:rPr>
        <w:t>inwestor złożył wniosek o zmianę, na podstawie art. 155 kpa</w:t>
      </w:r>
      <w:r w:rsidRPr="00DF4B3D">
        <w:rPr>
          <w:rFonts w:ascii="Lato" w:eastAsia="Calibri" w:hAnsi="Lato" w:cs="Arial"/>
          <w:bCs/>
          <w:spacing w:val="4"/>
          <w:lang w:bidi="pl-PL"/>
        </w:rPr>
        <w:t xml:space="preserve">, </w:t>
      </w:r>
      <w:r w:rsidRPr="00DF4B3D">
        <w:rPr>
          <w:rFonts w:ascii="Lato" w:eastAsia="Calibri" w:hAnsi="Lato" w:cs="Arial"/>
          <w:bCs/>
          <w:spacing w:val="4"/>
        </w:rPr>
        <w:t xml:space="preserve">decyzji Wojewody Śląskiego </w:t>
      </w:r>
      <w:r w:rsidR="005E326D" w:rsidRPr="00DF4B3D">
        <w:rPr>
          <w:rFonts w:ascii="Lato" w:eastAsia="Calibri" w:hAnsi="Lato" w:cs="Arial"/>
          <w:bCs/>
          <w:spacing w:val="4"/>
        </w:rPr>
        <w:t xml:space="preserve">poprzez zatwierdzenie nowej mapy z projektem </w:t>
      </w:r>
      <w:r w:rsidR="00AB0361" w:rsidRPr="00DF4B3D">
        <w:rPr>
          <w:rFonts w:ascii="Lato" w:eastAsia="Calibri" w:hAnsi="Lato" w:cs="Arial"/>
          <w:bCs/>
          <w:spacing w:val="4"/>
        </w:rPr>
        <w:t xml:space="preserve">podziału </w:t>
      </w:r>
      <w:r w:rsidR="005E326D" w:rsidRPr="00DF4B3D">
        <w:rPr>
          <w:rFonts w:ascii="Lato" w:eastAsia="Calibri" w:hAnsi="Lato" w:cs="Arial"/>
          <w:bCs/>
          <w:spacing w:val="4"/>
        </w:rPr>
        <w:t>działki nr 1180/54, z obrębu 0009 Łubowice_AR_1, gmina Rudnik, powiat raciborski.</w:t>
      </w:r>
      <w:r w:rsidR="00311537" w:rsidRPr="00DF4B3D">
        <w:rPr>
          <w:rFonts w:ascii="Lato" w:eastAsia="Calibri" w:hAnsi="Lato" w:cs="Arial"/>
          <w:bCs/>
          <w:spacing w:val="4"/>
        </w:rPr>
        <w:t xml:space="preserve"> </w:t>
      </w:r>
      <w:r w:rsidR="005E326D" w:rsidRPr="00DF4B3D">
        <w:rPr>
          <w:rFonts w:ascii="Lato" w:eastAsia="Calibri" w:hAnsi="Lato" w:cs="Arial"/>
          <w:bCs/>
          <w:spacing w:val="4"/>
        </w:rPr>
        <w:t>Uzasadniając konieczność wprowadzenia wnioskowanej zmiany, inwestor wyjaśnił, że mapa z projektem podziału ww. działki nr 1180/54, z obrębu 0009 Łubowice_AR_1, będąca załącznikiem do decyzji Wojewody Śląskiego, zawiera błąd w wykazie zmian gruntowych, polegający na zamianie powierzchni nowopowstałych działek. Działka 1371/54 ma przypisaną powierzchnię 0.0199 ha, a powinna mieć powierzchnię 0.2017 ha, natomiast działka 1372/54 ma przypisaną powierzchnię 0.2017 ha</w:t>
      </w:r>
      <w:r w:rsidR="00311537" w:rsidRPr="00DF4B3D">
        <w:rPr>
          <w:rFonts w:ascii="Lato" w:eastAsia="Calibri" w:hAnsi="Lato" w:cs="Arial"/>
          <w:bCs/>
          <w:spacing w:val="4"/>
        </w:rPr>
        <w:t xml:space="preserve">, </w:t>
      </w:r>
      <w:r w:rsidR="005E326D" w:rsidRPr="00DF4B3D">
        <w:rPr>
          <w:rFonts w:ascii="Lato" w:eastAsia="Calibri" w:hAnsi="Lato" w:cs="Arial"/>
          <w:bCs/>
          <w:spacing w:val="4"/>
        </w:rPr>
        <w:t xml:space="preserve">a powinna mieć powierzchnię 0.0199 ha. Inwestor wskazał, że opisany powyżej błąd ujawniono w czasie wykonywania czynności związanych z wprowadzeniem do ewidencji gruntów i budynków zmian ewidencyjnych wynikających z decyzji o zezwoleniu na realizację przedmiotowej inwestycji drogowej. Jednocześnie inwestor wyjaśnił, że dane dotyczące geometrii działek, ich przebiegu oraz oznaczeń nie uległy zmianie. Poprawie podlegają wyłącznie powierzchnie projektowanych działek nr 1371/54 i nr 1372/54 zawarte w wykazie zmian gruntowych. </w:t>
      </w:r>
    </w:p>
    <w:p w14:paraId="21DEADB1" w14:textId="4C8210F3" w:rsidR="005E326D" w:rsidRPr="00DF4B3D" w:rsidRDefault="00EE7EAF" w:rsidP="005E326D">
      <w:pPr>
        <w:tabs>
          <w:tab w:val="left" w:pos="851"/>
        </w:tabs>
        <w:spacing w:after="240" w:line="240" w:lineRule="exact"/>
        <w:jc w:val="both"/>
        <w:rPr>
          <w:rFonts w:ascii="Lato" w:eastAsia="Calibri" w:hAnsi="Lato" w:cs="Arial"/>
          <w:bCs/>
          <w:spacing w:val="4"/>
        </w:rPr>
      </w:pPr>
      <w:r w:rsidRPr="00DF4B3D">
        <w:rPr>
          <w:rFonts w:ascii="Lato" w:eastAsia="Calibri" w:hAnsi="Lato" w:cs="Arial"/>
          <w:bCs/>
          <w:spacing w:val="4"/>
        </w:rPr>
        <w:t>Inwestor podniósł, że wnioskowana zmiana jest istotna ze względu na poprawne przeprowadzenie postępowania odszkodowawczego oraz doprowadzenie do zgodności części graficznej z częścią opisową operatu ewidencji gruntów</w:t>
      </w:r>
      <w:r w:rsidR="00311537" w:rsidRPr="00DF4B3D">
        <w:rPr>
          <w:rFonts w:ascii="Lato" w:eastAsia="Calibri" w:hAnsi="Lato" w:cs="Arial"/>
          <w:bCs/>
          <w:spacing w:val="4"/>
        </w:rPr>
        <w:t xml:space="preserve"> </w:t>
      </w:r>
      <w:r w:rsidRPr="00DF4B3D">
        <w:rPr>
          <w:rFonts w:ascii="Lato" w:eastAsia="Calibri" w:hAnsi="Lato" w:cs="Arial"/>
          <w:bCs/>
          <w:spacing w:val="4"/>
        </w:rPr>
        <w:t xml:space="preserve">w zasobie Powiatowego Ośrodka Dokumentacji Geodezyjnej i Kartograficznej w Raciborzu. Inwestor </w:t>
      </w:r>
      <w:r w:rsidR="00311537" w:rsidRPr="00DF4B3D">
        <w:rPr>
          <w:rFonts w:ascii="Lato" w:eastAsia="Calibri" w:hAnsi="Lato" w:cs="Arial"/>
          <w:bCs/>
          <w:spacing w:val="4"/>
        </w:rPr>
        <w:br/>
      </w:r>
      <w:r w:rsidRPr="00DF4B3D">
        <w:rPr>
          <w:rFonts w:ascii="Lato" w:eastAsia="Calibri" w:hAnsi="Lato" w:cs="Arial"/>
          <w:bCs/>
          <w:spacing w:val="4"/>
        </w:rPr>
        <w:t>do rzeczonego wniosku zmianowego dołączył skorygowaną mapę z projektem podziału działki nr 1180/54, z obrębu 0009 Łubowice_AR_1</w:t>
      </w:r>
      <w:r w:rsidR="00616EB7" w:rsidRPr="00DF4B3D">
        <w:rPr>
          <w:rFonts w:ascii="Lato" w:eastAsia="Calibri" w:hAnsi="Lato" w:cs="Arial"/>
          <w:bCs/>
          <w:spacing w:val="4"/>
        </w:rPr>
        <w:t xml:space="preserve"> (przyjętą do Państwowego Zasobu Geodezyjnego i Kartograficznego w Starostwie Powiatowym w Raciborzu w dniu 30</w:t>
      </w:r>
      <w:r w:rsidR="00311537" w:rsidRPr="00DF4B3D">
        <w:rPr>
          <w:rFonts w:ascii="Lato" w:eastAsia="Calibri" w:hAnsi="Lato" w:cs="Arial"/>
          <w:bCs/>
          <w:spacing w:val="4"/>
        </w:rPr>
        <w:t xml:space="preserve"> grudnia </w:t>
      </w:r>
      <w:r w:rsidR="00616EB7" w:rsidRPr="00DF4B3D">
        <w:rPr>
          <w:rFonts w:ascii="Lato" w:eastAsia="Calibri" w:hAnsi="Lato" w:cs="Arial"/>
          <w:bCs/>
          <w:spacing w:val="4"/>
        </w:rPr>
        <w:t xml:space="preserve">2025 r. pod nr P.2411.2025.2242), </w:t>
      </w:r>
      <w:r w:rsidRPr="00DF4B3D">
        <w:rPr>
          <w:rFonts w:ascii="Lato" w:eastAsia="Calibri" w:hAnsi="Lato" w:cs="Arial"/>
          <w:bCs/>
          <w:spacing w:val="4"/>
        </w:rPr>
        <w:t xml:space="preserve">w zakresie przypisania prawidłowych powierzchni wydzielonych </w:t>
      </w:r>
      <w:r w:rsidR="00311537" w:rsidRPr="00DF4B3D">
        <w:rPr>
          <w:rFonts w:ascii="Lato" w:eastAsia="Calibri" w:hAnsi="Lato" w:cs="Arial"/>
          <w:bCs/>
          <w:spacing w:val="4"/>
        </w:rPr>
        <w:t xml:space="preserve">działek </w:t>
      </w:r>
      <w:r w:rsidRPr="00DF4B3D">
        <w:rPr>
          <w:rFonts w:ascii="Lato" w:eastAsia="Calibri" w:hAnsi="Lato" w:cs="Arial"/>
          <w:bCs/>
          <w:spacing w:val="4"/>
        </w:rPr>
        <w:t>nr 1371/54 i nr 1372/54 w wykazie zmian gruntowych, zaznaczając przy tym, że z</w:t>
      </w:r>
      <w:r w:rsidR="005E326D" w:rsidRPr="00DF4B3D">
        <w:rPr>
          <w:rFonts w:ascii="Lato" w:eastAsia="Calibri" w:hAnsi="Lato" w:cs="Arial"/>
          <w:bCs/>
          <w:spacing w:val="4"/>
        </w:rPr>
        <w:t xml:space="preserve">amienny projekt podziału nie wpływa </w:t>
      </w:r>
      <w:r w:rsidR="00311537" w:rsidRPr="00DF4B3D">
        <w:rPr>
          <w:rFonts w:ascii="Lato" w:eastAsia="Calibri" w:hAnsi="Lato" w:cs="Arial"/>
          <w:bCs/>
          <w:spacing w:val="4"/>
        </w:rPr>
        <w:br/>
      </w:r>
      <w:r w:rsidR="005E326D" w:rsidRPr="00DF4B3D">
        <w:rPr>
          <w:rFonts w:ascii="Lato" w:eastAsia="Calibri" w:hAnsi="Lato" w:cs="Arial"/>
          <w:bCs/>
          <w:spacing w:val="4"/>
        </w:rPr>
        <w:t>na przebieg linii rozgraniczających teren inwestycji.</w:t>
      </w:r>
    </w:p>
    <w:p w14:paraId="362C94F0" w14:textId="35DA4A63" w:rsidR="007630AD" w:rsidRPr="00DF4B3D" w:rsidRDefault="007630AD" w:rsidP="005865A2">
      <w:pPr>
        <w:tabs>
          <w:tab w:val="left" w:pos="851"/>
        </w:tabs>
        <w:spacing w:after="240" w:line="240" w:lineRule="exact"/>
        <w:jc w:val="both"/>
        <w:rPr>
          <w:rFonts w:ascii="Lato" w:hAnsi="Lato" w:cs="Arial"/>
          <w:bCs/>
          <w:spacing w:val="4"/>
        </w:rPr>
      </w:pPr>
      <w:r w:rsidRPr="00DF4B3D">
        <w:rPr>
          <w:rFonts w:ascii="Lato" w:hAnsi="Lato" w:cs="Arial"/>
          <w:bCs/>
          <w:spacing w:val="4"/>
        </w:rPr>
        <w:t xml:space="preserve">Zgodnie z art. 11f ust. 8 specustawy drogowej, do zmiany decyzji o zezwoleniu </w:t>
      </w:r>
      <w:r w:rsidRPr="00DF4B3D">
        <w:rPr>
          <w:rFonts w:ascii="Lato" w:hAnsi="Lato" w:cs="Arial"/>
          <w:bCs/>
          <w:spacing w:val="4"/>
        </w:rPr>
        <w:br/>
        <w:t xml:space="preserve">na realizację inwestycji drogowej stosuje się odpowiednio przepis art. 155 kpa, </w:t>
      </w:r>
      <w:r w:rsidRPr="00DF4B3D">
        <w:rPr>
          <w:rFonts w:ascii="Lato" w:hAnsi="Lato" w:cs="Arial"/>
          <w:bCs/>
          <w:spacing w:val="4"/>
        </w:rPr>
        <w:br/>
        <w:t xml:space="preserve">z zastrzeżeniem, że zgodę wyraża wyłącznie strona, która złożyła wniosek o wydanie decyzji o zezwoleniu na realizację inwestycji drogowej. Zgodnie z art. 155 kpa zmieniona może być jedynie decyzja ostateczna, którą niewątpliwie w niniejszej sprawie jest decyzja Ministra </w:t>
      </w:r>
      <w:r w:rsidR="00EE7EAF" w:rsidRPr="00DF4B3D">
        <w:rPr>
          <w:rFonts w:ascii="Lato" w:hAnsi="Lato" w:cs="Arial"/>
          <w:bCs/>
          <w:spacing w:val="4"/>
        </w:rPr>
        <w:t>Finansów i Gospodarki</w:t>
      </w:r>
      <w:r w:rsidRPr="00DF4B3D">
        <w:rPr>
          <w:rFonts w:ascii="Lato" w:hAnsi="Lato" w:cs="Arial"/>
          <w:bCs/>
          <w:spacing w:val="4"/>
        </w:rPr>
        <w:t xml:space="preserve">, jako merytoryczna decyzja wydana w trybie odwoławczym. Zatem, w realiach niniejszej sprawy, wniosek inwestora z dnia </w:t>
      </w:r>
      <w:r w:rsidR="00EE7EAF" w:rsidRPr="00DF4B3D">
        <w:rPr>
          <w:rFonts w:ascii="Lato" w:hAnsi="Lato" w:cs="Arial"/>
          <w:bCs/>
          <w:spacing w:val="4"/>
        </w:rPr>
        <w:t>22 stycznia 2026 r.</w:t>
      </w:r>
      <w:r w:rsidRPr="00DF4B3D">
        <w:rPr>
          <w:rFonts w:ascii="Lato" w:hAnsi="Lato" w:cs="Arial"/>
          <w:bCs/>
          <w:spacing w:val="4"/>
        </w:rPr>
        <w:t xml:space="preserve">, należało potraktować jako wniosek o zmianę decyzji Ministra </w:t>
      </w:r>
      <w:r w:rsidR="00EE7EAF" w:rsidRPr="00DF4B3D">
        <w:rPr>
          <w:rFonts w:ascii="Lato" w:hAnsi="Lato" w:cs="Arial"/>
          <w:bCs/>
          <w:spacing w:val="4"/>
        </w:rPr>
        <w:t xml:space="preserve">Finansów </w:t>
      </w:r>
      <w:r w:rsidR="00311537" w:rsidRPr="00DF4B3D">
        <w:rPr>
          <w:rFonts w:ascii="Lato" w:hAnsi="Lato" w:cs="Arial"/>
          <w:bCs/>
          <w:spacing w:val="4"/>
        </w:rPr>
        <w:br/>
      </w:r>
      <w:r w:rsidR="00EE7EAF" w:rsidRPr="00DF4B3D">
        <w:rPr>
          <w:rFonts w:ascii="Lato" w:hAnsi="Lato" w:cs="Arial"/>
          <w:bCs/>
          <w:spacing w:val="4"/>
        </w:rPr>
        <w:t>i Gospodarki</w:t>
      </w:r>
      <w:r w:rsidRPr="00DF4B3D">
        <w:rPr>
          <w:rFonts w:ascii="Lato" w:hAnsi="Lato" w:cs="Arial"/>
          <w:bCs/>
          <w:spacing w:val="4"/>
        </w:rPr>
        <w:t>, jako decyzji ostatecznej w toku instancji.</w:t>
      </w:r>
    </w:p>
    <w:p w14:paraId="675A96E6" w14:textId="33E783CA" w:rsidR="007630AD" w:rsidRPr="00DF4B3D" w:rsidRDefault="007630AD" w:rsidP="005865A2">
      <w:pPr>
        <w:tabs>
          <w:tab w:val="left" w:pos="851"/>
        </w:tabs>
        <w:spacing w:after="240" w:line="240" w:lineRule="exact"/>
        <w:jc w:val="both"/>
        <w:rPr>
          <w:rFonts w:ascii="Lato" w:hAnsi="Lato" w:cs="Arial"/>
          <w:bCs/>
          <w:spacing w:val="4"/>
        </w:rPr>
      </w:pPr>
      <w:r w:rsidRPr="00DF4B3D">
        <w:rPr>
          <w:rFonts w:ascii="Lato" w:hAnsi="Lato" w:cs="Arial"/>
          <w:bCs/>
          <w:spacing w:val="4"/>
        </w:rPr>
        <w:lastRenderedPageBreak/>
        <w:t>Z powyższych względów,</w:t>
      </w:r>
      <w:r w:rsidRPr="00DF4B3D">
        <w:rPr>
          <w:rFonts w:ascii="Lato" w:hAnsi="Lato" w:cs="Arial"/>
          <w:spacing w:val="4"/>
        </w:rPr>
        <w:t xml:space="preserve"> </w:t>
      </w:r>
      <w:r w:rsidRPr="00DF4B3D">
        <w:rPr>
          <w:rFonts w:ascii="Lato" w:hAnsi="Lato" w:cs="Arial"/>
          <w:bCs/>
          <w:spacing w:val="4"/>
        </w:rPr>
        <w:t xml:space="preserve">po ustaleniu, że wniosek inwestora jest dopuszczalny pod względem formalnym, pismem z </w:t>
      </w:r>
      <w:r w:rsidR="00EE7EAF" w:rsidRPr="00DF4B3D">
        <w:rPr>
          <w:rFonts w:ascii="Lato" w:hAnsi="Lato" w:cs="Arial"/>
          <w:bCs/>
          <w:spacing w:val="4"/>
        </w:rPr>
        <w:t>dnia 20 lutego 2026 r., znak: DLI-II.7621.5.2026.AZ.2, Minister zawiadomił o wszczęciu postępowania w sprawie zmiany decyzji Ministra Finansów i Gospodarki – w zakresie dotyczącym działki nr 1180/54, z obrębu 0009 Łubowice (AR_1)</w:t>
      </w:r>
      <w:r w:rsidRPr="00DF4B3D">
        <w:rPr>
          <w:rFonts w:ascii="Lato" w:hAnsi="Lato" w:cs="Arial"/>
          <w:bCs/>
          <w:spacing w:val="4"/>
        </w:rPr>
        <w:t>.</w:t>
      </w:r>
      <w:r w:rsidR="00C050BC" w:rsidRPr="00DF4B3D">
        <w:rPr>
          <w:rFonts w:ascii="Lato" w:hAnsi="Lato" w:cs="Arial"/>
          <w:bCs/>
          <w:spacing w:val="4"/>
        </w:rPr>
        <w:t xml:space="preserve"> </w:t>
      </w:r>
      <w:r w:rsidRPr="00DF4B3D">
        <w:rPr>
          <w:rFonts w:ascii="Lato" w:hAnsi="Lato" w:cs="Arial"/>
          <w:bCs/>
          <w:spacing w:val="4"/>
        </w:rPr>
        <w:t>O wszczęciu przedmiotowego postępowania</w:t>
      </w:r>
      <w:r w:rsidR="00EE7EAF" w:rsidRPr="00DF4B3D">
        <w:rPr>
          <w:rFonts w:ascii="Lato" w:hAnsi="Lato" w:cs="Arial"/>
          <w:bCs/>
          <w:spacing w:val="4"/>
        </w:rPr>
        <w:t xml:space="preserve"> </w:t>
      </w:r>
      <w:r w:rsidRPr="00DF4B3D">
        <w:rPr>
          <w:rFonts w:ascii="Lato" w:hAnsi="Lato" w:cs="Arial"/>
          <w:bCs/>
          <w:spacing w:val="4"/>
        </w:rPr>
        <w:t>poinformow</w:t>
      </w:r>
      <w:r w:rsidR="00EE7EAF" w:rsidRPr="00DF4B3D">
        <w:rPr>
          <w:rFonts w:ascii="Lato" w:hAnsi="Lato" w:cs="Arial"/>
          <w:bCs/>
          <w:spacing w:val="4"/>
        </w:rPr>
        <w:t>ano</w:t>
      </w:r>
      <w:r w:rsidRPr="00DF4B3D">
        <w:rPr>
          <w:rFonts w:ascii="Lato" w:hAnsi="Lato" w:cs="Arial"/>
          <w:bCs/>
          <w:spacing w:val="4"/>
        </w:rPr>
        <w:t xml:space="preserve"> także </w:t>
      </w:r>
      <w:r w:rsidR="00EE7EAF" w:rsidRPr="00DF4B3D">
        <w:rPr>
          <w:rFonts w:ascii="Lato" w:hAnsi="Lato" w:cs="Arial"/>
          <w:bCs/>
          <w:spacing w:val="4"/>
        </w:rPr>
        <w:br/>
      </w:r>
      <w:r w:rsidRPr="00DF4B3D">
        <w:rPr>
          <w:rFonts w:ascii="Lato" w:hAnsi="Lato" w:cs="Arial"/>
          <w:bCs/>
          <w:spacing w:val="4"/>
        </w:rPr>
        <w:t xml:space="preserve">w drodze obwieszczenia. W toku postępowania strony nie skorzystały z możliwości zapoznania się z aktami sprawy oraz nie wniosły uwag bądź zastrzeżeń </w:t>
      </w:r>
      <w:r w:rsidR="00311537" w:rsidRPr="00DF4B3D">
        <w:rPr>
          <w:rFonts w:ascii="Lato" w:hAnsi="Lato" w:cs="Arial"/>
          <w:bCs/>
          <w:spacing w:val="4"/>
        </w:rPr>
        <w:br/>
      </w:r>
      <w:r w:rsidRPr="00DF4B3D">
        <w:rPr>
          <w:rFonts w:ascii="Lato" w:hAnsi="Lato" w:cs="Arial"/>
          <w:bCs/>
          <w:spacing w:val="4"/>
        </w:rPr>
        <w:t>do zgromadzonego materiału dowodowego.</w:t>
      </w:r>
    </w:p>
    <w:p w14:paraId="195BDBFC" w14:textId="3FCD5B64" w:rsidR="007630AD" w:rsidRPr="00DF4B3D" w:rsidRDefault="007630AD" w:rsidP="005865A2">
      <w:pPr>
        <w:spacing w:after="240" w:line="240" w:lineRule="exact"/>
        <w:jc w:val="both"/>
        <w:rPr>
          <w:rFonts w:ascii="Lato" w:hAnsi="Lato" w:cs="Arial"/>
          <w:bCs/>
          <w:spacing w:val="4"/>
        </w:rPr>
      </w:pPr>
      <w:r w:rsidRPr="00DF4B3D">
        <w:rPr>
          <w:rFonts w:ascii="Lato" w:hAnsi="Lato" w:cs="Arial"/>
          <w:bCs/>
          <w:spacing w:val="4"/>
        </w:rPr>
        <w:t xml:space="preserve">Po przeprowadzeniu postępowania, </w:t>
      </w:r>
      <w:r w:rsidR="00EE7EAF" w:rsidRPr="00DF4B3D">
        <w:rPr>
          <w:rFonts w:ascii="Lato" w:hAnsi="Lato" w:cs="Arial"/>
          <w:bCs/>
          <w:spacing w:val="4"/>
        </w:rPr>
        <w:t xml:space="preserve">Minister </w:t>
      </w:r>
      <w:r w:rsidRPr="00DF4B3D">
        <w:rPr>
          <w:rFonts w:ascii="Lato" w:hAnsi="Lato" w:cs="Arial"/>
          <w:bCs/>
          <w:spacing w:val="4"/>
        </w:rPr>
        <w:t xml:space="preserve">stwierdził, co następuje. </w:t>
      </w:r>
    </w:p>
    <w:p w14:paraId="7DC7F050" w14:textId="77777777" w:rsidR="003D58B2" w:rsidRPr="00DF4B3D" w:rsidRDefault="007630AD" w:rsidP="005865A2">
      <w:pPr>
        <w:spacing w:after="240" w:line="240" w:lineRule="exact"/>
        <w:jc w:val="both"/>
        <w:rPr>
          <w:rFonts w:ascii="Lato" w:hAnsi="Lato" w:cs="Arial"/>
          <w:color w:val="000000"/>
          <w:spacing w:val="4"/>
        </w:rPr>
      </w:pPr>
      <w:r w:rsidRPr="00DF4B3D">
        <w:rPr>
          <w:rFonts w:ascii="Lato" w:hAnsi="Lato" w:cs="Arial"/>
          <w:spacing w:val="4"/>
        </w:rPr>
        <w:t>Jedną z podstawowych zasad postępowania administracyjnego jest wyrażona w art. 16 kpa zasada trwałości decyzji administracyjnych. Ma ona na celu zagwarantowanie pewności i bezpieczeństwa obrotu prawnego, ochronę praw nabytych jednostki, a także przyczynienie się do pogłębiania zaufania obywateli do działalności organów. Trwałość decyzji ostatecznych oznacza, że ich zmiana, stwierdzenie nieważności oraz wznowienie postępowania mogą nastąpić tylko w przypadkach przewidzianych w kpa lub ustawach szczególnych. Jednym ze szczególnych trybów weryfikacji ostatecznych decyzji administracyjnych przewidzianych przepisami kpa jest tryb uregulowany w art. 155 kpa, na którym wnioskodawca oparł swoje żądanie.</w:t>
      </w:r>
      <w:r w:rsidRPr="00DF4B3D">
        <w:rPr>
          <w:rFonts w:ascii="Lato" w:hAnsi="Lato" w:cs="Arial"/>
          <w:color w:val="000000"/>
          <w:spacing w:val="4"/>
        </w:rPr>
        <w:t xml:space="preserve"> </w:t>
      </w:r>
    </w:p>
    <w:p w14:paraId="741311A2" w14:textId="53B7ADFB" w:rsidR="007630AD" w:rsidRPr="00DF4B3D" w:rsidRDefault="007630AD" w:rsidP="005865A2">
      <w:pPr>
        <w:spacing w:after="240" w:line="240" w:lineRule="exact"/>
        <w:jc w:val="both"/>
        <w:rPr>
          <w:rFonts w:ascii="Lato" w:hAnsi="Lato" w:cs="Arial"/>
          <w:color w:val="000000"/>
          <w:spacing w:val="4"/>
        </w:rPr>
      </w:pPr>
      <w:r w:rsidRPr="00DF4B3D">
        <w:rPr>
          <w:rFonts w:ascii="Lato" w:hAnsi="Lato" w:cs="Arial"/>
          <w:color w:val="000000"/>
          <w:spacing w:val="4"/>
        </w:rPr>
        <w:t xml:space="preserve">Zgodnie z art. 155 kpa decyzja ostateczna, na </w:t>
      </w:r>
      <w:proofErr w:type="gramStart"/>
      <w:r w:rsidRPr="00DF4B3D">
        <w:rPr>
          <w:rFonts w:ascii="Lato" w:hAnsi="Lato" w:cs="Arial"/>
          <w:color w:val="000000"/>
          <w:spacing w:val="4"/>
        </w:rPr>
        <w:t>mocy</w:t>
      </w:r>
      <w:proofErr w:type="gramEnd"/>
      <w:r w:rsidRPr="00DF4B3D">
        <w:rPr>
          <w:rFonts w:ascii="Lato" w:hAnsi="Lato" w:cs="Arial"/>
          <w:color w:val="000000"/>
          <w:spacing w:val="4"/>
        </w:rPr>
        <w:t xml:space="preserve"> której strona nabyła prawo, może być w każdym czasie za zgodą strony uchylona lub zmieniona przez organ administracji publicznej, który ją wydał, jeżeli przepisy szczególne nie sprzeciwiają się uchyleniu lub zmianie takiej decyzji i przemawia za tym interes społeczny lub słuszny interes strony. Taka konstrukcja przepisu art. 155 kpa powoduje, że nie można w nim upatrywać środka zmierzającego do ponownego rozpoznania sprawy zakończonej ostateczną decyzją administracyjną, niejako „w kolejnej instancji”. Postępowanie prowadzone na podstawie art. 155 kpa jest samodzielnym postępowaniem administracyjnym, a jego celem jest jedynie ustalenie, czy zachodzą przesłanki do uchylenia lub zmiany decyzji ostatecznej określone w art. 155 kpa, i czy ewentualnemu uchyleniu lub zmianie nie sprzeciwiają się przepisy szczególne.</w:t>
      </w:r>
      <w:r w:rsidR="00311537" w:rsidRPr="00DF4B3D">
        <w:rPr>
          <w:rFonts w:ascii="Lato" w:hAnsi="Lato" w:cs="Arial"/>
          <w:color w:val="000000"/>
          <w:spacing w:val="4"/>
        </w:rPr>
        <w:t xml:space="preserve"> </w:t>
      </w:r>
      <w:r w:rsidRPr="00DF4B3D">
        <w:rPr>
          <w:rFonts w:ascii="Lato" w:hAnsi="Lato" w:cs="Arial"/>
          <w:color w:val="000000"/>
          <w:spacing w:val="4"/>
        </w:rPr>
        <w:t>Konkretyzację art. 155 kpa stanowi art. 11f ust. 8 specustawy drogowej, który stanowi, iż w przypadku zmiany decyzji o zezwoleniu na realizacje inwestycji drogowej, art. 155 kpa stosuje się odpowiednio z zastrzeżeniem, że zgodę wyraża wyłącznie strona, która złożyła wniosek o wydanie decyzji o zezwoleniu na realizację inwestycji drogowej.</w:t>
      </w:r>
    </w:p>
    <w:p w14:paraId="4F08DF23" w14:textId="77777777" w:rsidR="003D58B2" w:rsidRPr="00DF4B3D" w:rsidRDefault="007630AD" w:rsidP="005865A2">
      <w:pPr>
        <w:spacing w:after="240" w:line="240" w:lineRule="exact"/>
        <w:jc w:val="both"/>
        <w:rPr>
          <w:rFonts w:ascii="Lato" w:hAnsi="Lato" w:cs="Arial"/>
          <w:spacing w:val="4"/>
        </w:rPr>
      </w:pPr>
      <w:r w:rsidRPr="00DF4B3D">
        <w:rPr>
          <w:rFonts w:ascii="Lato" w:hAnsi="Lato" w:cs="Arial"/>
          <w:color w:val="000000"/>
          <w:spacing w:val="4"/>
        </w:rPr>
        <w:t xml:space="preserve">Przenosząc powyższe rozważania na grunt rozpatrywanej sprawy wskazać należy, </w:t>
      </w:r>
      <w:r w:rsidRPr="00DF4B3D">
        <w:rPr>
          <w:rFonts w:ascii="Lato" w:hAnsi="Lato" w:cs="Arial"/>
          <w:color w:val="000000"/>
          <w:spacing w:val="4"/>
        </w:rPr>
        <w:br/>
        <w:t xml:space="preserve">iż wystąpiły przesłanki uzasadniające dokonanie zmiany decyzji </w:t>
      </w:r>
      <w:r w:rsidRPr="00DF4B3D">
        <w:rPr>
          <w:rFonts w:ascii="Lato" w:hAnsi="Lato" w:cs="Arial"/>
          <w:bCs/>
          <w:spacing w:val="4"/>
        </w:rPr>
        <w:t xml:space="preserve">Ministra </w:t>
      </w:r>
      <w:r w:rsidR="000D212C" w:rsidRPr="00DF4B3D">
        <w:rPr>
          <w:rFonts w:ascii="Lato" w:hAnsi="Lato" w:cs="Arial"/>
          <w:bCs/>
          <w:spacing w:val="4"/>
        </w:rPr>
        <w:t xml:space="preserve">Finansów </w:t>
      </w:r>
      <w:r w:rsidR="003D58B2" w:rsidRPr="00DF4B3D">
        <w:rPr>
          <w:rFonts w:ascii="Lato" w:hAnsi="Lato" w:cs="Arial"/>
          <w:bCs/>
          <w:spacing w:val="4"/>
        </w:rPr>
        <w:br/>
      </w:r>
      <w:r w:rsidR="000D212C" w:rsidRPr="00DF4B3D">
        <w:rPr>
          <w:rFonts w:ascii="Lato" w:hAnsi="Lato" w:cs="Arial"/>
          <w:bCs/>
          <w:spacing w:val="4"/>
        </w:rPr>
        <w:t xml:space="preserve">i Gospodarki </w:t>
      </w:r>
      <w:r w:rsidRPr="00DF4B3D">
        <w:rPr>
          <w:rFonts w:ascii="Lato" w:hAnsi="Lato" w:cs="Arial"/>
          <w:bCs/>
          <w:spacing w:val="4"/>
        </w:rPr>
        <w:t>w zakresie objętym wnioskiem inwestora</w:t>
      </w:r>
      <w:r w:rsidRPr="00DF4B3D">
        <w:rPr>
          <w:rFonts w:ascii="Lato" w:hAnsi="Lato" w:cs="Arial"/>
          <w:color w:val="000000"/>
          <w:spacing w:val="4"/>
        </w:rPr>
        <w:t>.</w:t>
      </w:r>
      <w:r w:rsidRPr="00DF4B3D">
        <w:rPr>
          <w:rFonts w:ascii="Lato" w:hAnsi="Lato" w:cs="Arial"/>
          <w:spacing w:val="4"/>
        </w:rPr>
        <w:t xml:space="preserve"> Z przepisu art. 155 kpa wynika, że organ administracji publicznej może uchylić lub zmienić decyzję ostateczną, jeżeli spełnione są łącznie następujące przesłanki: a) strona nabywająca na podstawie decyzji prawo wyraziła zgodę na jej zmianę lub uchylenie, b) przepisy szczególne nie sprzeciwiają się zmianie lub uchyleniu takiej decyzji, c) za uchyleniem lub zmianą decyzji przemawia interes społeczny lub słuszny interes strony. </w:t>
      </w:r>
    </w:p>
    <w:p w14:paraId="6552D2B6" w14:textId="22651783" w:rsidR="007630AD" w:rsidRPr="00DF4B3D" w:rsidRDefault="007630AD" w:rsidP="005865A2">
      <w:pPr>
        <w:spacing w:after="240" w:line="240" w:lineRule="exact"/>
        <w:jc w:val="both"/>
        <w:rPr>
          <w:rFonts w:ascii="Lato" w:hAnsi="Lato" w:cs="Arial"/>
          <w:spacing w:val="4"/>
        </w:rPr>
      </w:pPr>
      <w:r w:rsidRPr="00DF4B3D">
        <w:rPr>
          <w:rFonts w:ascii="Lato" w:hAnsi="Lato" w:cs="Arial"/>
          <w:spacing w:val="4"/>
        </w:rPr>
        <w:t xml:space="preserve">Decyzja Ministra </w:t>
      </w:r>
      <w:r w:rsidR="000D212C" w:rsidRPr="00DF4B3D">
        <w:rPr>
          <w:rFonts w:ascii="Lato" w:hAnsi="Lato" w:cs="Arial"/>
          <w:spacing w:val="4"/>
        </w:rPr>
        <w:t xml:space="preserve">Finansów i Gospodarki </w:t>
      </w:r>
      <w:r w:rsidRPr="00DF4B3D">
        <w:rPr>
          <w:rFonts w:ascii="Lato" w:hAnsi="Lato" w:cs="Arial"/>
          <w:spacing w:val="4"/>
        </w:rPr>
        <w:t>jest decyzją ostateczną, a co za tym idzie pierwszy warunek został spełniony.</w:t>
      </w:r>
      <w:r w:rsidRPr="00DF4B3D">
        <w:rPr>
          <w:rFonts w:ascii="Lato" w:hAnsi="Lato" w:cs="Arial"/>
          <w:color w:val="000000"/>
          <w:spacing w:val="4"/>
        </w:rPr>
        <w:t xml:space="preserve"> Natomiast w zakresie zmierzającym do ustalenia, czy zmiana przedmiotowej decyzji jest w interesie społecznym lub słusznym interesie strony należy przede wszystkim wyjaśnić, na czym polega interes społeczny lub interes partykularny. Pojęcie „interes społeczny lub interes strony” nie jest bowiem ustawowo zdefiniowane. Ustawodawca odsyła więc w tym zakresie nie tylko do poglądów, wyrażonych w orzecznictwie i literaturze, ale również pozostawia organom orzekającym </w:t>
      </w:r>
      <w:r w:rsidRPr="00DF4B3D">
        <w:rPr>
          <w:rFonts w:ascii="Lato" w:hAnsi="Lato" w:cs="Arial"/>
          <w:color w:val="000000"/>
          <w:spacing w:val="4"/>
        </w:rPr>
        <w:lastRenderedPageBreak/>
        <w:t>swobodę oceny ad casum, uznając, że każdy stan faktyczny wymaga dokonania odrębnej oceny, przy uwzględnieniu skutków, jakie spowoduje zmiana decyzji administracyjnej.</w:t>
      </w:r>
    </w:p>
    <w:p w14:paraId="64637D8E" w14:textId="77777777" w:rsidR="00004FE5" w:rsidRPr="00DF4B3D" w:rsidRDefault="007630AD" w:rsidP="005865A2">
      <w:pPr>
        <w:spacing w:after="240" w:line="240" w:lineRule="exact"/>
        <w:jc w:val="both"/>
        <w:rPr>
          <w:rFonts w:ascii="Lato" w:hAnsi="Lato" w:cs="Arial"/>
          <w:color w:val="000000"/>
          <w:spacing w:val="4"/>
        </w:rPr>
      </w:pPr>
      <w:r w:rsidRPr="00DF4B3D">
        <w:rPr>
          <w:rFonts w:ascii="Lato" w:hAnsi="Lato" w:cs="Arial"/>
          <w:color w:val="000000"/>
          <w:spacing w:val="4"/>
        </w:rPr>
        <w:t xml:space="preserve">Pojęcie „interes społeczny” i „słuszny interes strony” nawiązuje do określonej w art. </w:t>
      </w:r>
      <w:r w:rsidRPr="00DF4B3D">
        <w:rPr>
          <w:rFonts w:ascii="Lato" w:hAnsi="Lato" w:cs="Arial"/>
          <w:color w:val="000000"/>
          <w:spacing w:val="4"/>
        </w:rPr>
        <w:br/>
        <w:t>7 kpa zasady uwzględniania z urzędu interesu społecznego i słusznego interesu strony. Są to typowe klauzule generalne, które mają charakter nieostry i tym bardziej jako przesłanki zmiany decyzji administracyjnej, wymagają skonkretyzowania w każdym przypadku i wyczerpującego uzasadnienia stanowiska organu (tak np. Wojewódzki Sąd Administracyjny w Warszawie w wyroku z dnia 23 lutego 2010 r., sygn. akt VII SA/</w:t>
      </w:r>
      <w:proofErr w:type="spellStart"/>
      <w:r w:rsidRPr="00DF4B3D">
        <w:rPr>
          <w:rFonts w:ascii="Lato" w:hAnsi="Lato" w:cs="Arial"/>
          <w:color w:val="000000"/>
          <w:spacing w:val="4"/>
        </w:rPr>
        <w:t>Wa</w:t>
      </w:r>
      <w:proofErr w:type="spellEnd"/>
      <w:r w:rsidRPr="00DF4B3D">
        <w:rPr>
          <w:rFonts w:ascii="Lato" w:hAnsi="Lato" w:cs="Arial"/>
          <w:color w:val="000000"/>
          <w:spacing w:val="4"/>
        </w:rPr>
        <w:t xml:space="preserve"> 1142/09). Jak wskazuje się w doktrynie (komentarz do art. 7 k.p.a. w: B. Adamiak, </w:t>
      </w:r>
      <w:r w:rsidRPr="00DF4B3D">
        <w:rPr>
          <w:rFonts w:ascii="Lato" w:hAnsi="Lato" w:cs="Arial"/>
          <w:color w:val="000000"/>
          <w:spacing w:val="4"/>
        </w:rPr>
        <w:br/>
        <w:t xml:space="preserve">J. Borkowski, Kodeks postępowania administracyjnego. Komentarz. Wyd. 14, Warszawa 2016) pojęcie interesu społecznego jest pojęciem nieokreślonym, któremu – zgodnie </w:t>
      </w:r>
      <w:r w:rsidRPr="00DF4B3D">
        <w:rPr>
          <w:rFonts w:ascii="Lato" w:hAnsi="Lato" w:cs="Arial"/>
          <w:color w:val="000000"/>
          <w:spacing w:val="4"/>
        </w:rPr>
        <w:br/>
        <w:t xml:space="preserve">z poglądem literatury (op. cit.) – treść nadaje organ orzekający. </w:t>
      </w:r>
    </w:p>
    <w:p w14:paraId="356A7905" w14:textId="0F90225E" w:rsidR="007630AD" w:rsidRPr="00DF4B3D" w:rsidRDefault="007630AD" w:rsidP="005865A2">
      <w:pPr>
        <w:spacing w:after="240" w:line="240" w:lineRule="exact"/>
        <w:jc w:val="both"/>
        <w:rPr>
          <w:rFonts w:ascii="Lato" w:hAnsi="Lato" w:cs="Arial"/>
          <w:color w:val="000000"/>
          <w:spacing w:val="4"/>
        </w:rPr>
      </w:pPr>
      <w:r w:rsidRPr="00DF4B3D">
        <w:rPr>
          <w:rFonts w:ascii="Lato" w:hAnsi="Lato" w:cs="Arial"/>
          <w:color w:val="000000"/>
          <w:spacing w:val="4"/>
        </w:rPr>
        <w:t xml:space="preserve">Naczelny Sąd Administracyjny w wyroku z dnia 10 stycznia 2014 r., sygn. akt I OSK 2111/13 wyjaśnił, że „pojęcie interesu publicznego jest pojęciem szerokim i nieostrym, nie ulega jednak wątpliwości, że obejmuje ono interes ogółu (określonej wspólnoty), </w:t>
      </w:r>
      <w:r w:rsidR="00004FE5" w:rsidRPr="00DF4B3D">
        <w:rPr>
          <w:rFonts w:ascii="Lato" w:hAnsi="Lato" w:cs="Arial"/>
          <w:color w:val="000000"/>
          <w:spacing w:val="4"/>
        </w:rPr>
        <w:br/>
      </w:r>
      <w:r w:rsidRPr="00DF4B3D">
        <w:rPr>
          <w:rFonts w:ascii="Lato" w:hAnsi="Lato" w:cs="Arial"/>
          <w:color w:val="000000"/>
          <w:spacing w:val="4"/>
        </w:rPr>
        <w:t xml:space="preserve">a nie jedynie interesy indywidualne”. Warto zwrócić uwagę, że w doktrynie przyjmuje się, że „jest w interesie indywidualnym” bądź „jest w interesie ogółu” oznacza, że wyprowadzona z danego stanu obiektywnego określona korzyść przypada jednostce względnie całemu społeczeństwu. O ile zatem interes indywidualny jest relacją pomiędzy jakimś stanem obiektywnym a oceną tego stanu z punktu widzenia korzyści, jaką </w:t>
      </w:r>
      <w:r w:rsidR="00004FE5" w:rsidRPr="00DF4B3D">
        <w:rPr>
          <w:rFonts w:ascii="Lato" w:hAnsi="Lato" w:cs="Arial"/>
          <w:color w:val="000000"/>
          <w:spacing w:val="4"/>
        </w:rPr>
        <w:br/>
      </w:r>
      <w:r w:rsidRPr="00DF4B3D">
        <w:rPr>
          <w:rFonts w:ascii="Lato" w:hAnsi="Lato" w:cs="Arial"/>
          <w:color w:val="000000"/>
          <w:spacing w:val="4"/>
        </w:rPr>
        <w:t xml:space="preserve">on przynosi lub może przynieść jednostce, to interes ogółu oznacza relację między jakimś stanem obiektywnym a oceną tego stanu z punktu widzenia korzyści, jaką on przynosi lub może przynieść ogółowi (zob. J. Lang: Struktura prawna skargi w prawie administracyjnym, Wrocław 1972, s. 98-100). </w:t>
      </w:r>
    </w:p>
    <w:p w14:paraId="50B173AE" w14:textId="77777777" w:rsidR="007630AD" w:rsidRPr="00DF4B3D" w:rsidRDefault="007630AD" w:rsidP="005865A2">
      <w:pPr>
        <w:spacing w:after="240" w:line="240" w:lineRule="exact"/>
        <w:jc w:val="both"/>
        <w:rPr>
          <w:rFonts w:ascii="Lato" w:hAnsi="Lato" w:cs="Arial"/>
          <w:color w:val="000000"/>
          <w:spacing w:val="4"/>
        </w:rPr>
      </w:pPr>
      <w:r w:rsidRPr="00DF4B3D">
        <w:rPr>
          <w:rFonts w:ascii="Lato" w:hAnsi="Lato" w:cs="Arial"/>
          <w:color w:val="000000"/>
          <w:spacing w:val="4"/>
        </w:rPr>
        <w:t xml:space="preserve">Każde działanie w interesie ogółu jako określonej wspólnoty publicznoprawnej jest zatem działaniem w interesie publicznym, a wobec tego działanie „szczególnie istotne” musi charakteryzować się dodatkową kwalifikacją z punktu widzenia interesu ogółu. Działanie wnioskodawcy nie tylko w interesie indywidualnym, lecz w interesie „ponadindywidualnym” nie jest samoistnie wystarczające dla przyjęcia „szczególnej istotności dla interesu publicznego” takiego działania. Zasadniczo obowiązek realizowania interesu publicznego charakteryzuje kompetencje szeroko rozumianych organów państwa (por. wyrok Wojewódzkiego Sądu Administracyjnego w Warszawie </w:t>
      </w:r>
      <w:r w:rsidRPr="00DF4B3D">
        <w:rPr>
          <w:rFonts w:ascii="Lato" w:hAnsi="Lato" w:cs="Arial"/>
          <w:color w:val="000000"/>
          <w:spacing w:val="4"/>
        </w:rPr>
        <w:br/>
        <w:t>z dnia 7 lutego 2017 r., sygn. akt VII SA/</w:t>
      </w:r>
      <w:proofErr w:type="spellStart"/>
      <w:r w:rsidRPr="00DF4B3D">
        <w:rPr>
          <w:rFonts w:ascii="Lato" w:hAnsi="Lato" w:cs="Arial"/>
          <w:color w:val="000000"/>
          <w:spacing w:val="4"/>
        </w:rPr>
        <w:t>Wa</w:t>
      </w:r>
      <w:proofErr w:type="spellEnd"/>
      <w:r w:rsidRPr="00DF4B3D">
        <w:rPr>
          <w:rFonts w:ascii="Lato" w:hAnsi="Lato" w:cs="Arial"/>
          <w:color w:val="000000"/>
          <w:spacing w:val="4"/>
        </w:rPr>
        <w:t xml:space="preserve"> 2837/16). Jak więc wynika z poglądów obowiązujących w doktrynie i utrwalonego orzecznictwa, interes społeczny i interes indywidualny są sobie równoważne. </w:t>
      </w:r>
    </w:p>
    <w:p w14:paraId="199AB8D6" w14:textId="77777777" w:rsidR="004D40FF" w:rsidRPr="00DF4B3D" w:rsidRDefault="007630AD" w:rsidP="005865A2">
      <w:pPr>
        <w:spacing w:after="240" w:line="240" w:lineRule="exact"/>
        <w:jc w:val="both"/>
        <w:rPr>
          <w:rFonts w:ascii="Lato" w:hAnsi="Lato" w:cs="Arial"/>
          <w:spacing w:val="4"/>
        </w:rPr>
      </w:pPr>
      <w:r w:rsidRPr="00DF4B3D">
        <w:rPr>
          <w:rFonts w:ascii="Lato" w:hAnsi="Lato" w:cs="Arial"/>
          <w:color w:val="000000"/>
          <w:spacing w:val="4"/>
        </w:rPr>
        <w:t xml:space="preserve">W związku z użytym przez ustawodawcę w art. 155 kpa spójniku we fragmencie: </w:t>
      </w:r>
      <w:r w:rsidRPr="00DF4B3D">
        <w:rPr>
          <w:rFonts w:ascii="Lato" w:hAnsi="Lato" w:cs="Arial"/>
          <w:color w:val="000000"/>
          <w:spacing w:val="4"/>
        </w:rPr>
        <w:br/>
        <w:t xml:space="preserve">„i przemawia za tym interes społeczny lub słuszny interes strony” należy podkreślić, </w:t>
      </w:r>
      <w:r w:rsidRPr="00DF4B3D">
        <w:rPr>
          <w:rFonts w:ascii="Lato" w:hAnsi="Lato" w:cs="Arial"/>
          <w:color w:val="000000"/>
          <w:spacing w:val="4"/>
        </w:rPr>
        <w:br/>
        <w:t>że ów spójnik nie tylko przeciwstawia to, co komunikują łączone nim wyrażenia, lecz także dopuszcza możliwość współwystępowania tego, do czego się odnoszą człony przeciwstawienia. Oznacza to, że ustawodawca nie wykluczył pokrywania się interesu społecznego i interesu indywidualnego, a jednocześnie dopuścił możliwość konfliktu pomiędzy tymi interesami lub obojętność jednego z nich dla bytu drugiego.</w:t>
      </w:r>
      <w:r w:rsidRPr="00DF4B3D">
        <w:rPr>
          <w:rFonts w:ascii="Lato" w:hAnsi="Lato" w:cs="Arial"/>
          <w:spacing w:val="4"/>
        </w:rPr>
        <w:t xml:space="preserve"> W przypadku inwestora nie można mówić, aby podmiot ten posiadał własny interes, odrębny </w:t>
      </w:r>
      <w:r w:rsidRPr="00DF4B3D">
        <w:rPr>
          <w:rFonts w:ascii="Lato" w:hAnsi="Lato" w:cs="Arial"/>
          <w:spacing w:val="4"/>
        </w:rPr>
        <w:br/>
        <w:t xml:space="preserve">od interesu społecznego. Nie można bowiem zapominać o tym, że inwestor w oparciu </w:t>
      </w:r>
      <w:r w:rsidRPr="00DF4B3D">
        <w:rPr>
          <w:rFonts w:ascii="Lato" w:hAnsi="Lato" w:cs="Arial"/>
          <w:spacing w:val="4"/>
        </w:rPr>
        <w:br/>
        <w:t xml:space="preserve">o specustawę drogową przygotowuje do realizacji inwestycje celu publicznego, które </w:t>
      </w:r>
      <w:r w:rsidRPr="00DF4B3D">
        <w:rPr>
          <w:rFonts w:ascii="Lato" w:hAnsi="Lato" w:cs="Arial"/>
          <w:spacing w:val="4"/>
        </w:rPr>
        <w:br/>
        <w:t xml:space="preserve">są istotne i ważne dla kraju, dla wspólnot samorządowych (gmina, powiat, województwo). Z mocy ustawy </w:t>
      </w:r>
      <w:r w:rsidRPr="00DF4B3D">
        <w:rPr>
          <w:rFonts w:ascii="Lato" w:hAnsi="Lato" w:cs="Arial"/>
          <w:bCs/>
          <w:spacing w:val="4"/>
        </w:rPr>
        <w:t>z dnia 21 marca 1985 r. o drogach publicznych (t.j. Dz.U. z 2025 r. poz. 889)</w:t>
      </w:r>
      <w:r w:rsidRPr="00DF4B3D">
        <w:rPr>
          <w:rFonts w:ascii="Lato" w:hAnsi="Lato" w:cs="Arial"/>
          <w:spacing w:val="4"/>
        </w:rPr>
        <w:t>,</w:t>
      </w:r>
      <w:r w:rsidRPr="00DF4B3D">
        <w:rPr>
          <w:rFonts w:ascii="Lato" w:hAnsi="Lato" w:cs="Arial"/>
          <w:bCs/>
          <w:spacing w:val="4"/>
        </w:rPr>
        <w:t xml:space="preserve"> </w:t>
      </w:r>
      <w:r w:rsidRPr="00DF4B3D">
        <w:rPr>
          <w:rFonts w:ascii="Lato" w:hAnsi="Lato" w:cs="Arial"/>
          <w:spacing w:val="4"/>
        </w:rPr>
        <w:t xml:space="preserve">oraz specustawy drogowej te ściśle określone uprawnienia, bardzo istotne, przysługują inwestorowi. Ale to nie oznacza, iż w tym zakresie inwestor działa </w:t>
      </w:r>
      <w:r w:rsidRPr="00DF4B3D">
        <w:rPr>
          <w:rFonts w:ascii="Lato" w:hAnsi="Lato" w:cs="Arial"/>
          <w:spacing w:val="4"/>
        </w:rPr>
        <w:lastRenderedPageBreak/>
        <w:t xml:space="preserve">autonomicznie, w oderwaniu od interesu kraju i wspólnot samorządowych i realizując zadania ustawowe ma na uwadze swój własny, partykularny interes. </w:t>
      </w:r>
    </w:p>
    <w:p w14:paraId="67FFD8D0" w14:textId="518772B1" w:rsidR="006C4383" w:rsidRPr="00DF4B3D" w:rsidRDefault="007630AD" w:rsidP="005865A2">
      <w:pPr>
        <w:spacing w:after="240" w:line="240" w:lineRule="exact"/>
        <w:jc w:val="both"/>
        <w:rPr>
          <w:rFonts w:ascii="Lato" w:hAnsi="Lato" w:cs="Arial"/>
          <w:spacing w:val="4"/>
          <w:lang w:bidi="pl-PL"/>
        </w:rPr>
      </w:pPr>
      <w:r w:rsidRPr="00DF4B3D">
        <w:rPr>
          <w:rFonts w:ascii="Lato" w:hAnsi="Lato" w:cs="Arial"/>
          <w:spacing w:val="4"/>
        </w:rPr>
        <w:t xml:space="preserve">Podmiot ten, realizując inwestycje celu publicznego, reprezentuje interes społeczny. Zgodnie zaś z art. 6 pkt 1 </w:t>
      </w:r>
      <w:r w:rsidRPr="00DF4B3D">
        <w:rPr>
          <w:rFonts w:ascii="Lato" w:hAnsi="Lato" w:cs="Arial"/>
          <w:spacing w:val="4"/>
          <w:lang w:bidi="pl-PL"/>
        </w:rPr>
        <w:t xml:space="preserve">ustawy z dnia 21 sierpnia 1997 r. o gospodarce nieruchomościami (t.j. </w:t>
      </w:r>
      <w:r w:rsidR="000D212C" w:rsidRPr="00DF4B3D">
        <w:rPr>
          <w:rFonts w:ascii="Lato" w:hAnsi="Lato" w:cs="Arial"/>
          <w:spacing w:val="4"/>
          <w:lang w:bidi="pl-PL"/>
        </w:rPr>
        <w:t>Dz.U. z 2026 r. poz. 399</w:t>
      </w:r>
      <w:r w:rsidRPr="00DF4B3D">
        <w:rPr>
          <w:rFonts w:ascii="Lato" w:hAnsi="Lato" w:cs="Arial"/>
          <w:spacing w:val="4"/>
          <w:lang w:bidi="pl-PL"/>
        </w:rPr>
        <w:t>)</w:t>
      </w:r>
      <w:r w:rsidRPr="00DF4B3D">
        <w:rPr>
          <w:rFonts w:ascii="Lato" w:hAnsi="Lato" w:cs="Arial"/>
          <w:spacing w:val="4"/>
        </w:rPr>
        <w:t xml:space="preserve">, wydzielanie gruntów pod drogi publiczne, budowa, utrzymywanie oraz wykonywanie robót budowlanych tych dróg, obiektów i urządzeń transportu publicznego, a także łączności publicznej sygnalizacji są celami publicznymi w rozumieniu tej ustawy. Celu zaś publicznego nie można wiązać </w:t>
      </w:r>
      <w:r w:rsidR="00311537" w:rsidRPr="00DF4B3D">
        <w:rPr>
          <w:rFonts w:ascii="Lato" w:hAnsi="Lato" w:cs="Arial"/>
          <w:spacing w:val="4"/>
        </w:rPr>
        <w:br/>
      </w:r>
      <w:r w:rsidRPr="00DF4B3D">
        <w:rPr>
          <w:rFonts w:ascii="Lato" w:hAnsi="Lato" w:cs="Arial"/>
          <w:spacing w:val="4"/>
        </w:rPr>
        <w:t xml:space="preserve">z określonym inwestorem i uznawać, że realizacja tego celu leży w interesie indywidualnym/własnym tegoż inwestora. Realizacja inwestycji celu publicznego leży </w:t>
      </w:r>
      <w:r w:rsidR="00311537" w:rsidRPr="00DF4B3D">
        <w:rPr>
          <w:rFonts w:ascii="Lato" w:hAnsi="Lato" w:cs="Arial"/>
          <w:spacing w:val="4"/>
        </w:rPr>
        <w:br/>
      </w:r>
      <w:r w:rsidRPr="00DF4B3D">
        <w:rPr>
          <w:rFonts w:ascii="Lato" w:hAnsi="Lato" w:cs="Arial"/>
          <w:spacing w:val="4"/>
        </w:rPr>
        <w:t xml:space="preserve">w interesie społecznym (kraju, województwa, powiatu, gminy), a tym samym nie może </w:t>
      </w:r>
      <w:r w:rsidR="00311537" w:rsidRPr="00DF4B3D">
        <w:rPr>
          <w:rFonts w:ascii="Lato" w:hAnsi="Lato" w:cs="Arial"/>
          <w:spacing w:val="4"/>
        </w:rPr>
        <w:br/>
      </w:r>
      <w:r w:rsidRPr="00DF4B3D">
        <w:rPr>
          <w:rFonts w:ascii="Lato" w:hAnsi="Lato" w:cs="Arial"/>
          <w:spacing w:val="4"/>
        </w:rPr>
        <w:t xml:space="preserve">tu być mowy o interesie indywidualnym (por. wyrok Naczelnego Sądu Administracyjnego </w:t>
      </w:r>
      <w:r w:rsidR="00311537" w:rsidRPr="00DF4B3D">
        <w:rPr>
          <w:rFonts w:ascii="Lato" w:hAnsi="Lato" w:cs="Arial"/>
          <w:spacing w:val="4"/>
        </w:rPr>
        <w:br/>
      </w:r>
      <w:r w:rsidRPr="00DF4B3D">
        <w:rPr>
          <w:rFonts w:ascii="Lato" w:hAnsi="Lato" w:cs="Arial"/>
          <w:spacing w:val="4"/>
        </w:rPr>
        <w:t xml:space="preserve">z dnia 24 lipca 2014 r., sygn. akt II OSK 365/13). </w:t>
      </w:r>
    </w:p>
    <w:p w14:paraId="5048D124" w14:textId="62871659" w:rsidR="000D212C" w:rsidRPr="00DF4B3D" w:rsidRDefault="008E7DF1" w:rsidP="004D40FF">
      <w:pPr>
        <w:spacing w:after="240" w:line="240" w:lineRule="exact"/>
        <w:jc w:val="both"/>
        <w:outlineLvl w:val="0"/>
        <w:rPr>
          <w:rFonts w:ascii="Lato" w:hAnsi="Lato" w:cs="Arial"/>
          <w:bCs/>
          <w:iCs/>
          <w:spacing w:val="4"/>
          <w:lang w:bidi="pl-PL"/>
        </w:rPr>
      </w:pPr>
      <w:r w:rsidRPr="00DF4B3D">
        <w:rPr>
          <w:rFonts w:ascii="Lato" w:hAnsi="Lato" w:cs="Arial"/>
          <w:spacing w:val="4"/>
        </w:rPr>
        <w:t xml:space="preserve">Mając powyższe na względzie, należy uznać, iż </w:t>
      </w:r>
      <w:r w:rsidRPr="00DF4B3D">
        <w:rPr>
          <w:rFonts w:ascii="Lato" w:hAnsi="Lato" w:cs="Arial"/>
          <w:iCs/>
          <w:spacing w:val="4"/>
        </w:rPr>
        <w:t xml:space="preserve">inwestor </w:t>
      </w:r>
      <w:r w:rsidRPr="00DF4B3D">
        <w:rPr>
          <w:rFonts w:ascii="Lato" w:hAnsi="Lato" w:cs="Arial"/>
          <w:spacing w:val="4"/>
        </w:rPr>
        <w:t xml:space="preserve">działa w interesie społecznym zarówno występując o wydanie decyzji o zezwoleniu na realizację inwestycji drogowej, jak i występując o jej zmianę, jak ma to miejsce w niniejszej sprawie. </w:t>
      </w:r>
      <w:r w:rsidRPr="00DF4B3D">
        <w:rPr>
          <w:rFonts w:ascii="Lato" w:hAnsi="Lato" w:cs="Arial"/>
          <w:bCs/>
          <w:iCs/>
          <w:spacing w:val="4"/>
          <w:lang w:bidi="pl-PL"/>
        </w:rPr>
        <w:t>Minister uznał racje inwestora</w:t>
      </w:r>
      <w:r w:rsidR="000D212C" w:rsidRPr="00DF4B3D">
        <w:rPr>
          <w:rFonts w:ascii="Lato" w:hAnsi="Lato" w:cs="Arial"/>
          <w:bCs/>
          <w:iCs/>
          <w:spacing w:val="4"/>
          <w:lang w:bidi="pl-PL"/>
        </w:rPr>
        <w:t xml:space="preserve"> (opisane wcześniej w niejszej decyzji)</w:t>
      </w:r>
      <w:r w:rsidRPr="00DF4B3D">
        <w:rPr>
          <w:rFonts w:ascii="Lato" w:hAnsi="Lato" w:cs="Arial"/>
          <w:bCs/>
          <w:iCs/>
          <w:spacing w:val="4"/>
          <w:lang w:bidi="pl-PL"/>
        </w:rPr>
        <w:t xml:space="preserve"> przemawiające za koniecznością dokonania zmiany decyzji w przedmiocie zezwolenia na realizację rzeczonej inwestycji</w:t>
      </w:r>
      <w:r w:rsidR="000D212C" w:rsidRPr="00DF4B3D">
        <w:rPr>
          <w:rFonts w:ascii="Lato" w:hAnsi="Lato" w:cs="Arial"/>
          <w:bCs/>
          <w:iCs/>
          <w:spacing w:val="4"/>
          <w:lang w:bidi="pl-PL"/>
        </w:rPr>
        <w:br/>
      </w:r>
      <w:r w:rsidRPr="00DF4B3D">
        <w:rPr>
          <w:rFonts w:ascii="Lato" w:hAnsi="Lato" w:cs="Arial"/>
          <w:bCs/>
          <w:iCs/>
          <w:spacing w:val="4"/>
          <w:lang w:bidi="pl-PL"/>
        </w:rPr>
        <w:t xml:space="preserve">w zakresie dotyczącym </w:t>
      </w:r>
      <w:r w:rsidR="000D212C" w:rsidRPr="00DF4B3D">
        <w:rPr>
          <w:rFonts w:ascii="Lato" w:hAnsi="Lato" w:cs="Arial"/>
          <w:bCs/>
          <w:iCs/>
          <w:spacing w:val="4"/>
          <w:lang w:bidi="pl-PL"/>
        </w:rPr>
        <w:t xml:space="preserve">zatwierdzenia nowej mapy z projektem podziału działki </w:t>
      </w:r>
      <w:r w:rsidR="000D212C" w:rsidRPr="00DF4B3D">
        <w:rPr>
          <w:rFonts w:ascii="Lato" w:hAnsi="Lato" w:cs="Arial"/>
          <w:bCs/>
          <w:iCs/>
          <w:spacing w:val="4"/>
          <w:lang w:bidi="pl-PL"/>
        </w:rPr>
        <w:br/>
        <w:t xml:space="preserve">nr 1180/54, z obrębu 0009 Łubowice_AR_1, zawierającej przypisanie w wykazie zmian gruntowych prawidłowych powierzchni wydzielonych z niej działek nr 1371/54 </w:t>
      </w:r>
      <w:r w:rsidR="00311537" w:rsidRPr="00DF4B3D">
        <w:rPr>
          <w:rFonts w:ascii="Lato" w:hAnsi="Lato" w:cs="Arial"/>
          <w:bCs/>
          <w:iCs/>
          <w:spacing w:val="4"/>
          <w:lang w:bidi="pl-PL"/>
        </w:rPr>
        <w:br/>
      </w:r>
      <w:r w:rsidR="000D212C" w:rsidRPr="00DF4B3D">
        <w:rPr>
          <w:rFonts w:ascii="Lato" w:hAnsi="Lato" w:cs="Arial"/>
          <w:bCs/>
          <w:iCs/>
          <w:spacing w:val="4"/>
          <w:lang w:bidi="pl-PL"/>
        </w:rPr>
        <w:t>i nr 1372/54.</w:t>
      </w:r>
    </w:p>
    <w:p w14:paraId="773CC384" w14:textId="11D9BE6C" w:rsidR="00616EB7" w:rsidRPr="00DF4B3D" w:rsidRDefault="00616EB7" w:rsidP="00616EB7">
      <w:pPr>
        <w:spacing w:after="240" w:line="240" w:lineRule="exact"/>
        <w:jc w:val="both"/>
        <w:outlineLvl w:val="0"/>
        <w:rPr>
          <w:rFonts w:ascii="Lato" w:hAnsi="Lato" w:cs="Arial"/>
          <w:bCs/>
          <w:iCs/>
          <w:spacing w:val="4"/>
          <w:lang w:bidi="pl-PL"/>
        </w:rPr>
      </w:pPr>
      <w:r w:rsidRPr="00DF4B3D">
        <w:rPr>
          <w:rFonts w:ascii="Lato" w:hAnsi="Lato" w:cs="Arial"/>
          <w:bCs/>
          <w:iCs/>
          <w:spacing w:val="4"/>
          <w:lang w:bidi="pl-PL"/>
        </w:rPr>
        <w:t>Mapa z projektem podziału nr 1180/54, z obrębu 0009 Łubowice_AR_1, stanowiąca część załącznika nr 2</w:t>
      </w:r>
      <w:r w:rsidR="00CC012F" w:rsidRPr="00DF4B3D">
        <w:rPr>
          <w:rFonts w:ascii="Lato" w:hAnsi="Lato" w:cs="Arial"/>
          <w:bCs/>
          <w:iCs/>
          <w:spacing w:val="4"/>
          <w:lang w:bidi="pl-PL"/>
        </w:rPr>
        <w:t xml:space="preserve"> </w:t>
      </w:r>
      <w:r w:rsidRPr="00DF4B3D">
        <w:rPr>
          <w:rFonts w:ascii="Lato" w:hAnsi="Lato" w:cs="Arial"/>
          <w:bCs/>
          <w:iCs/>
          <w:spacing w:val="4"/>
          <w:lang w:bidi="pl-PL"/>
        </w:rPr>
        <w:t xml:space="preserve">do decyzji Wojewody Śląskiego, została wykonana przez uprawnionego geodetę i przyjęta wraz z wykazem zmian gruntowych do państwowego zasobu geodezyjnego i kartograficznego przez Starostę Raciborskiego. W oparciu o takie materiały orzekał Wojewoda Śląski i Minister w sprawie zezwolenia na realizację inwestycji drogowej. Jak przyjmuje się w judykaturze, dokumentacja geodezyjno-kartograficzna przyjęta do opracowania materiałów graficznych, opatrzona stosownymi klauzulami ośrodka dokumentacji geodezyjnej i kartograficznej, które stanowią potwierdzenie dokonania ich oceny przez wyspecjalizowane do tego rodzaju czynności służby geodezyjno-kartograficzne, nie może być kwestionowana przez organ orzekający w sprawie zezwolenia na realizację inwestycji drogowej (por. wyroki Naczelnego Sądu Administracyjnego: z dnia 8 stycznia 2020 r., sygn. akt II OSK 3257/19, z dnia 8 maja 2019 r., sygn. akt II OSK 339/19, z dnia 9 stycznia 2018 r., sygn. akt II OSK 2563/17, </w:t>
      </w:r>
      <w:r w:rsidRPr="00DF4B3D">
        <w:rPr>
          <w:rFonts w:ascii="Lato" w:hAnsi="Lato" w:cs="Arial"/>
          <w:bCs/>
          <w:iCs/>
          <w:spacing w:val="4"/>
          <w:lang w:bidi="pl-PL"/>
        </w:rPr>
        <w:br/>
        <w:t xml:space="preserve">z dnia 19 września 2013 r., sygn. akt II OSK 1593/13, oraz z dnia 27 marca 2012 r. sygn. akt II OSK 208/12, </w:t>
      </w:r>
      <w:proofErr w:type="spellStart"/>
      <w:r w:rsidRPr="00DF4B3D">
        <w:rPr>
          <w:rFonts w:ascii="Lato" w:hAnsi="Lato" w:cs="Arial"/>
          <w:bCs/>
          <w:iCs/>
          <w:spacing w:val="4"/>
          <w:lang w:bidi="pl-PL"/>
        </w:rPr>
        <w:t>opubl</w:t>
      </w:r>
      <w:proofErr w:type="spellEnd"/>
      <w:r w:rsidRPr="00DF4B3D">
        <w:rPr>
          <w:rFonts w:ascii="Lato" w:hAnsi="Lato" w:cs="Arial"/>
          <w:bCs/>
          <w:iCs/>
          <w:spacing w:val="4"/>
          <w:lang w:bidi="pl-PL"/>
        </w:rPr>
        <w:t>. Centralna Baza Orzeczeń Sądów Administracyjnych).</w:t>
      </w:r>
    </w:p>
    <w:p w14:paraId="0AB5CD2B" w14:textId="1BFA032F" w:rsidR="003D58B2" w:rsidRPr="00DF4B3D" w:rsidRDefault="00616EB7" w:rsidP="00616EB7">
      <w:pPr>
        <w:spacing w:after="240" w:line="240" w:lineRule="exact"/>
        <w:jc w:val="both"/>
        <w:outlineLvl w:val="0"/>
        <w:rPr>
          <w:rFonts w:ascii="Lato" w:hAnsi="Lato" w:cs="Arial"/>
          <w:bCs/>
          <w:iCs/>
          <w:spacing w:val="4"/>
          <w:lang w:bidi="pl-PL"/>
        </w:rPr>
      </w:pPr>
      <w:r w:rsidRPr="00DF4B3D">
        <w:rPr>
          <w:rFonts w:ascii="Lato" w:hAnsi="Lato" w:cs="Arial"/>
          <w:bCs/>
          <w:iCs/>
          <w:spacing w:val="4"/>
          <w:lang w:bidi="pl-PL"/>
        </w:rPr>
        <w:t xml:space="preserve">Dopiero w </w:t>
      </w:r>
      <w:proofErr w:type="gramStart"/>
      <w:r w:rsidRPr="00DF4B3D">
        <w:rPr>
          <w:rFonts w:ascii="Lato" w:hAnsi="Lato" w:cs="Arial"/>
          <w:bCs/>
          <w:iCs/>
          <w:spacing w:val="4"/>
          <w:lang w:bidi="pl-PL"/>
        </w:rPr>
        <w:t>momencie</w:t>
      </w:r>
      <w:proofErr w:type="gramEnd"/>
      <w:r w:rsidRPr="00DF4B3D">
        <w:rPr>
          <w:rFonts w:ascii="Lato" w:hAnsi="Lato" w:cs="Arial"/>
          <w:bCs/>
          <w:iCs/>
          <w:spacing w:val="4"/>
          <w:lang w:bidi="pl-PL"/>
        </w:rPr>
        <w:t xml:space="preserve"> gdy właściwy organ ewidencyjny stwierdzi, że sporządzone</w:t>
      </w:r>
      <w:r w:rsidRPr="00DF4B3D">
        <w:rPr>
          <w:rFonts w:ascii="Lato" w:hAnsi="Lato" w:cs="Arial"/>
          <w:bCs/>
          <w:iCs/>
          <w:spacing w:val="4"/>
          <w:lang w:bidi="pl-PL"/>
        </w:rPr>
        <w:br/>
        <w:t>i zatwierdzone przez niego dokumenty były błędne, skutkiem czego konieczna stała ich korekta, organ orzekający w przedmiocie zezwolenia na realizację inwestycji drogowej zyskuje prawo do zmiany swojej decyzji i dokonania w niej stosownych korekt, wynikających z okoliczności związanych z przedłożonej przez inwestora prawidłowej dokumentacji podziałowej. Właśnie tak</w:t>
      </w:r>
      <w:r w:rsidR="007F4B3E" w:rsidRPr="00DF4B3D">
        <w:rPr>
          <w:rFonts w:ascii="Lato" w:hAnsi="Lato" w:cs="Arial"/>
          <w:bCs/>
          <w:iCs/>
          <w:spacing w:val="4"/>
          <w:lang w:bidi="pl-PL"/>
        </w:rPr>
        <w:t>a</w:t>
      </w:r>
      <w:r w:rsidRPr="00DF4B3D">
        <w:rPr>
          <w:rFonts w:ascii="Lato" w:hAnsi="Lato" w:cs="Arial"/>
          <w:bCs/>
          <w:iCs/>
          <w:spacing w:val="4"/>
          <w:lang w:bidi="pl-PL"/>
        </w:rPr>
        <w:t xml:space="preserve"> sytuacja miał</w:t>
      </w:r>
      <w:r w:rsidR="007F4B3E" w:rsidRPr="00DF4B3D">
        <w:rPr>
          <w:rFonts w:ascii="Lato" w:hAnsi="Lato" w:cs="Arial"/>
          <w:bCs/>
          <w:iCs/>
          <w:spacing w:val="4"/>
          <w:lang w:bidi="pl-PL"/>
        </w:rPr>
        <w:t>a</w:t>
      </w:r>
      <w:r w:rsidRPr="00DF4B3D">
        <w:rPr>
          <w:rFonts w:ascii="Lato" w:hAnsi="Lato" w:cs="Arial"/>
          <w:bCs/>
          <w:iCs/>
          <w:spacing w:val="4"/>
          <w:lang w:bidi="pl-PL"/>
        </w:rPr>
        <w:t xml:space="preserve"> miejsce w niniejszej sprawie</w:t>
      </w:r>
      <w:r w:rsidR="003D58B2" w:rsidRPr="00DF4B3D">
        <w:rPr>
          <w:rFonts w:ascii="Lato" w:hAnsi="Lato" w:cs="Arial"/>
          <w:bCs/>
          <w:iCs/>
          <w:spacing w:val="4"/>
          <w:lang w:bidi="pl-PL"/>
        </w:rPr>
        <w:t>.</w:t>
      </w:r>
    </w:p>
    <w:p w14:paraId="768157F0" w14:textId="7A86286F" w:rsidR="00616EB7" w:rsidRPr="00DF4B3D" w:rsidRDefault="003D58B2" w:rsidP="00616EB7">
      <w:pPr>
        <w:spacing w:after="240" w:line="240" w:lineRule="exact"/>
        <w:jc w:val="both"/>
        <w:outlineLvl w:val="0"/>
        <w:rPr>
          <w:rFonts w:ascii="Lato" w:hAnsi="Lato" w:cs="Arial"/>
          <w:bCs/>
          <w:iCs/>
          <w:spacing w:val="4"/>
          <w:lang w:bidi="pl-PL"/>
        </w:rPr>
      </w:pPr>
      <w:r w:rsidRPr="00DF4B3D">
        <w:rPr>
          <w:rFonts w:ascii="Lato" w:hAnsi="Lato" w:cs="Arial"/>
          <w:bCs/>
          <w:iCs/>
          <w:spacing w:val="4"/>
          <w:lang w:bidi="pl-PL"/>
        </w:rPr>
        <w:t>D</w:t>
      </w:r>
      <w:r w:rsidR="00CC012F" w:rsidRPr="00DF4B3D">
        <w:rPr>
          <w:rFonts w:ascii="Lato" w:hAnsi="Lato" w:cs="Arial"/>
          <w:bCs/>
          <w:iCs/>
          <w:spacing w:val="4"/>
          <w:lang w:bidi="pl-PL"/>
        </w:rPr>
        <w:t xml:space="preserve">o wniosku zmianowego inwestor załączył mapę z projektem podziału działki </w:t>
      </w:r>
      <w:r w:rsidRPr="00DF4B3D">
        <w:rPr>
          <w:rFonts w:ascii="Lato" w:hAnsi="Lato" w:cs="Arial"/>
          <w:bCs/>
          <w:iCs/>
          <w:spacing w:val="4"/>
          <w:lang w:bidi="pl-PL"/>
        </w:rPr>
        <w:br/>
      </w:r>
      <w:r w:rsidR="00CC012F" w:rsidRPr="00DF4B3D">
        <w:rPr>
          <w:rFonts w:ascii="Lato" w:hAnsi="Lato" w:cs="Arial"/>
          <w:bCs/>
          <w:iCs/>
          <w:spacing w:val="4"/>
          <w:lang w:bidi="pl-PL"/>
        </w:rPr>
        <w:t xml:space="preserve">nr 1180/54, z obrębu 0009 Łubowice_AR_1 (przyjętą do Państwowego Zasobu Geodezyjnego i Kartograficznego w Starostwie Powiatowym w Raciborzu w dniu </w:t>
      </w:r>
      <w:r w:rsidR="00311537" w:rsidRPr="00DF4B3D">
        <w:rPr>
          <w:rFonts w:ascii="Lato" w:hAnsi="Lato" w:cs="Arial"/>
          <w:bCs/>
          <w:iCs/>
          <w:spacing w:val="4"/>
          <w:lang w:bidi="pl-PL"/>
        </w:rPr>
        <w:br/>
      </w:r>
      <w:r w:rsidR="00CC012F" w:rsidRPr="00DF4B3D">
        <w:rPr>
          <w:rFonts w:ascii="Lato" w:hAnsi="Lato" w:cs="Arial"/>
          <w:bCs/>
          <w:iCs/>
          <w:spacing w:val="4"/>
          <w:lang w:bidi="pl-PL"/>
        </w:rPr>
        <w:t>30</w:t>
      </w:r>
      <w:r w:rsidR="00311537" w:rsidRPr="00DF4B3D">
        <w:rPr>
          <w:rFonts w:ascii="Lato" w:hAnsi="Lato" w:cs="Arial"/>
          <w:bCs/>
          <w:iCs/>
          <w:spacing w:val="4"/>
          <w:lang w:bidi="pl-PL"/>
        </w:rPr>
        <w:t xml:space="preserve"> grudnia </w:t>
      </w:r>
      <w:r w:rsidR="00CC012F" w:rsidRPr="00DF4B3D">
        <w:rPr>
          <w:rFonts w:ascii="Lato" w:hAnsi="Lato" w:cs="Arial"/>
          <w:bCs/>
          <w:iCs/>
          <w:spacing w:val="4"/>
          <w:lang w:bidi="pl-PL"/>
        </w:rPr>
        <w:t xml:space="preserve">2025 r. pod nr P.2411.2025.2242), w zakresie przypisania prawidłowych powierzchni wydzielonych </w:t>
      </w:r>
      <w:r w:rsidR="00311537" w:rsidRPr="00DF4B3D">
        <w:rPr>
          <w:rFonts w:ascii="Lato" w:hAnsi="Lato" w:cs="Arial"/>
          <w:bCs/>
          <w:iCs/>
          <w:spacing w:val="4"/>
          <w:lang w:bidi="pl-PL"/>
        </w:rPr>
        <w:t xml:space="preserve">z niej </w:t>
      </w:r>
      <w:r w:rsidR="00CC012F" w:rsidRPr="00DF4B3D">
        <w:rPr>
          <w:rFonts w:ascii="Lato" w:hAnsi="Lato" w:cs="Arial"/>
          <w:bCs/>
          <w:iCs/>
          <w:spacing w:val="4"/>
          <w:lang w:bidi="pl-PL"/>
        </w:rPr>
        <w:t xml:space="preserve">działek nr 1371/54 i nr 1372/54 w wykazie zmian gruntowych, bowiem </w:t>
      </w:r>
      <w:r w:rsidRPr="00DF4B3D">
        <w:rPr>
          <w:rFonts w:ascii="Lato" w:hAnsi="Lato" w:cs="Arial"/>
          <w:bCs/>
          <w:iCs/>
          <w:spacing w:val="4"/>
          <w:lang w:bidi="pl-PL"/>
        </w:rPr>
        <w:t xml:space="preserve">w </w:t>
      </w:r>
      <w:r w:rsidR="00CC012F" w:rsidRPr="00DF4B3D">
        <w:rPr>
          <w:rFonts w:ascii="Lato" w:hAnsi="Lato" w:cs="Arial"/>
          <w:bCs/>
          <w:iCs/>
          <w:spacing w:val="4"/>
          <w:lang w:bidi="pl-PL"/>
        </w:rPr>
        <w:t xml:space="preserve">wykazie zmian gruntowych znajdującym się na mapie z projektem </w:t>
      </w:r>
      <w:r w:rsidR="00CC012F" w:rsidRPr="00DF4B3D">
        <w:rPr>
          <w:rFonts w:ascii="Lato" w:hAnsi="Lato" w:cs="Arial"/>
          <w:bCs/>
          <w:iCs/>
          <w:spacing w:val="4"/>
          <w:lang w:bidi="pl-PL"/>
        </w:rPr>
        <w:lastRenderedPageBreak/>
        <w:t xml:space="preserve">podziału nr 1180/54, stanowiącej część załącznika nr 2 do decyzji Wojewody Śląskiego, działkom nr 1371/54 i nr 1372/54 przypisano odwrotne powierzchnie, tj. działce </w:t>
      </w:r>
      <w:r w:rsidR="00004FE5" w:rsidRPr="00DF4B3D">
        <w:rPr>
          <w:rFonts w:ascii="Lato" w:hAnsi="Lato" w:cs="Arial"/>
          <w:bCs/>
          <w:iCs/>
          <w:spacing w:val="4"/>
          <w:lang w:bidi="pl-PL"/>
        </w:rPr>
        <w:br/>
      </w:r>
      <w:r w:rsidR="00CC012F" w:rsidRPr="00DF4B3D">
        <w:rPr>
          <w:rFonts w:ascii="Lato" w:hAnsi="Lato" w:cs="Arial"/>
          <w:bCs/>
          <w:iCs/>
          <w:spacing w:val="4"/>
          <w:lang w:bidi="pl-PL"/>
        </w:rPr>
        <w:t>nr 1371/54 przypisano powierzchnię działki nr 1372/54, a działce nr 1372/54 przypisano powierzchnię działki</w:t>
      </w:r>
      <w:r w:rsidRPr="00DF4B3D">
        <w:rPr>
          <w:rFonts w:ascii="Lato" w:hAnsi="Lato" w:cs="Arial"/>
          <w:bCs/>
          <w:iCs/>
          <w:spacing w:val="4"/>
          <w:lang w:bidi="pl-PL"/>
        </w:rPr>
        <w:t xml:space="preserve"> </w:t>
      </w:r>
      <w:r w:rsidR="00CC012F" w:rsidRPr="00DF4B3D">
        <w:rPr>
          <w:rFonts w:ascii="Lato" w:hAnsi="Lato" w:cs="Arial"/>
          <w:bCs/>
          <w:iCs/>
          <w:spacing w:val="4"/>
          <w:lang w:bidi="pl-PL"/>
        </w:rPr>
        <w:t>nr 1371/54, a więc przypisano powierzchnie tych działek niezgodne z częścią graficzną projektu podziału działki nr 1180/54.</w:t>
      </w:r>
    </w:p>
    <w:p w14:paraId="0F6DC849" w14:textId="07CA170D" w:rsidR="003D58B2" w:rsidRPr="00DF4B3D" w:rsidRDefault="008E7DF1" w:rsidP="004D40FF">
      <w:pPr>
        <w:spacing w:after="240" w:line="240" w:lineRule="exact"/>
        <w:jc w:val="both"/>
        <w:outlineLvl w:val="0"/>
        <w:rPr>
          <w:rFonts w:ascii="Lato" w:hAnsi="Lato" w:cs="Arial"/>
          <w:bCs/>
          <w:i/>
          <w:iCs/>
          <w:spacing w:val="4"/>
        </w:rPr>
      </w:pPr>
      <w:r w:rsidRPr="00DF4B3D">
        <w:rPr>
          <w:rFonts w:ascii="Lato" w:eastAsia="Times New Roman" w:hAnsi="Lato" w:cs="Arial"/>
          <w:bCs/>
          <w:spacing w:val="4"/>
          <w:lang w:eastAsia="pl-PL" w:bidi="pl-PL"/>
        </w:rPr>
        <w:t xml:space="preserve">Dokonanie wnioskowanej zmiany umożliwi ujawnienie w odpowiednich rejestrach zaistniałych na nieruchomości zmian stanu faktycznego i prawnego wynikających </w:t>
      </w:r>
      <w:r w:rsidR="003D58B2" w:rsidRPr="00DF4B3D">
        <w:rPr>
          <w:rFonts w:ascii="Lato" w:eastAsia="Times New Roman" w:hAnsi="Lato" w:cs="Arial"/>
          <w:bCs/>
          <w:spacing w:val="4"/>
          <w:lang w:eastAsia="pl-PL" w:bidi="pl-PL"/>
        </w:rPr>
        <w:br/>
      </w:r>
      <w:r w:rsidRPr="00DF4B3D">
        <w:rPr>
          <w:rFonts w:ascii="Lato" w:eastAsia="Times New Roman" w:hAnsi="Lato" w:cs="Arial"/>
          <w:bCs/>
          <w:spacing w:val="4"/>
          <w:lang w:eastAsia="pl-PL" w:bidi="pl-PL"/>
        </w:rPr>
        <w:t>z realizacji na ty</w:t>
      </w:r>
      <w:r w:rsidR="00CC012F" w:rsidRPr="00DF4B3D">
        <w:rPr>
          <w:rFonts w:ascii="Lato" w:eastAsia="Times New Roman" w:hAnsi="Lato" w:cs="Arial"/>
          <w:bCs/>
          <w:spacing w:val="4"/>
          <w:lang w:eastAsia="pl-PL" w:bidi="pl-PL"/>
        </w:rPr>
        <w:t>mże</w:t>
      </w:r>
      <w:r w:rsidRPr="00DF4B3D">
        <w:rPr>
          <w:rFonts w:ascii="Lato" w:eastAsia="Times New Roman" w:hAnsi="Lato" w:cs="Arial"/>
          <w:bCs/>
          <w:spacing w:val="4"/>
          <w:lang w:eastAsia="pl-PL" w:bidi="pl-PL"/>
        </w:rPr>
        <w:t xml:space="preserve"> grun</w:t>
      </w:r>
      <w:r w:rsidR="00CC012F" w:rsidRPr="00DF4B3D">
        <w:rPr>
          <w:rFonts w:ascii="Lato" w:eastAsia="Times New Roman" w:hAnsi="Lato" w:cs="Arial"/>
          <w:bCs/>
          <w:spacing w:val="4"/>
          <w:lang w:eastAsia="pl-PL" w:bidi="pl-PL"/>
        </w:rPr>
        <w:t>cie</w:t>
      </w:r>
      <w:r w:rsidRPr="00DF4B3D">
        <w:rPr>
          <w:rFonts w:ascii="Lato" w:eastAsia="Times New Roman" w:hAnsi="Lato" w:cs="Arial"/>
          <w:bCs/>
          <w:spacing w:val="4"/>
          <w:lang w:eastAsia="pl-PL" w:bidi="pl-PL"/>
        </w:rPr>
        <w:t xml:space="preserve"> przedmiotowej inwestycji drogowej</w:t>
      </w:r>
      <w:r w:rsidR="00CC012F" w:rsidRPr="00DF4B3D">
        <w:rPr>
          <w:rFonts w:ascii="Lato" w:eastAsia="Times New Roman" w:hAnsi="Lato" w:cs="Arial"/>
          <w:bCs/>
          <w:spacing w:val="4"/>
          <w:lang w:eastAsia="pl-PL" w:bidi="pl-PL"/>
        </w:rPr>
        <w:t xml:space="preserve"> (doprowadzenie </w:t>
      </w:r>
      <w:r w:rsidR="00004FE5" w:rsidRPr="00DF4B3D">
        <w:rPr>
          <w:rFonts w:ascii="Lato" w:eastAsia="Times New Roman" w:hAnsi="Lato" w:cs="Arial"/>
          <w:bCs/>
          <w:spacing w:val="4"/>
          <w:lang w:eastAsia="pl-PL" w:bidi="pl-PL"/>
        </w:rPr>
        <w:br/>
      </w:r>
      <w:r w:rsidR="00CC012F" w:rsidRPr="00DF4B3D">
        <w:rPr>
          <w:rFonts w:ascii="Lato" w:eastAsia="Times New Roman" w:hAnsi="Lato" w:cs="Arial"/>
          <w:bCs/>
          <w:spacing w:val="4"/>
          <w:lang w:eastAsia="pl-PL" w:bidi="pl-PL"/>
        </w:rPr>
        <w:t>do zgodności części graficznej z częścią opisową operatu ewidencji gruntów w zasobie Powiatowego Ośrodka Dokumentacji Geodezyjnej i Kartograficznej w Raciborzu) oraz prawidłowe przeprowadzenie postępowania odszkodowawczego.</w:t>
      </w:r>
      <w:r w:rsidR="003D58B2" w:rsidRPr="00DF4B3D">
        <w:rPr>
          <w:rFonts w:ascii="Lato" w:eastAsia="Times New Roman" w:hAnsi="Lato" w:cs="Arial"/>
          <w:bCs/>
          <w:spacing w:val="4"/>
          <w:lang w:eastAsia="pl-PL" w:bidi="pl-PL"/>
        </w:rPr>
        <w:t xml:space="preserve"> </w:t>
      </w:r>
      <w:r w:rsidR="004D40FF" w:rsidRPr="00DF4B3D">
        <w:rPr>
          <w:rFonts w:ascii="Lato" w:hAnsi="Lato" w:cs="Arial"/>
          <w:spacing w:val="4"/>
        </w:rPr>
        <w:t>Uwzględnienie interesu publicznego oraz słusznego interesu strony przemawiającego za dokonaniem zmiany decyzji o zezwoleniu na realizację przedmiotowej inwestycji drogowej nie prowadzi do naruszenia prawa ani nie sankcjonuje stanu niezgodnego z prawem</w:t>
      </w:r>
      <w:r w:rsidR="004D40FF" w:rsidRPr="00DF4B3D">
        <w:rPr>
          <w:rFonts w:ascii="Lato" w:hAnsi="Lato" w:cs="Arial"/>
          <w:bCs/>
          <w:iCs/>
          <w:spacing w:val="4"/>
          <w:lang w:bidi="pl-PL"/>
        </w:rPr>
        <w:t xml:space="preserve">. </w:t>
      </w:r>
      <w:r w:rsidR="004D40FF" w:rsidRPr="00DF4B3D">
        <w:rPr>
          <w:rFonts w:ascii="Lato" w:hAnsi="Lato" w:cs="Arial"/>
          <w:spacing w:val="4"/>
        </w:rPr>
        <w:t xml:space="preserve">Brak jest również przepisów szczególnych, które sprzeciwiałyby się zmianie </w:t>
      </w:r>
      <w:r w:rsidR="004D40FF" w:rsidRPr="00DF4B3D">
        <w:rPr>
          <w:rFonts w:ascii="Lato" w:hAnsi="Lato" w:cs="Arial"/>
          <w:iCs/>
          <w:spacing w:val="4"/>
        </w:rPr>
        <w:t xml:space="preserve">decyzji Ministra </w:t>
      </w:r>
      <w:r w:rsidR="00CC012F" w:rsidRPr="00DF4B3D">
        <w:rPr>
          <w:rFonts w:ascii="Lato" w:hAnsi="Lato" w:cs="Arial"/>
          <w:iCs/>
          <w:spacing w:val="4"/>
        </w:rPr>
        <w:t>Finansów i Gospodarki</w:t>
      </w:r>
      <w:r w:rsidR="004D40FF" w:rsidRPr="00DF4B3D">
        <w:rPr>
          <w:rFonts w:ascii="Lato" w:hAnsi="Lato" w:cs="Arial"/>
          <w:i/>
          <w:spacing w:val="4"/>
        </w:rPr>
        <w:t>.</w:t>
      </w:r>
      <w:r w:rsidR="004D40FF" w:rsidRPr="00DF4B3D">
        <w:rPr>
          <w:rFonts w:ascii="Lato" w:hAnsi="Lato" w:cs="Arial"/>
          <w:bCs/>
          <w:i/>
          <w:iCs/>
          <w:spacing w:val="4"/>
        </w:rPr>
        <w:t xml:space="preserve"> </w:t>
      </w:r>
    </w:p>
    <w:p w14:paraId="0BB68AA2" w14:textId="6EE2F069" w:rsidR="004D40FF" w:rsidRPr="00DF4B3D" w:rsidRDefault="004D40FF" w:rsidP="004D40FF">
      <w:pPr>
        <w:spacing w:after="240" w:line="240" w:lineRule="exact"/>
        <w:jc w:val="both"/>
        <w:outlineLvl w:val="0"/>
        <w:rPr>
          <w:rFonts w:ascii="Lato" w:eastAsia="Times New Roman" w:hAnsi="Lato" w:cs="Arial"/>
          <w:bCs/>
          <w:spacing w:val="4"/>
          <w:lang w:eastAsia="pl-PL" w:bidi="pl-PL"/>
        </w:rPr>
      </w:pPr>
      <w:r w:rsidRPr="00DF4B3D">
        <w:rPr>
          <w:rFonts w:ascii="Lato" w:hAnsi="Lato" w:cs="Arial"/>
          <w:spacing w:val="4"/>
        </w:rPr>
        <w:t xml:space="preserve">W omawianej sprawie, zgodnie z treścią art. 11f ust. 8 specustawy drogowej, zgodę </w:t>
      </w:r>
      <w:r w:rsidR="00004FE5" w:rsidRPr="00DF4B3D">
        <w:rPr>
          <w:rFonts w:ascii="Lato" w:hAnsi="Lato" w:cs="Arial"/>
          <w:spacing w:val="4"/>
        </w:rPr>
        <w:br/>
      </w:r>
      <w:r w:rsidRPr="00DF4B3D">
        <w:rPr>
          <w:rFonts w:ascii="Lato" w:hAnsi="Lato" w:cs="Arial"/>
          <w:spacing w:val="4"/>
        </w:rPr>
        <w:t>na zmianę decyzji wyraziła strona, która złożyła wniosek o wydanie decyzji o zezwoleniu na realizację inwestycji drogowej, tj. inwestor. Oczywistym jest bowiem, iż skoro podmiotem wnioskującym o zmianę decyzji o zezwoleniu na realizację przedmiotowej inwestycji drogowej jest sam inwestor to jest to równoznaczne z wyrażeniem przez ten podmiot zgody na zmianę tejże decyzji.</w:t>
      </w:r>
    </w:p>
    <w:p w14:paraId="74F11F9F" w14:textId="0ADE188D" w:rsidR="004D40FF" w:rsidRPr="00DF4B3D" w:rsidRDefault="004D40FF" w:rsidP="004D40FF">
      <w:pPr>
        <w:spacing w:after="240" w:line="240" w:lineRule="exact"/>
        <w:jc w:val="both"/>
        <w:outlineLvl w:val="0"/>
        <w:rPr>
          <w:rFonts w:ascii="Lato" w:hAnsi="Lato" w:cs="Arial"/>
          <w:spacing w:val="4"/>
        </w:rPr>
      </w:pPr>
      <w:r w:rsidRPr="00DF4B3D">
        <w:rPr>
          <w:rFonts w:ascii="Lato" w:hAnsi="Lato" w:cs="Arial"/>
          <w:spacing w:val="4"/>
        </w:rPr>
        <w:t xml:space="preserve">W związku z powyższym, Minister uznał, że przesłanki zmiany decyzji o zezwoleniu </w:t>
      </w:r>
      <w:r w:rsidRPr="00DF4B3D">
        <w:rPr>
          <w:rFonts w:ascii="Lato" w:hAnsi="Lato" w:cs="Arial"/>
          <w:spacing w:val="4"/>
        </w:rPr>
        <w:br/>
        <w:t>na realizacj</w:t>
      </w:r>
      <w:r w:rsidR="00ED5A75" w:rsidRPr="00DF4B3D">
        <w:rPr>
          <w:rFonts w:ascii="Lato" w:hAnsi="Lato" w:cs="Arial"/>
          <w:spacing w:val="4"/>
        </w:rPr>
        <w:t>ę</w:t>
      </w:r>
      <w:r w:rsidRPr="00DF4B3D">
        <w:rPr>
          <w:rFonts w:ascii="Lato" w:hAnsi="Lato" w:cs="Arial"/>
          <w:spacing w:val="4"/>
        </w:rPr>
        <w:t xml:space="preserve"> inwestycji drogowej określone w art. 155 kpa i w art. 11f ust. 8 specustawy drogowej zostały w rozpatrywanej sprawie spełnione kumulatywnie, czego konsekwencją jest zmiana decyzji Ministra </w:t>
      </w:r>
      <w:r w:rsidR="00CC012F" w:rsidRPr="00DF4B3D">
        <w:rPr>
          <w:rFonts w:ascii="Lato" w:hAnsi="Lato" w:cs="Arial"/>
          <w:spacing w:val="4"/>
        </w:rPr>
        <w:t xml:space="preserve">Finansów i Gospodarki </w:t>
      </w:r>
      <w:r w:rsidRPr="00DF4B3D">
        <w:rPr>
          <w:rFonts w:ascii="Lato" w:hAnsi="Lato" w:cs="Arial"/>
          <w:spacing w:val="4"/>
        </w:rPr>
        <w:t>określona w niniejszej decyzji.</w:t>
      </w:r>
    </w:p>
    <w:p w14:paraId="61570E7F" w14:textId="77777777" w:rsidR="004D40FF" w:rsidRPr="00DF4B3D" w:rsidRDefault="004D40FF" w:rsidP="004D40FF">
      <w:pPr>
        <w:spacing w:after="240" w:line="240" w:lineRule="exact"/>
        <w:jc w:val="both"/>
        <w:outlineLvl w:val="0"/>
        <w:rPr>
          <w:rFonts w:ascii="Lato" w:hAnsi="Lato" w:cs="Arial"/>
          <w:spacing w:val="4"/>
          <w:lang w:bidi="pl-PL"/>
        </w:rPr>
      </w:pPr>
      <w:r w:rsidRPr="00DF4B3D">
        <w:rPr>
          <w:rFonts w:ascii="Lato" w:hAnsi="Lato" w:cs="Arial"/>
          <w:spacing w:val="4"/>
          <w:lang w:bidi="pl-PL"/>
        </w:rPr>
        <w:t xml:space="preserve">Wobec powyższego, orzeczono jak w rozstrzygnięciu. </w:t>
      </w:r>
    </w:p>
    <w:p w14:paraId="77AB1F2D" w14:textId="77777777" w:rsidR="00C050BC" w:rsidRPr="00DF4B3D" w:rsidRDefault="00C050BC" w:rsidP="008A7F42">
      <w:pPr>
        <w:spacing w:after="240" w:line="240" w:lineRule="exact"/>
        <w:jc w:val="center"/>
        <w:rPr>
          <w:rFonts w:ascii="Lato" w:hAnsi="Lato" w:cs="Arial"/>
          <w:b/>
          <w:spacing w:val="4"/>
        </w:rPr>
      </w:pPr>
      <w:r w:rsidRPr="00DF4B3D">
        <w:rPr>
          <w:rFonts w:ascii="Lato" w:hAnsi="Lato" w:cs="Arial"/>
          <w:b/>
          <w:spacing w:val="4"/>
        </w:rPr>
        <w:t>POUCZENIE</w:t>
      </w:r>
    </w:p>
    <w:p w14:paraId="7AD7FAA7" w14:textId="77777777" w:rsidR="00C050BC" w:rsidRPr="00DF4B3D" w:rsidRDefault="00C050BC" w:rsidP="00D34CFD">
      <w:pPr>
        <w:spacing w:after="120" w:line="240" w:lineRule="exact"/>
        <w:jc w:val="both"/>
        <w:rPr>
          <w:rFonts w:ascii="Lato" w:hAnsi="Lato" w:cs="Calibri"/>
          <w:spacing w:val="4"/>
        </w:rPr>
      </w:pPr>
      <w:r w:rsidRPr="00DF4B3D">
        <w:rPr>
          <w:rFonts w:ascii="Lato" w:hAnsi="Lato" w:cs="Calibri"/>
          <w:spacing w:val="4"/>
        </w:rPr>
        <w:t>Od niniejszej decyzji stronom przysługuje:</w:t>
      </w:r>
    </w:p>
    <w:p w14:paraId="4AB7DBDE" w14:textId="77777777" w:rsidR="00C050BC" w:rsidRPr="00DF4B3D" w:rsidRDefault="00C050BC">
      <w:pPr>
        <w:pStyle w:val="Akapitzlist"/>
        <w:numPr>
          <w:ilvl w:val="0"/>
          <w:numId w:val="4"/>
        </w:numPr>
        <w:spacing w:after="120" w:line="240" w:lineRule="exact"/>
        <w:ind w:left="284" w:hanging="284"/>
        <w:contextualSpacing w:val="0"/>
        <w:jc w:val="both"/>
        <w:rPr>
          <w:rFonts w:ascii="Lato" w:hAnsi="Lato" w:cs="Calibri"/>
          <w:spacing w:val="4"/>
        </w:rPr>
      </w:pPr>
      <w:r w:rsidRPr="00DF4B3D">
        <w:rPr>
          <w:rFonts w:ascii="Lato" w:hAnsi="Lato" w:cs="Calibri"/>
          <w:spacing w:val="4"/>
        </w:rPr>
        <w:t xml:space="preserve">na podstawie art. 127 § 3 kpa – w terminie 14 dni od dnia doręczenia niniejszej decyzji – wniosek o ponowne rozpatrzenie sprawy lub </w:t>
      </w:r>
    </w:p>
    <w:p w14:paraId="0A7AAF97" w14:textId="19AC9779" w:rsidR="00C050BC" w:rsidRPr="00DF4B3D" w:rsidRDefault="00C050BC" w:rsidP="00CC012F">
      <w:pPr>
        <w:pStyle w:val="Akapitzlist"/>
        <w:numPr>
          <w:ilvl w:val="0"/>
          <w:numId w:val="4"/>
        </w:numPr>
        <w:spacing w:after="240" w:line="240" w:lineRule="exact"/>
        <w:ind w:left="284" w:hanging="284"/>
        <w:contextualSpacing w:val="0"/>
        <w:jc w:val="both"/>
        <w:rPr>
          <w:rFonts w:ascii="Lato" w:hAnsi="Lato" w:cs="Calibri"/>
        </w:rPr>
      </w:pPr>
      <w:r w:rsidRPr="00DF4B3D">
        <w:rPr>
          <w:rFonts w:ascii="Lato" w:hAnsi="Lato" w:cs="Calibri"/>
          <w:spacing w:val="4"/>
        </w:rPr>
        <w:t xml:space="preserve">na podstawie art. 52 § 3 i 54 § 1 ustawy z dnia 30 sierpnia 2002 roku – Prawo </w:t>
      </w:r>
      <w:r w:rsidRPr="00DF4B3D">
        <w:rPr>
          <w:rFonts w:ascii="Lato" w:hAnsi="Lato" w:cs="Calibri"/>
          <w:spacing w:val="4"/>
        </w:rPr>
        <w:br/>
        <w:t xml:space="preserve">o postępowaniu przed sądami administracyjnymi (t.j. </w:t>
      </w:r>
      <w:r w:rsidR="00CC012F" w:rsidRPr="00DF4B3D">
        <w:rPr>
          <w:rFonts w:ascii="Lato" w:hAnsi="Lato" w:cs="Calibri"/>
          <w:spacing w:val="4"/>
        </w:rPr>
        <w:t xml:space="preserve">Dz.U. z 2026 r. poz. 143, </w:t>
      </w:r>
      <w:r w:rsidR="00CC012F" w:rsidRPr="00DF4B3D">
        <w:rPr>
          <w:rFonts w:ascii="Lato" w:hAnsi="Lato" w:cs="Calibri"/>
          <w:spacing w:val="4"/>
        </w:rPr>
        <w:br/>
        <w:t>z późn.zm.</w:t>
      </w:r>
      <w:r w:rsidRPr="00DF4B3D">
        <w:rPr>
          <w:rFonts w:ascii="Lato" w:hAnsi="Lato" w:cs="Calibri"/>
          <w:spacing w:val="4"/>
        </w:rPr>
        <w:t>), zwanej dalej „</w:t>
      </w:r>
      <w:proofErr w:type="spellStart"/>
      <w:r w:rsidRPr="00DF4B3D">
        <w:rPr>
          <w:rFonts w:ascii="Lato" w:hAnsi="Lato" w:cs="Calibri"/>
          <w:spacing w:val="4"/>
        </w:rPr>
        <w:t>ppsa</w:t>
      </w:r>
      <w:proofErr w:type="spellEnd"/>
      <w:r w:rsidRPr="00DF4B3D">
        <w:rPr>
          <w:rFonts w:ascii="Lato" w:hAnsi="Lato" w:cs="Calibri"/>
          <w:spacing w:val="4"/>
        </w:rPr>
        <w:t xml:space="preserve">” – w terminie 30 dni od dnia doręczenia niniejszej decyzji – skarga do Wojewódzkiego Sądu Administracyjnego w Warszawie, wnoszona </w:t>
      </w:r>
      <w:r w:rsidRPr="00DF4B3D">
        <w:rPr>
          <w:rFonts w:ascii="Lato" w:hAnsi="Lato" w:cs="Calibri"/>
          <w:spacing w:val="4"/>
        </w:rPr>
        <w:br/>
        <w:t xml:space="preserve">za pośrednictwem Ministra Finansów i Gospodarki. </w:t>
      </w:r>
    </w:p>
    <w:p w14:paraId="1FAEE277" w14:textId="77777777" w:rsidR="00C050BC" w:rsidRPr="00DF4B3D" w:rsidRDefault="00C050BC" w:rsidP="005865A2">
      <w:pPr>
        <w:spacing w:after="240" w:line="240" w:lineRule="exact"/>
        <w:jc w:val="both"/>
        <w:rPr>
          <w:rFonts w:ascii="Lato" w:hAnsi="Lato" w:cs="Calibri"/>
          <w:spacing w:val="4"/>
        </w:rPr>
      </w:pPr>
      <w:r w:rsidRPr="00DF4B3D">
        <w:rPr>
          <w:rFonts w:ascii="Lato" w:hAnsi="Lato" w:cs="Calibri"/>
          <w:spacing w:val="4"/>
        </w:rPr>
        <w:t xml:space="preserve">Złożenie przez co najmniej jedną stronę wniosku o ponowne rozpatrzenie sprawy powoduje konieczność ponownego rozstrzygnięcia sprawy przez Ministra Finansów </w:t>
      </w:r>
      <w:r w:rsidRPr="00DF4B3D">
        <w:rPr>
          <w:rFonts w:ascii="Lato" w:hAnsi="Lato" w:cs="Calibri"/>
          <w:spacing w:val="4"/>
        </w:rPr>
        <w:br/>
        <w:t xml:space="preserve">i Gospodarki. Wówczas skarga do sądu administracyjnego (złożona obok ww. wniosku) traktowana jest jako wniosek o ponowne rozpatrzenie sprawy. W trakcie biegu terminu do wniesienia wniosku o ponowne rozpatrzenie sprawy strona może zrzec się prawa </w:t>
      </w:r>
      <w:r w:rsidRPr="00DF4B3D">
        <w:rPr>
          <w:rFonts w:ascii="Lato" w:hAnsi="Lato" w:cs="Calibri"/>
          <w:spacing w:val="4"/>
        </w:rPr>
        <w:br/>
        <w:t xml:space="preserve">do wniesienia wniosku o ponowne rozpatrzenie sprawy wobec Ministra Finansów </w:t>
      </w:r>
      <w:r w:rsidRPr="00DF4B3D">
        <w:rPr>
          <w:rFonts w:ascii="Lato" w:hAnsi="Lato" w:cs="Calibri"/>
          <w:spacing w:val="4"/>
        </w:rPr>
        <w:br/>
        <w:t xml:space="preserve">i Gospodarki. Z dniem doręczenia Ministrowi Finansów i Gospodarki oświadczenia </w:t>
      </w:r>
      <w:r w:rsidRPr="00DF4B3D">
        <w:rPr>
          <w:rFonts w:ascii="Lato" w:hAnsi="Lato" w:cs="Calibri"/>
          <w:spacing w:val="4"/>
        </w:rPr>
        <w:br/>
        <w:t xml:space="preserve">o zrzeczeniu się prawa do wniesienia wniosku o ponowne rozpatrzenie sprawy przez ostatnią ze stron postępowania, decyzja staje się ostateczna i prawomocna. </w:t>
      </w:r>
    </w:p>
    <w:p w14:paraId="1332A1F6" w14:textId="77777777" w:rsidR="00C050BC" w:rsidRPr="00DF4B3D" w:rsidRDefault="00C050BC" w:rsidP="00AA424A">
      <w:pPr>
        <w:spacing w:after="120" w:line="240" w:lineRule="exact"/>
        <w:jc w:val="both"/>
        <w:rPr>
          <w:rFonts w:ascii="Lato" w:hAnsi="Lato" w:cs="Calibri"/>
          <w:spacing w:val="4"/>
        </w:rPr>
      </w:pPr>
      <w:r w:rsidRPr="00DF4B3D">
        <w:rPr>
          <w:rFonts w:ascii="Lato" w:hAnsi="Lato" w:cs="Calibri"/>
          <w:spacing w:val="4"/>
        </w:rPr>
        <w:lastRenderedPageBreak/>
        <w:t xml:space="preserve">Jednocześnie informuję, że do skargi należy załączyć dowód uiszczenia wpisu </w:t>
      </w:r>
      <w:r w:rsidRPr="00DF4B3D">
        <w:rPr>
          <w:rFonts w:ascii="Lato" w:hAnsi="Lato" w:cs="Calibri"/>
          <w:spacing w:val="4"/>
        </w:rPr>
        <w:br/>
        <w:t xml:space="preserve">od wniesienia skargi w kwocie 200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243 - 262 </w:t>
      </w:r>
      <w:proofErr w:type="spellStart"/>
      <w:r w:rsidRPr="00DF4B3D">
        <w:rPr>
          <w:rFonts w:ascii="Lato" w:hAnsi="Lato" w:cs="Calibri"/>
          <w:spacing w:val="4"/>
        </w:rPr>
        <w:t>ppsa</w:t>
      </w:r>
      <w:proofErr w:type="spellEnd"/>
      <w:r w:rsidRPr="00DF4B3D">
        <w:rPr>
          <w:rFonts w:ascii="Lato" w:hAnsi="Lato" w:cs="Calibri"/>
          <w:spacing w:val="4"/>
        </w:rPr>
        <w:t>.</w:t>
      </w:r>
    </w:p>
    <w:p w14:paraId="0B551A34" w14:textId="0D3BB349" w:rsidR="005865A2" w:rsidRPr="00DF4B3D" w:rsidRDefault="005865A2" w:rsidP="00AA424A">
      <w:pPr>
        <w:spacing w:after="80" w:line="240" w:lineRule="auto"/>
        <w:jc w:val="both"/>
        <w:rPr>
          <w:rFonts w:ascii="Lato" w:eastAsia="Times New Roman" w:hAnsi="Lato" w:cs="Arial"/>
          <w:b/>
          <w:spacing w:val="4"/>
          <w:u w:val="single"/>
          <w:lang w:eastAsia="pl-PL"/>
        </w:rPr>
      </w:pPr>
      <w:r w:rsidRPr="00DF4B3D">
        <w:rPr>
          <w:rFonts w:ascii="Lato" w:eastAsia="Times New Roman" w:hAnsi="Lato" w:cs="Arial"/>
          <w:b/>
          <w:spacing w:val="4"/>
          <w:u w:val="single"/>
          <w:lang w:eastAsia="pl-PL"/>
        </w:rPr>
        <w:t>Załącznik:</w:t>
      </w:r>
    </w:p>
    <w:p w14:paraId="4629C68F" w14:textId="0A01FEDB" w:rsidR="00CC012F" w:rsidRPr="00DF4B3D" w:rsidRDefault="005865A2" w:rsidP="00CC012F">
      <w:pPr>
        <w:spacing w:after="0" w:line="240" w:lineRule="auto"/>
        <w:jc w:val="both"/>
        <w:rPr>
          <w:rFonts w:ascii="Lato" w:hAnsi="Lato" w:cs="Arial"/>
          <w:iCs/>
          <w:spacing w:val="4"/>
          <w:lang w:bidi="pl-PL"/>
        </w:rPr>
      </w:pPr>
      <w:r w:rsidRPr="00DF4B3D">
        <w:rPr>
          <w:rFonts w:ascii="Lato" w:eastAsia="Times New Roman" w:hAnsi="Lato" w:cs="Arial"/>
          <w:b/>
          <w:spacing w:val="4"/>
          <w:lang w:eastAsia="pl-PL"/>
        </w:rPr>
        <w:t>Nr 1</w:t>
      </w:r>
      <w:r w:rsidR="00CC012F" w:rsidRPr="00DF4B3D">
        <w:rPr>
          <w:rFonts w:ascii="Lato" w:eastAsia="Times New Roman" w:hAnsi="Lato" w:cs="Arial"/>
          <w:b/>
          <w:spacing w:val="4"/>
          <w:lang w:eastAsia="pl-PL"/>
        </w:rPr>
        <w:t xml:space="preserve"> - </w:t>
      </w:r>
      <w:r w:rsidR="008F3B3D" w:rsidRPr="00DF4B3D">
        <w:rPr>
          <w:rFonts w:ascii="Lato" w:hAnsi="Lato" w:cs="Arial"/>
          <w:iCs/>
          <w:spacing w:val="4"/>
        </w:rPr>
        <w:t xml:space="preserve">mapa z projektem podziału </w:t>
      </w:r>
      <w:r w:rsidR="008F3B3D" w:rsidRPr="00DF4B3D">
        <w:rPr>
          <w:rFonts w:ascii="Lato" w:hAnsi="Lato" w:cs="Arial"/>
          <w:iCs/>
          <w:spacing w:val="4"/>
          <w:lang w:bidi="pl-PL"/>
        </w:rPr>
        <w:t xml:space="preserve">działki </w:t>
      </w:r>
      <w:r w:rsidR="00CC012F" w:rsidRPr="00DF4B3D">
        <w:rPr>
          <w:rFonts w:ascii="Lato" w:hAnsi="Lato" w:cs="Arial"/>
          <w:bCs/>
          <w:iCs/>
          <w:spacing w:val="4"/>
          <w:lang w:bidi="pl-PL"/>
        </w:rPr>
        <w:t>nr 1180/54, z obrębu 0009 Łubowice_AR_1.</w:t>
      </w:r>
    </w:p>
    <w:p w14:paraId="3087135D" w14:textId="4BB33736" w:rsidR="008F3B3D" w:rsidRPr="00DF4B3D" w:rsidRDefault="008F3B3D" w:rsidP="00AA424A">
      <w:pPr>
        <w:spacing w:after="0" w:line="240" w:lineRule="auto"/>
        <w:jc w:val="both"/>
        <w:rPr>
          <w:rFonts w:ascii="Lato" w:eastAsia="Times New Roman" w:hAnsi="Lato" w:cs="Arial"/>
          <w:b/>
          <w:spacing w:val="4"/>
          <w:lang w:eastAsia="pl-PL"/>
        </w:rPr>
      </w:pPr>
    </w:p>
    <w:p w14:paraId="372E2386" w14:textId="10DE4622" w:rsidR="005865A2" w:rsidRPr="00DF4B3D" w:rsidRDefault="005865A2" w:rsidP="00AA424A">
      <w:pPr>
        <w:spacing w:after="0" w:line="240" w:lineRule="auto"/>
        <w:jc w:val="both"/>
        <w:rPr>
          <w:rFonts w:ascii="Lato" w:eastAsia="Times New Roman" w:hAnsi="Lato" w:cs="Arial"/>
          <w:b/>
          <w:spacing w:val="4"/>
          <w:lang w:eastAsia="pl-PL"/>
        </w:rPr>
      </w:pPr>
    </w:p>
    <w:p w14:paraId="07D064A4" w14:textId="77777777" w:rsidR="008F3B3D" w:rsidRPr="00DF4B3D" w:rsidRDefault="008F3B3D" w:rsidP="005865A2">
      <w:pPr>
        <w:spacing w:after="120" w:line="240" w:lineRule="exact"/>
        <w:jc w:val="both"/>
        <w:rPr>
          <w:rFonts w:ascii="Lato" w:hAnsi="Lato" w:cs="Arial"/>
          <w:bCs/>
          <w:iCs/>
          <w:spacing w:val="4"/>
        </w:rPr>
      </w:pPr>
    </w:p>
    <w:p w14:paraId="742851A4" w14:textId="77777777" w:rsidR="0064532A" w:rsidRPr="00DF4B3D" w:rsidRDefault="0064532A" w:rsidP="00D12E85">
      <w:pPr>
        <w:tabs>
          <w:tab w:val="left" w:pos="284"/>
        </w:tabs>
        <w:spacing w:after="80" w:line="240" w:lineRule="auto"/>
        <w:jc w:val="both"/>
        <w:rPr>
          <w:rFonts w:ascii="Lato" w:eastAsia="Calibri" w:hAnsi="Lato" w:cs="Arial"/>
          <w:bCs/>
          <w:spacing w:val="4"/>
        </w:rPr>
      </w:pPr>
    </w:p>
    <w:p w14:paraId="5C85F801" w14:textId="77777777" w:rsidR="002E3B5F" w:rsidRPr="00B3376C" w:rsidRDefault="002E3B5F" w:rsidP="002E3B5F">
      <w:pPr>
        <w:spacing w:after="120" w:line="260" w:lineRule="exact"/>
        <w:ind w:left="4111"/>
        <w:rPr>
          <w:rFonts w:ascii="Lato" w:hAnsi="Lato"/>
          <w:b/>
          <w:bCs/>
        </w:rPr>
      </w:pPr>
      <w:r w:rsidRPr="00B3376C">
        <w:rPr>
          <w:rFonts w:ascii="Lato" w:hAnsi="Lato"/>
          <w:b/>
          <w:bCs/>
        </w:rPr>
        <w:t>Z upoważnienia</w:t>
      </w:r>
    </w:p>
    <w:p w14:paraId="1A883846" w14:textId="77777777" w:rsidR="002E3B5F" w:rsidRPr="00B3376C" w:rsidRDefault="002E3B5F" w:rsidP="002E3B5F">
      <w:pPr>
        <w:spacing w:after="120" w:line="260" w:lineRule="exact"/>
        <w:ind w:left="4111"/>
        <w:rPr>
          <w:rFonts w:ascii="Lato" w:hAnsi="Lato"/>
        </w:rPr>
      </w:pPr>
      <w:r>
        <w:rPr>
          <w:rFonts w:ascii="Lato" w:hAnsi="Lato"/>
        </w:rPr>
        <w:t>Edyta Lubaszewska</w:t>
      </w:r>
    </w:p>
    <w:p w14:paraId="76E39D35" w14:textId="77777777" w:rsidR="002E3B5F" w:rsidRPr="00B3376C" w:rsidRDefault="002E3B5F" w:rsidP="002E3B5F">
      <w:pPr>
        <w:spacing w:after="120" w:line="260" w:lineRule="exact"/>
        <w:ind w:left="4111"/>
        <w:rPr>
          <w:rFonts w:ascii="Lato" w:hAnsi="Lato"/>
        </w:rPr>
      </w:pPr>
      <w:r>
        <w:rPr>
          <w:rFonts w:ascii="Lato" w:hAnsi="Lato"/>
        </w:rPr>
        <w:t>dyrektor</w:t>
      </w:r>
    </w:p>
    <w:p w14:paraId="1512FAE9" w14:textId="77777777" w:rsidR="002E3B5F" w:rsidRPr="00B3376C" w:rsidRDefault="002E3B5F" w:rsidP="002E3B5F">
      <w:pPr>
        <w:spacing w:after="120" w:line="260" w:lineRule="exact"/>
        <w:ind w:left="4111"/>
        <w:rPr>
          <w:rFonts w:ascii="Lato" w:hAnsi="Lato"/>
        </w:rPr>
      </w:pPr>
      <w:r>
        <w:rPr>
          <w:rFonts w:ascii="Lato" w:hAnsi="Lato"/>
        </w:rPr>
        <w:t>Departament Lokalizacji Inwestycji</w:t>
      </w:r>
    </w:p>
    <w:p w14:paraId="14306B7A" w14:textId="77777777" w:rsidR="002E3B5F" w:rsidRPr="00B3376C" w:rsidRDefault="002E3B5F" w:rsidP="002E3B5F">
      <w:pPr>
        <w:spacing w:after="120" w:line="260" w:lineRule="exact"/>
        <w:ind w:left="4111"/>
        <w:rPr>
          <w:rFonts w:ascii="Lato" w:hAnsi="Lato"/>
        </w:rPr>
      </w:pPr>
      <w:r>
        <w:rPr>
          <w:rFonts w:ascii="Lato" w:hAnsi="Lato"/>
        </w:rPr>
        <w:t>/ kwalifikowany podpis elektroniczny /</w:t>
      </w:r>
    </w:p>
    <w:p w14:paraId="2097EEF4" w14:textId="77777777" w:rsidR="002E3B5F" w:rsidRDefault="002E3B5F" w:rsidP="002E3B5F">
      <w:pPr>
        <w:spacing w:after="80" w:line="240" w:lineRule="auto"/>
        <w:ind w:firstLine="4111"/>
        <w:jc w:val="both"/>
        <w:rPr>
          <w:rFonts w:ascii="Lato" w:hAnsi="Lato"/>
          <w:b/>
          <w:bCs/>
        </w:rPr>
      </w:pPr>
      <w:r w:rsidRPr="00B3376C">
        <w:rPr>
          <w:rFonts w:ascii="Lato" w:hAnsi="Lato"/>
          <w:color w:val="000000" w:themeColor="text1"/>
        </w:rPr>
        <w:t>w Ministerstwie Rozwoju i Technologii</w:t>
      </w:r>
    </w:p>
    <w:p w14:paraId="49D0E954" w14:textId="77777777" w:rsidR="0064532A" w:rsidRPr="00DF4B3D" w:rsidRDefault="0064532A" w:rsidP="00D12E85">
      <w:pPr>
        <w:tabs>
          <w:tab w:val="left" w:pos="284"/>
        </w:tabs>
        <w:spacing w:after="80" w:line="240" w:lineRule="auto"/>
        <w:jc w:val="both"/>
        <w:rPr>
          <w:rFonts w:ascii="Lato" w:eastAsia="Calibri" w:hAnsi="Lato" w:cs="Arial"/>
          <w:b/>
          <w:spacing w:val="4"/>
          <w:u w:val="single"/>
        </w:rPr>
      </w:pPr>
    </w:p>
    <w:p w14:paraId="6E9412F4" w14:textId="77777777" w:rsidR="0064532A" w:rsidRPr="00DF4B3D" w:rsidRDefault="0064532A" w:rsidP="00D12E85">
      <w:pPr>
        <w:tabs>
          <w:tab w:val="left" w:pos="284"/>
        </w:tabs>
        <w:spacing w:after="80" w:line="240" w:lineRule="auto"/>
        <w:jc w:val="both"/>
        <w:rPr>
          <w:rFonts w:ascii="Lato" w:eastAsia="Calibri" w:hAnsi="Lato" w:cs="Arial"/>
          <w:b/>
          <w:spacing w:val="4"/>
          <w:u w:val="single"/>
        </w:rPr>
      </w:pPr>
    </w:p>
    <w:p w14:paraId="27E41EFD" w14:textId="77777777" w:rsidR="00532547" w:rsidRPr="00DF4B3D" w:rsidRDefault="00532547" w:rsidP="00AA424A">
      <w:pPr>
        <w:spacing w:after="240" w:line="256" w:lineRule="auto"/>
        <w:jc w:val="both"/>
        <w:rPr>
          <w:rFonts w:ascii="Lato" w:eastAsia="Calibri" w:hAnsi="Lato" w:cs="Arial"/>
          <w:spacing w:val="4"/>
        </w:rPr>
      </w:pPr>
    </w:p>
    <w:p w14:paraId="70B09DF1" w14:textId="77777777" w:rsidR="00532547" w:rsidRPr="00DF4B3D" w:rsidRDefault="00532547" w:rsidP="00D12E85">
      <w:pPr>
        <w:spacing w:after="80" w:line="240" w:lineRule="auto"/>
        <w:jc w:val="both"/>
        <w:rPr>
          <w:rFonts w:ascii="Lato" w:eastAsia="Times New Roman" w:hAnsi="Lato" w:cs="Arial"/>
          <w:b/>
          <w:spacing w:val="4"/>
          <w:u w:val="single"/>
          <w:lang w:eastAsia="pl-PL"/>
        </w:rPr>
      </w:pPr>
      <w:bookmarkStart w:id="3" w:name="mip56431347"/>
      <w:bookmarkStart w:id="4" w:name="mip56431221"/>
      <w:bookmarkStart w:id="5" w:name="mip62193956"/>
      <w:bookmarkStart w:id="6" w:name="mip60747442"/>
      <w:bookmarkEnd w:id="3"/>
      <w:bookmarkEnd w:id="4"/>
      <w:bookmarkEnd w:id="5"/>
      <w:bookmarkEnd w:id="6"/>
    </w:p>
    <w:p w14:paraId="19CE5576" w14:textId="77D1293A" w:rsidR="00D12E85" w:rsidRPr="004F4481" w:rsidRDefault="00D12E85" w:rsidP="004F4481">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outlineLvl w:val="0"/>
        <w:rPr>
          <w:rFonts w:ascii="Lato" w:eastAsia="Arial" w:hAnsi="Lato" w:cs="Arial"/>
          <w:color w:val="000000"/>
          <w:spacing w:val="4"/>
          <w:position w:val="-1"/>
          <w:lang w:eastAsia="pl-PL"/>
        </w:rPr>
      </w:pPr>
    </w:p>
    <w:sectPr w:rsidR="00D12E85" w:rsidRPr="004F4481" w:rsidSect="003B2B91">
      <w:headerReference w:type="default" r:id="rId8"/>
      <w:footerReference w:type="default" r:id="rId9"/>
      <w:headerReference w:type="first" r:id="rId10"/>
      <w:footerReference w:type="first" r:id="rId11"/>
      <w:pgSz w:w="11906" w:h="16838"/>
      <w:pgMar w:top="2268" w:right="1134" w:bottom="1418" w:left="1985" w:header="0"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CC3EB" w14:textId="77777777" w:rsidR="00055A92" w:rsidRDefault="00055A92">
      <w:pPr>
        <w:spacing w:after="0" w:line="240" w:lineRule="auto"/>
      </w:pPr>
      <w:r>
        <w:separator/>
      </w:r>
    </w:p>
  </w:endnote>
  <w:endnote w:type="continuationSeparator" w:id="0">
    <w:p w14:paraId="00703CAD" w14:textId="77777777" w:rsidR="00055A92" w:rsidRDefault="00055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C0A5A148-A5F9-414F-A91A-4459BF431C13}"/>
    <w:embedBold r:id="rId2" w:fontKey="{3C43D9CB-4C82-447F-81C4-15B8FEA9C227}"/>
    <w:embedItalic r:id="rId3" w:fontKey="{8493CD40-A8AD-4812-8E56-2EC73AD0B8F6}"/>
  </w:font>
  <w:font w:name="Calibri">
    <w:panose1 w:val="020F0502020204030204"/>
    <w:charset w:val="EE"/>
    <w:family w:val="swiss"/>
    <w:pitch w:val="variable"/>
    <w:sig w:usb0="E4002EFF" w:usb1="C200247B" w:usb2="00000009" w:usb3="00000000" w:csb0="000001FF" w:csb1="00000000"/>
    <w:embedRegular r:id="rId4" w:fontKey="{76C837BF-6692-4E38-814E-D7DAB258A7FA}"/>
    <w:embedBold r:id="rId5" w:fontKey="{51B65B21-5FCC-48FD-8C41-4663DC045FD6}"/>
    <w:embedItalic r:id="rId6" w:fontKey="{9AB2073B-74D5-4F99-A9D0-4E2FA6A45BDE}"/>
  </w:font>
  <w:font w:name="Calibri Light">
    <w:panose1 w:val="020F0302020204030204"/>
    <w:charset w:val="EE"/>
    <w:family w:val="swiss"/>
    <w:pitch w:val="variable"/>
    <w:sig w:usb0="E4002EFF" w:usb1="C200247B" w:usb2="00000009" w:usb3="00000000" w:csb0="000001FF" w:csb1="00000000"/>
    <w:embedRegular r:id="rId7" w:fontKey="{B04B39E3-4CF5-4C13-968A-A3251D378E2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sz w:val="16"/>
        <w:szCs w:val="16"/>
      </w:rPr>
      <w:id w:val="1792393698"/>
      <w:docPartObj>
        <w:docPartGallery w:val="Page Numbers (Bottom of Page)"/>
        <w:docPartUnique/>
      </w:docPartObj>
    </w:sdtPr>
    <w:sdtContent>
      <w:p w14:paraId="4A2D10CF" w14:textId="0691F4D0" w:rsidR="002E58B9" w:rsidRPr="00D33088" w:rsidRDefault="002E58B9">
        <w:pPr>
          <w:pStyle w:val="Stopka"/>
          <w:jc w:val="center"/>
          <w:rPr>
            <w:rFonts w:ascii="Lato" w:hAnsi="Lato"/>
            <w:sz w:val="16"/>
            <w:szCs w:val="16"/>
          </w:rPr>
        </w:pPr>
        <w:r w:rsidRPr="00D33088">
          <w:rPr>
            <w:rFonts w:ascii="Lato" w:hAnsi="Lato"/>
            <w:sz w:val="16"/>
            <w:szCs w:val="16"/>
          </w:rPr>
          <w:fldChar w:fldCharType="begin"/>
        </w:r>
        <w:r w:rsidRPr="00D33088">
          <w:rPr>
            <w:rFonts w:ascii="Lato" w:hAnsi="Lato"/>
            <w:sz w:val="16"/>
            <w:szCs w:val="16"/>
          </w:rPr>
          <w:instrText>PAGE   \* MERGEFORMAT</w:instrText>
        </w:r>
        <w:r w:rsidRPr="00D33088">
          <w:rPr>
            <w:rFonts w:ascii="Lato" w:hAnsi="Lato"/>
            <w:sz w:val="16"/>
            <w:szCs w:val="16"/>
          </w:rPr>
          <w:fldChar w:fldCharType="separate"/>
        </w:r>
        <w:r w:rsidRPr="00D33088">
          <w:rPr>
            <w:rFonts w:ascii="Lato" w:hAnsi="Lato"/>
            <w:sz w:val="16"/>
            <w:szCs w:val="16"/>
          </w:rPr>
          <w:t>2</w:t>
        </w:r>
        <w:r w:rsidRPr="00D33088">
          <w:rPr>
            <w:rFonts w:ascii="Lato" w:hAnsi="Lato"/>
            <w:sz w:val="16"/>
            <w:szCs w:val="16"/>
          </w:rPr>
          <w:fldChar w:fldCharType="end"/>
        </w:r>
        <w:r>
          <w:rPr>
            <w:rFonts w:ascii="Lato" w:hAnsi="Lato"/>
            <w:sz w:val="16"/>
            <w:szCs w:val="16"/>
          </w:rPr>
          <w:t>(</w:t>
        </w:r>
        <w:r w:rsidR="004F4481">
          <w:rPr>
            <w:rFonts w:ascii="Lato" w:hAnsi="Lato"/>
            <w:sz w:val="16"/>
            <w:szCs w:val="16"/>
          </w:rPr>
          <w:t>7</w:t>
        </w:r>
        <w:r>
          <w:rPr>
            <w:rFonts w:ascii="Lato" w:hAnsi="Lato"/>
            <w:sz w:val="16"/>
            <w:szCs w:val="16"/>
          </w:rPr>
          <w:t>)</w:t>
        </w:r>
      </w:p>
    </w:sdtContent>
  </w:sdt>
  <w:p w14:paraId="43F06B3A" w14:textId="27F05657" w:rsidR="00A82F78" w:rsidRDefault="00A82F78" w:rsidP="00D33088">
    <w:pPr>
      <w:pStyle w:val="Stopka"/>
      <w:tabs>
        <w:tab w:val="clear" w:pos="4536"/>
        <w:tab w:val="clear" w:pos="9072"/>
        <w:tab w:val="left" w:pos="5954"/>
      </w:tabs>
      <w:spacing w:line="200" w:lineRule="exact"/>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28A07" w14:textId="359972AC" w:rsidR="00A82F78" w:rsidRDefault="00A82F78">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ABB23" w14:textId="77777777" w:rsidR="00055A92" w:rsidRDefault="00055A92">
      <w:pPr>
        <w:spacing w:after="0" w:line="240" w:lineRule="auto"/>
      </w:pPr>
      <w:r>
        <w:separator/>
      </w:r>
    </w:p>
  </w:footnote>
  <w:footnote w:type="continuationSeparator" w:id="0">
    <w:p w14:paraId="2FDC2E25" w14:textId="77777777" w:rsidR="00055A92" w:rsidRDefault="00055A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436BD" w14:textId="77777777" w:rsidR="00A82F78" w:rsidRDefault="00A82F78">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778F" w14:textId="77777777" w:rsidR="00A82F78" w:rsidRDefault="00000000">
    <w:pPr>
      <w:pStyle w:val="Nagwek"/>
    </w:pPr>
    <w:r>
      <w:rPr>
        <w:noProof/>
        <w:lang w:eastAsia="pl-PL"/>
      </w:rPr>
      <w:drawing>
        <wp:anchor distT="0" distB="0" distL="114300" distR="114300" simplePos="0" relativeHeight="251662336" behindDoc="0" locked="0" layoutInCell="1" allowOverlap="1" wp14:anchorId="1676A829" wp14:editId="611DED8E">
          <wp:simplePos x="0" y="0"/>
          <wp:positionH relativeFrom="column">
            <wp:posOffset>-890905</wp:posOffset>
          </wp:positionH>
          <wp:positionV relativeFrom="paragraph">
            <wp:posOffset>415925</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0E21"/>
    <w:multiLevelType w:val="hybridMultilevel"/>
    <w:tmpl w:val="6D3640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26233BF4"/>
    <w:multiLevelType w:val="hybridMultilevel"/>
    <w:tmpl w:val="8342F76E"/>
    <w:lvl w:ilvl="0" w:tplc="69C89C64">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2" w15:restartNumberingAfterBreak="0">
    <w:nsid w:val="36FF0497"/>
    <w:multiLevelType w:val="hybridMultilevel"/>
    <w:tmpl w:val="AD647C84"/>
    <w:lvl w:ilvl="0" w:tplc="A31253F6">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382F1B11"/>
    <w:multiLevelType w:val="hybridMultilevel"/>
    <w:tmpl w:val="FFE222B6"/>
    <w:lvl w:ilvl="0" w:tplc="7B5AC326">
      <w:start w:val="1"/>
      <w:numFmt w:val="bullet"/>
      <w:lvlText w:val="−"/>
      <w:lvlJc w:val="left"/>
      <w:pPr>
        <w:ind w:left="717" w:hanging="360"/>
      </w:pPr>
      <w:rPr>
        <w:rFonts w:ascii="Noto Sans Symbols" w:eastAsia="Noto Sans Symbols" w:hAnsi="Noto Sans Symbols" w:cs="Noto Sans Symbols"/>
        <w:vertAlign w:val="baseline"/>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4" w15:restartNumberingAfterBreak="0">
    <w:nsid w:val="551852F0"/>
    <w:multiLevelType w:val="hybridMultilevel"/>
    <w:tmpl w:val="23865744"/>
    <w:lvl w:ilvl="0" w:tplc="969A0A90">
      <w:start w:val="1"/>
      <w:numFmt w:val="bullet"/>
      <w:lvlText w:val=""/>
      <w:lvlJc w:val="left"/>
      <w:pPr>
        <w:ind w:left="1070" w:hanging="360"/>
      </w:pPr>
      <w:rPr>
        <w:rFonts w:ascii="Symbol" w:hAnsi="Symbol" w:hint="default"/>
      </w:rPr>
    </w:lvl>
    <w:lvl w:ilvl="1" w:tplc="04150003">
      <w:start w:val="1"/>
      <w:numFmt w:val="bullet"/>
      <w:lvlText w:val="o"/>
      <w:lvlJc w:val="left"/>
      <w:pPr>
        <w:ind w:left="1496" w:hanging="360"/>
      </w:pPr>
      <w:rPr>
        <w:rFonts w:ascii="Courier New" w:hAnsi="Courier New" w:cs="Courier New" w:hint="default"/>
      </w:rPr>
    </w:lvl>
    <w:lvl w:ilvl="2" w:tplc="04150005">
      <w:start w:val="1"/>
      <w:numFmt w:val="bullet"/>
      <w:lvlText w:val=""/>
      <w:lvlJc w:val="left"/>
      <w:pPr>
        <w:ind w:left="2216" w:hanging="360"/>
      </w:pPr>
      <w:rPr>
        <w:rFonts w:ascii="Wingdings" w:hAnsi="Wingdings" w:hint="default"/>
      </w:rPr>
    </w:lvl>
    <w:lvl w:ilvl="3" w:tplc="04150001">
      <w:start w:val="1"/>
      <w:numFmt w:val="bullet"/>
      <w:lvlText w:val=""/>
      <w:lvlJc w:val="left"/>
      <w:pPr>
        <w:ind w:left="2936" w:hanging="360"/>
      </w:pPr>
      <w:rPr>
        <w:rFonts w:ascii="Symbol" w:hAnsi="Symbol" w:hint="default"/>
      </w:rPr>
    </w:lvl>
    <w:lvl w:ilvl="4" w:tplc="04150003">
      <w:start w:val="1"/>
      <w:numFmt w:val="bullet"/>
      <w:lvlText w:val="o"/>
      <w:lvlJc w:val="left"/>
      <w:pPr>
        <w:ind w:left="3656" w:hanging="360"/>
      </w:pPr>
      <w:rPr>
        <w:rFonts w:ascii="Courier New" w:hAnsi="Courier New" w:cs="Courier New" w:hint="default"/>
      </w:rPr>
    </w:lvl>
    <w:lvl w:ilvl="5" w:tplc="04150005">
      <w:start w:val="1"/>
      <w:numFmt w:val="bullet"/>
      <w:lvlText w:val=""/>
      <w:lvlJc w:val="left"/>
      <w:pPr>
        <w:ind w:left="4376" w:hanging="360"/>
      </w:pPr>
      <w:rPr>
        <w:rFonts w:ascii="Wingdings" w:hAnsi="Wingdings" w:hint="default"/>
      </w:rPr>
    </w:lvl>
    <w:lvl w:ilvl="6" w:tplc="04150001">
      <w:start w:val="1"/>
      <w:numFmt w:val="bullet"/>
      <w:lvlText w:val=""/>
      <w:lvlJc w:val="left"/>
      <w:pPr>
        <w:ind w:left="5096" w:hanging="360"/>
      </w:pPr>
      <w:rPr>
        <w:rFonts w:ascii="Symbol" w:hAnsi="Symbol" w:hint="default"/>
      </w:rPr>
    </w:lvl>
    <w:lvl w:ilvl="7" w:tplc="04150003">
      <w:start w:val="1"/>
      <w:numFmt w:val="bullet"/>
      <w:lvlText w:val="o"/>
      <w:lvlJc w:val="left"/>
      <w:pPr>
        <w:ind w:left="5816" w:hanging="360"/>
      </w:pPr>
      <w:rPr>
        <w:rFonts w:ascii="Courier New" w:hAnsi="Courier New" w:cs="Courier New" w:hint="default"/>
      </w:rPr>
    </w:lvl>
    <w:lvl w:ilvl="8" w:tplc="04150005">
      <w:start w:val="1"/>
      <w:numFmt w:val="bullet"/>
      <w:lvlText w:val=""/>
      <w:lvlJc w:val="left"/>
      <w:pPr>
        <w:ind w:left="6536" w:hanging="360"/>
      </w:pPr>
      <w:rPr>
        <w:rFonts w:ascii="Wingdings" w:hAnsi="Wingdings" w:hint="default"/>
      </w:rPr>
    </w:lvl>
  </w:abstractNum>
  <w:abstractNum w:abstractNumId="5" w15:restartNumberingAfterBreak="0">
    <w:nsid w:val="61164EDB"/>
    <w:multiLevelType w:val="hybridMultilevel"/>
    <w:tmpl w:val="AF7240A8"/>
    <w:lvl w:ilvl="0" w:tplc="33D6F0B2">
      <w:start w:val="1"/>
      <w:numFmt w:val="decimal"/>
      <w:lvlText w:val="%1."/>
      <w:lvlJc w:val="left"/>
      <w:pPr>
        <w:ind w:left="360" w:hanging="360"/>
      </w:pPr>
      <w:rPr>
        <w:rFonts w:ascii="Arial" w:hAnsi="Arial" w:cs="Arial"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64C7048E"/>
    <w:multiLevelType w:val="hybridMultilevel"/>
    <w:tmpl w:val="32042D66"/>
    <w:lvl w:ilvl="0" w:tplc="69C89C64">
      <w:start w:val="1"/>
      <w:numFmt w:val="bullet"/>
      <w:lvlText w:val=""/>
      <w:lvlJc w:val="left"/>
      <w:pPr>
        <w:ind w:left="720" w:hanging="360"/>
      </w:pPr>
      <w:rPr>
        <w:rFonts w:ascii="Symbol" w:hAnsi="Symbol" w:hint="default"/>
        <w:vertAlign w:val="baseline"/>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69A6446A"/>
    <w:multiLevelType w:val="hybridMultilevel"/>
    <w:tmpl w:val="C05E73FE"/>
    <w:lvl w:ilvl="0" w:tplc="044AECA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15:restartNumberingAfterBreak="0">
    <w:nsid w:val="73235BF5"/>
    <w:multiLevelType w:val="hybridMultilevel"/>
    <w:tmpl w:val="834EE802"/>
    <w:lvl w:ilvl="0" w:tplc="21AE9228">
      <w:start w:val="1"/>
      <w:numFmt w:val="bullet"/>
      <w:lvlText w:val=""/>
      <w:lvlJc w:val="center"/>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9" w15:restartNumberingAfterBreak="0">
    <w:nsid w:val="74F8214D"/>
    <w:multiLevelType w:val="hybridMultilevel"/>
    <w:tmpl w:val="EF4CD830"/>
    <w:lvl w:ilvl="0" w:tplc="28DA81EC">
      <w:start w:val="1"/>
      <w:numFmt w:val="decimal"/>
      <w:lvlText w:val="%1."/>
      <w:lvlJc w:val="left"/>
      <w:pPr>
        <w:ind w:left="360" w:hanging="360"/>
      </w:pPr>
      <w:rPr>
        <w:rFonts w:ascii="Lato" w:hAnsi="Lato"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0"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7B1C45B2"/>
    <w:multiLevelType w:val="hybridMultilevel"/>
    <w:tmpl w:val="2392DCA6"/>
    <w:lvl w:ilvl="0" w:tplc="044AECA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num w:numId="1" w16cid:durableId="1870143643">
    <w:abstractNumId w:val="6"/>
  </w:num>
  <w:num w:numId="2" w16cid:durableId="86199468">
    <w:abstractNumId w:val="8"/>
  </w:num>
  <w:num w:numId="3" w16cid:durableId="938442459">
    <w:abstractNumId w:val="1"/>
  </w:num>
  <w:num w:numId="4" w16cid:durableId="1284993195">
    <w:abstractNumId w:val="4"/>
  </w:num>
  <w:num w:numId="5" w16cid:durableId="1180386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6500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3652684">
    <w:abstractNumId w:val="5"/>
  </w:num>
  <w:num w:numId="8" w16cid:durableId="471214200">
    <w:abstractNumId w:val="3"/>
  </w:num>
  <w:num w:numId="9" w16cid:durableId="205412477">
    <w:abstractNumId w:val="11"/>
  </w:num>
  <w:num w:numId="10" w16cid:durableId="2049798707">
    <w:abstractNumId w:val="7"/>
  </w:num>
  <w:num w:numId="11" w16cid:durableId="1312565180">
    <w:abstractNumId w:val="0"/>
  </w:num>
  <w:num w:numId="12" w16cid:durableId="198685612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1C7"/>
    <w:rsid w:val="000015A7"/>
    <w:rsid w:val="000016A6"/>
    <w:rsid w:val="00003A31"/>
    <w:rsid w:val="00004FE5"/>
    <w:rsid w:val="00042DDD"/>
    <w:rsid w:val="000440FB"/>
    <w:rsid w:val="00050ABE"/>
    <w:rsid w:val="00055A92"/>
    <w:rsid w:val="0007750B"/>
    <w:rsid w:val="00087135"/>
    <w:rsid w:val="00090DDB"/>
    <w:rsid w:val="000A3A3C"/>
    <w:rsid w:val="000A4EF2"/>
    <w:rsid w:val="000B7A9D"/>
    <w:rsid w:val="000C28DA"/>
    <w:rsid w:val="000C6599"/>
    <w:rsid w:val="000D0CCD"/>
    <w:rsid w:val="000D1DB6"/>
    <w:rsid w:val="000D212C"/>
    <w:rsid w:val="000F657B"/>
    <w:rsid w:val="000F79A1"/>
    <w:rsid w:val="00100763"/>
    <w:rsid w:val="00103FA7"/>
    <w:rsid w:val="00113A61"/>
    <w:rsid w:val="00122BB4"/>
    <w:rsid w:val="0013495D"/>
    <w:rsid w:val="001410D2"/>
    <w:rsid w:val="00152755"/>
    <w:rsid w:val="00153769"/>
    <w:rsid w:val="00166598"/>
    <w:rsid w:val="001840C1"/>
    <w:rsid w:val="00184273"/>
    <w:rsid w:val="00192736"/>
    <w:rsid w:val="00196E1F"/>
    <w:rsid w:val="001B729A"/>
    <w:rsid w:val="001C38D2"/>
    <w:rsid w:val="001D234B"/>
    <w:rsid w:val="001D3496"/>
    <w:rsid w:val="001E134E"/>
    <w:rsid w:val="001E356D"/>
    <w:rsid w:val="001E6CA1"/>
    <w:rsid w:val="001E793D"/>
    <w:rsid w:val="001F3AA5"/>
    <w:rsid w:val="00201CDA"/>
    <w:rsid w:val="002025B4"/>
    <w:rsid w:val="00202AE4"/>
    <w:rsid w:val="00206983"/>
    <w:rsid w:val="00207594"/>
    <w:rsid w:val="00207EEB"/>
    <w:rsid w:val="0021090E"/>
    <w:rsid w:val="002131C5"/>
    <w:rsid w:val="002202E8"/>
    <w:rsid w:val="00220433"/>
    <w:rsid w:val="00222C85"/>
    <w:rsid w:val="00237570"/>
    <w:rsid w:val="0025756C"/>
    <w:rsid w:val="00261393"/>
    <w:rsid w:val="002854DC"/>
    <w:rsid w:val="00287EA3"/>
    <w:rsid w:val="00291195"/>
    <w:rsid w:val="00292817"/>
    <w:rsid w:val="002A6DA4"/>
    <w:rsid w:val="002C291A"/>
    <w:rsid w:val="002D137B"/>
    <w:rsid w:val="002D1AA5"/>
    <w:rsid w:val="002D74D1"/>
    <w:rsid w:val="002E3B5F"/>
    <w:rsid w:val="002E58B9"/>
    <w:rsid w:val="00311537"/>
    <w:rsid w:val="00313999"/>
    <w:rsid w:val="003166D4"/>
    <w:rsid w:val="003217D8"/>
    <w:rsid w:val="00336068"/>
    <w:rsid w:val="00337051"/>
    <w:rsid w:val="00337705"/>
    <w:rsid w:val="00340492"/>
    <w:rsid w:val="00344BC6"/>
    <w:rsid w:val="0035458F"/>
    <w:rsid w:val="00361C1C"/>
    <w:rsid w:val="0036789C"/>
    <w:rsid w:val="00372F81"/>
    <w:rsid w:val="00373744"/>
    <w:rsid w:val="003774DC"/>
    <w:rsid w:val="00377E88"/>
    <w:rsid w:val="003862D6"/>
    <w:rsid w:val="003931C6"/>
    <w:rsid w:val="00394390"/>
    <w:rsid w:val="00394726"/>
    <w:rsid w:val="00394EF1"/>
    <w:rsid w:val="003B2B91"/>
    <w:rsid w:val="003C3B03"/>
    <w:rsid w:val="003D58B2"/>
    <w:rsid w:val="003E146E"/>
    <w:rsid w:val="003F3E02"/>
    <w:rsid w:val="004031E3"/>
    <w:rsid w:val="004110D9"/>
    <w:rsid w:val="00417578"/>
    <w:rsid w:val="00423A42"/>
    <w:rsid w:val="00427BE2"/>
    <w:rsid w:val="00433A0F"/>
    <w:rsid w:val="004354EF"/>
    <w:rsid w:val="004371F6"/>
    <w:rsid w:val="00442A77"/>
    <w:rsid w:val="00446F3D"/>
    <w:rsid w:val="004572B7"/>
    <w:rsid w:val="00467ADB"/>
    <w:rsid w:val="00491A05"/>
    <w:rsid w:val="00492F26"/>
    <w:rsid w:val="004952FD"/>
    <w:rsid w:val="004B3787"/>
    <w:rsid w:val="004C3DF2"/>
    <w:rsid w:val="004D0748"/>
    <w:rsid w:val="004D188D"/>
    <w:rsid w:val="004D40FF"/>
    <w:rsid w:val="004F4481"/>
    <w:rsid w:val="004F5EC0"/>
    <w:rsid w:val="004F7219"/>
    <w:rsid w:val="004F7C01"/>
    <w:rsid w:val="00506511"/>
    <w:rsid w:val="00507DA4"/>
    <w:rsid w:val="00510FC4"/>
    <w:rsid w:val="00515647"/>
    <w:rsid w:val="0052357D"/>
    <w:rsid w:val="00527188"/>
    <w:rsid w:val="00532547"/>
    <w:rsid w:val="00534C46"/>
    <w:rsid w:val="0053644A"/>
    <w:rsid w:val="00563539"/>
    <w:rsid w:val="0056464D"/>
    <w:rsid w:val="0056613C"/>
    <w:rsid w:val="00574BB7"/>
    <w:rsid w:val="0057695C"/>
    <w:rsid w:val="005865A2"/>
    <w:rsid w:val="0059044E"/>
    <w:rsid w:val="00591A98"/>
    <w:rsid w:val="005923F3"/>
    <w:rsid w:val="00596126"/>
    <w:rsid w:val="00596B47"/>
    <w:rsid w:val="005A154A"/>
    <w:rsid w:val="005A1848"/>
    <w:rsid w:val="005A7E4E"/>
    <w:rsid w:val="005B08FA"/>
    <w:rsid w:val="005B0B6F"/>
    <w:rsid w:val="005B1FD2"/>
    <w:rsid w:val="005B695C"/>
    <w:rsid w:val="005D697F"/>
    <w:rsid w:val="005E326D"/>
    <w:rsid w:val="005F2F34"/>
    <w:rsid w:val="00600FC1"/>
    <w:rsid w:val="00603860"/>
    <w:rsid w:val="00612E96"/>
    <w:rsid w:val="006131A1"/>
    <w:rsid w:val="00616EB7"/>
    <w:rsid w:val="00632A1B"/>
    <w:rsid w:val="006376B4"/>
    <w:rsid w:val="0064532A"/>
    <w:rsid w:val="0064789F"/>
    <w:rsid w:val="00650E42"/>
    <w:rsid w:val="0065557E"/>
    <w:rsid w:val="006632B3"/>
    <w:rsid w:val="0067650C"/>
    <w:rsid w:val="00695A70"/>
    <w:rsid w:val="006A37DD"/>
    <w:rsid w:val="006A6006"/>
    <w:rsid w:val="006B67DE"/>
    <w:rsid w:val="006B75B7"/>
    <w:rsid w:val="006C4383"/>
    <w:rsid w:val="006C5EC2"/>
    <w:rsid w:val="006D28F1"/>
    <w:rsid w:val="006D3CEF"/>
    <w:rsid w:val="006D644F"/>
    <w:rsid w:val="006E77B1"/>
    <w:rsid w:val="006F0F95"/>
    <w:rsid w:val="006F791A"/>
    <w:rsid w:val="0070770C"/>
    <w:rsid w:val="00710DD2"/>
    <w:rsid w:val="007119E7"/>
    <w:rsid w:val="00713B07"/>
    <w:rsid w:val="00713BC6"/>
    <w:rsid w:val="00717591"/>
    <w:rsid w:val="00724CE3"/>
    <w:rsid w:val="00747929"/>
    <w:rsid w:val="00761EE9"/>
    <w:rsid w:val="007630AD"/>
    <w:rsid w:val="0077224B"/>
    <w:rsid w:val="00776712"/>
    <w:rsid w:val="0078698E"/>
    <w:rsid w:val="00791CBB"/>
    <w:rsid w:val="007A754B"/>
    <w:rsid w:val="007B10C4"/>
    <w:rsid w:val="007C0FA8"/>
    <w:rsid w:val="007C7F29"/>
    <w:rsid w:val="007E1CF4"/>
    <w:rsid w:val="007F4B3E"/>
    <w:rsid w:val="008037DB"/>
    <w:rsid w:val="008110A6"/>
    <w:rsid w:val="00817CBB"/>
    <w:rsid w:val="008221C7"/>
    <w:rsid w:val="00823F29"/>
    <w:rsid w:val="00830740"/>
    <w:rsid w:val="0084576C"/>
    <w:rsid w:val="00857219"/>
    <w:rsid w:val="0086134D"/>
    <w:rsid w:val="008719B4"/>
    <w:rsid w:val="00874B58"/>
    <w:rsid w:val="00876DFA"/>
    <w:rsid w:val="00894F9B"/>
    <w:rsid w:val="00895EF8"/>
    <w:rsid w:val="008A0EE3"/>
    <w:rsid w:val="008A40AF"/>
    <w:rsid w:val="008A7F42"/>
    <w:rsid w:val="008B526B"/>
    <w:rsid w:val="008B5DB7"/>
    <w:rsid w:val="008B6D2F"/>
    <w:rsid w:val="008C566B"/>
    <w:rsid w:val="008C61B1"/>
    <w:rsid w:val="008C699A"/>
    <w:rsid w:val="008C7427"/>
    <w:rsid w:val="008E4ED8"/>
    <w:rsid w:val="008E7DF1"/>
    <w:rsid w:val="008F07BD"/>
    <w:rsid w:val="008F3B3D"/>
    <w:rsid w:val="009142B3"/>
    <w:rsid w:val="00916983"/>
    <w:rsid w:val="009216D4"/>
    <w:rsid w:val="0093444A"/>
    <w:rsid w:val="0093694D"/>
    <w:rsid w:val="00944C2E"/>
    <w:rsid w:val="009461A8"/>
    <w:rsid w:val="009529E9"/>
    <w:rsid w:val="009607B8"/>
    <w:rsid w:val="00967CD6"/>
    <w:rsid w:val="0097257C"/>
    <w:rsid w:val="00973DB0"/>
    <w:rsid w:val="009841F9"/>
    <w:rsid w:val="00984762"/>
    <w:rsid w:val="00985935"/>
    <w:rsid w:val="009A12CA"/>
    <w:rsid w:val="009A6117"/>
    <w:rsid w:val="009B7A69"/>
    <w:rsid w:val="009D0496"/>
    <w:rsid w:val="009D446E"/>
    <w:rsid w:val="009E2891"/>
    <w:rsid w:val="00A01BB5"/>
    <w:rsid w:val="00A2781F"/>
    <w:rsid w:val="00A33805"/>
    <w:rsid w:val="00A35745"/>
    <w:rsid w:val="00A36A81"/>
    <w:rsid w:val="00A4164C"/>
    <w:rsid w:val="00A505F5"/>
    <w:rsid w:val="00A775EA"/>
    <w:rsid w:val="00A804EF"/>
    <w:rsid w:val="00A82F78"/>
    <w:rsid w:val="00A873A3"/>
    <w:rsid w:val="00A96102"/>
    <w:rsid w:val="00A97D25"/>
    <w:rsid w:val="00AA424A"/>
    <w:rsid w:val="00AA4EE1"/>
    <w:rsid w:val="00AA5CE5"/>
    <w:rsid w:val="00AA6592"/>
    <w:rsid w:val="00AB0361"/>
    <w:rsid w:val="00AB54F5"/>
    <w:rsid w:val="00AB6051"/>
    <w:rsid w:val="00AC1BFD"/>
    <w:rsid w:val="00AD270D"/>
    <w:rsid w:val="00AE1F58"/>
    <w:rsid w:val="00AF1973"/>
    <w:rsid w:val="00B1431B"/>
    <w:rsid w:val="00B16E21"/>
    <w:rsid w:val="00B24886"/>
    <w:rsid w:val="00B25D82"/>
    <w:rsid w:val="00B27A2F"/>
    <w:rsid w:val="00B31C0A"/>
    <w:rsid w:val="00B37F72"/>
    <w:rsid w:val="00B37FB8"/>
    <w:rsid w:val="00B42CB0"/>
    <w:rsid w:val="00B4793E"/>
    <w:rsid w:val="00B56A6A"/>
    <w:rsid w:val="00B6306C"/>
    <w:rsid w:val="00B63E68"/>
    <w:rsid w:val="00B67E67"/>
    <w:rsid w:val="00B81C10"/>
    <w:rsid w:val="00B83F73"/>
    <w:rsid w:val="00B84200"/>
    <w:rsid w:val="00B849AE"/>
    <w:rsid w:val="00B8507D"/>
    <w:rsid w:val="00B863AB"/>
    <w:rsid w:val="00B86B8C"/>
    <w:rsid w:val="00B970A8"/>
    <w:rsid w:val="00BA60AC"/>
    <w:rsid w:val="00BA732C"/>
    <w:rsid w:val="00BB2E51"/>
    <w:rsid w:val="00BC5AFC"/>
    <w:rsid w:val="00BD11C3"/>
    <w:rsid w:val="00BD1585"/>
    <w:rsid w:val="00BD4EC8"/>
    <w:rsid w:val="00BD5CC8"/>
    <w:rsid w:val="00BE32FF"/>
    <w:rsid w:val="00BE4012"/>
    <w:rsid w:val="00C050BC"/>
    <w:rsid w:val="00C05A60"/>
    <w:rsid w:val="00C1630E"/>
    <w:rsid w:val="00C204C1"/>
    <w:rsid w:val="00C35714"/>
    <w:rsid w:val="00C436B9"/>
    <w:rsid w:val="00C47D14"/>
    <w:rsid w:val="00C53919"/>
    <w:rsid w:val="00C54396"/>
    <w:rsid w:val="00C554B3"/>
    <w:rsid w:val="00C64370"/>
    <w:rsid w:val="00C72595"/>
    <w:rsid w:val="00C72DB6"/>
    <w:rsid w:val="00C74AB8"/>
    <w:rsid w:val="00C77DCE"/>
    <w:rsid w:val="00C84369"/>
    <w:rsid w:val="00C95409"/>
    <w:rsid w:val="00CB6E82"/>
    <w:rsid w:val="00CC012F"/>
    <w:rsid w:val="00CC06F6"/>
    <w:rsid w:val="00CC5557"/>
    <w:rsid w:val="00CD63BE"/>
    <w:rsid w:val="00D1254A"/>
    <w:rsid w:val="00D12E85"/>
    <w:rsid w:val="00D23936"/>
    <w:rsid w:val="00D26A27"/>
    <w:rsid w:val="00D26E40"/>
    <w:rsid w:val="00D27F20"/>
    <w:rsid w:val="00D33088"/>
    <w:rsid w:val="00D34CFD"/>
    <w:rsid w:val="00D36398"/>
    <w:rsid w:val="00D622A1"/>
    <w:rsid w:val="00D65CB4"/>
    <w:rsid w:val="00D74F84"/>
    <w:rsid w:val="00D776A2"/>
    <w:rsid w:val="00D821B8"/>
    <w:rsid w:val="00D82A96"/>
    <w:rsid w:val="00D86CF7"/>
    <w:rsid w:val="00DB2CE1"/>
    <w:rsid w:val="00DD0D65"/>
    <w:rsid w:val="00DD0DD8"/>
    <w:rsid w:val="00DD24A6"/>
    <w:rsid w:val="00DE1C86"/>
    <w:rsid w:val="00DE248E"/>
    <w:rsid w:val="00DF4B3D"/>
    <w:rsid w:val="00E05941"/>
    <w:rsid w:val="00E07FC0"/>
    <w:rsid w:val="00E13F75"/>
    <w:rsid w:val="00E151DF"/>
    <w:rsid w:val="00E164E8"/>
    <w:rsid w:val="00E22A19"/>
    <w:rsid w:val="00E23793"/>
    <w:rsid w:val="00E33194"/>
    <w:rsid w:val="00E3347A"/>
    <w:rsid w:val="00E3672F"/>
    <w:rsid w:val="00E44DE7"/>
    <w:rsid w:val="00E47964"/>
    <w:rsid w:val="00E554BF"/>
    <w:rsid w:val="00E576FA"/>
    <w:rsid w:val="00E64FD4"/>
    <w:rsid w:val="00E7044F"/>
    <w:rsid w:val="00E744D4"/>
    <w:rsid w:val="00E842A7"/>
    <w:rsid w:val="00E917EA"/>
    <w:rsid w:val="00EA0FFC"/>
    <w:rsid w:val="00EA47BF"/>
    <w:rsid w:val="00EB3854"/>
    <w:rsid w:val="00EC3AAD"/>
    <w:rsid w:val="00ED5A75"/>
    <w:rsid w:val="00ED747B"/>
    <w:rsid w:val="00EE4796"/>
    <w:rsid w:val="00EE7EAF"/>
    <w:rsid w:val="00EF150A"/>
    <w:rsid w:val="00F06A65"/>
    <w:rsid w:val="00F11343"/>
    <w:rsid w:val="00F12FC3"/>
    <w:rsid w:val="00F13136"/>
    <w:rsid w:val="00F21324"/>
    <w:rsid w:val="00F24946"/>
    <w:rsid w:val="00F271DB"/>
    <w:rsid w:val="00F30D80"/>
    <w:rsid w:val="00F37CA9"/>
    <w:rsid w:val="00F53623"/>
    <w:rsid w:val="00F53C88"/>
    <w:rsid w:val="00F55AA1"/>
    <w:rsid w:val="00F61ACE"/>
    <w:rsid w:val="00F71824"/>
    <w:rsid w:val="00F74263"/>
    <w:rsid w:val="00F76388"/>
    <w:rsid w:val="00F76931"/>
    <w:rsid w:val="00F814BC"/>
    <w:rsid w:val="00F8475A"/>
    <w:rsid w:val="00F84FF2"/>
    <w:rsid w:val="00FA226E"/>
    <w:rsid w:val="00FA6345"/>
    <w:rsid w:val="00FA7CF6"/>
    <w:rsid w:val="00FC6383"/>
    <w:rsid w:val="00FD5D27"/>
    <w:rsid w:val="00FF7E75"/>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2C634"/>
  <w15:docId w15:val="{FE6F5D69-E0A1-4552-99C9-3E1194A6A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paragraph" w:styleId="Nagwek1">
    <w:name w:val="heading 1"/>
    <w:basedOn w:val="Normalny"/>
    <w:next w:val="Normalny"/>
    <w:link w:val="Nagwek1Znak"/>
    <w:uiPriority w:val="9"/>
    <w:qFormat/>
    <w:rsid w:val="004C3D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customStyle="1" w:styleId="Nierozpoznanawzmianka1">
    <w:name w:val="Nierozpoznana wzmianka1"/>
    <w:basedOn w:val="Domylnaczcionkaakapitu"/>
    <w:uiPriority w:val="99"/>
    <w:semiHidden/>
    <w:unhideWhenUsed/>
    <w:rsid w:val="00565D32"/>
    <w:rPr>
      <w:color w:val="605E5C"/>
      <w:shd w:val="clear" w:color="auto" w:fill="E1DFDD"/>
    </w:rPr>
  </w:style>
  <w:style w:type="paragraph" w:styleId="Poprawka">
    <w:name w:val="Revision"/>
    <w:hidden/>
    <w:uiPriority w:val="99"/>
    <w:semiHidden/>
    <w:rsid w:val="003B2B91"/>
    <w:pPr>
      <w:spacing w:after="0" w:line="240" w:lineRule="auto"/>
    </w:pPr>
  </w:style>
  <w:style w:type="character" w:styleId="Odwoaniedokomentarza">
    <w:name w:val="annotation reference"/>
    <w:basedOn w:val="Domylnaczcionkaakapitu"/>
    <w:uiPriority w:val="99"/>
    <w:semiHidden/>
    <w:unhideWhenUsed/>
    <w:rsid w:val="003B2B91"/>
    <w:rPr>
      <w:sz w:val="16"/>
      <w:szCs w:val="16"/>
    </w:rPr>
  </w:style>
  <w:style w:type="paragraph" w:styleId="Tekstkomentarza">
    <w:name w:val="annotation text"/>
    <w:basedOn w:val="Normalny"/>
    <w:link w:val="TekstkomentarzaZnak"/>
    <w:uiPriority w:val="99"/>
    <w:unhideWhenUsed/>
    <w:rsid w:val="003B2B91"/>
    <w:pPr>
      <w:spacing w:line="240" w:lineRule="auto"/>
    </w:pPr>
    <w:rPr>
      <w:sz w:val="20"/>
      <w:szCs w:val="20"/>
    </w:rPr>
  </w:style>
  <w:style w:type="character" w:customStyle="1" w:styleId="TekstkomentarzaZnak">
    <w:name w:val="Tekst komentarza Znak"/>
    <w:basedOn w:val="Domylnaczcionkaakapitu"/>
    <w:link w:val="Tekstkomentarza"/>
    <w:uiPriority w:val="99"/>
    <w:rsid w:val="003B2B91"/>
    <w:rPr>
      <w:sz w:val="20"/>
      <w:szCs w:val="20"/>
    </w:rPr>
  </w:style>
  <w:style w:type="paragraph" w:styleId="Tematkomentarza">
    <w:name w:val="annotation subject"/>
    <w:basedOn w:val="Tekstkomentarza"/>
    <w:next w:val="Tekstkomentarza"/>
    <w:link w:val="TematkomentarzaZnak"/>
    <w:uiPriority w:val="99"/>
    <w:semiHidden/>
    <w:unhideWhenUsed/>
    <w:rsid w:val="003B2B91"/>
    <w:rPr>
      <w:b/>
      <w:bCs/>
    </w:rPr>
  </w:style>
  <w:style w:type="character" w:customStyle="1" w:styleId="TematkomentarzaZnak">
    <w:name w:val="Temat komentarza Znak"/>
    <w:basedOn w:val="TekstkomentarzaZnak"/>
    <w:link w:val="Tematkomentarza"/>
    <w:uiPriority w:val="99"/>
    <w:semiHidden/>
    <w:rsid w:val="003B2B91"/>
    <w:rPr>
      <w:b/>
      <w:bCs/>
      <w:sz w:val="20"/>
      <w:szCs w:val="20"/>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B2B91"/>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2E58B9"/>
  </w:style>
  <w:style w:type="character" w:styleId="Nierozpoznanawzmianka">
    <w:name w:val="Unresolved Mention"/>
    <w:basedOn w:val="Domylnaczcionkaakapitu"/>
    <w:uiPriority w:val="99"/>
    <w:rsid w:val="00E842A7"/>
    <w:rPr>
      <w:color w:val="605E5C"/>
      <w:shd w:val="clear" w:color="auto" w:fill="E1DFDD"/>
    </w:rPr>
  </w:style>
  <w:style w:type="character" w:customStyle="1" w:styleId="Nagwek1Znak">
    <w:name w:val="Nagłówek 1 Znak"/>
    <w:basedOn w:val="Domylnaczcionkaakapitu"/>
    <w:link w:val="Nagwek1"/>
    <w:uiPriority w:val="9"/>
    <w:rsid w:val="004C3DF2"/>
    <w:rPr>
      <w:rFonts w:asciiTheme="majorHAnsi" w:eastAsiaTheme="majorEastAsia" w:hAnsiTheme="majorHAnsi" w:cstheme="majorBidi"/>
      <w:color w:val="2E74B5" w:themeColor="accent1" w:themeShade="BF"/>
      <w:sz w:val="32"/>
      <w:szCs w:val="32"/>
    </w:rPr>
  </w:style>
  <w:style w:type="paragraph" w:styleId="NormalnyWeb">
    <w:name w:val="Normal (Web)"/>
    <w:basedOn w:val="Normalny"/>
    <w:uiPriority w:val="99"/>
    <w:semiHidden/>
    <w:unhideWhenUsed/>
    <w:rsid w:val="00F84FF2"/>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202AE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02AE4"/>
    <w:rPr>
      <w:sz w:val="20"/>
      <w:szCs w:val="20"/>
    </w:rPr>
  </w:style>
  <w:style w:type="character" w:styleId="Odwoanieprzypisukocowego">
    <w:name w:val="endnote reference"/>
    <w:basedOn w:val="Domylnaczcionkaakapitu"/>
    <w:uiPriority w:val="99"/>
    <w:semiHidden/>
    <w:unhideWhenUsed/>
    <w:rsid w:val="00202AE4"/>
    <w:rPr>
      <w:vertAlign w:val="superscript"/>
    </w:rPr>
  </w:style>
  <w:style w:type="table" w:styleId="Tabela-Siatka">
    <w:name w:val="Table Grid"/>
    <w:basedOn w:val="Standardowy"/>
    <w:rsid w:val="0064532A"/>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semiHidden/>
    <w:unhideWhenUsed/>
    <w:rsid w:val="008A7F42"/>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8A7F42"/>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3128</Words>
  <Characters>18769</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Żywica Anna</cp:lastModifiedBy>
  <cp:revision>3</cp:revision>
  <cp:lastPrinted>2026-04-28T08:38:00Z</cp:lastPrinted>
  <dcterms:created xsi:type="dcterms:W3CDTF">2026-05-04T09:00:00Z</dcterms:created>
  <dcterms:modified xsi:type="dcterms:W3CDTF">2026-05-04T09:08:00Z</dcterms:modified>
</cp:coreProperties>
</file>