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18723AD1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</w:t>
      </w:r>
      <w:bookmarkStart w:id="0" w:name="_GoBack"/>
      <w:bookmarkEnd w:id="0"/>
      <w:r w:rsidRPr="00812F92">
        <w:rPr>
          <w:rFonts w:ascii="Times New Roman" w:hAnsi="Times New Roman" w:cs="Times New Roman"/>
          <w:b/>
          <w:sz w:val="24"/>
          <w:szCs w:val="24"/>
        </w:rPr>
        <w:t>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/DAF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5708459B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2F9F">
        <w:rPr>
          <w:rFonts w:ascii="Times New Roman" w:hAnsi="Times New Roman" w:cs="Times New Roman"/>
          <w:sz w:val="24"/>
          <w:szCs w:val="24"/>
        </w:rPr>
        <w:t>CLB Oddział w Warszawie Pracownia w Ciechanowie ul. Strażacka 6 06-400 Ciechanów.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3E1BE28B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>CLB Oddział w Warszawie Pracownia w Ciechanowie ul. Strażacka 6 06-400 Ciechanów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4F6A8178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723151">
      <w:t>54</w:t>
    </w:r>
    <w:r w:rsidR="0021451F">
      <w:t xml:space="preserve"> </w:t>
    </w:r>
    <w:r w:rsidR="00122AE7">
      <w:t xml:space="preserve">z </w:t>
    </w:r>
    <w:r>
      <w:t xml:space="preserve"> lokalizacji</w:t>
    </w:r>
    <w:r w:rsidR="000127B9">
      <w:t>:</w:t>
    </w:r>
    <w:r w:rsidR="0021451F">
      <w:t xml:space="preserve"> </w:t>
    </w:r>
    <w:r w:rsidR="00723151">
      <w:t xml:space="preserve">CLB </w:t>
    </w:r>
    <w:r w:rsidR="000C2F9F">
      <w:t xml:space="preserve">Ciechanów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ADAC-64C5-44CF-A964-60C4E400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2022-12-13T10:37:00Z</cp:lastPrinted>
  <dcterms:created xsi:type="dcterms:W3CDTF">2025-01-24T11:36:00Z</dcterms:created>
  <dcterms:modified xsi:type="dcterms:W3CDTF">2025-03-31T14:03:00Z</dcterms:modified>
</cp:coreProperties>
</file>