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05034DF4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 xml:space="preserve">KP PSP w </w:t>
      </w:r>
      <w:r w:rsidR="00784F1C">
        <w:rPr>
          <w:bCs/>
          <w:sz w:val="20"/>
          <w:szCs w:val="20"/>
        </w:rPr>
        <w:t>Sławnie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7837DAE3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486CD2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1D8E0470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Test sprawności fizycznej składa się z prób sprawnościowych oraz z próby wydolnościowej. Próby sprawnościowe oraz próbę wydolnościową przeprowadza się i ocenia w sposób określony </w:t>
      </w:r>
      <w:r w:rsidR="00784F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w rozporządzeniu Ministra Spraw Wewnętrznych i Administracji z dnia 2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października 2005 r. w sprawie zakresu, trybu i częstotliwości przeprowadzania okresowych profilaktycznych badań lekarskich oraz okresowej oceny sprawności fizycznej strażaka Państwowej Straży Pożarnej </w:t>
      </w:r>
      <w:r w:rsidR="00D458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Dz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 xml:space="preserve"> r.,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 poz. 1177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), z wyłączeniem punktów preferencyjnych przyznawanych </w:t>
      </w:r>
      <w:r w:rsidR="00784F1C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071AB0">
        <w:rPr>
          <w:rFonts w:ascii="Times New Roman" w:hAnsi="Times New Roman" w:cs="Times New Roman"/>
          <w:color w:val="000000"/>
          <w:sz w:val="24"/>
          <w:szCs w:val="24"/>
        </w:rPr>
        <w:t>w 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77777777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623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  <w:gridCol w:w="625"/>
        <w:gridCol w:w="625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B85311B" w14:textId="77777777" w:rsidR="00486CD2" w:rsidRDefault="00486CD2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1" w:name="bookmark11"/>
      <w:r>
        <w:rPr>
          <w:b/>
          <w:sz w:val="24"/>
          <w:szCs w:val="24"/>
        </w:rPr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77777777"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1"/>
    </w:p>
    <w:p w14:paraId="3FDC401D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A5D257A" w14:textId="77777777" w:rsidR="00486CD2" w:rsidRDefault="00486CD2" w:rsidP="00486CD2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Rzut piłką lekarską:</w:t>
      </w:r>
    </w:p>
    <w:p w14:paraId="427396E8" w14:textId="5F50ACE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ustawia się przed linią, przodem do kierunku rzutu. Unosi piłkę o wadze 2 kg oburącz za głowę i wykonuje rzut. Odległość rzutu wyznacza punkt, w którym piłka zetkn</w:t>
      </w:r>
      <w:r w:rsidR="00C31009">
        <w:rPr>
          <w:sz w:val="24"/>
          <w:szCs w:val="24"/>
        </w:rPr>
        <w:t>ę</w:t>
      </w:r>
      <w:r>
        <w:rPr>
          <w:sz w:val="24"/>
          <w:szCs w:val="24"/>
        </w:rPr>
        <w:t xml:space="preserve">ła się </w:t>
      </w:r>
      <w:r>
        <w:rPr>
          <w:sz w:val="24"/>
          <w:szCs w:val="24"/>
        </w:rPr>
        <w:br/>
        <w:t>z podłożem.</w:t>
      </w:r>
    </w:p>
    <w:p w14:paraId="67711719" w14:textId="1F2BF1A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Przekroczenie linii w momencie wykonania rzutu lub bezpośrednio po rzucie, a przed kontaktem piłki z podłożem, powoduje niezaliczenie próby.</w:t>
      </w: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486CD2">
      <w:pPr>
        <w:spacing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0E3D22" w:rsidRDefault="00F928E5" w:rsidP="00486CD2">
      <w:pPr>
        <w:spacing w:before="25"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25767A61" w:rsidR="00F928E5" w:rsidRPr="005A0FFC" w:rsidRDefault="00506B2A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drawing>
          <wp:anchor distT="0" distB="0" distL="114300" distR="114300" simplePos="0" relativeHeight="251657728" behindDoc="0" locked="0" layoutInCell="1" allowOverlap="0" wp14:anchorId="0D19FD5E" wp14:editId="2139120F">
            <wp:simplePos x="0" y="0"/>
            <wp:positionH relativeFrom="column">
              <wp:posOffset>2279650</wp:posOffset>
            </wp:positionH>
            <wp:positionV relativeFrom="paragraph">
              <wp:posOffset>494030</wp:posOffset>
            </wp:positionV>
            <wp:extent cx="1750695" cy="2279650"/>
            <wp:effectExtent l="0" t="0" r="0" b="0"/>
            <wp:wrapTopAndBottom/>
            <wp:docPr id="151018407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227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3276A9DD" w:rsidR="00F928E5" w:rsidRPr="005A0FFC" w:rsidRDefault="00506B2A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919B193" wp14:editId="1906BC68">
            <wp:extent cx="5972175" cy="91344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C5135" w14:textId="64C67136" w:rsidR="00F928E5" w:rsidRPr="00EF3CB1" w:rsidRDefault="00506B2A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1E3331">
          <w:pgSz w:w="11906" w:h="16838"/>
          <w:pgMar w:top="993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29BE379C" wp14:editId="78A17305">
            <wp:extent cx="5943600" cy="90678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15ED" w14:textId="77777777"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1E3331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E3DB5" w14:textId="77777777" w:rsidR="0098514B" w:rsidRDefault="0098514B">
      <w:r>
        <w:separator/>
      </w:r>
    </w:p>
  </w:endnote>
  <w:endnote w:type="continuationSeparator" w:id="0">
    <w:p w14:paraId="0675048A" w14:textId="77777777" w:rsidR="0098514B" w:rsidRDefault="0098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24C52" w14:textId="77777777" w:rsidR="0098514B" w:rsidRDefault="0098514B">
      <w:r>
        <w:separator/>
      </w:r>
    </w:p>
  </w:footnote>
  <w:footnote w:type="continuationSeparator" w:id="0">
    <w:p w14:paraId="42BBED88" w14:textId="77777777" w:rsidR="0098514B" w:rsidRDefault="00985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3"/>
  </w:num>
  <w:num w:numId="7">
    <w:abstractNumId w:val="15"/>
  </w:num>
  <w:num w:numId="8">
    <w:abstractNumId w:val="32"/>
  </w:num>
  <w:num w:numId="9">
    <w:abstractNumId w:val="26"/>
  </w:num>
  <w:num w:numId="10">
    <w:abstractNumId w:val="36"/>
  </w:num>
  <w:num w:numId="11">
    <w:abstractNumId w:val="12"/>
  </w:num>
  <w:num w:numId="12">
    <w:abstractNumId w:val="35"/>
  </w:num>
  <w:num w:numId="13">
    <w:abstractNumId w:val="29"/>
  </w:num>
  <w:num w:numId="14">
    <w:abstractNumId w:val="1"/>
  </w:num>
  <w:num w:numId="15">
    <w:abstractNumId w:val="24"/>
  </w:num>
  <w:num w:numId="16">
    <w:abstractNumId w:val="37"/>
  </w:num>
  <w:num w:numId="17">
    <w:abstractNumId w:val="20"/>
  </w:num>
  <w:num w:numId="18">
    <w:abstractNumId w:val="3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16EE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3A72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2A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E3331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2D3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86CD2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6B2A"/>
    <w:rsid w:val="00507224"/>
    <w:rsid w:val="00507670"/>
    <w:rsid w:val="00511D64"/>
    <w:rsid w:val="00511F39"/>
    <w:rsid w:val="00512FE0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26F4E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86035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0F41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4F1C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514B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1624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2617B"/>
    <w:rsid w:val="00C31009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5822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751</Words>
  <Characters>4509</Characters>
  <Application>Microsoft Office Word</Application>
  <DocSecurity>0</DocSecurity>
  <Lines>37</Lines>
  <Paragraphs>10</Paragraphs>
  <ScaleCrop>false</ScaleCrop>
  <Company>Sławno</Company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Sławnie</dc:title>
  <dc:subject/>
  <dc:creator>KP PSP</dc:creator>
  <cp:keywords/>
  <dc:description/>
  <cp:lastModifiedBy>J.Wójcik (KP Sławno)</cp:lastModifiedBy>
  <cp:revision>4</cp:revision>
  <cp:lastPrinted>2023-03-28T09:08:00Z</cp:lastPrinted>
  <dcterms:created xsi:type="dcterms:W3CDTF">2024-04-25T08:00:00Z</dcterms:created>
  <dcterms:modified xsi:type="dcterms:W3CDTF">2025-02-10T09:04:00Z</dcterms:modified>
</cp:coreProperties>
</file>