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0E" w:rsidRPr="00AA415F" w:rsidRDefault="00E7390E" w:rsidP="00E7390E">
      <w:pPr>
        <w:pStyle w:val="Nagwek"/>
        <w:jc w:val="right"/>
        <w:rPr>
          <w:rFonts w:ascii="Times New Roman" w:hAnsi="Times New Roman" w:cs="Times New Roman"/>
        </w:rPr>
      </w:pPr>
      <w:r w:rsidRPr="00AA415F">
        <w:rPr>
          <w:rFonts w:ascii="Times New Roman" w:hAnsi="Times New Roman" w:cs="Times New Roman"/>
        </w:rPr>
        <w:t>Załącznik Nr 1 do ogłoszenia otwartego konkursu ofert Nr</w:t>
      </w:r>
      <w:r w:rsidR="002F2071">
        <w:rPr>
          <w:rFonts w:ascii="Times New Roman" w:hAnsi="Times New Roman" w:cs="Times New Roman"/>
        </w:rPr>
        <w:t xml:space="preserve"> ew. 07</w:t>
      </w:r>
      <w:r>
        <w:rPr>
          <w:rFonts w:ascii="Times New Roman" w:hAnsi="Times New Roman" w:cs="Times New Roman"/>
        </w:rPr>
        <w:t>/2021</w:t>
      </w:r>
      <w:r w:rsidRPr="00AA415F">
        <w:rPr>
          <w:rFonts w:ascii="Times New Roman" w:hAnsi="Times New Roman" w:cs="Times New Roman"/>
        </w:rPr>
        <w:t>/WD/DEKiD</w:t>
      </w:r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AA415F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B3232C" w:rsidRPr="00AA415F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AA415F" w:rsidRPr="00AA415F" w:rsidRDefault="00AA415F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B3232C" w:rsidRPr="00054C92" w:rsidRDefault="00B3232C" w:rsidP="00B3232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="002869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</w:t>
      </w:r>
      <w:r w:rsidR="009B3BBF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B3232C" w:rsidRPr="00054C92" w:rsidRDefault="00B3232C" w:rsidP="00E9602E">
      <w:pPr>
        <w:pStyle w:val="Akapitzlist"/>
        <w:numPr>
          <w:ilvl w:val="0"/>
          <w:numId w:val="17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i związków wyznaniowych oraz 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B3232C" w:rsidRPr="00054C92" w:rsidRDefault="00B3232C" w:rsidP="00B3232C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F2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2020 r. poz. 1133),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działają w celu osiągniecia zysku oraz przeznaczają całość dochodu na realizację celów statutowych oraz nie przeznaczają zysku do podziału między swoi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B3232C" w:rsidRPr="00054C92" w:rsidRDefault="00B3232C" w:rsidP="00E9602E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3B3E14" w:rsidRPr="003B3E14" w:rsidRDefault="003B3E14" w:rsidP="00E9602E">
      <w:pPr>
        <w:pStyle w:val="Akapitzlist"/>
        <w:numPr>
          <w:ilvl w:val="0"/>
          <w:numId w:val="1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</w:t>
      </w:r>
      <w:r w:rsidR="006045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do udziału w Ot</w:t>
      </w:r>
      <w:r w:rsidR="002F2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ofert nr ew. 07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/2021/WD/DEKiD musi uwzględniać spełnienie wszelkich aktualnych wymagań związanych z bieżącą sytuacją epidemiczną, zgodnie z obowiązującymi i systematycznie aktualizowanymi przepisami o ograniczeniach, nakazach i z</w:t>
      </w:r>
      <w:r w:rsidR="006045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 w:rsidR="002869CE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054C92"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 w:rsidR="002F2071"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 w:rsidR="003B3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E14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pacing w:after="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B3232C" w:rsidRPr="00054C92" w:rsidRDefault="00B3232C" w:rsidP="00B3232C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B3232C" w:rsidRPr="00054C92" w:rsidRDefault="00B3232C" w:rsidP="00E9602E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planowanej kwoty dotacji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części VI. 3 (Inne informacje) należy wskazać szacunkową 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wkładu niefinansowego. Jeżeli obejmuje on zarówno wkład osobowy, jak i rzeczowy należy wskazać ich szacunkową wartość.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i wkładu własnego niefinansowego powod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przypadku, kiedy oferent planuje zlecić określoną część zadania innemu podmiotowi, zobowiązany jest do wskazania w harmonogramie (część III.</w:t>
      </w:r>
      <w:r w:rsid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oferty) zakresu działania realizowanego przez podmiot niebędący stroną umowy. Jeżeli oferent nie planuje powierzyć realizacji poszczególnego działania podmiotowi niebędącemu stroną umowy należy wpisać </w:t>
      </w:r>
      <w:r w:rsidRPr="00D64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:rsidR="00B3232C" w:rsidRPr="001D4E36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D4E36" w:rsidRPr="007267F5" w:rsidRDefault="001D4E36" w:rsidP="00E9602E">
      <w:pPr>
        <w:pStyle w:val="Akapitzlist"/>
        <w:numPr>
          <w:ilvl w:val="0"/>
          <w:numId w:val="11"/>
        </w:numPr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B3232C" w:rsidRPr="00054C92" w:rsidRDefault="00B3232C" w:rsidP="00E9602E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</w:t>
      </w:r>
      <w:r w:rsidR="005E3435" w:rsidRPr="00054C92">
        <w:rPr>
          <w:rFonts w:ascii="Times New Roman" w:hAnsi="Times New Roman" w:cs="Times New Roman"/>
          <w:b/>
          <w:sz w:val="24"/>
          <w:szCs w:val="24"/>
        </w:rPr>
        <w:t>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należy złożyć w </w:t>
      </w:r>
      <w:r w:rsidRPr="00054C92">
        <w:rPr>
          <w:rFonts w:ascii="Times New Roman" w:hAnsi="Times New Roman" w:cs="Times New Roman"/>
          <w:sz w:val="24"/>
          <w:szCs w:val="24"/>
        </w:rPr>
        <w:t>Biurze Podawczym Ministerstwa Obr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ony Narodowej mieszczącym się w </w:t>
      </w:r>
      <w:r w:rsidR="00BD2A1C"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B3232C" w:rsidRPr="00054C92" w:rsidRDefault="00B22164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="00B3232C"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B749C1" w:rsidRPr="00054C92" w:rsidRDefault="00B749C1" w:rsidP="00E9602E">
      <w:pPr>
        <w:numPr>
          <w:ilvl w:val="0"/>
          <w:numId w:val="2"/>
        </w:numPr>
        <w:spacing w:before="120" w:after="0" w:line="276" w:lineRule="auto"/>
        <w:ind w:left="42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rozpatrywane są w </w:t>
      </w:r>
      <w:r w:rsidR="00B6634C"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etapach:</w:t>
      </w:r>
    </w:p>
    <w:p w:rsidR="00B3232C" w:rsidRPr="00054C92" w:rsidRDefault="00B3232C" w:rsidP="00B749C1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MON, po zarejestrowaniu oferty i nadaniu jej numeru identyfikacyjnego. Ocena formalna polega </w:t>
      </w:r>
      <w:r w:rsidR="00B749C1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stwierdzeniu, czy oferta nie zawiera uchybień i błędów formalnych.</w:t>
      </w:r>
    </w:p>
    <w:p w:rsidR="00EF7AB9" w:rsidRPr="00054C92" w:rsidRDefault="00B749C1" w:rsidP="00AA415F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B749C1" w:rsidRPr="00054C92" w:rsidRDefault="00B749C1" w:rsidP="00253485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B749C1" w:rsidRPr="00054C92" w:rsidRDefault="00B749C1" w:rsidP="00253485">
      <w:pPr>
        <w:pStyle w:val="Akapitzlist"/>
        <w:numPr>
          <w:ilvl w:val="0"/>
          <w:numId w:val="35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</w:t>
      </w:r>
      <w:r w:rsidR="009B3BB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załączników 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wykazanych w ogłoszeniu otwartego konkursu ofert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B749C1" w:rsidRPr="00054C92" w:rsidRDefault="00B749C1" w:rsidP="00253485">
      <w:pPr>
        <w:pStyle w:val="Akapitzlist"/>
        <w:numPr>
          <w:ilvl w:val="0"/>
          <w:numId w:val="35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rak podpisu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/podpisów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ofercie lub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niezgodnie z </w:t>
      </w:r>
      <w:r w:rsidR="004B2E63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reprezentacją wskazaną w 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Rejestrze Sądowym/właściwej ewidencji,</w:t>
      </w:r>
    </w:p>
    <w:p w:rsidR="00EF7AB9" w:rsidRPr="00054C92" w:rsidRDefault="00EF7AB9" w:rsidP="00253485">
      <w:pPr>
        <w:pStyle w:val="Akapitzlist"/>
        <w:numPr>
          <w:ilvl w:val="0"/>
          <w:numId w:val="35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deklaracji o zamiarze odpłatnego lub nieodpłatnego wykonania zadania publicznego (cz. VI.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EF7AB9" w:rsidRPr="00054C92" w:rsidRDefault="00EF7AB9" w:rsidP="00253485">
      <w:pPr>
        <w:pStyle w:val="Akapitzlist"/>
        <w:numPr>
          <w:ilvl w:val="0"/>
          <w:numId w:val="35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wyboru stosownej treści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oświadczeń w cz.</w:t>
      </w:r>
      <w:r w:rsidR="0030565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:rsidR="00C93776" w:rsidRPr="00054C92" w:rsidRDefault="00C93776" w:rsidP="00253485">
      <w:pPr>
        <w:pStyle w:val="Akapitzlist"/>
        <w:numPr>
          <w:ilvl w:val="0"/>
          <w:numId w:val="35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omyłki </w:t>
      </w:r>
      <w:r w:rsidR="001D4E36"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B6634C" w:rsidRPr="00054C92" w:rsidRDefault="00B6634C" w:rsidP="00B6634C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oferentów, których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uchybienia formalne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wykazem uchybień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B3BB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B3BBF" w:rsidRPr="00BE21F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9B3BBF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6634C" w:rsidRPr="00054C92" w:rsidRDefault="00E232BF" w:rsidP="00AC084C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Oferenci, w terminie 7 dni od dnia opublikowania wykazu na stronie internetowej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maja prawo do usunięcia stwierdzonych uchybień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(decyduje data wpływu usuniętych braków do kancelarii og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ólnej MON, zgodnie z pkt III. 16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stosownych uzupełnień lub wyjaśnień dotyczących uchybień formalnych we wskazanym terminie powodować będzie odrzucenie oferty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przyczyn formalnych i nie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</w:t>
      </w:r>
      <w:r w:rsidR="00633C2D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podlegał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ocenie merytorycznej. </w:t>
      </w:r>
    </w:p>
    <w:p w:rsidR="0030565E" w:rsidRDefault="0030565E" w:rsidP="0030565E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gdy O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 złożył oferty w liczbie przekraczającej dopuszczalny limit, jest zobowiązany wskazać, któr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ofertę/oferty wycofuje z konkursu.</w:t>
      </w:r>
    </w:p>
    <w:p w:rsidR="00B75F7D" w:rsidRPr="00054C92" w:rsidRDefault="00B75F7D" w:rsidP="00AA415F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B75F7D" w:rsidRPr="00054C92" w:rsidRDefault="00B75F7D" w:rsidP="00253485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B3232C" w:rsidRPr="00054C92" w:rsidRDefault="00E348F1" w:rsidP="00253485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określonym w ogłoszeniu otwartego konkursu ofert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34C" w:rsidRPr="00054C92" w:rsidRDefault="00B6634C" w:rsidP="00253485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druku innym niż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ogłoszeniu otwartego konkursu ofert,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E348F1" w:rsidP="00253485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przez podmiot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nieuprawniony,</w:t>
      </w:r>
    </w:p>
    <w:p w:rsidR="00B3232C" w:rsidRPr="00054C92" w:rsidRDefault="0088354E" w:rsidP="00253485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zgodności treści oferty ze 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 w ogłoszeniu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rodzajem 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</w:t>
      </w:r>
    </w:p>
    <w:p w:rsidR="00B3232C" w:rsidRPr="00054C92" w:rsidRDefault="00B3232C" w:rsidP="00253485">
      <w:pPr>
        <w:numPr>
          <w:ilvl w:val="0"/>
          <w:numId w:val="36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termin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nie zawiera się w 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przedziale czasowym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podanym w ogło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ofert,</w:t>
      </w:r>
    </w:p>
    <w:p w:rsidR="00B3232C" w:rsidRPr="00054C92" w:rsidRDefault="0088354E" w:rsidP="00253485">
      <w:pPr>
        <w:numPr>
          <w:ilvl w:val="0"/>
          <w:numId w:val="36"/>
        </w:numPr>
        <w:spacing w:after="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obowiązkow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finansowego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podmiotu, 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którym mowa w </w:t>
      </w:r>
      <w:r w:rsidR="009B3BBF">
        <w:rPr>
          <w:rFonts w:ascii="Times New Roman" w:eastAsiaTheme="minorEastAsia" w:hAnsi="Times New Roman" w:cs="Times New Roman"/>
          <w:sz w:val="24"/>
          <w:szCs w:val="24"/>
          <w:lang w:eastAsia="pl-PL"/>
        </w:rPr>
        <w:t>części III.5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B3232C" w:rsidRPr="00054C92" w:rsidRDefault="0088354E" w:rsidP="00253485">
      <w:pPr>
        <w:numPr>
          <w:ilvl w:val="0"/>
          <w:numId w:val="36"/>
        </w:numPr>
        <w:spacing w:after="120" w:line="276" w:lineRule="auto"/>
        <w:ind w:left="141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własnego niefinansowego (osobowego i rzeczowego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), w wysokości minim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30565E" w:rsidRPr="00054C92" w:rsidRDefault="00E348F1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88354E" w:rsidRPr="00054C92" w:rsidRDefault="0030565E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1D4E36"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B3232C" w:rsidRPr="00FD4FA1" w:rsidRDefault="00B3232C" w:rsidP="00FD4FA1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FD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="00054C92" w:rsidRPr="00FD4FA1">
        <w:rPr>
          <w:rFonts w:ascii="Times New Roman" w:hAnsi="Times New Roman" w:cs="Times New Roman"/>
          <w:sz w:val="24"/>
          <w:szCs w:val="24"/>
        </w:rPr>
        <w:t xml:space="preserve">ds. </w:t>
      </w:r>
      <w:r w:rsidRPr="00FD4FA1">
        <w:rPr>
          <w:rFonts w:ascii="Times New Roman" w:hAnsi="Times New Roman" w:cs="Times New Roman"/>
          <w:sz w:val="24"/>
          <w:szCs w:val="24"/>
        </w:rPr>
        <w:t>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przejrzystość harmonogramu działań;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adekwatność proponowanych stawek jednostkowych w odniesieniu do celów, rezultatów i zakresu rzeczowego zadania, które obejmuje oferta;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B3232C" w:rsidRPr="00054C92" w:rsidRDefault="00B3232C" w:rsidP="00253485">
      <w:pPr>
        <w:numPr>
          <w:ilvl w:val="0"/>
          <w:numId w:val="39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B3232C" w:rsidRPr="00054C92" w:rsidRDefault="00B3232C" w:rsidP="00E9602E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wybranie najlepszych ofert. Posiedzenia Komisji odbywają się w siedzibi</w:t>
      </w:r>
      <w:r w:rsidR="009B3BBF">
        <w:rPr>
          <w:rFonts w:ascii="Times New Roman" w:eastAsia="Times New Roman" w:hAnsi="Times New Roman" w:cs="Times New Roman"/>
          <w:sz w:val="24"/>
          <w:szCs w:val="24"/>
          <w:lang w:eastAsia="pl-PL"/>
        </w:rPr>
        <w:t>e Ministerstwa Obrony Narodowej, w sytuacji epidemicznej w formie online.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B3232C" w:rsidP="00E9602E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B3232C" w:rsidRPr="00054C92" w:rsidRDefault="00B3232C" w:rsidP="00E9602E">
      <w:pPr>
        <w:pStyle w:val="Akapitzlist"/>
        <w:numPr>
          <w:ilvl w:val="0"/>
          <w:numId w:val="2"/>
        </w:numPr>
        <w:spacing w:after="12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B3232C" w:rsidRPr="00054C92" w:rsidRDefault="00B3232C" w:rsidP="00E9602E">
      <w:pPr>
        <w:pStyle w:val="Akapitzlist"/>
        <w:numPr>
          <w:ilvl w:val="0"/>
          <w:numId w:val="2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B3232C" w:rsidRPr="00054C92" w:rsidRDefault="00B3232C" w:rsidP="00E9602E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B3232C" w:rsidRPr="00054C92" w:rsidRDefault="00B3232C" w:rsidP="00E9602E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0B6D37" w:rsidRPr="00054C92" w:rsidRDefault="00B3232C" w:rsidP="00E9602E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0B6D37" w:rsidRPr="00E9602E" w:rsidRDefault="000B6D37" w:rsidP="00253485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42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</w:t>
      </w:r>
      <w:r w:rsidR="00D64DC9"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 </w:t>
      </w:r>
      <w:r w:rsidR="00B04E24"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na 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których przyznane zostały środ</w:t>
      </w:r>
      <w:r w:rsidR="00D64DC9"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ki z dotacji oraz ich wysokość, 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94EC0"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głaszane są </w:t>
      </w:r>
      <w:r w:rsidRPr="00E9602E">
        <w:rPr>
          <w:rFonts w:ascii="Times New Roman" w:hAnsi="Times New Roman" w:cs="Times New Roman"/>
          <w:sz w:val="24"/>
          <w:szCs w:val="24"/>
        </w:rPr>
        <w:t>w Biuletynie Informacji Publicznej Minis</w:t>
      </w:r>
      <w:r w:rsidR="00D64DC9" w:rsidRPr="00E9602E">
        <w:rPr>
          <w:rFonts w:ascii="Times New Roman" w:hAnsi="Times New Roman" w:cs="Times New Roman"/>
          <w:sz w:val="24"/>
          <w:szCs w:val="24"/>
        </w:rPr>
        <w:t>terstwa Obrony Narodowej, link: </w:t>
      </w:r>
      <w:hyperlink r:id="rId9" w:history="1">
        <w:r w:rsidRPr="00E9602E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E9602E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Pr="00E9602E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D64DC9"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r w:rsidR="00D64DC9"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:rsidR="000B6D37" w:rsidRPr="00FD4FA1" w:rsidRDefault="000B6D37" w:rsidP="00E9602E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które otrzymały dotację zobowiązane są do skontaktowania się z DEKiD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:rsidR="00FD4FA1" w:rsidRPr="00253485" w:rsidRDefault="00FD4FA1" w:rsidP="00253485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zastrzega sobie prawo anulowania otwartego konkursu ofert w związku z sytuacja epidemiologiczną, która uniemożliwi jego przeprowadzenie w terminach określonych w ogłoszeniu.</w:t>
      </w:r>
    </w:p>
    <w:p w:rsidR="00253485" w:rsidRPr="00054C92" w:rsidRDefault="00253485" w:rsidP="00253485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32C" w:rsidRPr="00054C92" w:rsidRDefault="00B3232C" w:rsidP="00E9602E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Zawarcie i zmiana umowy</w:t>
      </w:r>
    </w:p>
    <w:p w:rsidR="00B3232C" w:rsidRPr="00054C92" w:rsidRDefault="00B3232C" w:rsidP="00E9602E">
      <w:pPr>
        <w:pStyle w:val="Akapitzlist"/>
        <w:numPr>
          <w:ilvl w:val="3"/>
          <w:numId w:val="6"/>
        </w:numPr>
        <w:suppressAutoHyphens/>
        <w:autoSpaceDN w:val="0"/>
        <w:spacing w:after="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B3232C" w:rsidRPr="00054C92" w:rsidRDefault="00B3232C" w:rsidP="00E9602E">
      <w:pPr>
        <w:numPr>
          <w:ilvl w:val="0"/>
          <w:numId w:val="6"/>
        </w:numPr>
        <w:spacing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B3232C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D64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uzasadnionych przypadkach,</w:t>
      </w:r>
      <w:r w:rsid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tm związanych z obostrzeniami epidemiologicznymi, </w:t>
      </w:r>
      <w:r w:rsidR="00D64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umowa (trzy egzemplarze) może </w:t>
      </w:r>
      <w:r w:rsidR="00335D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zostać </w:t>
      </w:r>
      <w:r w:rsidR="00D64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przesłana do zleceniobiorcy za pośrednictwem operatora pocztowego. Zleceniobiorca zobowiązany jest podpisać wszystkie </w:t>
      </w:r>
      <w:r w:rsidR="00335D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egzemplarze umowy, dołączyć wymagane załączniki i odesłać dwa egz. umowy do zleceniodawcy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335D17" w:rsidRPr="00054C92" w:rsidRDefault="00335D17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droga elektroniczną;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B3232C" w:rsidRPr="00054C92" w:rsidRDefault="00B3232C" w:rsidP="00253485">
      <w:pPr>
        <w:numPr>
          <w:ilvl w:val="0"/>
          <w:numId w:val="14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B3232C" w:rsidRPr="00054C92" w:rsidRDefault="00B3232C" w:rsidP="00253485">
      <w:pPr>
        <w:numPr>
          <w:ilvl w:val="0"/>
          <w:numId w:val="14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B3232C" w:rsidRPr="00054C92" w:rsidRDefault="00B3232C" w:rsidP="00253485">
      <w:pPr>
        <w:numPr>
          <w:ilvl w:val="0"/>
          <w:numId w:val="14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B3232C" w:rsidRPr="00054C92" w:rsidRDefault="00B3232C" w:rsidP="00253485">
      <w:pPr>
        <w:numPr>
          <w:ilvl w:val="0"/>
          <w:numId w:val="14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B3232C" w:rsidRPr="00054C92" w:rsidRDefault="00B3232C" w:rsidP="00253485">
      <w:pPr>
        <w:numPr>
          <w:ilvl w:val="0"/>
          <w:numId w:val="14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B3232C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2020 r. poz. 2176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 zastrzeżeniem wynikającym z art. 5 ust 2 ww. ustawy.</w:t>
      </w:r>
    </w:p>
    <w:p w:rsidR="00253485" w:rsidRPr="00054C92" w:rsidRDefault="00253485" w:rsidP="00253485">
      <w:pPr>
        <w:pStyle w:val="Akapitzlist"/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3232C" w:rsidRPr="00054C92" w:rsidRDefault="00B3232C" w:rsidP="00E9602E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Zmiana umowy: </w:t>
      </w:r>
    </w:p>
    <w:p w:rsidR="00B3232C" w:rsidRPr="00054C92" w:rsidRDefault="00B3232C" w:rsidP="002F2071">
      <w:pPr>
        <w:pStyle w:val="Akapitzlist"/>
        <w:numPr>
          <w:ilvl w:val="0"/>
          <w:numId w:val="40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B3232C" w:rsidRPr="00054C92" w:rsidRDefault="00B3232C" w:rsidP="002F2071">
      <w:pPr>
        <w:pStyle w:val="Akapitzlist"/>
        <w:numPr>
          <w:ilvl w:val="0"/>
          <w:numId w:val="40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B3232C" w:rsidRPr="00054C92" w:rsidRDefault="00B3232C" w:rsidP="002F2071">
      <w:pPr>
        <w:pStyle w:val="Akapitzlist"/>
        <w:numPr>
          <w:ilvl w:val="0"/>
          <w:numId w:val="40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B3232C" w:rsidRPr="00054C92" w:rsidRDefault="00B3232C" w:rsidP="002F2071">
      <w:pPr>
        <w:pStyle w:val="Akapitzlist"/>
        <w:numPr>
          <w:ilvl w:val="0"/>
          <w:numId w:val="40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</w:t>
      </w:r>
      <w:r w:rsidR="00B22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pkt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niniejszego Regulaminu, bez konieczności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B3232C" w:rsidRPr="00054C92" w:rsidRDefault="00B3232C" w:rsidP="002F2071">
      <w:pPr>
        <w:pStyle w:val="Akapitzlist"/>
        <w:numPr>
          <w:ilvl w:val="0"/>
          <w:numId w:val="40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B3232C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2869CE" w:rsidRDefault="002869CE" w:rsidP="00E9602E">
      <w:pPr>
        <w:pStyle w:val="Akapitzlist"/>
        <w:numPr>
          <w:ilvl w:val="3"/>
          <w:numId w:val="7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</w:t>
      </w:r>
      <w:r w:rsidR="00273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godnie z </w:t>
      </w:r>
      <w:r w:rsidR="00854D41"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B3232C" w:rsidRPr="00054C92" w:rsidRDefault="00B3232C" w:rsidP="00E9602E">
      <w:pPr>
        <w:pStyle w:val="Akapitzlist"/>
        <w:numPr>
          <w:ilvl w:val="3"/>
          <w:numId w:val="7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 w:rsidR="00273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B3232C" w:rsidRPr="00054C92" w:rsidRDefault="00B3232C" w:rsidP="002F2071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B3232C" w:rsidRPr="00054C92" w:rsidRDefault="00B3232C" w:rsidP="002F2071">
      <w:pPr>
        <w:pStyle w:val="Akapitzlist"/>
        <w:numPr>
          <w:ilvl w:val="4"/>
          <w:numId w:val="41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B3232C" w:rsidRPr="00054C92" w:rsidRDefault="00B3232C" w:rsidP="002F2071">
      <w:pPr>
        <w:pStyle w:val="Akapitzlist"/>
        <w:numPr>
          <w:ilvl w:val="4"/>
          <w:numId w:val="41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:rsidR="00B3232C" w:rsidRPr="00054C92" w:rsidRDefault="00B3232C" w:rsidP="00253485">
      <w:pPr>
        <w:pStyle w:val="Akapitzlist"/>
        <w:numPr>
          <w:ilvl w:val="4"/>
          <w:numId w:val="41"/>
        </w:numPr>
        <w:suppressAutoHyphens/>
        <w:autoSpaceDN w:val="0"/>
        <w:spacing w:after="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zamieszcza się następujące dane:</w:t>
      </w:r>
    </w:p>
    <w:p w:rsidR="00B3232C" w:rsidRPr="00054C92" w:rsidRDefault="00B3232C" w:rsidP="00253485">
      <w:pPr>
        <w:numPr>
          <w:ilvl w:val="0"/>
          <w:numId w:val="4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B3232C" w:rsidRPr="00054C92" w:rsidRDefault="00B3232C" w:rsidP="00253485">
      <w:pPr>
        <w:numPr>
          <w:ilvl w:val="0"/>
          <w:numId w:val="4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B3232C" w:rsidRPr="00054C92" w:rsidRDefault="00B3232C" w:rsidP="00253485">
      <w:pPr>
        <w:numPr>
          <w:ilvl w:val="0"/>
          <w:numId w:val="4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B3232C" w:rsidRPr="00054C92" w:rsidRDefault="00B3232C" w:rsidP="00E9602E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426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B3232C" w:rsidRPr="00054C92" w:rsidRDefault="00B3232C" w:rsidP="00B3232C">
      <w:pPr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 w:rsidR="00286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sięgowych spełniających warunki</w:t>
      </w:r>
      <w:r w:rsidR="002731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</w:t>
      </w:r>
      <w:r w:rsid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 poz. 217,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 w:rsidR="00B04E2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="00491C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 U. z 2020 r. poz. 106,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wynagrodzenia osobowe i bezosobowe (zatrudnienie w ramach stosunku pracy i na podstawie umów cywilnoprawnych) w zakresie bezpośrednio związanym z realizacją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="00694E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 r. poz. 1406</w:t>
      </w:r>
      <w:r w:rsidR="00B22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</w:t>
      </w:r>
      <w:r w:rsid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  <w:r w:rsidR="002F2071" w:rsidRP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 w:rsid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305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sposób umożliwiający identyfikację poszczególnych operacji księgowych;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podmiot; intencja powierzenia realizacji części zadania innemu podmiotowi (podmiotom) musi wynikać z oferty, co też stanowić będzie podstawę do udzielenia stosownego zezwolenia na wykonanie określonej części zadania przez 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 w:rsidR="00BD2A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 w:rsid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opis merytoryczny zadania, którego dotyczy (w tym czas i miejsce):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:rsidR="00B3232C" w:rsidRPr="00054C92" w:rsidRDefault="00B3232C" w:rsidP="00B3232C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:rsidR="00B3232C" w:rsidRPr="00054C92" w:rsidRDefault="00B3232C" w:rsidP="00253485">
      <w:pPr>
        <w:pStyle w:val="Akapitzlist"/>
        <w:numPr>
          <w:ilvl w:val="0"/>
          <w:numId w:val="33"/>
        </w:numPr>
        <w:spacing w:after="0" w:line="276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wkładu osobowego (praca wolontariuszy, praca społeczna członków zleceniobiorcy) winno być udokumentowane w następujący sposób:</w:t>
      </w:r>
    </w:p>
    <w:p w:rsidR="00B3232C" w:rsidRPr="00054C92" w:rsidRDefault="00B3232C" w:rsidP="00253485">
      <w:pPr>
        <w:numPr>
          <w:ilvl w:val="0"/>
          <w:numId w:val="15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B3232C" w:rsidRPr="00054C92" w:rsidRDefault="00B3232C" w:rsidP="00253485">
      <w:pPr>
        <w:numPr>
          <w:ilvl w:val="0"/>
          <w:numId w:val="15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B3232C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 xml:space="preserve">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późn. zm.), tj.: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B3232C" w:rsidRPr="00054C92" w:rsidRDefault="00B3232C" w:rsidP="00B3232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B3232C" w:rsidRPr="00054C92" w:rsidRDefault="00B3232C" w:rsidP="00253485">
      <w:pPr>
        <w:pStyle w:val="Akapitzlist"/>
        <w:numPr>
          <w:ilvl w:val="0"/>
          <w:numId w:val="33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B3232C" w:rsidRPr="00054C92" w:rsidRDefault="00B3232C" w:rsidP="00253485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B3232C" w:rsidRPr="00054C92" w:rsidRDefault="00B3232C" w:rsidP="00253485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B3232C" w:rsidRDefault="00B22164" w:rsidP="002C5579">
      <w:pPr>
        <w:pStyle w:val="Akapitzlist"/>
        <w:numPr>
          <w:ilvl w:val="0"/>
          <w:numId w:val="33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B3232C" w:rsidRPr="00054C92" w:rsidRDefault="00B3232C" w:rsidP="00253485">
      <w:pPr>
        <w:pStyle w:val="Akapitzlist"/>
        <w:numPr>
          <w:ilvl w:val="1"/>
          <w:numId w:val="7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jest umowa cywilnoprawna (o ile ta umowa określa zasady i sposób podróży służbowych), np. umowa zlecenia;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</w:t>
      </w:r>
      <w:r w:rsidR="00253485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zleceniodawcę założonych w </w:t>
      </w:r>
      <w:bookmarkStart w:id="0" w:name="_GoBack"/>
      <w:bookmarkEnd w:id="0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rezultatów, działań oraz prawidłowości poniesionych kosztów.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</w:t>
      </w:r>
      <w:r w:rsidR="002534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ierdza oświadczeniem zawartym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treści sprawozdania.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 w:rsidR="0025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B3232C" w:rsidRPr="00054C92" w:rsidRDefault="00B22164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="00B3232C"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organizacyjnej MON właściwej do prowadzenia monitoringu i ewaluacji efektywności działalności proobronnej.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B3232C" w:rsidRPr="00054C92" w:rsidRDefault="00B3232C" w:rsidP="00B3232C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 upoważnienie do działania w imieniu oferenta.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B3232C" w:rsidRPr="00054C92" w:rsidRDefault="00B3232C" w:rsidP="00E9602E">
      <w:pPr>
        <w:pStyle w:val="Akapitzlist"/>
        <w:numPr>
          <w:ilvl w:val="3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3232C" w:rsidRDefault="00B3232C" w:rsidP="00E9602E">
      <w:pPr>
        <w:pStyle w:val="Akapitzlist"/>
        <w:numPr>
          <w:ilvl w:val="3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B3232C" w:rsidRPr="00054C92" w:rsidRDefault="00B3232C" w:rsidP="00E9602E">
      <w:pPr>
        <w:pStyle w:val="Akapitzlist"/>
        <w:numPr>
          <w:ilvl w:val="3"/>
          <w:numId w:val="3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B3232C" w:rsidRPr="00054C92" w:rsidRDefault="00B3232C" w:rsidP="00E9602E">
      <w:pPr>
        <w:pStyle w:val="Akapitzlist"/>
        <w:numPr>
          <w:ilvl w:val="3"/>
          <w:numId w:val="33"/>
        </w:numPr>
        <w:spacing w:before="60" w:after="6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</w:t>
      </w:r>
      <w:r w:rsidR="00253485">
        <w:rPr>
          <w:rFonts w:ascii="Times New Roman" w:eastAsia="Times New Roman" w:hAnsi="Times New Roman" w:cs="Times New Roman"/>
          <w:sz w:val="24"/>
          <w:szCs w:val="24"/>
          <w:lang w:eastAsia="pl-PL"/>
        </w:rPr>
        <w:t>znego wynika z art. 17 ustawy o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pożytku publicznego i o wolontariacie. 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</w:t>
      </w:r>
      <w:r w:rsidR="00253485">
        <w:rPr>
          <w:rFonts w:ascii="Times New Roman" w:eastAsia="Times New Roman" w:hAnsi="Times New Roman" w:cs="Times New Roman"/>
          <w:sz w:val="24"/>
          <w:szCs w:val="24"/>
          <w:lang w:eastAsia="pl-PL"/>
        </w:rPr>
        <w:t>y jest w wyznaczonym terminie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do przedłożenia do wglądu oryginałów faktur i innych dowodów księgowych dotyczących wydatków poniesionych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</w:t>
      </w:r>
      <w:r w:rsidR="00253485"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twierdzenie podjętych działań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realizacji zadania. 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="00BD2A1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 w:rsidR="002F2071"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2057).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B3232C" w:rsidRPr="00054C92" w:rsidRDefault="00B3232C" w:rsidP="00E9602E">
      <w:pPr>
        <w:pStyle w:val="Akapitzlist"/>
        <w:numPr>
          <w:ilvl w:val="3"/>
          <w:numId w:val="1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B3232C" w:rsidRPr="00054C92" w:rsidRDefault="00B3232C" w:rsidP="00E9602E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B3232C" w:rsidRPr="00054C92" w:rsidRDefault="00B3232C" w:rsidP="00E9602E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 w:rsidR="002869CE"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 w:rsidR="00BD2A1C"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</w:t>
      </w:r>
      <w:r w:rsidR="00335D17">
        <w:rPr>
          <w:rFonts w:ascii="Times New Roman" w:eastAsia="Calibri" w:hAnsi="Times New Roman" w:cs="Times New Roman"/>
          <w:sz w:val="24"/>
          <w:szCs w:val="24"/>
        </w:rPr>
        <w:t>danych oraz uchylenia dyrektywy </w:t>
      </w:r>
      <w:r w:rsidRPr="00054C92">
        <w:rPr>
          <w:rFonts w:ascii="Times New Roman" w:eastAsia="Calibri" w:hAnsi="Times New Roman" w:cs="Times New Roman"/>
          <w:sz w:val="24"/>
          <w:szCs w:val="24"/>
        </w:rPr>
        <w:t>95/46/WE (ogólnego rozporządzenia o ochronie danych (</w:t>
      </w:r>
      <w:r w:rsidR="00D15A5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</w:t>
      </w:r>
      <w:r w:rsidR="00D15A5A" w:rsidRPr="00F13727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str. 1</w:t>
      </w:r>
      <w:r w:rsidRPr="00054C92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B3232C" w:rsidRPr="00054C92" w:rsidRDefault="00B3232C" w:rsidP="00E9602E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 w:rsidR="00BD2A1C"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sectPr w:rsidR="00B3232C" w:rsidRPr="00054C92" w:rsidSect="00491C72">
      <w:footerReference w:type="even" r:id="rId11"/>
      <w:footerReference w:type="default" r:id="rId12"/>
      <w:pgSz w:w="11906" w:h="16838"/>
      <w:pgMar w:top="964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30" w:rsidRDefault="007D3030">
      <w:pPr>
        <w:spacing w:after="0" w:line="240" w:lineRule="auto"/>
      </w:pPr>
      <w:r>
        <w:separator/>
      </w:r>
    </w:p>
  </w:endnote>
  <w:endnote w:type="continuationSeparator" w:id="0">
    <w:p w:rsidR="007D3030" w:rsidRDefault="007D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2534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348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4BC1" w:rsidRDefault="002534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30" w:rsidRDefault="007D3030">
      <w:pPr>
        <w:spacing w:after="0" w:line="240" w:lineRule="auto"/>
      </w:pPr>
      <w:r>
        <w:separator/>
      </w:r>
    </w:p>
  </w:footnote>
  <w:footnote w:type="continuationSeparator" w:id="0">
    <w:p w:rsidR="007D3030" w:rsidRDefault="007D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95C2632"/>
    <w:multiLevelType w:val="hybridMultilevel"/>
    <w:tmpl w:val="F8E4E59E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79D7"/>
    <w:multiLevelType w:val="hybridMultilevel"/>
    <w:tmpl w:val="0024A480"/>
    <w:lvl w:ilvl="0" w:tplc="6AF4A31C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823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430598"/>
    <w:multiLevelType w:val="hybridMultilevel"/>
    <w:tmpl w:val="B148CD9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F4683E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AD78E5"/>
    <w:multiLevelType w:val="hybridMultilevel"/>
    <w:tmpl w:val="3F7C02F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1" w15:restartNumberingAfterBreak="0">
    <w:nsid w:val="55C06ED0"/>
    <w:multiLevelType w:val="multilevel"/>
    <w:tmpl w:val="CA8E32B2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2" w15:restartNumberingAfterBreak="0">
    <w:nsid w:val="5686234A"/>
    <w:multiLevelType w:val="multilevel"/>
    <w:tmpl w:val="13446A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29"/>
  </w:num>
  <w:num w:numId="3">
    <w:abstractNumId w:val="0"/>
  </w:num>
  <w:num w:numId="4">
    <w:abstractNumId w:val="18"/>
  </w:num>
  <w:num w:numId="5">
    <w:abstractNumId w:val="11"/>
  </w:num>
  <w:num w:numId="6">
    <w:abstractNumId w:val="39"/>
  </w:num>
  <w:num w:numId="7">
    <w:abstractNumId w:val="22"/>
  </w:num>
  <w:num w:numId="8">
    <w:abstractNumId w:val="36"/>
  </w:num>
  <w:num w:numId="9">
    <w:abstractNumId w:val="31"/>
  </w:num>
  <w:num w:numId="10">
    <w:abstractNumId w:val="27"/>
  </w:num>
  <w:num w:numId="11">
    <w:abstractNumId w:val="20"/>
  </w:num>
  <w:num w:numId="12">
    <w:abstractNumId w:val="16"/>
  </w:num>
  <w:num w:numId="13">
    <w:abstractNumId w:val="40"/>
  </w:num>
  <w:num w:numId="14">
    <w:abstractNumId w:val="15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33"/>
  </w:num>
  <w:num w:numId="21">
    <w:abstractNumId w:val="9"/>
  </w:num>
  <w:num w:numId="22">
    <w:abstractNumId w:val="37"/>
  </w:num>
  <w:num w:numId="23">
    <w:abstractNumId w:val="38"/>
  </w:num>
  <w:num w:numId="24">
    <w:abstractNumId w:val="12"/>
  </w:num>
  <w:num w:numId="25">
    <w:abstractNumId w:val="8"/>
  </w:num>
  <w:num w:numId="26">
    <w:abstractNumId w:val="34"/>
  </w:num>
  <w:num w:numId="27">
    <w:abstractNumId w:val="2"/>
  </w:num>
  <w:num w:numId="28">
    <w:abstractNumId w:val="30"/>
  </w:num>
  <w:num w:numId="29">
    <w:abstractNumId w:val="1"/>
  </w:num>
  <w:num w:numId="30">
    <w:abstractNumId w:val="32"/>
  </w:num>
  <w:num w:numId="31">
    <w:abstractNumId w:val="28"/>
  </w:num>
  <w:num w:numId="32">
    <w:abstractNumId w:val="17"/>
  </w:num>
  <w:num w:numId="33">
    <w:abstractNumId w:val="35"/>
  </w:num>
  <w:num w:numId="34">
    <w:abstractNumId w:val="26"/>
  </w:num>
  <w:num w:numId="35">
    <w:abstractNumId w:val="23"/>
  </w:num>
  <w:num w:numId="36">
    <w:abstractNumId w:val="24"/>
  </w:num>
  <w:num w:numId="37">
    <w:abstractNumId w:val="25"/>
  </w:num>
  <w:num w:numId="38">
    <w:abstractNumId w:val="6"/>
  </w:num>
  <w:num w:numId="39">
    <w:abstractNumId w:val="19"/>
  </w:num>
  <w:num w:numId="40">
    <w:abstractNumId w:val="1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C"/>
    <w:rsid w:val="00054C92"/>
    <w:rsid w:val="00063F9B"/>
    <w:rsid w:val="000B6D37"/>
    <w:rsid w:val="00155C7F"/>
    <w:rsid w:val="001D4E36"/>
    <w:rsid w:val="00253485"/>
    <w:rsid w:val="00273190"/>
    <w:rsid w:val="002869CE"/>
    <w:rsid w:val="002C5579"/>
    <w:rsid w:val="002F2071"/>
    <w:rsid w:val="0030565E"/>
    <w:rsid w:val="00335D17"/>
    <w:rsid w:val="003B3E14"/>
    <w:rsid w:val="00491C72"/>
    <w:rsid w:val="004B2E63"/>
    <w:rsid w:val="00555F04"/>
    <w:rsid w:val="005E3435"/>
    <w:rsid w:val="0060454D"/>
    <w:rsid w:val="00633C2D"/>
    <w:rsid w:val="00694EC0"/>
    <w:rsid w:val="007D3030"/>
    <w:rsid w:val="00854D41"/>
    <w:rsid w:val="0088354E"/>
    <w:rsid w:val="00995AB8"/>
    <w:rsid w:val="009B3BBF"/>
    <w:rsid w:val="009F3411"/>
    <w:rsid w:val="00AA415F"/>
    <w:rsid w:val="00AC084C"/>
    <w:rsid w:val="00B04E24"/>
    <w:rsid w:val="00B22164"/>
    <w:rsid w:val="00B3232C"/>
    <w:rsid w:val="00B6634C"/>
    <w:rsid w:val="00B749C1"/>
    <w:rsid w:val="00B75F7D"/>
    <w:rsid w:val="00BD2A1C"/>
    <w:rsid w:val="00C8764B"/>
    <w:rsid w:val="00C93776"/>
    <w:rsid w:val="00D15A5A"/>
    <w:rsid w:val="00D64DC9"/>
    <w:rsid w:val="00DF1565"/>
    <w:rsid w:val="00E14C70"/>
    <w:rsid w:val="00E232BF"/>
    <w:rsid w:val="00E27770"/>
    <w:rsid w:val="00E348F1"/>
    <w:rsid w:val="00E7390E"/>
    <w:rsid w:val="00E9602E"/>
    <w:rsid w:val="00EF7AB9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BEF"/>
  <w15:chartTrackingRefBased/>
  <w15:docId w15:val="{B99B17E5-E230-47C1-9665-FE15B28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2C"/>
  </w:style>
  <w:style w:type="character" w:styleId="Numerstrony">
    <w:name w:val="page number"/>
    <w:basedOn w:val="Domylnaczcionkaakapitu"/>
    <w:semiHidden/>
    <w:rsid w:val="00B3232C"/>
  </w:style>
  <w:style w:type="paragraph" w:styleId="Akapitzlist">
    <w:name w:val="List Paragraph"/>
    <w:basedOn w:val="Normalny"/>
    <w:uiPriority w:val="34"/>
    <w:qFormat/>
    <w:rsid w:val="00B323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3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2C"/>
  </w:style>
  <w:style w:type="paragraph" w:styleId="Tekstdymka">
    <w:name w:val="Balloon Text"/>
    <w:basedOn w:val="Normalny"/>
    <w:link w:val="TekstdymkaZnak"/>
    <w:uiPriority w:val="99"/>
    <w:semiHidden/>
    <w:unhideWhenUsed/>
    <w:rsid w:val="00AC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6386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2020-09-07T10:33:00Z</cp:lastPrinted>
  <dcterms:created xsi:type="dcterms:W3CDTF">2021-02-04T13:29:00Z</dcterms:created>
  <dcterms:modified xsi:type="dcterms:W3CDTF">2021-04-12T10:19:00Z</dcterms:modified>
</cp:coreProperties>
</file>