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DB7925">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7B071A87"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sidR="009F3E22">
        <w:rPr>
          <w:rFonts w:ascii="Times New Roman" w:hAnsi="Times New Roman" w:cs="Times New Roman"/>
          <w:iCs/>
        </w:rPr>
        <w:t>139</w:t>
      </w:r>
      <w:r>
        <w:rPr>
          <w:rFonts w:ascii="Times New Roman" w:hAnsi="Times New Roman" w:cs="Times New Roman"/>
          <w:iCs/>
        </w:rPr>
        <w:t>.</w:t>
      </w:r>
      <w:r w:rsidRPr="00BD66AF">
        <w:rPr>
          <w:rFonts w:ascii="Times New Roman" w:hAnsi="Times New Roman" w:cs="Times New Roman"/>
          <w:iCs/>
        </w:rPr>
        <w:t>202</w:t>
      </w:r>
      <w:r w:rsidR="009F3E22">
        <w:rPr>
          <w:rFonts w:ascii="Times New Roman" w:hAnsi="Times New Roman" w:cs="Times New Roman"/>
          <w:iCs/>
        </w:rPr>
        <w:t>4</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DB7925"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105A8F89"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E1641D">
        <w:rPr>
          <w:rFonts w:ascii="Times New Roman" w:hAnsi="Times New Roman" w:cs="Times New Roman"/>
          <w:b/>
          <w:bCs/>
          <w:i/>
          <w:iCs/>
          <w:szCs w:val="24"/>
        </w:rPr>
        <w:t>Lubaniu</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DB7925"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Ilekroć jest mowa o zwłokach należy przez to rozumieć również szczątki ludzkie. Zwłoki ludzkie mogą znajdować się w stanie rozkładu różnego stopnia, być zwęglone, pochodzić z wypadków komunikacyjnych. Wykonawca zobowiązuje się do realizacji usługi przewozu zwłok niezależnie od ich stanu i miejsca znalezienia.</w:t>
      </w:r>
    </w:p>
    <w:p w14:paraId="7CA7FC69" w14:textId="77777777" w:rsidR="0006711C" w:rsidRPr="00BD66AF" w:rsidRDefault="00DB7925"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DB7925"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przewóz w granicach obszaru działania danej prokuratury - zlecenia takie rozliczane będą stawką ryczałtową określoną w ofercie,</w:t>
      </w:r>
    </w:p>
    <w:p w14:paraId="22CD7FC9" w14:textId="77777777" w:rsidR="0006711C" w:rsidRPr="00BD66AF" w:rsidRDefault="00DB7925"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platformy targeo (www.targeo.pl) liczby kilometrów z siedziby Wykonawcy do miejsca zdarzenia i z miejsca zdarzenia do miejsca przechowywania zwłok albo przewóz z miejsca przechowywania zwłok do wskazanego przez jednostkę prokuratury miejsca wykonania sekcji lub oględzin leżącego poza obszarem działania danej prokuratury i z powrotem.</w:t>
      </w:r>
    </w:p>
    <w:p w14:paraId="40AC0DD9" w14:textId="7FD40062" w:rsidR="0006711C" w:rsidRDefault="00DB7925"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DB7925"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DB7925"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DB7925"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DB7925"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 xml:space="preserve">Zdrowia z dnia 29 marca 2019 r. w sprawie szczegółowych wymagań, jakim powinny odpowiadać pomieszczenia i urządzenia podmiotu wykonującego działalność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tygodnia oraz zapewnić taki dostęp prokuratorowi, funkcjonariuszom policji oraz innym osobom uczestniczącym w czynnościach, na co należy dołączyć poświadczoną za zgodność z oryginałem kserokopię umowy z prosektorium lub inny dokument oświadczający dysponowanie pomieszczeniami prosektorium. Nadto Wykonawca zobowiązany jest przedłożyć Zamawiającemu na każde żądanie w okresie trwania umowy aktualną opinię Państwowego Powiatowego Inspektora Sanitarnego o spełnieniu wymogów pozwalających na prowadzenie działalności w wyżej wymienionym prosektorium zgodnie z przedmiotem zamówienia.</w:t>
      </w:r>
    </w:p>
    <w:p w14:paraId="596A0D97" w14:textId="4938F151" w:rsidR="0006711C" w:rsidRPr="00BD66AF" w:rsidRDefault="00DB7925"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E1641D">
        <w:rPr>
          <w:rFonts w:ascii="Times New Roman" w:hAnsi="Times New Roman" w:cs="Times New Roman"/>
        </w:rPr>
        <w:t>Lubaniu</w:t>
      </w:r>
      <w:r w:rsidRPr="00BD66AF">
        <w:rPr>
          <w:rFonts w:ascii="Times New Roman" w:hAnsi="Times New Roman" w:cs="Times New Roman"/>
        </w:rPr>
        <w:t xml:space="preserve"> oraz zapewniać możliwość przeprowadzania sekcji zwłok przy udziale min. 4 osób,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DB7925"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DB7925"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DB7925"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DB7925"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DB7925"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 oraz dokona z Zamawiającym pozostałych ustaleń niezbędnych dla sprawnego i terminowego wykonywania zamówienia,</w:t>
      </w:r>
    </w:p>
    <w:p w14:paraId="0A0B269A" w14:textId="1D11E561" w:rsidR="0006711C" w:rsidRPr="00E155DF" w:rsidRDefault="00DB7925"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DB7925"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6BFE" w14:textId="77777777" w:rsidR="004E3CB1" w:rsidRDefault="004E3CB1">
      <w:pPr>
        <w:spacing w:after="0" w:line="240" w:lineRule="auto"/>
      </w:pPr>
      <w:r>
        <w:separator/>
      </w:r>
    </w:p>
  </w:endnote>
  <w:endnote w:type="continuationSeparator" w:id="0">
    <w:p w14:paraId="5C931660" w14:textId="77777777" w:rsidR="004E3CB1" w:rsidRDefault="004E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BA2E" w14:textId="77777777" w:rsidR="004E3CB1" w:rsidRDefault="004E3CB1">
      <w:pPr>
        <w:spacing w:after="0" w:line="240" w:lineRule="auto"/>
      </w:pPr>
      <w:r>
        <w:separator/>
      </w:r>
    </w:p>
  </w:footnote>
  <w:footnote w:type="continuationSeparator" w:id="0">
    <w:p w14:paraId="2774DC72" w14:textId="77777777" w:rsidR="004E3CB1" w:rsidRDefault="004E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DB7925">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415BD0"/>
    <w:rsid w:val="004E3CB1"/>
    <w:rsid w:val="00627648"/>
    <w:rsid w:val="009F3E22"/>
    <w:rsid w:val="00BD66AF"/>
    <w:rsid w:val="00CD30B5"/>
    <w:rsid w:val="00DB7925"/>
    <w:rsid w:val="00E155DF"/>
    <w:rsid w:val="00E16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1299</Words>
  <Characters>7798</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Pawlaczek Jarosław (PO Jelenia Góra)</cp:lastModifiedBy>
  <cp:revision>7</cp:revision>
  <dcterms:created xsi:type="dcterms:W3CDTF">2022-11-14T11:20:00Z</dcterms:created>
  <dcterms:modified xsi:type="dcterms:W3CDTF">2024-12-02T09:59:00Z</dcterms:modified>
</cp:coreProperties>
</file>