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24CD" w14:textId="2B3FC7F4" w:rsidR="00491E85" w:rsidRPr="007D1F36" w:rsidRDefault="00491E85" w:rsidP="00491E85">
      <w:pPr>
        <w:spacing w:after="120"/>
        <w:jc w:val="center"/>
        <w:rPr>
          <w:rFonts w:ascii="Calibri" w:hAnsi="Calibri" w:cs="Calibri"/>
          <w:b/>
        </w:rPr>
      </w:pPr>
      <w:r w:rsidRPr="007D1F36">
        <w:rPr>
          <w:rFonts w:ascii="Calibri" w:hAnsi="Calibri" w:cs="Calibri"/>
          <w:b/>
        </w:rPr>
        <w:t>Opis Przedmiotu Zamówienia (OPZ)</w:t>
      </w:r>
    </w:p>
    <w:p w14:paraId="22D99692" w14:textId="77777777" w:rsidR="00491E85" w:rsidRDefault="00491E85" w:rsidP="00DF300F">
      <w:pPr>
        <w:jc w:val="center"/>
        <w:rPr>
          <w:rFonts w:ascii="Calibri" w:hAnsi="Calibri" w:cs="Calibri"/>
          <w:b/>
          <w:bCs/>
        </w:rPr>
      </w:pPr>
    </w:p>
    <w:p w14:paraId="57F33F8C" w14:textId="77777777" w:rsidR="00491E85" w:rsidRPr="003F6C51" w:rsidRDefault="00491E85" w:rsidP="00491E85">
      <w:pPr>
        <w:spacing w:after="120"/>
        <w:jc w:val="both"/>
        <w:rPr>
          <w:rFonts w:ascii="Calibri" w:hAnsi="Calibri" w:cs="Calibri"/>
          <w:b/>
        </w:rPr>
      </w:pPr>
      <w:r w:rsidRPr="003F6C51">
        <w:rPr>
          <w:rFonts w:ascii="Calibri" w:hAnsi="Calibri" w:cs="Calibri"/>
          <w:b/>
        </w:rPr>
        <w:t>1. Opis przedmiotu zamówienia</w:t>
      </w:r>
    </w:p>
    <w:p w14:paraId="29D9AFFC" w14:textId="62AEF66B" w:rsidR="00491E85" w:rsidRPr="00831397" w:rsidRDefault="00491E85" w:rsidP="008E0B48">
      <w:pPr>
        <w:spacing w:after="120" w:line="240" w:lineRule="auto"/>
        <w:jc w:val="both"/>
        <w:rPr>
          <w:rFonts w:ascii="Calibri" w:hAnsi="Calibri" w:cs="Calibri"/>
        </w:rPr>
      </w:pPr>
      <w:r w:rsidRPr="003F6C51">
        <w:rPr>
          <w:rFonts w:ascii="Calibri" w:hAnsi="Calibri" w:cs="Calibri"/>
        </w:rPr>
        <w:t>Przedmiotem zamówienia jest</w:t>
      </w:r>
      <w:r w:rsidR="00F90C45">
        <w:rPr>
          <w:rFonts w:ascii="Calibri" w:hAnsi="Calibri" w:cs="Calibri"/>
        </w:rPr>
        <w:t xml:space="preserve"> wykonanie </w:t>
      </w:r>
      <w:r w:rsidR="000E01C7">
        <w:rPr>
          <w:rFonts w:ascii="Calibri" w:hAnsi="Calibri" w:cs="Calibri"/>
        </w:rPr>
        <w:t>o</w:t>
      </w:r>
      <w:r w:rsidR="00B35417">
        <w:rPr>
          <w:rFonts w:ascii="Calibri" w:hAnsi="Calibri" w:cs="Calibri"/>
          <w:color w:val="000000"/>
        </w:rPr>
        <w:t xml:space="preserve">ceny </w:t>
      </w:r>
      <w:r w:rsidRPr="003F6C51">
        <w:rPr>
          <w:rFonts w:ascii="Calibri" w:hAnsi="Calibri" w:cs="Calibri"/>
          <w:color w:val="000000"/>
        </w:rPr>
        <w:t>spełniania zasady „nie czyń poważnej szkody” [ang. „</w:t>
      </w:r>
      <w:r w:rsidRPr="003F6C51">
        <w:rPr>
          <w:rFonts w:ascii="Calibri" w:hAnsi="Calibri" w:cs="Calibri"/>
          <w:i/>
          <w:color w:val="000000"/>
        </w:rPr>
        <w:t xml:space="preserve">Do No </w:t>
      </w:r>
      <w:proofErr w:type="spellStart"/>
      <w:r w:rsidRPr="003F6C51">
        <w:rPr>
          <w:rFonts w:ascii="Calibri" w:hAnsi="Calibri" w:cs="Calibri"/>
          <w:i/>
          <w:color w:val="000000"/>
        </w:rPr>
        <w:t>Significant</w:t>
      </w:r>
      <w:proofErr w:type="spellEnd"/>
      <w:r w:rsidRPr="003F6C51">
        <w:rPr>
          <w:rFonts w:ascii="Calibri" w:hAnsi="Calibri" w:cs="Calibri"/>
          <w:i/>
          <w:color w:val="000000"/>
        </w:rPr>
        <w:t xml:space="preserve"> </w:t>
      </w:r>
      <w:proofErr w:type="spellStart"/>
      <w:r w:rsidRPr="003F6C51">
        <w:rPr>
          <w:rFonts w:ascii="Calibri" w:hAnsi="Calibri" w:cs="Calibri"/>
          <w:i/>
          <w:color w:val="000000"/>
        </w:rPr>
        <w:t>Harm</w:t>
      </w:r>
      <w:proofErr w:type="spellEnd"/>
      <w:r w:rsidRPr="003F6C51">
        <w:rPr>
          <w:rFonts w:ascii="Calibri" w:hAnsi="Calibri" w:cs="Calibri"/>
          <w:color w:val="000000"/>
        </w:rPr>
        <w:t>” (DNSH)]</w:t>
      </w:r>
      <w:r w:rsidRPr="003F6C51">
        <w:rPr>
          <w:rFonts w:ascii="Calibri" w:hAnsi="Calibri" w:cs="Calibri"/>
        </w:rPr>
        <w:t xml:space="preserve">, w rozumieniu art. 17 </w:t>
      </w:r>
      <w:r w:rsidR="00B35417">
        <w:t>rozporządzenia Parlamentu Europejskiego i</w:t>
      </w:r>
      <w:r w:rsidR="0040686A">
        <w:t> </w:t>
      </w:r>
      <w:r w:rsidR="00B35417">
        <w:t>Rady (UE) 2020/852 z dnia 18 czerwca 2020 r. w sprawie ustanowienia ram ułatwiających zrównoważone inwestycje</w:t>
      </w:r>
      <w:r w:rsidRPr="003F6C51">
        <w:rPr>
          <w:rFonts w:ascii="Calibri" w:hAnsi="Calibri" w:cs="Calibri"/>
        </w:rPr>
        <w:t>, dla dokumentu pn. Krajowy Plan Odbudowy</w:t>
      </w:r>
      <w:r w:rsidR="00B35417">
        <w:rPr>
          <w:rFonts w:ascii="Calibri" w:hAnsi="Calibri" w:cs="Calibri"/>
        </w:rPr>
        <w:t xml:space="preserve"> </w:t>
      </w:r>
      <w:r w:rsidR="00B35417" w:rsidRPr="002C1C1D">
        <w:rPr>
          <w:rFonts w:ascii="Calibri" w:hAnsi="Calibri" w:cs="Calibri"/>
        </w:rPr>
        <w:t>i Zwiększania Odporności (KPO)</w:t>
      </w:r>
      <w:r w:rsidR="00790DFB">
        <w:rPr>
          <w:rFonts w:ascii="Calibri" w:hAnsi="Calibri" w:cs="Calibri"/>
        </w:rPr>
        <w:t xml:space="preserve">, w tym </w:t>
      </w:r>
      <w:r w:rsidR="00732ACA">
        <w:t xml:space="preserve">komponentu </w:t>
      </w:r>
      <w:proofErr w:type="spellStart"/>
      <w:r w:rsidR="00732ACA">
        <w:t>RePower</w:t>
      </w:r>
      <w:proofErr w:type="spellEnd"/>
      <w:r w:rsidR="00732ACA">
        <w:t xml:space="preserve"> EU</w:t>
      </w:r>
      <w:r w:rsidR="00790DFB">
        <w:t>,</w:t>
      </w:r>
      <w:r w:rsidR="00B35417" w:rsidRPr="002C1C1D">
        <w:rPr>
          <w:rFonts w:ascii="Calibri" w:hAnsi="Calibri" w:cs="Calibri"/>
        </w:rPr>
        <w:t xml:space="preserve"> </w:t>
      </w:r>
      <w:r w:rsidR="00B35417">
        <w:rPr>
          <w:rFonts w:ascii="Calibri" w:hAnsi="Calibri" w:cs="Calibri"/>
        </w:rPr>
        <w:t>w związku z jego rewizją</w:t>
      </w:r>
      <w:r w:rsidR="00813279">
        <w:rPr>
          <w:rFonts w:ascii="Calibri" w:hAnsi="Calibri" w:cs="Calibri"/>
        </w:rPr>
        <w:t xml:space="preserve"> </w:t>
      </w:r>
      <w:r w:rsidR="002754E6">
        <w:rPr>
          <w:rFonts w:ascii="Calibri" w:hAnsi="Calibri" w:cs="Calibri"/>
        </w:rPr>
        <w:t xml:space="preserve">oraz </w:t>
      </w:r>
      <w:r w:rsidR="007F2641">
        <w:rPr>
          <w:rFonts w:ascii="Calibri" w:hAnsi="Calibri" w:cs="Calibri"/>
        </w:rPr>
        <w:t>doradztw</w:t>
      </w:r>
      <w:r w:rsidR="00CE5479">
        <w:rPr>
          <w:rFonts w:ascii="Calibri" w:hAnsi="Calibri" w:cs="Calibri"/>
        </w:rPr>
        <w:t>o</w:t>
      </w:r>
      <w:r w:rsidR="007F2641">
        <w:rPr>
          <w:rFonts w:ascii="Calibri" w:hAnsi="Calibri" w:cs="Calibri"/>
        </w:rPr>
        <w:t xml:space="preserve"> </w:t>
      </w:r>
      <w:r w:rsidR="002754E6">
        <w:rPr>
          <w:rFonts w:ascii="Calibri" w:hAnsi="Calibri" w:cs="Calibri"/>
        </w:rPr>
        <w:t xml:space="preserve">eksperckie </w:t>
      </w:r>
      <w:r w:rsidR="003066E8">
        <w:t>w</w:t>
      </w:r>
      <w:r w:rsidR="0040686A">
        <w:t> </w:t>
      </w:r>
      <w:r w:rsidR="003066E8">
        <w:t>i</w:t>
      </w:r>
      <w:r w:rsidR="003066E8" w:rsidRPr="00AD5B1E">
        <w:t>nterpretacj</w:t>
      </w:r>
      <w:r w:rsidR="003066E8">
        <w:t>i</w:t>
      </w:r>
      <w:r w:rsidR="003066E8" w:rsidRPr="00AD5B1E">
        <w:t xml:space="preserve"> </w:t>
      </w:r>
      <w:r w:rsidR="003066E8">
        <w:t xml:space="preserve">stosowania zasady </w:t>
      </w:r>
      <w:r w:rsidR="003066E8" w:rsidRPr="00AD5B1E">
        <w:t>DNSH</w:t>
      </w:r>
      <w:r w:rsidR="003066E8">
        <w:t xml:space="preserve"> w</w:t>
      </w:r>
      <w:r w:rsidR="002754E6" w:rsidRPr="005F43B3">
        <w:t xml:space="preserve"> kontekście inwestycji </w:t>
      </w:r>
      <w:r w:rsidR="00831397" w:rsidRPr="00831397">
        <w:t>i przedsięwzięć</w:t>
      </w:r>
      <w:r w:rsidR="000B1978">
        <w:t xml:space="preserve"> KPO</w:t>
      </w:r>
      <w:r w:rsidR="006D6347" w:rsidRPr="00831397">
        <w:t>.</w:t>
      </w:r>
      <w:r w:rsidR="00813279" w:rsidRPr="00831397">
        <w:rPr>
          <w:rFonts w:ascii="Calibri" w:hAnsi="Calibri" w:cs="Calibri"/>
        </w:rPr>
        <w:t xml:space="preserve"> </w:t>
      </w:r>
      <w:r w:rsidR="007F2641" w:rsidRPr="00831397">
        <w:rPr>
          <w:rFonts w:ascii="Calibri" w:hAnsi="Calibri" w:cs="Calibri"/>
        </w:rPr>
        <w:t xml:space="preserve"> </w:t>
      </w:r>
    </w:p>
    <w:p w14:paraId="32DA3E39" w14:textId="0C7CB665" w:rsidR="00DF300F" w:rsidRPr="00491E85" w:rsidRDefault="00491E85" w:rsidP="00491E85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</w:t>
      </w:r>
      <w:r w:rsidR="002C7926" w:rsidRPr="00491E85">
        <w:rPr>
          <w:rFonts w:ascii="Calibri" w:hAnsi="Calibri" w:cs="Calibri"/>
          <w:b/>
        </w:rPr>
        <w:t xml:space="preserve">Kontekst </w:t>
      </w:r>
      <w:r w:rsidRPr="00491E85">
        <w:rPr>
          <w:rFonts w:ascii="Calibri" w:hAnsi="Calibri" w:cs="Calibri"/>
          <w:b/>
        </w:rPr>
        <w:t>zamówienia</w:t>
      </w:r>
    </w:p>
    <w:p w14:paraId="297BD3FA" w14:textId="4293863D" w:rsidR="003D548C" w:rsidRDefault="005D0684" w:rsidP="008E0B48">
      <w:pPr>
        <w:spacing w:before="120" w:after="120" w:line="240" w:lineRule="auto"/>
        <w:jc w:val="both"/>
        <w:rPr>
          <w:rFonts w:ascii="Calibri" w:hAnsi="Calibri" w:cs="Calibri"/>
          <w:color w:val="000000"/>
        </w:rPr>
      </w:pPr>
      <w:r w:rsidRPr="002C1C1D">
        <w:rPr>
          <w:rFonts w:ascii="Calibri" w:hAnsi="Calibri" w:cs="Calibri"/>
        </w:rPr>
        <w:t>Dokon</w:t>
      </w:r>
      <w:r w:rsidR="003E7C0F">
        <w:rPr>
          <w:rFonts w:ascii="Calibri" w:hAnsi="Calibri" w:cs="Calibri"/>
        </w:rPr>
        <w:t xml:space="preserve">ywanie </w:t>
      </w:r>
      <w:r w:rsidRPr="002C1C1D">
        <w:rPr>
          <w:rFonts w:ascii="Calibri" w:hAnsi="Calibri" w:cs="Calibri"/>
        </w:rPr>
        <w:t>kolejn</w:t>
      </w:r>
      <w:r w:rsidR="002754E6">
        <w:rPr>
          <w:rFonts w:ascii="Calibri" w:hAnsi="Calibri" w:cs="Calibri"/>
        </w:rPr>
        <w:t xml:space="preserve">ych </w:t>
      </w:r>
      <w:r w:rsidRPr="002C1C1D">
        <w:rPr>
          <w:rFonts w:ascii="Calibri" w:hAnsi="Calibri" w:cs="Calibri"/>
        </w:rPr>
        <w:t>rewizji KPO</w:t>
      </w:r>
      <w:r w:rsidR="003E7C0F">
        <w:rPr>
          <w:rFonts w:ascii="Calibri" w:hAnsi="Calibri" w:cs="Calibri"/>
        </w:rPr>
        <w:t xml:space="preserve"> </w:t>
      </w:r>
      <w:r w:rsidRPr="002C1C1D">
        <w:rPr>
          <w:rFonts w:ascii="Calibri" w:hAnsi="Calibri" w:cs="Calibri"/>
        </w:rPr>
        <w:t xml:space="preserve">jest uzasadnione obiektywnymi okolicznościami uniemożliwiającymi realizację poszczególnych mierników (art. 21 ust. </w:t>
      </w:r>
      <w:r w:rsidR="002C1C1D" w:rsidRPr="002C1C1D">
        <w:rPr>
          <w:rFonts w:ascii="Calibri" w:hAnsi="Calibri" w:cs="Calibri"/>
        </w:rPr>
        <w:t>Rozporządzenia Parlamentu Europejskiego i Rady (UE) 2021/241 z dnia 12 lutego 2021 r. ustanawiającego Instrument na rzecz Odbudowy i Zwiększania Odporności</w:t>
      </w:r>
      <w:r w:rsidRPr="002C1C1D">
        <w:rPr>
          <w:rFonts w:ascii="Calibri" w:hAnsi="Calibri" w:cs="Calibri"/>
        </w:rPr>
        <w:t xml:space="preserve">), w tym dostosowaniem KPO do obecnych i realnych potrzeb Polski i KE. </w:t>
      </w:r>
    </w:p>
    <w:p w14:paraId="317179C5" w14:textId="2F635A80" w:rsidR="002754E6" w:rsidRPr="002C1C1D" w:rsidRDefault="003D548C" w:rsidP="008E0B48">
      <w:pPr>
        <w:spacing w:before="120"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Potrzeba d</w:t>
      </w:r>
      <w:r w:rsidR="00D472B7">
        <w:t>oradztw</w:t>
      </w:r>
      <w:r>
        <w:t>a</w:t>
      </w:r>
      <w:r w:rsidR="00D472B7">
        <w:t xml:space="preserve"> </w:t>
      </w:r>
      <w:r w:rsidR="00C62EC5" w:rsidRPr="005A5B0B">
        <w:rPr>
          <w:rFonts w:ascii="Calibri" w:hAnsi="Calibri" w:cs="Calibri"/>
        </w:rPr>
        <w:t>eksperckie</w:t>
      </w:r>
      <w:r w:rsidRPr="005A5B0B">
        <w:rPr>
          <w:rFonts w:ascii="Calibri" w:hAnsi="Calibri" w:cs="Calibri"/>
        </w:rPr>
        <w:t>go</w:t>
      </w:r>
      <w:r w:rsidR="00C62EC5" w:rsidRPr="005A5B0B">
        <w:rPr>
          <w:rFonts w:ascii="Calibri" w:hAnsi="Calibri" w:cs="Calibri"/>
        </w:rPr>
        <w:t xml:space="preserve"> w interpretacj</w:t>
      </w:r>
      <w:r w:rsidR="0005084C" w:rsidRPr="005A5B0B">
        <w:rPr>
          <w:rFonts w:ascii="Calibri" w:hAnsi="Calibri" w:cs="Calibri"/>
        </w:rPr>
        <w:t>i</w:t>
      </w:r>
      <w:r w:rsidR="00C62EC5" w:rsidRPr="005A5B0B">
        <w:rPr>
          <w:rFonts w:ascii="Calibri" w:hAnsi="Calibri" w:cs="Calibri"/>
        </w:rPr>
        <w:t xml:space="preserve"> stosowania zasady DNSH</w:t>
      </w:r>
      <w:r w:rsidR="00732ACA" w:rsidRPr="005A5B0B">
        <w:rPr>
          <w:rFonts w:ascii="Calibri" w:hAnsi="Calibri" w:cs="Calibri"/>
        </w:rPr>
        <w:t xml:space="preserve">, w związku z </w:t>
      </w:r>
      <w:r w:rsidR="00403BD7">
        <w:rPr>
          <w:rFonts w:ascii="Calibri" w:hAnsi="Calibri" w:cs="Calibri"/>
        </w:rPr>
        <w:t xml:space="preserve"> </w:t>
      </w:r>
      <w:r w:rsidR="00BA0216">
        <w:rPr>
          <w:rFonts w:ascii="Calibri" w:hAnsi="Calibri" w:cs="Calibri"/>
        </w:rPr>
        <w:t>i</w:t>
      </w:r>
      <w:r w:rsidR="00403BD7">
        <w:rPr>
          <w:rFonts w:ascii="Calibri" w:hAnsi="Calibri" w:cs="Calibri"/>
        </w:rPr>
        <w:t xml:space="preserve">nwestycjami </w:t>
      </w:r>
      <w:r w:rsidR="005A5B0B">
        <w:rPr>
          <w:rFonts w:ascii="Calibri" w:hAnsi="Calibri" w:cs="Calibri"/>
        </w:rPr>
        <w:t xml:space="preserve">i </w:t>
      </w:r>
      <w:r w:rsidR="008372EE">
        <w:rPr>
          <w:rFonts w:ascii="Calibri" w:hAnsi="Calibri" w:cs="Calibri"/>
        </w:rPr>
        <w:t xml:space="preserve">przedsięwzięciami w </w:t>
      </w:r>
      <w:r w:rsidR="00732ACA" w:rsidRPr="005A5B0B">
        <w:rPr>
          <w:rFonts w:ascii="Calibri" w:hAnsi="Calibri" w:cs="Calibri"/>
        </w:rPr>
        <w:t>inwestycja</w:t>
      </w:r>
      <w:r w:rsidR="008372EE">
        <w:rPr>
          <w:rFonts w:ascii="Calibri" w:hAnsi="Calibri" w:cs="Calibri"/>
        </w:rPr>
        <w:t xml:space="preserve">ch </w:t>
      </w:r>
      <w:r w:rsidR="00732ACA" w:rsidRPr="005A5B0B">
        <w:rPr>
          <w:rFonts w:ascii="Calibri" w:hAnsi="Calibri" w:cs="Calibri"/>
        </w:rPr>
        <w:t>realizowany</w:t>
      </w:r>
      <w:r w:rsidR="008372EE">
        <w:rPr>
          <w:rFonts w:ascii="Calibri" w:hAnsi="Calibri" w:cs="Calibri"/>
        </w:rPr>
        <w:t xml:space="preserve">ch </w:t>
      </w:r>
      <w:r w:rsidR="00732ACA" w:rsidRPr="005A5B0B">
        <w:rPr>
          <w:rFonts w:ascii="Calibri" w:hAnsi="Calibri" w:cs="Calibri"/>
        </w:rPr>
        <w:t>z</w:t>
      </w:r>
      <w:r w:rsidR="008372EE">
        <w:rPr>
          <w:rFonts w:ascii="Calibri" w:hAnsi="Calibri" w:cs="Calibri"/>
        </w:rPr>
        <w:t xml:space="preserve">e środków </w:t>
      </w:r>
      <w:r w:rsidR="005A5B0B" w:rsidRPr="005A5B0B">
        <w:rPr>
          <w:rFonts w:ascii="Calibri" w:hAnsi="Calibri" w:cs="Calibri"/>
        </w:rPr>
        <w:t>europejskiego Instrumentu na rzecz Odbudowy i Zwiększania Odporności (</w:t>
      </w:r>
      <w:proofErr w:type="spellStart"/>
      <w:r w:rsidR="005A5B0B" w:rsidRPr="005A5B0B">
        <w:rPr>
          <w:rFonts w:ascii="Calibri" w:hAnsi="Calibri" w:cs="Calibri"/>
        </w:rPr>
        <w:t>Recovery</w:t>
      </w:r>
      <w:proofErr w:type="spellEnd"/>
      <w:r w:rsidR="005A5B0B" w:rsidRPr="005A5B0B">
        <w:rPr>
          <w:rFonts w:ascii="Calibri" w:hAnsi="Calibri" w:cs="Calibri"/>
        </w:rPr>
        <w:t xml:space="preserve"> and </w:t>
      </w:r>
      <w:proofErr w:type="spellStart"/>
      <w:r w:rsidR="005A5B0B" w:rsidRPr="005A5B0B">
        <w:rPr>
          <w:rFonts w:ascii="Calibri" w:hAnsi="Calibri" w:cs="Calibri"/>
        </w:rPr>
        <w:t>Resilience</w:t>
      </w:r>
      <w:proofErr w:type="spellEnd"/>
      <w:r w:rsidR="005A5B0B" w:rsidRPr="005A5B0B">
        <w:rPr>
          <w:rFonts w:ascii="Calibri" w:hAnsi="Calibri" w:cs="Calibri"/>
        </w:rPr>
        <w:t xml:space="preserve"> </w:t>
      </w:r>
      <w:proofErr w:type="spellStart"/>
      <w:r w:rsidR="005A5B0B" w:rsidRPr="005A5B0B">
        <w:rPr>
          <w:rFonts w:ascii="Calibri" w:hAnsi="Calibri" w:cs="Calibri"/>
        </w:rPr>
        <w:t>Facility</w:t>
      </w:r>
      <w:proofErr w:type="spellEnd"/>
      <w:r w:rsidR="005A5B0B" w:rsidRPr="005A5B0B">
        <w:rPr>
          <w:rFonts w:ascii="Calibri" w:hAnsi="Calibri" w:cs="Calibri"/>
        </w:rPr>
        <w:t xml:space="preserve"> – RRF), w tym rozdziału poświęconego </w:t>
      </w:r>
      <w:proofErr w:type="spellStart"/>
      <w:r w:rsidR="005A5B0B" w:rsidRPr="005A5B0B">
        <w:rPr>
          <w:rFonts w:ascii="Calibri" w:hAnsi="Calibri" w:cs="Calibri"/>
        </w:rPr>
        <w:t>REPowerEU</w:t>
      </w:r>
      <w:proofErr w:type="spellEnd"/>
      <w:r w:rsidR="00732ACA" w:rsidRPr="005A5B0B">
        <w:rPr>
          <w:rFonts w:ascii="Calibri" w:hAnsi="Calibri" w:cs="Calibri"/>
        </w:rPr>
        <w:t>,</w:t>
      </w:r>
      <w:r w:rsidR="00C62EC5" w:rsidRPr="005A5B0B">
        <w:rPr>
          <w:rFonts w:ascii="Calibri" w:hAnsi="Calibri" w:cs="Calibri"/>
        </w:rPr>
        <w:t xml:space="preserve"> wynika z nowości </w:t>
      </w:r>
      <w:r w:rsidR="000135A1" w:rsidRPr="005A5B0B">
        <w:rPr>
          <w:rFonts w:ascii="Calibri" w:hAnsi="Calibri" w:cs="Calibri"/>
        </w:rPr>
        <w:t>zagadnienia, jakim jest zasada DNSH (po raz pierwszy ma zastosowanie w obecnym okresie programowania środków UE 2021-2027)</w:t>
      </w:r>
      <w:r w:rsidR="00DE6F80" w:rsidRPr="005A5B0B">
        <w:rPr>
          <w:rFonts w:ascii="Calibri" w:hAnsi="Calibri" w:cs="Calibri"/>
        </w:rPr>
        <w:t xml:space="preserve">, </w:t>
      </w:r>
      <w:r w:rsidR="000135A1" w:rsidRPr="005A5B0B">
        <w:rPr>
          <w:rFonts w:ascii="Calibri" w:hAnsi="Calibri" w:cs="Calibri"/>
        </w:rPr>
        <w:t>jej horyzontalne</w:t>
      </w:r>
      <w:r w:rsidR="00C62EC5" w:rsidRPr="005A5B0B">
        <w:rPr>
          <w:rFonts w:ascii="Calibri" w:hAnsi="Calibri" w:cs="Calibri"/>
        </w:rPr>
        <w:t>go</w:t>
      </w:r>
      <w:r w:rsidR="000135A1">
        <w:t xml:space="preserve"> zastosowani</w:t>
      </w:r>
      <w:r w:rsidR="008C1976">
        <w:t>a</w:t>
      </w:r>
      <w:r w:rsidR="000135A1">
        <w:t xml:space="preserve"> (wymóg spełnienia zasady jako warunek finansowania) w KPO</w:t>
      </w:r>
      <w:r w:rsidR="00831397">
        <w:t xml:space="preserve"> oraz specyfiki i</w:t>
      </w:r>
      <w:r w:rsidR="0040686A">
        <w:t> </w:t>
      </w:r>
      <w:r w:rsidR="000135A1">
        <w:t>merytoryczn</w:t>
      </w:r>
      <w:r w:rsidR="00C62EC5">
        <w:t xml:space="preserve">ej </w:t>
      </w:r>
      <w:r w:rsidR="000135A1">
        <w:t>złożonoś</w:t>
      </w:r>
      <w:r w:rsidR="00C62EC5">
        <w:t>ci</w:t>
      </w:r>
      <w:r w:rsidR="000135A1">
        <w:t>, a także szeroki</w:t>
      </w:r>
      <w:r w:rsidR="00C62EC5">
        <w:t>ego</w:t>
      </w:r>
      <w:r w:rsidR="000135A1">
        <w:t xml:space="preserve"> zakres</w:t>
      </w:r>
      <w:r w:rsidR="008C1976">
        <w:t>u</w:t>
      </w:r>
      <w:r w:rsidR="000135A1">
        <w:t xml:space="preserve"> możliwych przedsięwzięć</w:t>
      </w:r>
      <w:r w:rsidR="00C62EC5">
        <w:t xml:space="preserve">. </w:t>
      </w:r>
      <w:r w:rsidR="00DE6F80">
        <w:t xml:space="preserve">       </w:t>
      </w:r>
      <w:r w:rsidR="000135A1">
        <w:t xml:space="preserve"> </w:t>
      </w:r>
    </w:p>
    <w:p w14:paraId="02862C08" w14:textId="08B18462" w:rsidR="008E7FA4" w:rsidRPr="00491E85" w:rsidRDefault="00491E85" w:rsidP="00491E85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</w:t>
      </w:r>
      <w:r w:rsidR="008E7FA4" w:rsidRPr="00491E85">
        <w:rPr>
          <w:rFonts w:ascii="Calibri" w:hAnsi="Calibri" w:cs="Calibri"/>
          <w:b/>
        </w:rPr>
        <w:t xml:space="preserve">Cel </w:t>
      </w:r>
      <w:r w:rsidRPr="00491E85">
        <w:rPr>
          <w:rFonts w:ascii="Calibri" w:hAnsi="Calibri" w:cs="Calibri"/>
          <w:b/>
        </w:rPr>
        <w:t>za</w:t>
      </w:r>
      <w:r>
        <w:rPr>
          <w:rFonts w:ascii="Calibri" w:hAnsi="Calibri" w:cs="Calibri"/>
          <w:b/>
        </w:rPr>
        <w:t xml:space="preserve">mówienia </w:t>
      </w:r>
    </w:p>
    <w:p w14:paraId="09CCA089" w14:textId="6D39806C" w:rsidR="005D0684" w:rsidRPr="002C1C1D" w:rsidRDefault="008E7FA4" w:rsidP="008E0B48">
      <w:pPr>
        <w:spacing w:before="120" w:after="120" w:line="240" w:lineRule="auto"/>
        <w:jc w:val="both"/>
        <w:rPr>
          <w:rFonts w:ascii="Calibri" w:hAnsi="Calibri" w:cs="Calibri"/>
        </w:rPr>
      </w:pPr>
      <w:r w:rsidRPr="002C1C1D">
        <w:rPr>
          <w:rFonts w:ascii="Calibri" w:hAnsi="Calibri" w:cs="Calibri"/>
        </w:rPr>
        <w:t>W związku z rewizj</w:t>
      </w:r>
      <w:r w:rsidR="005E1E98">
        <w:rPr>
          <w:rFonts w:ascii="Calibri" w:hAnsi="Calibri" w:cs="Calibri"/>
        </w:rPr>
        <w:t>ą</w:t>
      </w:r>
      <w:r w:rsidRPr="002C1C1D">
        <w:rPr>
          <w:rFonts w:ascii="Calibri" w:hAnsi="Calibri" w:cs="Calibri"/>
        </w:rPr>
        <w:t xml:space="preserve"> KPO uzasadnione jest </w:t>
      </w:r>
      <w:bookmarkStart w:id="0" w:name="_Hlk192682739"/>
      <w:r w:rsidRPr="002C1C1D">
        <w:rPr>
          <w:rFonts w:ascii="Calibri" w:hAnsi="Calibri" w:cs="Calibri"/>
        </w:rPr>
        <w:t xml:space="preserve">dokonanie  </w:t>
      </w:r>
      <w:r w:rsidR="00AB3C27">
        <w:rPr>
          <w:rFonts w:ascii="Calibri" w:hAnsi="Calibri" w:cs="Calibri"/>
        </w:rPr>
        <w:t xml:space="preserve">oceny </w:t>
      </w:r>
      <w:r w:rsidR="00D96218" w:rsidRPr="002C1C1D">
        <w:rPr>
          <w:rFonts w:ascii="Calibri" w:hAnsi="Calibri" w:cs="Calibri"/>
        </w:rPr>
        <w:t xml:space="preserve">nowych lub </w:t>
      </w:r>
      <w:r w:rsidR="00314C48">
        <w:rPr>
          <w:rFonts w:ascii="Calibri" w:hAnsi="Calibri" w:cs="Calibri"/>
        </w:rPr>
        <w:t xml:space="preserve">ponowna analiza </w:t>
      </w:r>
      <w:r w:rsidR="00D96218" w:rsidRPr="002C1C1D">
        <w:rPr>
          <w:rFonts w:ascii="Calibri" w:hAnsi="Calibri" w:cs="Calibri"/>
        </w:rPr>
        <w:t>zmienianych</w:t>
      </w:r>
      <w:r w:rsidR="005D0684" w:rsidRPr="002C1C1D">
        <w:rPr>
          <w:rFonts w:ascii="Calibri" w:hAnsi="Calibri" w:cs="Calibri"/>
        </w:rPr>
        <w:t xml:space="preserve"> </w:t>
      </w:r>
      <w:r w:rsidR="00D96218" w:rsidRPr="002C1C1D">
        <w:rPr>
          <w:rFonts w:ascii="Calibri" w:hAnsi="Calibri" w:cs="Calibri"/>
        </w:rPr>
        <w:t xml:space="preserve">reform i inwestycji </w:t>
      </w:r>
      <w:r w:rsidR="005D0684" w:rsidRPr="002C1C1D">
        <w:rPr>
          <w:rFonts w:ascii="Calibri" w:hAnsi="Calibri" w:cs="Calibri"/>
        </w:rPr>
        <w:t>pod kątem zgodności z zasadą DNSH</w:t>
      </w:r>
      <w:bookmarkEnd w:id="0"/>
      <w:r w:rsidR="00F4703A">
        <w:rPr>
          <w:rFonts w:ascii="Calibri" w:hAnsi="Calibri" w:cs="Calibri"/>
        </w:rPr>
        <w:t xml:space="preserve">. </w:t>
      </w:r>
      <w:r w:rsidR="00D96218" w:rsidRPr="002C1C1D">
        <w:rPr>
          <w:rFonts w:ascii="Calibri" w:hAnsi="Calibri" w:cs="Calibri"/>
        </w:rPr>
        <w:t>Wymóg ten wynika z przepisów</w:t>
      </w:r>
      <w:r w:rsidR="005D0684" w:rsidRPr="002C1C1D">
        <w:rPr>
          <w:rFonts w:ascii="Calibri" w:hAnsi="Calibri" w:cs="Calibri"/>
        </w:rPr>
        <w:t xml:space="preserve"> </w:t>
      </w:r>
      <w:r w:rsidR="00770884">
        <w:rPr>
          <w:rFonts w:ascii="Calibri" w:hAnsi="Calibri" w:cs="Calibri"/>
        </w:rPr>
        <w:t xml:space="preserve">ww. </w:t>
      </w:r>
      <w:r w:rsidR="00813279">
        <w:rPr>
          <w:rFonts w:ascii="Calibri" w:hAnsi="Calibri" w:cs="Calibri"/>
        </w:rPr>
        <w:t>r</w:t>
      </w:r>
      <w:r w:rsidR="00D96218" w:rsidRPr="002C1C1D">
        <w:rPr>
          <w:rFonts w:ascii="Calibri" w:hAnsi="Calibri" w:cs="Calibri"/>
        </w:rPr>
        <w:t>ozporządzenia 2021/241</w:t>
      </w:r>
      <w:r w:rsidR="00634A3D">
        <w:rPr>
          <w:rFonts w:ascii="Calibri" w:hAnsi="Calibri" w:cs="Calibri"/>
        </w:rPr>
        <w:t xml:space="preserve"> określającego, że </w:t>
      </w:r>
      <w:r w:rsidR="005D0684" w:rsidRPr="002C1C1D">
        <w:rPr>
          <w:rFonts w:ascii="Calibri" w:hAnsi="Calibri" w:cs="Calibri"/>
        </w:rPr>
        <w:t xml:space="preserve">żaden środek zawarty w planie odbudowy i zwiększenia odporności nie powinien powodować poważnych szkód dla celów środowiskowych w rozumieniu art. 17 </w:t>
      </w:r>
      <w:bookmarkStart w:id="1" w:name="_Hlk188439963"/>
      <w:r w:rsidR="005D0684" w:rsidRPr="002C1C1D">
        <w:rPr>
          <w:rFonts w:ascii="Calibri" w:hAnsi="Calibri" w:cs="Calibri"/>
        </w:rPr>
        <w:t xml:space="preserve">rozporządzenia </w:t>
      </w:r>
      <w:r w:rsidR="00813279">
        <w:t xml:space="preserve">2020/852 </w:t>
      </w:r>
      <w:bookmarkEnd w:id="1"/>
      <w:r w:rsidR="00813279">
        <w:t xml:space="preserve">(dalej: </w:t>
      </w:r>
      <w:r w:rsidR="00813279" w:rsidRPr="003F6C51">
        <w:rPr>
          <w:rFonts w:ascii="Calibri" w:hAnsi="Calibri" w:cs="Calibri"/>
        </w:rPr>
        <w:t xml:space="preserve">rozporządzenie </w:t>
      </w:r>
      <w:proofErr w:type="spellStart"/>
      <w:r w:rsidR="00813279" w:rsidRPr="003F6C51">
        <w:rPr>
          <w:rFonts w:ascii="Calibri" w:hAnsi="Calibri" w:cs="Calibri"/>
        </w:rPr>
        <w:t>w</w:t>
      </w:r>
      <w:r w:rsidR="00813279">
        <w:rPr>
          <w:rFonts w:ascii="Calibri" w:hAnsi="Calibri" w:cs="Calibri"/>
        </w:rPr>
        <w:t>s</w:t>
      </w:r>
      <w:proofErr w:type="spellEnd"/>
      <w:r w:rsidR="00813279">
        <w:rPr>
          <w:rFonts w:ascii="Calibri" w:hAnsi="Calibri" w:cs="Calibri"/>
        </w:rPr>
        <w:t>.</w:t>
      </w:r>
      <w:r w:rsidR="00813279" w:rsidRPr="003F6C51">
        <w:rPr>
          <w:rFonts w:ascii="Calibri" w:hAnsi="Calibri" w:cs="Calibri"/>
        </w:rPr>
        <w:t xml:space="preserve"> taksonomii)</w:t>
      </w:r>
      <w:r w:rsidR="005D0684" w:rsidRPr="002C1C1D">
        <w:rPr>
          <w:rFonts w:ascii="Calibri" w:hAnsi="Calibri" w:cs="Calibri"/>
        </w:rPr>
        <w:t xml:space="preserve">. Stosowanie zasady „nie czyń poważnej szkody” w rozumieniu art. 17 </w:t>
      </w:r>
      <w:r w:rsidR="008C1976" w:rsidRPr="002C1C1D">
        <w:rPr>
          <w:rFonts w:ascii="Calibri" w:hAnsi="Calibri" w:cs="Calibri"/>
        </w:rPr>
        <w:t xml:space="preserve">rozporządzenia </w:t>
      </w:r>
      <w:r w:rsidR="008C1976">
        <w:t xml:space="preserve">2020/852 </w:t>
      </w:r>
      <w:r w:rsidR="005D0684" w:rsidRPr="002C1C1D">
        <w:rPr>
          <w:rFonts w:ascii="Calibri" w:hAnsi="Calibri" w:cs="Calibri"/>
        </w:rPr>
        <w:t>jest obligatoryjne</w:t>
      </w:r>
      <w:r w:rsidR="004F0880">
        <w:rPr>
          <w:rFonts w:ascii="Calibri" w:hAnsi="Calibri" w:cs="Calibri"/>
        </w:rPr>
        <w:t xml:space="preserve">. </w:t>
      </w:r>
      <w:r w:rsidR="005D0684" w:rsidRPr="002C1C1D">
        <w:rPr>
          <w:rFonts w:ascii="Calibri" w:hAnsi="Calibri" w:cs="Calibri"/>
        </w:rPr>
        <w:t xml:space="preserve"> </w:t>
      </w:r>
    </w:p>
    <w:p w14:paraId="0B3DF456" w14:textId="21133048" w:rsidR="005D0684" w:rsidRPr="002C1C1D" w:rsidRDefault="005D0684" w:rsidP="008E0B48">
      <w:pPr>
        <w:spacing w:before="120" w:after="120" w:line="240" w:lineRule="auto"/>
        <w:jc w:val="both"/>
        <w:rPr>
          <w:rFonts w:ascii="Calibri" w:eastAsia="Times New Roman" w:hAnsi="Calibri" w:cs="Calibri"/>
          <w:highlight w:val="yellow"/>
          <w:lang w:eastAsia="pl-PL"/>
        </w:rPr>
      </w:pPr>
      <w:r w:rsidRPr="002C1C1D">
        <w:rPr>
          <w:rFonts w:ascii="Calibri" w:hAnsi="Calibri" w:cs="Calibri"/>
        </w:rPr>
        <w:t>W 2021 r. została wykona</w:t>
      </w:r>
      <w:r w:rsidR="00770884">
        <w:rPr>
          <w:rFonts w:ascii="Calibri" w:hAnsi="Calibri" w:cs="Calibri"/>
        </w:rPr>
        <w:t xml:space="preserve">na </w:t>
      </w:r>
      <w:r w:rsidRPr="002C1C1D">
        <w:rPr>
          <w:rFonts w:ascii="Calibri" w:hAnsi="Calibri" w:cs="Calibri"/>
        </w:rPr>
        <w:t>przez Polskę analiza spełniania zasady DNSH dla KPO</w:t>
      </w:r>
      <w:r w:rsidRPr="002C1C1D">
        <w:rPr>
          <w:rStyle w:val="Odwoanieprzypisudolnego"/>
          <w:rFonts w:ascii="Calibri" w:hAnsi="Calibri" w:cs="Calibri"/>
        </w:rPr>
        <w:footnoteReference w:id="1"/>
      </w:r>
      <w:r w:rsidRPr="002C1C1D">
        <w:rPr>
          <w:rFonts w:ascii="Calibri" w:hAnsi="Calibri" w:cs="Calibri"/>
        </w:rPr>
        <w:t xml:space="preserve"> w odniesieniu do każdego środka (tj. każda reforma i każda inwestycja) objętego planem odbudowy i zwiększania odporności.</w:t>
      </w:r>
      <w:r w:rsidR="00F11ECA">
        <w:rPr>
          <w:rFonts w:ascii="Calibri" w:hAnsi="Calibri" w:cs="Calibri"/>
        </w:rPr>
        <w:t xml:space="preserve"> </w:t>
      </w:r>
      <w:r w:rsidRPr="002C1C1D">
        <w:rPr>
          <w:rFonts w:ascii="Calibri" w:hAnsi="Calibri" w:cs="Calibri"/>
        </w:rPr>
        <w:t>K</w:t>
      </w:r>
      <w:r w:rsidR="00F11ECA">
        <w:rPr>
          <w:rFonts w:ascii="Calibri" w:hAnsi="Calibri" w:cs="Calibri"/>
        </w:rPr>
        <w:t>E</w:t>
      </w:r>
      <w:r w:rsidRPr="002C1C1D">
        <w:rPr>
          <w:rFonts w:ascii="Calibri" w:hAnsi="Calibri" w:cs="Calibri"/>
        </w:rPr>
        <w:t xml:space="preserve"> dokonując oceny KPO, pod kątem tego kryterium, nie może pozytywnie ocenić</w:t>
      </w:r>
      <w:r w:rsidR="008C1976">
        <w:rPr>
          <w:rFonts w:ascii="Calibri" w:hAnsi="Calibri" w:cs="Calibri"/>
        </w:rPr>
        <w:t xml:space="preserve"> planu</w:t>
      </w:r>
      <w:r w:rsidR="00F11ECA">
        <w:rPr>
          <w:rFonts w:ascii="Calibri" w:hAnsi="Calibri" w:cs="Calibri"/>
        </w:rPr>
        <w:t xml:space="preserve">, </w:t>
      </w:r>
      <w:r w:rsidRPr="002C1C1D">
        <w:rPr>
          <w:rFonts w:ascii="Calibri" w:hAnsi="Calibri" w:cs="Calibri"/>
        </w:rPr>
        <w:t xml:space="preserve">jeżeli jeden środek lub większa ich liczba nie są zgodne z zasadą DNSH. W związku z powyższym, każda </w:t>
      </w:r>
      <w:r w:rsidR="00D96218" w:rsidRPr="002C1C1D">
        <w:rPr>
          <w:rFonts w:ascii="Calibri" w:hAnsi="Calibri" w:cs="Calibri"/>
        </w:rPr>
        <w:t xml:space="preserve">dotychczasowa </w:t>
      </w:r>
      <w:r w:rsidRPr="002C1C1D">
        <w:rPr>
          <w:rFonts w:ascii="Calibri" w:hAnsi="Calibri" w:cs="Calibri"/>
        </w:rPr>
        <w:t xml:space="preserve">zmiana KPO, </w:t>
      </w:r>
      <w:r w:rsidR="00790DFB">
        <w:rPr>
          <w:rFonts w:ascii="Calibri" w:hAnsi="Calibri" w:cs="Calibri"/>
        </w:rPr>
        <w:t xml:space="preserve">w tym związana z </w:t>
      </w:r>
      <w:r w:rsidR="00732ACA">
        <w:t xml:space="preserve">zaprogramowaniem działań dotyczących </w:t>
      </w:r>
      <w:proofErr w:type="spellStart"/>
      <w:r w:rsidR="00732ACA">
        <w:t>REPowerEU</w:t>
      </w:r>
      <w:proofErr w:type="spellEnd"/>
      <w:r w:rsidR="00790DFB">
        <w:t xml:space="preserve">, </w:t>
      </w:r>
      <w:r w:rsidRPr="002C1C1D">
        <w:rPr>
          <w:rFonts w:ascii="Calibri" w:hAnsi="Calibri" w:cs="Calibri"/>
        </w:rPr>
        <w:t>wią</w:t>
      </w:r>
      <w:r w:rsidR="00D96218" w:rsidRPr="002C1C1D">
        <w:rPr>
          <w:rFonts w:ascii="Calibri" w:hAnsi="Calibri" w:cs="Calibri"/>
        </w:rPr>
        <w:t xml:space="preserve">zała się </w:t>
      </w:r>
      <w:r w:rsidRPr="002C1C1D">
        <w:rPr>
          <w:rFonts w:ascii="Calibri" w:hAnsi="Calibri" w:cs="Calibri"/>
        </w:rPr>
        <w:t>z koniecznością przeprowadzenia oceny i wykazania zgodności z zasadą DNSH tych inwestycji i reform, których dotyczy rewizja</w:t>
      </w:r>
      <w:r w:rsidRPr="002C1C1D">
        <w:rPr>
          <w:rStyle w:val="Odwoanieprzypisudolnego"/>
          <w:rFonts w:ascii="Calibri" w:hAnsi="Calibri" w:cs="Calibri"/>
        </w:rPr>
        <w:footnoteReference w:id="2"/>
      </w:r>
      <w:r w:rsidRPr="002C1C1D">
        <w:rPr>
          <w:rFonts w:ascii="Calibri" w:hAnsi="Calibri" w:cs="Calibri"/>
        </w:rPr>
        <w:t xml:space="preserve">. </w:t>
      </w:r>
      <w:r w:rsidRPr="002C1C1D">
        <w:rPr>
          <w:rFonts w:ascii="Calibri" w:eastAsia="Times New Roman" w:hAnsi="Calibri" w:cs="Calibri"/>
          <w:lang w:eastAsia="pl-PL"/>
        </w:rPr>
        <w:t xml:space="preserve"> </w:t>
      </w:r>
    </w:p>
    <w:p w14:paraId="42B33EAA" w14:textId="7C373256" w:rsidR="005D0684" w:rsidRDefault="005D0684" w:rsidP="008E0B48">
      <w:pPr>
        <w:spacing w:before="120" w:after="120" w:line="240" w:lineRule="auto"/>
        <w:jc w:val="both"/>
        <w:rPr>
          <w:rFonts w:ascii="Calibri" w:hAnsi="Calibri" w:cs="Calibri"/>
        </w:rPr>
      </w:pPr>
      <w:r w:rsidRPr="002C1C1D">
        <w:rPr>
          <w:rFonts w:ascii="Calibri" w:hAnsi="Calibri" w:cs="Calibri"/>
        </w:rPr>
        <w:t xml:space="preserve">Uzgodnienia z KE wykonanej oceny pod kątem zgodności z zasadą DNSH środków ujętych w KPO znajdują </w:t>
      </w:r>
      <w:r w:rsidR="002973CA">
        <w:rPr>
          <w:rFonts w:ascii="Calibri" w:hAnsi="Calibri" w:cs="Calibri"/>
        </w:rPr>
        <w:t xml:space="preserve">każdorazowo </w:t>
      </w:r>
      <w:r w:rsidRPr="002C1C1D">
        <w:rPr>
          <w:rFonts w:ascii="Calibri" w:hAnsi="Calibri" w:cs="Calibri"/>
        </w:rPr>
        <w:t xml:space="preserve">odzwierciedlenie w szczegółowych zapisach decyzji </w:t>
      </w:r>
      <w:r w:rsidR="007F2641" w:rsidRPr="002C1C1D">
        <w:rPr>
          <w:rFonts w:ascii="Calibri" w:hAnsi="Calibri" w:cs="Calibri"/>
        </w:rPr>
        <w:t>implementacyjnej</w:t>
      </w:r>
      <w:r w:rsidRPr="002C1C1D">
        <w:rPr>
          <w:rFonts w:ascii="Calibri" w:hAnsi="Calibri" w:cs="Calibri"/>
        </w:rPr>
        <w:t xml:space="preserve"> Rady (</w:t>
      </w:r>
      <w:r w:rsidR="00E24947" w:rsidRPr="00E24947">
        <w:rPr>
          <w:rFonts w:ascii="Calibri" w:hAnsi="Calibri" w:cs="Calibri"/>
        </w:rPr>
        <w:t>zapisy zawarte w załączniku do CID dla poszczególnych inwestycji</w:t>
      </w:r>
      <w:r w:rsidRPr="002C1C1D">
        <w:rPr>
          <w:rFonts w:ascii="Calibri" w:hAnsi="Calibri" w:cs="Calibri"/>
        </w:rPr>
        <w:t xml:space="preserve">), które określają dla każdego środka </w:t>
      </w:r>
      <w:r w:rsidRPr="002C1C1D">
        <w:rPr>
          <w:rFonts w:ascii="Calibri" w:hAnsi="Calibri" w:cs="Calibri"/>
        </w:rPr>
        <w:lastRenderedPageBreak/>
        <w:t xml:space="preserve">odpowiednie kamienie milowe i wartości docelowe, zapewniające spełnienie mających zastosowanie kryteriów środowiskowych. </w:t>
      </w:r>
    </w:p>
    <w:p w14:paraId="63F5EBCC" w14:textId="59EB0E2E" w:rsidR="007F2641" w:rsidRDefault="00D80EC5" w:rsidP="008E0B48">
      <w:pPr>
        <w:pStyle w:val="Nagwek3"/>
        <w:numPr>
          <w:ilvl w:val="0"/>
          <w:numId w:val="0"/>
        </w:numPr>
        <w:spacing w:before="120" w:after="120" w:line="240" w:lineRule="auto"/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</w:pPr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W celu dostarczenia i uporządkowania wiedzy dotyczącej zasady DNSH i jej zastosowania w ramach nowej perspektywy finansowej UE na lata 2021-2027 zostały opracowane, na zlecenie Ministerstwa F</w:t>
      </w:r>
      <w:r w:rsidR="008372EE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unduszy</w:t>
      </w:r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i Polityki Regionalnej (</w:t>
      </w:r>
      <w:proofErr w:type="spellStart"/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MFiPR</w:t>
      </w:r>
      <w:proofErr w:type="spellEnd"/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), podręczniki</w:t>
      </w:r>
      <w:r w:rsidR="00A85D07">
        <w:rPr>
          <w:rStyle w:val="Odwoanieprzypisudolnego"/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footnoteReference w:id="3"/>
      </w:r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skierowane do pracowników instytucji publicznych (w tym administracji centralnej oraz samorządowej) </w:t>
      </w:r>
      <w:r w:rsidR="00CF2882"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i  </w:t>
      </w:r>
      <w:r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beneficjentów.</w:t>
      </w:r>
      <w:r w:rsidR="00A85D07" w:rsidRPr="00A85D07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</w:t>
      </w:r>
      <w:proofErr w:type="spellStart"/>
      <w:r w:rsidR="00C02D51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MFiPR</w:t>
      </w:r>
      <w:proofErr w:type="spellEnd"/>
      <w:r w:rsidR="00C02D51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zainicjowało </w:t>
      </w:r>
      <w:r w:rsidR="008372EE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także </w:t>
      </w:r>
      <w:r w:rsidR="008C2270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spotkania </w:t>
      </w:r>
      <w:r w:rsidR="00F11ECA" w:rsidRPr="00F11ECA">
        <w:rPr>
          <w:rFonts w:ascii="Calibri" w:hAnsi="Calibri" w:cs="Calibri"/>
          <w:color w:val="auto"/>
          <w:sz w:val="22"/>
          <w:szCs w:val="22"/>
        </w:rPr>
        <w:t>instytucji odpowiedzialnych za koordynację oraz realizację reform i inwestycji</w:t>
      </w:r>
      <w:r w:rsidR="00F11ECA">
        <w:rPr>
          <w:rFonts w:ascii="Calibri" w:hAnsi="Calibri" w:cs="Calibri"/>
          <w:color w:val="auto"/>
          <w:sz w:val="22"/>
          <w:szCs w:val="22"/>
        </w:rPr>
        <w:t xml:space="preserve"> w KPO</w:t>
      </w:r>
      <w:r w:rsidR="008C2270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w</w:t>
      </w:r>
      <w:r w:rsidR="0040686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 </w:t>
      </w:r>
      <w:r w:rsidR="008C2270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formule grupy roboczej DNSH, </w:t>
      </w:r>
      <w:r w:rsidR="00377804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by umożliwić </w:t>
      </w:r>
      <w:r w:rsidR="008C2270" w:rsidRP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dzielenie </w:t>
      </w:r>
      <w:r w:rsidR="008C227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się wiedzą oraz  wymian</w:t>
      </w:r>
      <w:r w:rsidR="00377804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ę</w:t>
      </w:r>
      <w:r w:rsidR="008C227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doświadczeń</w:t>
      </w:r>
      <w:r w:rsidR="000C62B5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w</w:t>
      </w:r>
      <w:r w:rsidR="00377804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 </w:t>
      </w:r>
      <w:r w:rsidR="000C62B5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zakresie implementacji </w:t>
      </w:r>
      <w:r w:rsidR="000C62B5" w:rsidRPr="000C62B5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zasady DNSH w praktyce</w:t>
      </w:r>
      <w:r w:rsidR="008C227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. </w:t>
      </w:r>
      <w:r w:rsidR="009D2C5B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Niemniej specyfika zasady DNSH</w:t>
      </w:r>
      <w:r w:rsidR="0096426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, a także </w:t>
      </w:r>
      <w:r w:rsidR="00F5455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ewaluujące</w:t>
      </w:r>
      <w:r w:rsidR="00314C48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w trakcie wdrażania KPO </w:t>
      </w:r>
      <w:r w:rsidR="002133B8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podejście KE do zasady DNSH </w:t>
      </w:r>
      <w:r w:rsidR="007E4A73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i </w:t>
      </w:r>
      <w:r w:rsidR="0096426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zgłaszan</w:t>
      </w:r>
      <w:r w:rsidR="008C1976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e</w:t>
      </w:r>
      <w:r w:rsidR="0096426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przez instytucje i</w:t>
      </w:r>
      <w:r w:rsidR="00377804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 </w:t>
      </w:r>
      <w:r w:rsidR="0096426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beneficjentów </w:t>
      </w:r>
      <w:r w:rsidR="008C1976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wątpliwości dotyczące</w:t>
      </w:r>
      <w:r w:rsidR="009D2C5B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konieczności stosowania</w:t>
      </w:r>
      <w:r w:rsidR="007E4A73" w:rsidRPr="007E4A73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</w:t>
      </w:r>
      <w:r w:rsidR="007E4A73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zasady</w:t>
      </w:r>
      <w:r w:rsidR="009D2C5B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, </w:t>
      </w:r>
      <w:r w:rsidR="007E4A73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w tym sposobu dokumentowania </w:t>
      </w:r>
      <w:r w:rsidR="00790FC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i monitorowania</w:t>
      </w:r>
      <w:r w:rsidR="00790FC0" w:rsidRPr="00790FC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</w:t>
      </w:r>
      <w:r w:rsidR="00790FC0" w:rsidRPr="00790FC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wymogów dot</w:t>
      </w:r>
      <w:r w:rsidR="00790FC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yczących </w:t>
      </w:r>
      <w:r w:rsidR="00790FC0" w:rsidRPr="00790FC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DNSH z załącznika do CID</w:t>
      </w:r>
      <w:r w:rsidR="007E4A73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, </w:t>
      </w:r>
      <w:r w:rsidR="009D2C5B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warunkuje </w:t>
      </w:r>
      <w:r w:rsidR="00F11E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pozyskanie </w:t>
      </w:r>
      <w:r w:rsidR="000F4946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merytorycznego </w:t>
      </w:r>
      <w:r w:rsidR="008372EE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konsultingu, </w:t>
      </w:r>
      <w:r w:rsidR="000F4946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wsparcia </w:t>
      </w:r>
      <w:r w:rsidR="008C227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i</w:t>
      </w:r>
      <w:r w:rsidR="00377804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 </w:t>
      </w:r>
      <w:r w:rsidR="00964269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opinii od niezależnych </w:t>
      </w:r>
      <w:r w:rsidR="007C5A1D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ekspert</w:t>
      </w:r>
      <w:r w:rsidR="00964269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ów </w:t>
      </w:r>
      <w:r w:rsid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spoza administracji, a </w:t>
      </w:r>
      <w:r w:rsidR="007C5A1D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dysponujący</w:t>
      </w:r>
      <w:r w:rsidR="00964269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ch </w:t>
      </w:r>
      <w:r w:rsidR="002973CA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w szczególności </w:t>
      </w:r>
      <w:r w:rsidR="00A72FB9" w:rsidRP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znajomością wielu aspektów środowiskowych i ich powiązań</w:t>
      </w:r>
      <w:r w:rsidR="007F2641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>.</w:t>
      </w:r>
      <w:r w:rsidR="00790FC0">
        <w:rPr>
          <w:rFonts w:ascii="Calibri" w:eastAsiaTheme="minorHAnsi" w:hAnsi="Calibri" w:cs="Calibri"/>
          <w:color w:val="auto"/>
          <w:kern w:val="0"/>
          <w:sz w:val="22"/>
          <w:szCs w:val="22"/>
          <w14:ligatures w14:val="none"/>
        </w:rPr>
        <w:t xml:space="preserve"> </w:t>
      </w:r>
    </w:p>
    <w:p w14:paraId="11393F81" w14:textId="018F4D75" w:rsidR="0092549F" w:rsidRPr="00272107" w:rsidRDefault="00272107" w:rsidP="00272107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4. </w:t>
      </w:r>
      <w:r w:rsidR="003A296D" w:rsidRPr="00272107">
        <w:rPr>
          <w:rFonts w:ascii="Calibri" w:hAnsi="Calibri" w:cs="Calibri"/>
          <w:b/>
        </w:rPr>
        <w:t xml:space="preserve">Zakres </w:t>
      </w:r>
      <w:r w:rsidR="00A4198F" w:rsidRPr="00272107">
        <w:rPr>
          <w:rFonts w:ascii="Calibri" w:hAnsi="Calibri" w:cs="Calibri"/>
          <w:b/>
        </w:rPr>
        <w:t>za</w:t>
      </w:r>
      <w:r w:rsidRPr="00272107">
        <w:rPr>
          <w:rFonts w:ascii="Calibri" w:hAnsi="Calibri" w:cs="Calibri"/>
          <w:b/>
        </w:rPr>
        <w:t>mówienia</w:t>
      </w:r>
    </w:p>
    <w:p w14:paraId="733296BF" w14:textId="2861C111" w:rsidR="006E6BA1" w:rsidRDefault="00F8356E" w:rsidP="008E0B48">
      <w:pPr>
        <w:spacing w:before="120" w:after="120" w:line="240" w:lineRule="auto"/>
        <w:jc w:val="both"/>
      </w:pPr>
      <w:r>
        <w:rPr>
          <w:rFonts w:ascii="Calibri" w:hAnsi="Calibri" w:cs="Calibri"/>
        </w:rPr>
        <w:t xml:space="preserve">Przedmiot zamówienia </w:t>
      </w:r>
      <w:r>
        <w:t>składa się z</w:t>
      </w:r>
      <w:r w:rsidR="00282AD9">
        <w:t xml:space="preserve"> Z</w:t>
      </w:r>
      <w:r w:rsidR="00853A11">
        <w:t xml:space="preserve">adań, </w:t>
      </w:r>
      <w:r w:rsidR="004D7840">
        <w:t>któr</w:t>
      </w:r>
      <w:r w:rsidR="00853A11">
        <w:t xml:space="preserve">e </w:t>
      </w:r>
      <w:r w:rsidR="004D7840">
        <w:t>Wykonawca opracuje i zrealizuje</w:t>
      </w:r>
      <w:r w:rsidR="00971ECF">
        <w:t xml:space="preserve"> </w:t>
      </w:r>
      <w:r w:rsidR="00853A11">
        <w:t>w</w:t>
      </w:r>
      <w:r w:rsidR="00282AD9">
        <w:t xml:space="preserve"> Etapach. </w:t>
      </w:r>
      <w:r>
        <w:t xml:space="preserve"> </w:t>
      </w:r>
    </w:p>
    <w:p w14:paraId="7606F0B3" w14:textId="0A0B7A9C" w:rsidR="00602298" w:rsidRPr="006E7BD3" w:rsidRDefault="00602298" w:rsidP="008E0B48">
      <w:pPr>
        <w:spacing w:before="120" w:after="120" w:line="240" w:lineRule="auto"/>
        <w:jc w:val="both"/>
        <w:rPr>
          <w:b/>
          <w:bCs/>
        </w:rPr>
      </w:pPr>
      <w:r w:rsidRPr="006E7BD3">
        <w:rPr>
          <w:b/>
          <w:bCs/>
        </w:rPr>
        <w:t xml:space="preserve">Etap I </w:t>
      </w:r>
    </w:p>
    <w:p w14:paraId="516E0231" w14:textId="2117D600" w:rsidR="00F62EAF" w:rsidRPr="00FA5596" w:rsidRDefault="00F62EAF" w:rsidP="008E0B48">
      <w:pPr>
        <w:spacing w:before="120" w:after="120" w:line="240" w:lineRule="auto"/>
        <w:jc w:val="both"/>
        <w:rPr>
          <w:u w:val="single"/>
        </w:rPr>
      </w:pPr>
      <w:r w:rsidRPr="00FA5596">
        <w:rPr>
          <w:u w:val="single"/>
        </w:rPr>
        <w:t>Zadanie 1.</w:t>
      </w:r>
      <w:r w:rsidR="00FA5596" w:rsidRPr="00FA5596">
        <w:rPr>
          <w:u w:val="single"/>
        </w:rPr>
        <w:t xml:space="preserve"> Analiza zgodności z zasadą DNSH</w:t>
      </w:r>
    </w:p>
    <w:p w14:paraId="24954DAA" w14:textId="5A6E35C0" w:rsidR="00602298" w:rsidRPr="00676369" w:rsidRDefault="00602298" w:rsidP="00246D8A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contextualSpacing w:val="0"/>
        <w:jc w:val="both"/>
        <w:rPr>
          <w:rFonts w:ascii="Calibri" w:hAnsi="Calibri" w:cs="Calibri"/>
          <w:i/>
          <w:iCs/>
          <w:u w:val="single"/>
        </w:rPr>
      </w:pPr>
      <w:r w:rsidRPr="00676369">
        <w:rPr>
          <w:rFonts w:ascii="Calibri" w:hAnsi="Calibri" w:cs="Calibri"/>
          <w:i/>
          <w:iCs/>
          <w:u w:val="single"/>
        </w:rPr>
        <w:t xml:space="preserve">Metodyka oceny skutków realizacji reform i inwestycji zawartych w KPO dla środowiska; </w:t>
      </w:r>
    </w:p>
    <w:p w14:paraId="0ED13107" w14:textId="4F35DDDB" w:rsidR="00602298" w:rsidRDefault="00602298" w:rsidP="008E0B4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984A97">
        <w:rPr>
          <w:rFonts w:ascii="Calibri" w:hAnsi="Calibri" w:cs="Calibri"/>
        </w:rPr>
        <w:t xml:space="preserve">Dokonanie oceny pod kątem zgodności z zasadą DNSH wymaga zastosowania różnych metod </w:t>
      </w:r>
      <w:r w:rsidRPr="003F6C51">
        <w:rPr>
          <w:rFonts w:ascii="Calibri" w:hAnsi="Calibri" w:cs="Calibri"/>
          <w:bCs/>
        </w:rPr>
        <w:t xml:space="preserve">oraz narzędzi </w:t>
      </w:r>
      <w:r>
        <w:rPr>
          <w:rFonts w:ascii="Calibri" w:hAnsi="Calibri" w:cs="Calibri"/>
          <w:bCs/>
        </w:rPr>
        <w:t xml:space="preserve">badawczych </w:t>
      </w:r>
      <w:r w:rsidRPr="003F6C51">
        <w:rPr>
          <w:rFonts w:ascii="Calibri" w:hAnsi="Calibri" w:cs="Calibri"/>
          <w:bCs/>
        </w:rPr>
        <w:t>do wykorzystania analiz</w:t>
      </w:r>
      <w:r w:rsidRPr="00984A97">
        <w:rPr>
          <w:rFonts w:ascii="Calibri" w:hAnsi="Calibri" w:cs="Calibri"/>
        </w:rPr>
        <w:t xml:space="preserve">, adekwatnych do stopnia szczegółowości </w:t>
      </w:r>
      <w:r>
        <w:rPr>
          <w:rFonts w:ascii="Calibri" w:hAnsi="Calibri" w:cs="Calibri"/>
        </w:rPr>
        <w:t>danych i</w:t>
      </w:r>
      <w:r w:rsidR="0040686A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możliwości ich pozyskania. </w:t>
      </w:r>
      <w:r w:rsidRPr="00984A97">
        <w:rPr>
          <w:rFonts w:ascii="Calibri" w:hAnsi="Calibri" w:cs="Calibri"/>
        </w:rPr>
        <w:t xml:space="preserve">Wykonawca w oparciu o swoją wiedzę i dotychczasowe doświadczenie, zaproponuje do zastosowania właściwą z punktu widzenia celu </w:t>
      </w:r>
      <w:r>
        <w:rPr>
          <w:rFonts w:ascii="Calibri" w:hAnsi="Calibri" w:cs="Calibri"/>
        </w:rPr>
        <w:t>analizy metodykę.</w:t>
      </w:r>
    </w:p>
    <w:p w14:paraId="0A528AD9" w14:textId="77777777" w:rsidR="00602298" w:rsidRPr="00102E45" w:rsidRDefault="00602298" w:rsidP="008E0B48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102E45">
        <w:rPr>
          <w:rFonts w:eastAsia="Times New Roman" w:cstheme="minorHAnsi"/>
          <w:i/>
          <w:lang w:eastAsia="pl-PL"/>
        </w:rPr>
        <w:t>Minimum wymagane przez Zamawiającego:</w:t>
      </w:r>
      <w:r w:rsidRPr="00102E45">
        <w:rPr>
          <w:rFonts w:eastAsia="Times New Roman" w:cstheme="minorHAnsi"/>
          <w:lang w:eastAsia="pl-PL"/>
        </w:rPr>
        <w:t xml:space="preserve"> </w:t>
      </w:r>
    </w:p>
    <w:p w14:paraId="1BA56E3E" w14:textId="7034FF61" w:rsidR="00602298" w:rsidRDefault="00E924E5" w:rsidP="008E0B48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ascii="Calibri" w:hAnsi="Calibri" w:cs="Calibri"/>
          <w:bCs/>
        </w:rPr>
        <w:t xml:space="preserve">Metodyka </w:t>
      </w:r>
      <w:r w:rsidR="00602298" w:rsidRPr="007F44AC">
        <w:rPr>
          <w:rFonts w:ascii="Calibri" w:hAnsi="Calibri" w:cs="Calibri"/>
          <w:bCs/>
        </w:rPr>
        <w:t>(w tym narzędzi</w:t>
      </w:r>
      <w:r>
        <w:rPr>
          <w:rFonts w:ascii="Calibri" w:hAnsi="Calibri" w:cs="Calibri"/>
          <w:bCs/>
        </w:rPr>
        <w:t>a</w:t>
      </w:r>
      <w:r w:rsidR="00602298" w:rsidRPr="007F44AC">
        <w:rPr>
          <w:rFonts w:ascii="Calibri" w:hAnsi="Calibri" w:cs="Calibri"/>
          <w:bCs/>
        </w:rPr>
        <w:t>) analizy powinn</w:t>
      </w:r>
      <w:r w:rsidR="00602298">
        <w:rPr>
          <w:rFonts w:ascii="Calibri" w:hAnsi="Calibri" w:cs="Calibri"/>
          <w:bCs/>
        </w:rPr>
        <w:t>a</w:t>
      </w:r>
      <w:r w:rsidR="00602298" w:rsidRPr="007F44AC">
        <w:rPr>
          <w:rFonts w:ascii="Calibri" w:hAnsi="Calibri" w:cs="Calibri"/>
          <w:bCs/>
        </w:rPr>
        <w:t xml:space="preserve"> być ściśle powiązan</w:t>
      </w:r>
      <w:r w:rsidR="00602298">
        <w:rPr>
          <w:rFonts w:ascii="Calibri" w:hAnsi="Calibri" w:cs="Calibri"/>
          <w:bCs/>
        </w:rPr>
        <w:t>a</w:t>
      </w:r>
      <w:r w:rsidR="00602298" w:rsidRPr="007F44AC">
        <w:rPr>
          <w:rFonts w:ascii="Calibri" w:hAnsi="Calibri" w:cs="Calibri"/>
          <w:bCs/>
        </w:rPr>
        <w:t xml:space="preserve"> z celami środowiskowymi, w</w:t>
      </w:r>
      <w:r w:rsidR="0040686A">
        <w:rPr>
          <w:rFonts w:ascii="Calibri" w:hAnsi="Calibri" w:cs="Calibri"/>
          <w:bCs/>
        </w:rPr>
        <w:t> </w:t>
      </w:r>
      <w:r w:rsidR="00602298" w:rsidRPr="007F44AC">
        <w:rPr>
          <w:rFonts w:ascii="Calibri" w:hAnsi="Calibri" w:cs="Calibri"/>
          <w:bCs/>
        </w:rPr>
        <w:t>rozumieniu</w:t>
      </w:r>
      <w:r w:rsidR="00602298" w:rsidRPr="007F44AC">
        <w:rPr>
          <w:rFonts w:ascii="Calibri" w:hAnsi="Calibri" w:cs="Calibri"/>
        </w:rPr>
        <w:t xml:space="preserve"> ww. </w:t>
      </w:r>
      <w:r w:rsidR="00602298" w:rsidRPr="007F44AC">
        <w:rPr>
          <w:rFonts w:ascii="Calibri" w:hAnsi="Calibri" w:cs="Calibri"/>
          <w:bCs/>
        </w:rPr>
        <w:t>art. 17 i uwarunkowaniami ich realizacji oraz w jak największym stopniu uwzględniać możliwość wykorzystania w analizach publicznie dostępnych zbiorów danych.</w:t>
      </w:r>
      <w:r w:rsidR="00602298">
        <w:rPr>
          <w:rFonts w:ascii="Calibri" w:hAnsi="Calibri" w:cs="Calibri"/>
          <w:bCs/>
        </w:rPr>
        <w:t xml:space="preserve"> </w:t>
      </w:r>
      <w:r w:rsidR="00602298" w:rsidRPr="00102E45">
        <w:rPr>
          <w:rFonts w:eastAsia="Times New Roman" w:cstheme="minorHAnsi"/>
          <w:lang w:eastAsia="pl-PL"/>
        </w:rPr>
        <w:t xml:space="preserve">Poniższy katalog jest katalogiem otwartym: </w:t>
      </w:r>
    </w:p>
    <w:p w14:paraId="3482F7F9" w14:textId="77777777" w:rsidR="00602298" w:rsidRPr="004C2FF6" w:rsidRDefault="00602298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proofErr w:type="spellStart"/>
      <w:r w:rsidRPr="004C2FF6">
        <w:rPr>
          <w:rFonts w:ascii="Calibri" w:hAnsi="Calibri" w:cs="Calibri"/>
        </w:rPr>
        <w:t>desk</w:t>
      </w:r>
      <w:proofErr w:type="spellEnd"/>
      <w:r w:rsidRPr="004C2FF6">
        <w:rPr>
          <w:rFonts w:ascii="Calibri" w:hAnsi="Calibri" w:cs="Calibri"/>
        </w:rPr>
        <w:t xml:space="preserve"> </w:t>
      </w:r>
      <w:proofErr w:type="spellStart"/>
      <w:r w:rsidRPr="004C2FF6">
        <w:rPr>
          <w:rFonts w:ascii="Calibri" w:hAnsi="Calibri" w:cs="Calibri"/>
        </w:rPr>
        <w:t>research</w:t>
      </w:r>
      <w:proofErr w:type="spellEnd"/>
      <w:r w:rsidRPr="004C2FF6">
        <w:rPr>
          <w:rFonts w:ascii="Calibri" w:hAnsi="Calibri" w:cs="Calibri"/>
        </w:rPr>
        <w:t xml:space="preserve"> (analiza danych zastanych/analiza danych wtórnych);</w:t>
      </w:r>
    </w:p>
    <w:p w14:paraId="1F6FCED2" w14:textId="77777777" w:rsidR="00602298" w:rsidRPr="004C2FF6" w:rsidRDefault="00602298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4C2FF6">
        <w:rPr>
          <w:rFonts w:ascii="Calibri" w:hAnsi="Calibri" w:cs="Calibri"/>
        </w:rPr>
        <w:t>dokumenty międzynarodowe;</w:t>
      </w:r>
    </w:p>
    <w:p w14:paraId="1F5E0D15" w14:textId="7C3ABC12" w:rsidR="00602298" w:rsidRDefault="00602298" w:rsidP="00246D8A">
      <w:pPr>
        <w:pStyle w:val="Akapitzlist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4C2FF6">
        <w:rPr>
          <w:rFonts w:ascii="Calibri" w:hAnsi="Calibri" w:cs="Calibri"/>
        </w:rPr>
        <w:t xml:space="preserve">dokumenty krajowe/regionalne łącznie z opracowanymi dla nich prognozami oddziaływania na środowisko.  </w:t>
      </w:r>
    </w:p>
    <w:p w14:paraId="56E6E8EC" w14:textId="01FAA79F" w:rsidR="00310C6D" w:rsidRPr="00676369" w:rsidRDefault="00676369" w:rsidP="008E0B48">
      <w:pPr>
        <w:suppressAutoHyphens/>
        <w:spacing w:before="120" w:after="120" w:line="240" w:lineRule="auto"/>
        <w:ind w:left="142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 xml:space="preserve">2. </w:t>
      </w:r>
      <w:r w:rsidR="00AB3C27">
        <w:rPr>
          <w:rFonts w:ascii="Calibri" w:hAnsi="Calibri" w:cs="Calibri"/>
          <w:i/>
          <w:iCs/>
          <w:u w:val="single"/>
        </w:rPr>
        <w:t xml:space="preserve">Ocena </w:t>
      </w:r>
      <w:r w:rsidR="00AE419F" w:rsidRPr="00676369">
        <w:rPr>
          <w:rFonts w:ascii="Calibri" w:hAnsi="Calibri" w:cs="Calibri"/>
          <w:i/>
          <w:iCs/>
          <w:u w:val="single"/>
        </w:rPr>
        <w:t xml:space="preserve">spełniania zasady DNSH, w rozumieniu art. 17 rozporządzenia (UE) nr 2020/852 </w:t>
      </w:r>
      <w:proofErr w:type="spellStart"/>
      <w:r w:rsidR="00AE419F" w:rsidRPr="00676369">
        <w:rPr>
          <w:rFonts w:ascii="Calibri" w:hAnsi="Calibri" w:cs="Calibri"/>
          <w:i/>
          <w:iCs/>
          <w:u w:val="single"/>
        </w:rPr>
        <w:t>w</w:t>
      </w:r>
      <w:r w:rsidR="00B744CB" w:rsidRPr="00676369">
        <w:rPr>
          <w:rFonts w:ascii="Calibri" w:hAnsi="Calibri" w:cs="Calibri"/>
          <w:i/>
          <w:iCs/>
          <w:u w:val="single"/>
        </w:rPr>
        <w:t>s</w:t>
      </w:r>
      <w:proofErr w:type="spellEnd"/>
      <w:r w:rsidR="002973CA" w:rsidRPr="00676369">
        <w:rPr>
          <w:rFonts w:ascii="Calibri" w:hAnsi="Calibri" w:cs="Calibri"/>
          <w:i/>
          <w:iCs/>
          <w:u w:val="single"/>
        </w:rPr>
        <w:t>.</w:t>
      </w:r>
      <w:r w:rsidR="00AE419F" w:rsidRPr="00676369">
        <w:rPr>
          <w:rFonts w:ascii="Calibri" w:hAnsi="Calibri" w:cs="Calibri"/>
          <w:i/>
          <w:iCs/>
          <w:u w:val="single"/>
        </w:rPr>
        <w:t xml:space="preserve"> taksonomii dla Krajowy Plan Odbudowy i Zwiększania Odporności</w:t>
      </w:r>
      <w:r w:rsidR="001C1840">
        <w:rPr>
          <w:rFonts w:ascii="Calibri" w:hAnsi="Calibri" w:cs="Calibri"/>
          <w:i/>
          <w:iCs/>
          <w:u w:val="single"/>
        </w:rPr>
        <w:t xml:space="preserve"> </w:t>
      </w:r>
      <w:r w:rsidR="001666DE" w:rsidRPr="00676369">
        <w:rPr>
          <w:rFonts w:ascii="Calibri" w:hAnsi="Calibri" w:cs="Calibri"/>
          <w:i/>
          <w:iCs/>
          <w:u w:val="single"/>
        </w:rPr>
        <w:t>poddanego rewizji</w:t>
      </w:r>
      <w:r w:rsidR="00D11DD2">
        <w:rPr>
          <w:rFonts w:ascii="Calibri" w:hAnsi="Calibri" w:cs="Calibri"/>
          <w:i/>
          <w:iCs/>
          <w:u w:val="single"/>
        </w:rPr>
        <w:t xml:space="preserve"> w 2025 r.</w:t>
      </w:r>
      <w:r w:rsidR="00310C6D" w:rsidRPr="00676369">
        <w:rPr>
          <w:rFonts w:ascii="Calibri" w:hAnsi="Calibri" w:cs="Calibri"/>
          <w:i/>
          <w:iCs/>
          <w:u w:val="single"/>
        </w:rPr>
        <w:t>;</w:t>
      </w:r>
    </w:p>
    <w:p w14:paraId="18FD694B" w14:textId="63E702E2" w:rsidR="001C1840" w:rsidRDefault="001C1840" w:rsidP="008E0B48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F9243C">
        <w:rPr>
          <w:rFonts w:ascii="Calibri" w:hAnsi="Calibri" w:cs="Calibri"/>
        </w:rPr>
        <w:t>Oczekiwana przez Zamawiającego forma prac</w:t>
      </w:r>
      <w:r w:rsidR="0093226E">
        <w:rPr>
          <w:rFonts w:ascii="Calibri" w:hAnsi="Calibri" w:cs="Calibri"/>
        </w:rPr>
        <w:t>y</w:t>
      </w:r>
      <w:r w:rsidRPr="00F9243C">
        <w:rPr>
          <w:rFonts w:ascii="Calibri" w:hAnsi="Calibri" w:cs="Calibri"/>
        </w:rPr>
        <w:t xml:space="preserve"> powinna przyjąć podejście wskazane w Wytycznych technicznych dotyczącymi stosowania zasady „nie czyń poważnych szkód” na podstawie </w:t>
      </w:r>
      <w:r w:rsidR="0093226E">
        <w:rPr>
          <w:rFonts w:ascii="Calibri" w:hAnsi="Calibri" w:cs="Calibri"/>
        </w:rPr>
        <w:t xml:space="preserve"> </w:t>
      </w:r>
      <w:r w:rsidR="0093226E" w:rsidRPr="0093226E">
        <w:rPr>
          <w:rFonts w:ascii="Calibri" w:hAnsi="Calibri" w:cs="Calibri"/>
        </w:rPr>
        <w:t>rozporządzenia ustanawiającego Instrument na rzecz Odbudowy i Zwiększania Odporności</w:t>
      </w:r>
      <w:r w:rsidR="00650D42">
        <w:rPr>
          <w:rFonts w:ascii="Calibri" w:hAnsi="Calibri" w:cs="Calibri"/>
        </w:rPr>
        <w:t xml:space="preserve"> (dalej: Wytyczne techniczne)</w:t>
      </w:r>
      <w:r w:rsidR="0093226E">
        <w:rPr>
          <w:rFonts w:ascii="Calibri" w:hAnsi="Calibri" w:cs="Calibri"/>
        </w:rPr>
        <w:t xml:space="preserve">. </w:t>
      </w:r>
    </w:p>
    <w:p w14:paraId="4E89E042" w14:textId="01D2E527" w:rsidR="006336C3" w:rsidRPr="00715A1B" w:rsidRDefault="00AB3C27" w:rsidP="008E0B48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Analizy </w:t>
      </w:r>
      <w:r w:rsidR="0093226E">
        <w:rPr>
          <w:rFonts w:ascii="Calibri" w:hAnsi="Calibri" w:cs="Calibri"/>
        </w:rPr>
        <w:t xml:space="preserve">pod kątem zgodności z zasadą DNSH Wykonawca dokona w odniesieniu do każdej nowej oraz </w:t>
      </w:r>
      <w:r w:rsidR="00974E04" w:rsidRPr="00715A1B">
        <w:rPr>
          <w:rFonts w:ascii="Calibri" w:hAnsi="Calibri" w:cs="Calibri"/>
        </w:rPr>
        <w:t>zmienian</w:t>
      </w:r>
      <w:r w:rsidR="00710718" w:rsidRPr="00715A1B">
        <w:rPr>
          <w:rFonts w:ascii="Calibri" w:hAnsi="Calibri" w:cs="Calibri"/>
        </w:rPr>
        <w:t>e</w:t>
      </w:r>
      <w:r w:rsidR="0093226E">
        <w:rPr>
          <w:rFonts w:ascii="Calibri" w:hAnsi="Calibri" w:cs="Calibri"/>
        </w:rPr>
        <w:t>j</w:t>
      </w:r>
      <w:r w:rsidR="00974E04" w:rsidRPr="00715A1B">
        <w:rPr>
          <w:rFonts w:ascii="Calibri" w:hAnsi="Calibri" w:cs="Calibri"/>
        </w:rPr>
        <w:t xml:space="preserve"> reform</w:t>
      </w:r>
      <w:r w:rsidR="00710718" w:rsidRPr="00715A1B">
        <w:rPr>
          <w:rFonts w:ascii="Calibri" w:hAnsi="Calibri" w:cs="Calibri"/>
        </w:rPr>
        <w:t>y</w:t>
      </w:r>
      <w:r w:rsidR="00974E04" w:rsidRPr="00715A1B">
        <w:rPr>
          <w:rFonts w:ascii="Calibri" w:hAnsi="Calibri" w:cs="Calibri"/>
        </w:rPr>
        <w:t xml:space="preserve"> i inwestycj</w:t>
      </w:r>
      <w:r w:rsidR="0093226E">
        <w:rPr>
          <w:rFonts w:ascii="Calibri" w:hAnsi="Calibri" w:cs="Calibri"/>
        </w:rPr>
        <w:t xml:space="preserve">i podlegającej </w:t>
      </w:r>
      <w:r w:rsidR="00DA3D20" w:rsidRPr="00715A1B">
        <w:rPr>
          <w:rFonts w:ascii="Calibri" w:hAnsi="Calibri" w:cs="Calibri"/>
        </w:rPr>
        <w:t>rewizji</w:t>
      </w:r>
      <w:r w:rsidR="006C70C4">
        <w:rPr>
          <w:rFonts w:ascii="Calibri" w:hAnsi="Calibri" w:cs="Calibri"/>
        </w:rPr>
        <w:t xml:space="preserve">, </w:t>
      </w:r>
      <w:r w:rsidR="006C70C4">
        <w:t xml:space="preserve">które uznane zostaną za wymagające oceny. </w:t>
      </w:r>
      <w:r w:rsidR="00E924E5" w:rsidRPr="00FF3883">
        <w:rPr>
          <w:rFonts w:ascii="Calibri" w:hAnsi="Calibri" w:cs="Calibri"/>
        </w:rPr>
        <w:t xml:space="preserve">Liczba reform i inwestycji </w:t>
      </w:r>
      <w:r w:rsidR="00AF0105" w:rsidRPr="00FF3883">
        <w:rPr>
          <w:rFonts w:ascii="Calibri" w:hAnsi="Calibri" w:cs="Calibri"/>
        </w:rPr>
        <w:t>podlegający</w:t>
      </w:r>
      <w:r w:rsidR="00DC2E01">
        <w:rPr>
          <w:rFonts w:ascii="Calibri" w:hAnsi="Calibri" w:cs="Calibri"/>
        </w:rPr>
        <w:t>ch</w:t>
      </w:r>
      <w:r w:rsidR="00AF0105" w:rsidRPr="00FF3883">
        <w:rPr>
          <w:rFonts w:ascii="Calibri" w:hAnsi="Calibri" w:cs="Calibri"/>
        </w:rPr>
        <w:t xml:space="preserve"> rewizji</w:t>
      </w:r>
      <w:r w:rsidR="00403BD7" w:rsidRPr="00FF3883">
        <w:rPr>
          <w:rFonts w:ascii="Calibri" w:hAnsi="Calibri" w:cs="Calibri"/>
        </w:rPr>
        <w:t>, w tym ocenie</w:t>
      </w:r>
      <w:r w:rsidR="00AF0105" w:rsidRPr="00FF3883">
        <w:rPr>
          <w:rFonts w:ascii="Calibri" w:hAnsi="Calibri" w:cs="Calibri"/>
        </w:rPr>
        <w:t xml:space="preserve"> </w:t>
      </w:r>
      <w:r w:rsidR="00E924E5" w:rsidRPr="00FF3883">
        <w:rPr>
          <w:rFonts w:ascii="Calibri" w:hAnsi="Calibri" w:cs="Calibri"/>
        </w:rPr>
        <w:t xml:space="preserve">może ulegać zmianom w </w:t>
      </w:r>
      <w:r w:rsidR="00AF0105" w:rsidRPr="00FF3883">
        <w:rPr>
          <w:rFonts w:ascii="Calibri" w:hAnsi="Calibri" w:cs="Calibri"/>
        </w:rPr>
        <w:t xml:space="preserve">toku </w:t>
      </w:r>
      <w:r w:rsidR="00E924E5" w:rsidRPr="00FF3883">
        <w:rPr>
          <w:rFonts w:ascii="Calibri" w:hAnsi="Calibri" w:cs="Calibri"/>
        </w:rPr>
        <w:t>prac.  Zamawiający będzie przekazywać na bieżąco najnowsze wersje dokumentów wraz z załącznikami i</w:t>
      </w:r>
      <w:r w:rsidR="0040686A">
        <w:rPr>
          <w:rFonts w:ascii="Calibri" w:hAnsi="Calibri" w:cs="Calibri"/>
        </w:rPr>
        <w:t> </w:t>
      </w:r>
      <w:r w:rsidR="00493DFA" w:rsidRPr="00FF3883">
        <w:rPr>
          <w:rFonts w:ascii="Calibri" w:hAnsi="Calibri" w:cs="Calibri"/>
        </w:rPr>
        <w:t>informowa</w:t>
      </w:r>
      <w:r w:rsidR="00AF0105" w:rsidRPr="00FF3883">
        <w:rPr>
          <w:rFonts w:ascii="Calibri" w:hAnsi="Calibri" w:cs="Calibri"/>
        </w:rPr>
        <w:t>ć</w:t>
      </w:r>
      <w:r w:rsidR="00493DFA" w:rsidRPr="00FF3883">
        <w:rPr>
          <w:rFonts w:ascii="Calibri" w:hAnsi="Calibri" w:cs="Calibri"/>
        </w:rPr>
        <w:t xml:space="preserve"> o </w:t>
      </w:r>
      <w:r w:rsidR="00E924E5" w:rsidRPr="00FF3883">
        <w:rPr>
          <w:rFonts w:ascii="Calibri" w:hAnsi="Calibri" w:cs="Calibri"/>
        </w:rPr>
        <w:t>ustale</w:t>
      </w:r>
      <w:r w:rsidR="00493DFA" w:rsidRPr="00FF3883">
        <w:rPr>
          <w:rFonts w:ascii="Calibri" w:hAnsi="Calibri" w:cs="Calibri"/>
        </w:rPr>
        <w:t>niach związanych z rewizją</w:t>
      </w:r>
      <w:r w:rsidR="00E14829" w:rsidRPr="00FF3883">
        <w:rPr>
          <w:rFonts w:ascii="Calibri" w:hAnsi="Calibri" w:cs="Calibri"/>
        </w:rPr>
        <w:t xml:space="preserve">, a Wykonawca na każdym etapie realizacji </w:t>
      </w:r>
      <w:r w:rsidR="00282AD9" w:rsidRPr="00FF3883">
        <w:rPr>
          <w:rFonts w:ascii="Calibri" w:hAnsi="Calibri" w:cs="Calibri"/>
        </w:rPr>
        <w:t xml:space="preserve">tego </w:t>
      </w:r>
      <w:r w:rsidR="00633C6D" w:rsidRPr="00FF3883">
        <w:rPr>
          <w:rFonts w:ascii="Calibri" w:hAnsi="Calibri" w:cs="Calibri"/>
        </w:rPr>
        <w:t>Z</w:t>
      </w:r>
      <w:r w:rsidR="00282AD9" w:rsidRPr="00FF3883">
        <w:rPr>
          <w:rFonts w:ascii="Calibri" w:hAnsi="Calibri" w:cs="Calibri"/>
        </w:rPr>
        <w:t xml:space="preserve">adania </w:t>
      </w:r>
      <w:r w:rsidR="00E14829" w:rsidRPr="00FF3883">
        <w:rPr>
          <w:rFonts w:ascii="Calibri" w:hAnsi="Calibri" w:cs="Calibri"/>
        </w:rPr>
        <w:t xml:space="preserve"> będzie się odnosił do aktualnej wersji dokumentów</w:t>
      </w:r>
      <w:r w:rsidR="00E924E5" w:rsidRPr="00FF3883">
        <w:rPr>
          <w:rFonts w:ascii="Calibri" w:hAnsi="Calibri" w:cs="Calibri"/>
        </w:rPr>
        <w:t>.</w:t>
      </w:r>
      <w:r w:rsidR="00493DFA" w:rsidRPr="00FF3883">
        <w:rPr>
          <w:rFonts w:ascii="Calibri" w:hAnsi="Calibri" w:cs="Calibri"/>
        </w:rPr>
        <w:t xml:space="preserve"> </w:t>
      </w:r>
      <w:r w:rsidR="006336C3" w:rsidRPr="00FF3883">
        <w:rPr>
          <w:rFonts w:ascii="Calibri" w:hAnsi="Calibri" w:cs="Calibri"/>
        </w:rPr>
        <w:t>Taki tryb pracy wynika z prac nad dokumentami na poziomie unijnym i krajowym.</w:t>
      </w:r>
      <w:r w:rsidR="006336C3" w:rsidRPr="00715A1B">
        <w:rPr>
          <w:rFonts w:ascii="Calibri" w:hAnsi="Calibri" w:cs="Calibri"/>
        </w:rPr>
        <w:t xml:space="preserve"> </w:t>
      </w:r>
    </w:p>
    <w:p w14:paraId="09B279F7" w14:textId="1C99B5FA" w:rsidR="00F90C45" w:rsidRPr="009505C3" w:rsidRDefault="009505C3" w:rsidP="007202E7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715A1B">
        <w:rPr>
          <w:rFonts w:ascii="Calibri" w:hAnsi="Calibri" w:cs="Calibri"/>
        </w:rPr>
        <w:t xml:space="preserve">Wykonawca jest zobowiązany do opracowania </w:t>
      </w:r>
      <w:r w:rsidR="00192125" w:rsidRPr="00715A1B">
        <w:rPr>
          <w:rFonts w:ascii="Calibri" w:hAnsi="Calibri" w:cs="Calibri"/>
        </w:rPr>
        <w:t xml:space="preserve">- </w:t>
      </w:r>
      <w:r w:rsidR="00A319AD" w:rsidRPr="00715A1B">
        <w:rPr>
          <w:rFonts w:ascii="Calibri" w:hAnsi="Calibri" w:cs="Calibri"/>
        </w:rPr>
        <w:t>z</w:t>
      </w:r>
      <w:r w:rsidR="002E7DE4" w:rsidRPr="00715A1B">
        <w:rPr>
          <w:rFonts w:ascii="Calibri" w:hAnsi="Calibri" w:cs="Calibri"/>
        </w:rPr>
        <w:t xml:space="preserve">godnie z harmonogramem prac oraz do dostarczenia </w:t>
      </w:r>
      <w:r w:rsidR="001B53EF" w:rsidRPr="00715A1B">
        <w:rPr>
          <w:rFonts w:ascii="Calibri" w:hAnsi="Calibri" w:cs="Calibri"/>
        </w:rPr>
        <w:t>Zamawiającemu</w:t>
      </w:r>
      <w:r w:rsidR="001B53EF" w:rsidRPr="009505C3">
        <w:rPr>
          <w:rFonts w:ascii="Calibri" w:hAnsi="Calibri" w:cs="Calibri"/>
        </w:rPr>
        <w:t>:</w:t>
      </w:r>
    </w:p>
    <w:p w14:paraId="16F343C4" w14:textId="7F663C0C" w:rsidR="00467C64" w:rsidRPr="00403BD7" w:rsidRDefault="00DC08C6" w:rsidP="007202E7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DC08C6">
        <w:rPr>
          <w:rFonts w:ascii="Arial" w:eastAsia="Times New Roman" w:hAnsi="Arial" w:cs="Arial"/>
          <w:sz w:val="20"/>
          <w:szCs w:val="20"/>
          <w:lang w:eastAsia="pl-PL"/>
        </w:rPr>
        <w:t>2.1</w:t>
      </w:r>
      <w:r w:rsidRPr="00403BD7">
        <w:rPr>
          <w:rFonts w:ascii="Calibri" w:hAnsi="Calibri" w:cs="Calibri"/>
        </w:rPr>
        <w:t xml:space="preserve">. </w:t>
      </w:r>
      <w:r w:rsidR="0037114C" w:rsidRPr="00403BD7">
        <w:rPr>
          <w:rFonts w:eastAsia="Times New Roman" w:cstheme="minorHAnsi"/>
          <w:i/>
          <w:iCs/>
          <w:lang w:eastAsia="pl-PL"/>
        </w:rPr>
        <w:t xml:space="preserve">Oceny </w:t>
      </w:r>
      <w:r w:rsidR="0037114C" w:rsidRPr="00403BD7">
        <w:rPr>
          <w:rFonts w:eastAsia="Arial Unicode MS" w:cstheme="minorHAnsi"/>
          <w:i/>
          <w:iCs/>
          <w:lang w:eastAsia="pl-PL"/>
        </w:rPr>
        <w:t xml:space="preserve">reform i inwestycji w ramach rewizji krajowego Planu Odbudowy i Zwiększania Odporności </w:t>
      </w:r>
      <w:r w:rsidR="0037114C" w:rsidRPr="00403BD7">
        <w:rPr>
          <w:rFonts w:eastAsia="Times New Roman" w:cstheme="minorHAnsi"/>
          <w:i/>
          <w:iCs/>
          <w:lang w:eastAsia="pl-PL"/>
        </w:rPr>
        <w:t>pod kątem zgodności z zasadą DNSH</w:t>
      </w:r>
      <w:r w:rsidR="0037114C" w:rsidRPr="00403BD7">
        <w:rPr>
          <w:rFonts w:eastAsia="Times New Roman" w:cstheme="minorHAnsi"/>
          <w:i/>
          <w:lang w:eastAsia="pl-PL"/>
        </w:rPr>
        <w:t xml:space="preserve"> - </w:t>
      </w:r>
      <w:r w:rsidR="00F62B85" w:rsidRPr="00403BD7">
        <w:rPr>
          <w:rFonts w:eastAsia="Times New Roman" w:cstheme="minorHAnsi"/>
          <w:lang w:eastAsia="pl-PL"/>
        </w:rPr>
        <w:t>w celu przekazania do KE</w:t>
      </w:r>
      <w:r w:rsidR="009505C3" w:rsidRPr="00403BD7">
        <w:rPr>
          <w:rFonts w:eastAsia="Times New Roman" w:cstheme="minorHAnsi"/>
          <w:lang w:eastAsia="pl-PL"/>
        </w:rPr>
        <w:t>;</w:t>
      </w:r>
      <w:r w:rsidR="00F62B85" w:rsidRPr="00403BD7">
        <w:rPr>
          <w:rFonts w:eastAsia="Times New Roman" w:cstheme="minorHAnsi"/>
          <w:lang w:eastAsia="pl-PL"/>
        </w:rPr>
        <w:t xml:space="preserve"> </w:t>
      </w:r>
    </w:p>
    <w:p w14:paraId="0D7B6BA1" w14:textId="2C5C0C70" w:rsidR="00467C64" w:rsidRPr="00403BD7" w:rsidRDefault="00DC08C6" w:rsidP="00C8561C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="Times New Roman" w:cstheme="minorHAnsi"/>
          <w:iCs/>
          <w:lang w:eastAsia="pl-PL"/>
        </w:rPr>
      </w:pPr>
      <w:r w:rsidRPr="00403BD7">
        <w:rPr>
          <w:rFonts w:eastAsia="Times New Roman" w:cstheme="minorHAnsi"/>
          <w:lang w:eastAsia="pl-PL"/>
        </w:rPr>
        <w:t xml:space="preserve">2.2. </w:t>
      </w:r>
      <w:r w:rsidR="00467C64" w:rsidRPr="00403BD7">
        <w:rPr>
          <w:rFonts w:ascii="Calibri" w:hAnsi="Calibri" w:cs="Calibri"/>
        </w:rPr>
        <w:t>ostatecznej wersji</w:t>
      </w:r>
      <w:r w:rsidR="00467C64" w:rsidRPr="00403BD7">
        <w:rPr>
          <w:rFonts w:eastAsia="Times New Roman" w:cstheme="minorHAnsi"/>
          <w:lang w:eastAsia="pl-PL"/>
        </w:rPr>
        <w:t xml:space="preserve"> </w:t>
      </w:r>
      <w:r w:rsidR="0037114C" w:rsidRPr="00403BD7">
        <w:rPr>
          <w:rFonts w:eastAsia="Times New Roman" w:cstheme="minorHAnsi"/>
          <w:i/>
          <w:iCs/>
          <w:lang w:eastAsia="pl-PL"/>
        </w:rPr>
        <w:t xml:space="preserve">Oceny </w:t>
      </w:r>
      <w:r w:rsidR="0037114C" w:rsidRPr="00403BD7">
        <w:rPr>
          <w:rFonts w:eastAsia="Arial Unicode MS" w:cstheme="minorHAnsi"/>
          <w:i/>
          <w:iCs/>
          <w:lang w:eastAsia="pl-PL"/>
        </w:rPr>
        <w:t>reform i inwestycji w ramach rewizji krajowego Planu Odbudowy i</w:t>
      </w:r>
      <w:r w:rsidR="0040686A">
        <w:rPr>
          <w:rFonts w:eastAsia="Arial Unicode MS" w:cstheme="minorHAnsi"/>
          <w:i/>
          <w:iCs/>
          <w:lang w:eastAsia="pl-PL"/>
        </w:rPr>
        <w:t> </w:t>
      </w:r>
      <w:r w:rsidR="0037114C" w:rsidRPr="00403BD7">
        <w:rPr>
          <w:rFonts w:eastAsia="Arial Unicode MS" w:cstheme="minorHAnsi"/>
          <w:i/>
          <w:iCs/>
          <w:lang w:eastAsia="pl-PL"/>
        </w:rPr>
        <w:t xml:space="preserve">Zwiększania Odporności </w:t>
      </w:r>
      <w:r w:rsidR="0037114C" w:rsidRPr="00403BD7">
        <w:rPr>
          <w:rFonts w:eastAsia="Times New Roman" w:cstheme="minorHAnsi"/>
          <w:i/>
          <w:iCs/>
          <w:lang w:eastAsia="pl-PL"/>
        </w:rPr>
        <w:t>pod kątem zgodności z zasadą DNSH</w:t>
      </w:r>
      <w:r w:rsidR="00F62B85" w:rsidRPr="00403BD7">
        <w:rPr>
          <w:rFonts w:eastAsia="Times New Roman" w:cstheme="minorHAnsi"/>
          <w:i/>
          <w:lang w:eastAsia="pl-PL"/>
        </w:rPr>
        <w:t xml:space="preserve"> - </w:t>
      </w:r>
      <w:r w:rsidR="00F62B85" w:rsidRPr="00403BD7">
        <w:rPr>
          <w:rFonts w:eastAsia="Times New Roman" w:cstheme="minorHAnsi"/>
          <w:iCs/>
          <w:lang w:eastAsia="pl-PL"/>
        </w:rPr>
        <w:t>uwzględniającej ustalenia z KE</w:t>
      </w:r>
      <w:r w:rsidR="009505C3" w:rsidRPr="00403BD7">
        <w:rPr>
          <w:rFonts w:eastAsia="Times New Roman" w:cstheme="minorHAnsi"/>
          <w:iCs/>
          <w:lang w:eastAsia="pl-PL"/>
        </w:rPr>
        <w:t>;</w:t>
      </w:r>
    </w:p>
    <w:p w14:paraId="395E5DA4" w14:textId="06AEF3BD" w:rsidR="00DC08C6" w:rsidRPr="00BA4F5F" w:rsidRDefault="00DC08C6" w:rsidP="007202E7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BA4F5F">
        <w:rPr>
          <w:rFonts w:eastAsia="Times New Roman" w:cstheme="minorHAnsi"/>
          <w:i/>
          <w:lang w:eastAsia="pl-PL"/>
        </w:rPr>
        <w:t>Wymagane przez Zamawiającego:</w:t>
      </w:r>
      <w:r w:rsidRPr="00BA4F5F">
        <w:rPr>
          <w:rFonts w:eastAsia="Times New Roman" w:cstheme="minorHAnsi"/>
          <w:lang w:eastAsia="pl-PL"/>
        </w:rPr>
        <w:t xml:space="preserve"> </w:t>
      </w:r>
    </w:p>
    <w:p w14:paraId="52DCC685" w14:textId="5D644AD5" w:rsidR="00467C64" w:rsidRPr="00BA4F5F" w:rsidRDefault="00876236" w:rsidP="007202E7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931B70" w:rsidRPr="00BA4F5F">
        <w:rPr>
          <w:rFonts w:eastAsia="Times New Roman" w:cstheme="minorHAnsi"/>
          <w:lang w:eastAsia="pl-PL"/>
        </w:rPr>
        <w:t xml:space="preserve">okument </w:t>
      </w:r>
      <w:r w:rsidR="00467C64" w:rsidRPr="00BA4F5F">
        <w:rPr>
          <w:rFonts w:eastAsia="Times New Roman" w:cstheme="minorHAnsi"/>
          <w:lang w:eastAsia="pl-PL"/>
        </w:rPr>
        <w:t>powin</w:t>
      </w:r>
      <w:r w:rsidR="00931B70" w:rsidRPr="00BA4F5F">
        <w:rPr>
          <w:rFonts w:eastAsia="Times New Roman" w:cstheme="minorHAnsi"/>
          <w:lang w:eastAsia="pl-PL"/>
        </w:rPr>
        <w:t xml:space="preserve">ien </w:t>
      </w:r>
      <w:r w:rsidR="00467C64" w:rsidRPr="00BA4F5F">
        <w:rPr>
          <w:rFonts w:eastAsia="Times New Roman" w:cstheme="minorHAnsi"/>
          <w:lang w:eastAsia="pl-PL"/>
        </w:rPr>
        <w:t>być opracowan</w:t>
      </w:r>
      <w:r w:rsidR="000A1974">
        <w:rPr>
          <w:rFonts w:eastAsia="Times New Roman" w:cstheme="minorHAnsi"/>
          <w:lang w:eastAsia="pl-PL"/>
        </w:rPr>
        <w:t>y</w:t>
      </w:r>
      <w:r w:rsidR="00467C64" w:rsidRPr="00BA4F5F">
        <w:rPr>
          <w:rFonts w:eastAsia="Times New Roman" w:cstheme="minorHAnsi"/>
          <w:lang w:eastAsia="pl-PL"/>
        </w:rPr>
        <w:t xml:space="preserve"> w języku polskim</w:t>
      </w:r>
      <w:r w:rsidR="00BE7204" w:rsidRPr="00BA4F5F">
        <w:rPr>
          <w:rFonts w:eastAsia="Times New Roman" w:cstheme="minorHAnsi"/>
          <w:lang w:eastAsia="pl-PL"/>
        </w:rPr>
        <w:t xml:space="preserve"> i </w:t>
      </w:r>
      <w:r w:rsidR="00467C64" w:rsidRPr="00BA4F5F">
        <w:rPr>
          <w:rFonts w:eastAsia="Times New Roman" w:cstheme="minorHAnsi"/>
          <w:lang w:eastAsia="pl-PL"/>
        </w:rPr>
        <w:t xml:space="preserve">mieć strukturę: </w:t>
      </w:r>
    </w:p>
    <w:p w14:paraId="1C506146" w14:textId="77777777" w:rsidR="00467C64" w:rsidRPr="00F02D80" w:rsidRDefault="00467C64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F02D80">
        <w:rPr>
          <w:rFonts w:ascii="Calibri" w:hAnsi="Calibri" w:cs="Calibri"/>
        </w:rPr>
        <w:t>spis treści;</w:t>
      </w:r>
    </w:p>
    <w:p w14:paraId="52B0777F" w14:textId="77777777" w:rsidR="00467C64" w:rsidRPr="00F02D80" w:rsidRDefault="00467C64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F02D80">
        <w:rPr>
          <w:rFonts w:ascii="Calibri" w:hAnsi="Calibri" w:cs="Calibri"/>
        </w:rPr>
        <w:t>wyjaśnienia terminologii i użytych skrótów (słowniczek);</w:t>
      </w:r>
    </w:p>
    <w:p w14:paraId="2ECC1209" w14:textId="20D45D53" w:rsidR="00467C64" w:rsidRPr="00F02D80" w:rsidRDefault="00467C64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F02D80">
        <w:rPr>
          <w:rFonts w:ascii="Calibri" w:hAnsi="Calibri" w:cs="Calibri"/>
        </w:rPr>
        <w:t xml:space="preserve">skrócony opis zastosowanej </w:t>
      </w:r>
      <w:r w:rsidR="00AF2400" w:rsidRPr="00F02D80">
        <w:rPr>
          <w:rFonts w:ascii="Calibri" w:hAnsi="Calibri" w:cs="Calibri"/>
        </w:rPr>
        <w:t xml:space="preserve">metodyki oraz </w:t>
      </w:r>
      <w:r w:rsidRPr="00F02D80">
        <w:rPr>
          <w:rFonts w:ascii="Calibri" w:hAnsi="Calibri" w:cs="Calibri"/>
        </w:rPr>
        <w:t>źródła informacji wykorzystywane w</w:t>
      </w:r>
      <w:r w:rsidR="0040686A">
        <w:rPr>
          <w:rFonts w:ascii="Calibri" w:hAnsi="Calibri" w:cs="Calibri"/>
        </w:rPr>
        <w:t> </w:t>
      </w:r>
      <w:r w:rsidRPr="00F02D80">
        <w:rPr>
          <w:rFonts w:ascii="Calibri" w:hAnsi="Calibri" w:cs="Calibri"/>
        </w:rPr>
        <w:t>badaniu;</w:t>
      </w:r>
    </w:p>
    <w:p w14:paraId="60021055" w14:textId="2CC6D2DD" w:rsidR="00467C64" w:rsidRPr="00F02D80" w:rsidRDefault="00467C64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F02D80">
        <w:rPr>
          <w:rFonts w:ascii="Calibri" w:hAnsi="Calibri" w:cs="Calibri"/>
        </w:rPr>
        <w:t>opis wyników przeprowadzonych analiz</w:t>
      </w:r>
      <w:r w:rsidR="002E7DE4" w:rsidRPr="00F02D80">
        <w:rPr>
          <w:rFonts w:ascii="Calibri" w:hAnsi="Calibri" w:cs="Calibri"/>
        </w:rPr>
        <w:t xml:space="preserve"> w tabelach </w:t>
      </w:r>
      <w:r w:rsidR="00BE4915">
        <w:rPr>
          <w:rFonts w:ascii="Calibri" w:hAnsi="Calibri" w:cs="Calibri"/>
        </w:rPr>
        <w:t xml:space="preserve">(z </w:t>
      </w:r>
      <w:r w:rsidR="00650D42" w:rsidRPr="00F02D80">
        <w:rPr>
          <w:rFonts w:ascii="Calibri" w:hAnsi="Calibri" w:cs="Calibri"/>
        </w:rPr>
        <w:t>za</w:t>
      </w:r>
      <w:r w:rsidR="00BE4915">
        <w:rPr>
          <w:rFonts w:ascii="Calibri" w:hAnsi="Calibri" w:cs="Calibri"/>
        </w:rPr>
        <w:t xml:space="preserve">łącznika do </w:t>
      </w:r>
      <w:r w:rsidR="00650D42" w:rsidRPr="00F02D80">
        <w:rPr>
          <w:rFonts w:ascii="Calibri" w:hAnsi="Calibri" w:cs="Calibri"/>
        </w:rPr>
        <w:t>Wytycznych technicznych</w:t>
      </w:r>
      <w:r w:rsidR="00BE4915">
        <w:rPr>
          <w:rFonts w:ascii="Calibri" w:hAnsi="Calibri" w:cs="Calibri"/>
        </w:rPr>
        <w:t>)</w:t>
      </w:r>
      <w:r w:rsidRPr="00F02D80">
        <w:rPr>
          <w:rFonts w:ascii="Calibri" w:hAnsi="Calibri" w:cs="Calibri"/>
        </w:rPr>
        <w:t>.</w:t>
      </w:r>
    </w:p>
    <w:p w14:paraId="4A3988CF" w14:textId="6DF9A992" w:rsidR="00467C64" w:rsidRDefault="00467C64" w:rsidP="007202E7">
      <w:pPr>
        <w:tabs>
          <w:tab w:val="left" w:pos="709"/>
        </w:tabs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4C2FF6">
        <w:rPr>
          <w:rFonts w:eastAsia="Times New Roman" w:cstheme="minorHAnsi"/>
          <w:lang w:eastAsia="pl-PL"/>
        </w:rPr>
        <w:t xml:space="preserve">Całość </w:t>
      </w:r>
      <w:r w:rsidR="00876236">
        <w:rPr>
          <w:rFonts w:eastAsia="Times New Roman" w:cstheme="minorHAnsi"/>
          <w:lang w:eastAsia="pl-PL"/>
        </w:rPr>
        <w:t xml:space="preserve">dokumentu </w:t>
      </w:r>
      <w:r w:rsidRPr="004C2FF6">
        <w:rPr>
          <w:rFonts w:eastAsia="Times New Roman" w:cstheme="minorHAnsi"/>
          <w:lang w:eastAsia="pl-PL"/>
        </w:rPr>
        <w:t xml:space="preserve">(bez </w:t>
      </w:r>
      <w:r w:rsidR="00CE6698">
        <w:rPr>
          <w:rFonts w:eastAsia="Times New Roman" w:cstheme="minorHAnsi"/>
          <w:lang w:eastAsia="pl-PL"/>
        </w:rPr>
        <w:t xml:space="preserve">ew. </w:t>
      </w:r>
      <w:r w:rsidRPr="004C2FF6">
        <w:rPr>
          <w:rFonts w:eastAsia="Times New Roman" w:cstheme="minorHAnsi"/>
          <w:lang w:eastAsia="pl-PL"/>
        </w:rPr>
        <w:t xml:space="preserve">załączników) nie powinna przekraczać </w:t>
      </w:r>
      <w:r w:rsidR="00047014" w:rsidRPr="004C2FF6">
        <w:rPr>
          <w:rFonts w:eastAsia="Times New Roman" w:cstheme="minorHAnsi"/>
          <w:lang w:eastAsia="pl-PL"/>
        </w:rPr>
        <w:t>50</w:t>
      </w:r>
      <w:r w:rsidRPr="004C2FF6">
        <w:rPr>
          <w:rFonts w:eastAsia="Times New Roman" w:cstheme="minorHAnsi"/>
          <w:lang w:eastAsia="pl-PL"/>
        </w:rPr>
        <w:t xml:space="preserve"> stron</w:t>
      </w:r>
      <w:r w:rsidR="007E04F6">
        <w:rPr>
          <w:rFonts w:eastAsia="Times New Roman" w:cstheme="minorHAnsi"/>
          <w:lang w:eastAsia="pl-PL"/>
        </w:rPr>
        <w:t xml:space="preserve"> (</w:t>
      </w:r>
      <w:r w:rsidR="007E04F6" w:rsidRPr="00101E6F">
        <w:rPr>
          <w:rFonts w:eastAsia="Times New Roman" w:cstheme="minorHAnsi"/>
          <w:lang w:eastAsia="pl-PL"/>
        </w:rPr>
        <w:t xml:space="preserve">przy założeniu formatu A4), w tym </w:t>
      </w:r>
      <w:r w:rsidR="00101E6F">
        <w:rPr>
          <w:rFonts w:eastAsia="Times New Roman" w:cstheme="minorHAnsi"/>
          <w:lang w:eastAsia="pl-PL"/>
        </w:rPr>
        <w:t>co najmniej 3/4</w:t>
      </w:r>
      <w:r w:rsidR="00101E6F" w:rsidRPr="00101E6F">
        <w:rPr>
          <w:rFonts w:eastAsia="Times New Roman" w:cstheme="minorHAnsi"/>
          <w:lang w:eastAsia="pl-PL"/>
        </w:rPr>
        <w:t xml:space="preserve"> </w:t>
      </w:r>
      <w:r w:rsidR="007E04F6" w:rsidRPr="00101E6F">
        <w:rPr>
          <w:rFonts w:eastAsia="Times New Roman" w:cstheme="minorHAnsi"/>
          <w:lang w:eastAsia="pl-PL"/>
        </w:rPr>
        <w:t xml:space="preserve">stron poświęcona opisowi </w:t>
      </w:r>
      <w:r w:rsidR="00101E6F" w:rsidRPr="00101E6F">
        <w:rPr>
          <w:rFonts w:eastAsia="Times New Roman" w:cstheme="minorHAnsi"/>
          <w:lang w:eastAsia="pl-PL"/>
        </w:rPr>
        <w:t xml:space="preserve">wyników przeprowadzonych analiz w tabelach. W </w:t>
      </w:r>
      <w:r w:rsidRPr="004C2FF6">
        <w:rPr>
          <w:rFonts w:eastAsia="Times New Roman" w:cstheme="minorHAnsi"/>
          <w:lang w:eastAsia="pl-PL"/>
        </w:rPr>
        <w:t xml:space="preserve">razie uzasadnionej konieczności, ewentualne zwiększenie objętości tekstu wymaga uzyskania zgody Zamawiającego. </w:t>
      </w:r>
    </w:p>
    <w:p w14:paraId="24E9FBE9" w14:textId="4B009C52" w:rsidR="002557C2" w:rsidRPr="002557C2" w:rsidRDefault="002557C2" w:rsidP="002557C2">
      <w:pPr>
        <w:tabs>
          <w:tab w:val="left" w:pos="709"/>
        </w:tabs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Dostarczone dokumenty powinny zostać wykonane tak, by były </w:t>
      </w:r>
      <w:r w:rsidR="009276B6">
        <w:rPr>
          <w:rFonts w:eastAsia="Times New Roman" w:cstheme="minorHAnsi"/>
          <w:lang w:eastAsia="pl-PL"/>
        </w:rPr>
        <w:t>dostosowan</w:t>
      </w:r>
      <w:r>
        <w:rPr>
          <w:rFonts w:eastAsia="Times New Roman" w:cstheme="minorHAnsi"/>
          <w:lang w:eastAsia="pl-PL"/>
        </w:rPr>
        <w:t>e</w:t>
      </w:r>
      <w:r w:rsidR="009276B6">
        <w:rPr>
          <w:rFonts w:eastAsia="Times New Roman" w:cstheme="minorHAnsi"/>
          <w:lang w:eastAsia="pl-PL"/>
        </w:rPr>
        <w:t xml:space="preserve"> </w:t>
      </w:r>
      <w:r w:rsidR="009276B6" w:rsidRPr="009276B6">
        <w:rPr>
          <w:rFonts w:eastAsia="Times New Roman" w:cstheme="minorHAnsi"/>
          <w:lang w:eastAsia="pl-PL"/>
        </w:rPr>
        <w:t>do użytku osób z</w:t>
      </w:r>
      <w:r w:rsidR="0040686A">
        <w:rPr>
          <w:rFonts w:eastAsia="Times New Roman" w:cstheme="minorHAnsi"/>
          <w:lang w:eastAsia="pl-PL"/>
        </w:rPr>
        <w:t> </w:t>
      </w:r>
      <w:r w:rsidR="009276B6" w:rsidRPr="009276B6">
        <w:rPr>
          <w:rFonts w:eastAsia="Times New Roman" w:cstheme="minorHAnsi"/>
          <w:lang w:eastAsia="pl-PL"/>
        </w:rPr>
        <w:t>niepełnosprawnościami (zasada dostępności), zgodnie ze Standardami dostępności dla polityki spójności 20</w:t>
      </w:r>
      <w:r w:rsidR="009276B6">
        <w:rPr>
          <w:rFonts w:eastAsia="Times New Roman" w:cstheme="minorHAnsi"/>
          <w:lang w:eastAsia="pl-PL"/>
        </w:rPr>
        <w:t>21</w:t>
      </w:r>
      <w:r w:rsidR="009276B6" w:rsidRPr="009276B6">
        <w:rPr>
          <w:rFonts w:eastAsia="Times New Roman" w:cstheme="minorHAnsi"/>
          <w:lang w:eastAsia="pl-PL"/>
        </w:rPr>
        <w:t>-202</w:t>
      </w:r>
      <w:r w:rsidR="009276B6">
        <w:rPr>
          <w:rFonts w:eastAsia="Times New Roman" w:cstheme="minorHAnsi"/>
          <w:lang w:eastAsia="pl-PL"/>
        </w:rPr>
        <w:t>7</w:t>
      </w:r>
      <w:r w:rsidR="009276B6" w:rsidRPr="009276B6">
        <w:rPr>
          <w:rFonts w:eastAsia="Times New Roman" w:cstheme="minorHAnsi"/>
          <w:lang w:eastAsia="pl-PL"/>
        </w:rPr>
        <w:t xml:space="preserve"> (załącznik nr 2 do Wytyczn</w:t>
      </w:r>
      <w:r w:rsidR="009276B6">
        <w:rPr>
          <w:rFonts w:eastAsia="Times New Roman" w:cstheme="minorHAnsi"/>
          <w:lang w:eastAsia="pl-PL"/>
        </w:rPr>
        <w:t xml:space="preserve">ych </w:t>
      </w:r>
      <w:r w:rsidR="009276B6" w:rsidRPr="009276B6">
        <w:rPr>
          <w:rFonts w:eastAsia="Times New Roman" w:cstheme="minorHAnsi"/>
          <w:lang w:eastAsia="pl-PL"/>
        </w:rPr>
        <w:t>dotycząc</w:t>
      </w:r>
      <w:r w:rsidR="009276B6">
        <w:rPr>
          <w:rFonts w:eastAsia="Times New Roman" w:cstheme="minorHAnsi"/>
          <w:lang w:eastAsia="pl-PL"/>
        </w:rPr>
        <w:t xml:space="preserve">ych </w:t>
      </w:r>
      <w:r w:rsidR="009276B6" w:rsidRPr="009276B6">
        <w:rPr>
          <w:rFonts w:eastAsia="Times New Roman" w:cstheme="minorHAnsi"/>
          <w:lang w:eastAsia="pl-PL"/>
        </w:rPr>
        <w:t>realizacji zasad równościowych w</w:t>
      </w:r>
      <w:r w:rsidR="00732100">
        <w:rPr>
          <w:rFonts w:eastAsia="Times New Roman" w:cstheme="minorHAnsi"/>
          <w:lang w:eastAsia="pl-PL"/>
        </w:rPr>
        <w:t> </w:t>
      </w:r>
      <w:r w:rsidR="009276B6" w:rsidRPr="009276B6">
        <w:rPr>
          <w:rFonts w:eastAsia="Times New Roman" w:cstheme="minorHAnsi"/>
          <w:lang w:eastAsia="pl-PL"/>
        </w:rPr>
        <w:t>ramach funduszy</w:t>
      </w:r>
      <w:r w:rsidR="009276B6">
        <w:rPr>
          <w:rFonts w:eastAsia="Times New Roman" w:cstheme="minorHAnsi"/>
          <w:lang w:eastAsia="pl-PL"/>
        </w:rPr>
        <w:t xml:space="preserve"> </w:t>
      </w:r>
      <w:r w:rsidR="009276B6" w:rsidRPr="009276B6">
        <w:rPr>
          <w:rFonts w:eastAsia="Times New Roman" w:cstheme="minorHAnsi"/>
          <w:lang w:eastAsia="pl-PL"/>
        </w:rPr>
        <w:t>unijnych na lata 2021-2027</w:t>
      </w:r>
      <w:r w:rsidR="009276B6">
        <w:rPr>
          <w:rFonts w:eastAsia="Times New Roman" w:cstheme="minorHAnsi"/>
          <w:lang w:eastAsia="pl-PL"/>
        </w:rPr>
        <w:t xml:space="preserve">). </w:t>
      </w:r>
      <w:r w:rsidRPr="002557C2">
        <w:rPr>
          <w:rFonts w:eastAsia="Times New Roman" w:cstheme="minorHAnsi"/>
          <w:lang w:eastAsia="pl-PL"/>
        </w:rPr>
        <w:t>Do minimalnych wymogów w tym zakresie zalicza się m.in.:</w:t>
      </w:r>
    </w:p>
    <w:p w14:paraId="36B0A225" w14:textId="6EB3509E" w:rsidR="009276B6" w:rsidRPr="002557C2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2557C2">
        <w:rPr>
          <w:rFonts w:ascii="Calibri" w:hAnsi="Calibri" w:cs="Calibri"/>
        </w:rPr>
        <w:t xml:space="preserve">stosowanie czcionki </w:t>
      </w:r>
      <w:proofErr w:type="spellStart"/>
      <w:r w:rsidRPr="002557C2">
        <w:rPr>
          <w:rFonts w:ascii="Calibri" w:hAnsi="Calibri" w:cs="Calibri"/>
        </w:rPr>
        <w:t>bezszeryfowej</w:t>
      </w:r>
      <w:proofErr w:type="spellEnd"/>
      <w:r w:rsidRPr="002557C2">
        <w:rPr>
          <w:rFonts w:ascii="Calibri" w:hAnsi="Calibri" w:cs="Calibri"/>
        </w:rPr>
        <w:t>, rozmiar minimum 12, interlinia między wierszami - 1,15;</w:t>
      </w:r>
    </w:p>
    <w:p w14:paraId="3149456D" w14:textId="77777777" w:rsidR="009276B6" w:rsidRPr="009276B6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9276B6">
        <w:rPr>
          <w:rFonts w:ascii="Calibri" w:hAnsi="Calibri" w:cs="Calibri"/>
        </w:rPr>
        <w:t>wyrównanie tekstu do lewej strony;</w:t>
      </w:r>
    </w:p>
    <w:p w14:paraId="62F93439" w14:textId="77777777" w:rsidR="009276B6" w:rsidRPr="009276B6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9276B6">
        <w:rPr>
          <w:rFonts w:ascii="Calibri" w:hAnsi="Calibri" w:cs="Calibri"/>
        </w:rPr>
        <w:t>używanie wbudowanych stylów nagłówków;</w:t>
      </w:r>
    </w:p>
    <w:p w14:paraId="0D554F71" w14:textId="77777777" w:rsidR="009276B6" w:rsidRPr="009276B6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9276B6">
        <w:rPr>
          <w:rFonts w:ascii="Calibri" w:hAnsi="Calibri" w:cs="Calibri"/>
        </w:rPr>
        <w:t>nieużywanie klawiszy "</w:t>
      </w:r>
      <w:proofErr w:type="spellStart"/>
      <w:r w:rsidRPr="009276B6">
        <w:rPr>
          <w:rFonts w:ascii="Calibri" w:hAnsi="Calibri" w:cs="Calibri"/>
        </w:rPr>
        <w:t>enter</w:t>
      </w:r>
      <w:proofErr w:type="spellEnd"/>
      <w:r w:rsidRPr="009276B6">
        <w:rPr>
          <w:rFonts w:ascii="Calibri" w:hAnsi="Calibri" w:cs="Calibri"/>
        </w:rPr>
        <w:t>" i "spacja" do przesuwania treści;</w:t>
      </w:r>
    </w:p>
    <w:p w14:paraId="1CD568A3" w14:textId="09BFE08A" w:rsidR="009276B6" w:rsidRDefault="009276B6" w:rsidP="00246D8A">
      <w:pPr>
        <w:pStyle w:val="Akapitzlist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 w:rsidRPr="009276B6">
        <w:rPr>
          <w:rFonts w:ascii="Calibri" w:hAnsi="Calibri" w:cs="Calibri"/>
        </w:rPr>
        <w:t>używanie opcji "powtórz wiersz nagłówka" w sytuacji, gdy tabela będzie zajmować więcej niż jedną stronę dokumentu.</w:t>
      </w:r>
    </w:p>
    <w:p w14:paraId="2115B639" w14:textId="421DCD71" w:rsidR="000639D3" w:rsidRPr="000639D3" w:rsidRDefault="000639D3" w:rsidP="000639D3">
      <w:pPr>
        <w:spacing w:before="120" w:after="120" w:line="240" w:lineRule="auto"/>
        <w:jc w:val="both"/>
        <w:rPr>
          <w:rFonts w:ascii="Calibri" w:hAnsi="Calibri" w:cs="Calibri"/>
        </w:rPr>
      </w:pPr>
      <w:r w:rsidRPr="000639D3">
        <w:rPr>
          <w:rFonts w:eastAsia="Times New Roman" w:cstheme="minorHAnsi"/>
          <w:lang w:eastAsia="pl-PL"/>
        </w:rPr>
        <w:t xml:space="preserve">Wykonawca zobowiązany jest oznaczyć przekazywane materiały poprzez umieszczenie na nich logo Ministerstwa Funduszy i Polityki Regionalnej, flagi Unii Europejskiej oraz logo </w:t>
      </w:r>
      <w:r>
        <w:rPr>
          <w:rFonts w:eastAsia="Times New Roman" w:cstheme="minorHAnsi"/>
          <w:lang w:eastAsia="pl-PL"/>
        </w:rPr>
        <w:t xml:space="preserve">KPO </w:t>
      </w:r>
      <w:r w:rsidRPr="000639D3">
        <w:rPr>
          <w:rFonts w:eastAsia="Times New Roman" w:cstheme="minorHAnsi"/>
          <w:lang w:eastAsia="pl-PL"/>
        </w:rPr>
        <w:t>wraz z informacją o współfinansowaniu ze środków</w:t>
      </w:r>
      <w:r w:rsidR="00DC2E01">
        <w:rPr>
          <w:rFonts w:eastAsia="Times New Roman" w:cstheme="minorHAnsi"/>
          <w:lang w:eastAsia="pl-PL"/>
        </w:rPr>
        <w:t xml:space="preserve"> UE. </w:t>
      </w:r>
      <w:r w:rsidRPr="000639D3">
        <w:rPr>
          <w:rFonts w:eastAsia="Times New Roman" w:cstheme="minorHAnsi"/>
          <w:lang w:eastAsia="pl-PL"/>
        </w:rPr>
        <w:t>Szczegółowe wymagania techniczne w tym zakresie zostaną zawarte w umowie z Wykonawcą.</w:t>
      </w:r>
    </w:p>
    <w:p w14:paraId="171A5FE7" w14:textId="7524635C" w:rsidR="006110F2" w:rsidRPr="00676369" w:rsidRDefault="006110F2" w:rsidP="007202E7">
      <w:pPr>
        <w:suppressAutoHyphens/>
        <w:spacing w:before="120" w:after="120" w:line="240" w:lineRule="auto"/>
        <w:ind w:left="142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3. Ustalenia z K</w:t>
      </w:r>
      <w:r w:rsidR="00702DA1">
        <w:rPr>
          <w:rFonts w:ascii="Calibri" w:hAnsi="Calibri" w:cs="Calibri"/>
          <w:i/>
          <w:iCs/>
          <w:u w:val="single"/>
        </w:rPr>
        <w:t xml:space="preserve">omisją </w:t>
      </w:r>
      <w:r>
        <w:rPr>
          <w:rFonts w:ascii="Calibri" w:hAnsi="Calibri" w:cs="Calibri"/>
          <w:i/>
          <w:iCs/>
          <w:u w:val="single"/>
        </w:rPr>
        <w:t>E</w:t>
      </w:r>
      <w:r w:rsidR="00702DA1">
        <w:rPr>
          <w:rFonts w:ascii="Calibri" w:hAnsi="Calibri" w:cs="Calibri"/>
          <w:i/>
          <w:iCs/>
          <w:u w:val="single"/>
        </w:rPr>
        <w:t>uropejską i stroną rządową</w:t>
      </w:r>
    </w:p>
    <w:p w14:paraId="10B6CF50" w14:textId="6326EF84" w:rsidR="00702DA1" w:rsidRPr="00702DA1" w:rsidRDefault="00702DA1" w:rsidP="007202E7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Calibri" w:hAnsi="Calibri" w:cs="Calibri"/>
        </w:rPr>
      </w:pPr>
      <w:r w:rsidRPr="00702DA1">
        <w:rPr>
          <w:rFonts w:ascii="Calibri" w:hAnsi="Calibri" w:cs="Calibri"/>
        </w:rPr>
        <w:lastRenderedPageBreak/>
        <w:t xml:space="preserve">Wykonawca jest zobowiązany do wsparcia Zamawiającego w procesie uzgadniania </w:t>
      </w:r>
      <w:r w:rsidRPr="00702DA1">
        <w:rPr>
          <w:rFonts w:ascii="Calibri" w:hAnsi="Calibri" w:cs="Calibri"/>
          <w:i/>
          <w:iCs/>
        </w:rPr>
        <w:t xml:space="preserve">projektu Oceny reform i inwestycji w ramach rewizji krajowego Planu Odbudowy i Zwiększania Odporności pod kątem zgodności z zasadą DNSH </w:t>
      </w:r>
      <w:r w:rsidRPr="00702DA1">
        <w:rPr>
          <w:rFonts w:ascii="Calibri" w:hAnsi="Calibri" w:cs="Calibri"/>
        </w:rPr>
        <w:t>z K</w:t>
      </w:r>
      <w:r>
        <w:rPr>
          <w:rFonts w:ascii="Calibri" w:hAnsi="Calibri" w:cs="Calibri"/>
        </w:rPr>
        <w:t>E</w:t>
      </w:r>
      <w:r w:rsidRPr="00702DA1">
        <w:rPr>
          <w:rFonts w:ascii="Calibri" w:hAnsi="Calibri" w:cs="Calibri"/>
        </w:rPr>
        <w:t xml:space="preserve"> </w:t>
      </w:r>
      <w:r w:rsidR="0015327F">
        <w:rPr>
          <w:rFonts w:ascii="Calibri" w:hAnsi="Calibri" w:cs="Calibri"/>
        </w:rPr>
        <w:t>i</w:t>
      </w:r>
      <w:r w:rsidRPr="00702DA1">
        <w:rPr>
          <w:rFonts w:ascii="Calibri" w:hAnsi="Calibri" w:cs="Calibri"/>
        </w:rPr>
        <w:t xml:space="preserve"> stroną rządową. </w:t>
      </w:r>
    </w:p>
    <w:p w14:paraId="2F4F78E6" w14:textId="266BD362" w:rsidR="00ED0D2F" w:rsidRPr="00DA3D20" w:rsidRDefault="006110F2" w:rsidP="007202E7">
      <w:pPr>
        <w:suppressAutoHyphens/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oczekuje, że </w:t>
      </w:r>
      <w:r w:rsidR="00733408" w:rsidRPr="00DA3D20">
        <w:rPr>
          <w:rFonts w:ascii="Calibri" w:hAnsi="Calibri" w:cs="Calibri"/>
        </w:rPr>
        <w:t>Wykonawca zapewni</w:t>
      </w:r>
      <w:r w:rsidR="00C529E4" w:rsidRPr="00DA3D20">
        <w:rPr>
          <w:rFonts w:ascii="Calibri" w:hAnsi="Calibri" w:cs="Calibri"/>
        </w:rPr>
        <w:t xml:space="preserve"> każdorazowo</w:t>
      </w:r>
      <w:r w:rsidR="00ED0D2F" w:rsidRPr="00DA3D20">
        <w:rPr>
          <w:rFonts w:ascii="Calibri" w:hAnsi="Calibri" w:cs="Calibri"/>
        </w:rPr>
        <w:t>:</w:t>
      </w:r>
    </w:p>
    <w:p w14:paraId="1F7C553C" w14:textId="7541B908" w:rsidR="00ED0D2F" w:rsidRPr="00ED0D2F" w:rsidRDefault="00ED0D2F" w:rsidP="00246D8A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ED0D2F">
        <w:rPr>
          <w:rFonts w:ascii="Calibri" w:hAnsi="Calibri" w:cs="Calibri"/>
        </w:rPr>
        <w:t xml:space="preserve">przeprowadzenie analizy uwag </w:t>
      </w:r>
      <w:r w:rsidRPr="00733408">
        <w:rPr>
          <w:rFonts w:ascii="Calibri" w:hAnsi="Calibri" w:cs="Calibri"/>
        </w:rPr>
        <w:t>Komisj</w:t>
      </w:r>
      <w:r w:rsidR="001B6C13">
        <w:rPr>
          <w:rFonts w:ascii="Calibri" w:hAnsi="Calibri" w:cs="Calibri"/>
        </w:rPr>
        <w:t>i</w:t>
      </w:r>
      <w:r w:rsidRPr="00733408">
        <w:rPr>
          <w:rFonts w:ascii="Calibri" w:hAnsi="Calibri" w:cs="Calibri"/>
        </w:rPr>
        <w:t xml:space="preserve"> Europejsk</w:t>
      </w:r>
      <w:r w:rsidR="001B6C13">
        <w:rPr>
          <w:rFonts w:ascii="Calibri" w:hAnsi="Calibri" w:cs="Calibri"/>
        </w:rPr>
        <w:t>iej</w:t>
      </w:r>
      <w:r w:rsidRPr="007334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ED0D2F">
        <w:rPr>
          <w:rFonts w:ascii="Calibri" w:hAnsi="Calibri" w:cs="Calibri"/>
        </w:rPr>
        <w:t>KE</w:t>
      </w:r>
      <w:r>
        <w:rPr>
          <w:rFonts w:ascii="Calibri" w:hAnsi="Calibri" w:cs="Calibri"/>
        </w:rPr>
        <w:t>)</w:t>
      </w:r>
      <w:r w:rsidRPr="00ED0D2F">
        <w:rPr>
          <w:rFonts w:ascii="Calibri" w:hAnsi="Calibri" w:cs="Calibri"/>
        </w:rPr>
        <w:t xml:space="preserve"> do </w:t>
      </w:r>
      <w:r w:rsidR="00E526B7">
        <w:rPr>
          <w:rFonts w:ascii="Calibri" w:hAnsi="Calibri" w:cs="Calibri"/>
        </w:rPr>
        <w:t xml:space="preserve">oceny </w:t>
      </w:r>
      <w:r w:rsidRPr="00ED0D2F">
        <w:rPr>
          <w:rFonts w:ascii="Calibri" w:hAnsi="Calibri" w:cs="Calibri"/>
        </w:rPr>
        <w:t xml:space="preserve">pod kątem zasady DNSH praz wprowadzenie niezbędnych zmian i uzupełnień w </w:t>
      </w:r>
      <w:r w:rsidR="00E526B7">
        <w:rPr>
          <w:rFonts w:ascii="Calibri" w:hAnsi="Calibri" w:cs="Calibri"/>
        </w:rPr>
        <w:t xml:space="preserve">dokumencie </w:t>
      </w:r>
      <w:r w:rsidRPr="00ED0D2F">
        <w:rPr>
          <w:rFonts w:ascii="Calibri" w:hAnsi="Calibri" w:cs="Calibri"/>
        </w:rPr>
        <w:t>z oceny DNSH wynikających z uwag KE;</w:t>
      </w:r>
    </w:p>
    <w:p w14:paraId="079729FC" w14:textId="23EFBD3A" w:rsidR="004D34FA" w:rsidRDefault="00733408" w:rsidP="00246D8A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733408">
        <w:rPr>
          <w:rFonts w:ascii="Calibri" w:hAnsi="Calibri" w:cs="Calibri"/>
        </w:rPr>
        <w:t>udział ekspertów – autorów analizy w spotkaniach z KE</w:t>
      </w:r>
      <w:r w:rsidR="00E526B7">
        <w:rPr>
          <w:rFonts w:ascii="Calibri" w:hAnsi="Calibri" w:cs="Calibri"/>
        </w:rPr>
        <w:t xml:space="preserve"> i </w:t>
      </w:r>
      <w:r w:rsidR="00C529E4">
        <w:rPr>
          <w:rFonts w:ascii="Calibri" w:hAnsi="Calibri" w:cs="Calibri"/>
        </w:rPr>
        <w:t xml:space="preserve">z </w:t>
      </w:r>
      <w:r w:rsidR="00E526B7">
        <w:rPr>
          <w:rFonts w:ascii="Calibri" w:hAnsi="Calibri" w:cs="Calibri"/>
        </w:rPr>
        <w:t>przedstawicielami IOI/IOR</w:t>
      </w:r>
      <w:r w:rsidRPr="00733408">
        <w:rPr>
          <w:rFonts w:ascii="Calibri" w:hAnsi="Calibri" w:cs="Calibri"/>
        </w:rPr>
        <w:t>, jeśli będą one konieczne dla uzyskania potwierdzenia KE zgodności kamieni milowych i celów dla KPO z</w:t>
      </w:r>
      <w:r w:rsidR="00CF171F">
        <w:rPr>
          <w:rFonts w:ascii="Calibri" w:hAnsi="Calibri" w:cs="Calibri"/>
        </w:rPr>
        <w:t> </w:t>
      </w:r>
      <w:r w:rsidRPr="00733408">
        <w:rPr>
          <w:rFonts w:ascii="Calibri" w:hAnsi="Calibri" w:cs="Calibri"/>
        </w:rPr>
        <w:t>wytycznymi UE w zakresie ochrony środowiska</w:t>
      </w:r>
      <w:r w:rsidR="004D34FA">
        <w:rPr>
          <w:rFonts w:ascii="Calibri" w:hAnsi="Calibri" w:cs="Calibri"/>
        </w:rPr>
        <w:t>;</w:t>
      </w:r>
    </w:p>
    <w:p w14:paraId="2CF5380B" w14:textId="508CE0AD" w:rsidR="00733408" w:rsidRDefault="004D34FA" w:rsidP="00246D8A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</w:t>
      </w:r>
      <w:r w:rsidRPr="00733408">
        <w:rPr>
          <w:rFonts w:ascii="Calibri" w:hAnsi="Calibri" w:cs="Calibri"/>
        </w:rPr>
        <w:t xml:space="preserve">ekspertów – autorów analizy w </w:t>
      </w:r>
      <w:r w:rsidR="003D681D">
        <w:rPr>
          <w:rFonts w:ascii="Calibri" w:hAnsi="Calibri" w:cs="Calibri"/>
        </w:rPr>
        <w:t xml:space="preserve">spotkaniach </w:t>
      </w:r>
      <w:r w:rsidRPr="00733408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przedstawicielami IOI/IOR/JW prezentującym wyniki </w:t>
      </w:r>
      <w:r w:rsidR="00AB3C27">
        <w:rPr>
          <w:rFonts w:ascii="Calibri" w:hAnsi="Calibri" w:cs="Calibri"/>
        </w:rPr>
        <w:t>oceny</w:t>
      </w:r>
      <w:r>
        <w:rPr>
          <w:rFonts w:ascii="Calibri" w:hAnsi="Calibri" w:cs="Calibri"/>
        </w:rPr>
        <w:t xml:space="preserve"> i ustalenia z KE w zakresie DNSH</w:t>
      </w:r>
      <w:r w:rsidR="00733408" w:rsidRPr="00733408">
        <w:rPr>
          <w:rFonts w:ascii="Calibri" w:hAnsi="Calibri" w:cs="Calibri"/>
        </w:rPr>
        <w:t>.</w:t>
      </w:r>
    </w:p>
    <w:p w14:paraId="21DA8EC2" w14:textId="0B9EDC41" w:rsidR="006E6BA1" w:rsidRPr="00762F15" w:rsidRDefault="00F62EAF" w:rsidP="0073306F">
      <w:pPr>
        <w:spacing w:before="120" w:after="120" w:line="240" w:lineRule="auto"/>
        <w:ind w:left="360"/>
        <w:jc w:val="both"/>
        <w:rPr>
          <w:rFonts w:ascii="Calibri" w:hAnsi="Calibri" w:cs="Calibri"/>
          <w:u w:val="single"/>
        </w:rPr>
      </w:pPr>
      <w:r w:rsidRPr="00762F15">
        <w:rPr>
          <w:u w:val="single"/>
        </w:rPr>
        <w:t>Zadanie 2.</w:t>
      </w:r>
      <w:r w:rsidR="0073306F" w:rsidRPr="00762F15">
        <w:rPr>
          <w:u w:val="single"/>
        </w:rPr>
        <w:t xml:space="preserve"> </w:t>
      </w:r>
      <w:r w:rsidR="002973CA" w:rsidRPr="00762F15">
        <w:rPr>
          <w:rFonts w:ascii="Calibri" w:hAnsi="Calibri" w:cs="Calibri"/>
          <w:u w:val="single"/>
        </w:rPr>
        <w:t xml:space="preserve">Doradztwo </w:t>
      </w:r>
      <w:r w:rsidR="006E6BA1" w:rsidRPr="00762F15">
        <w:rPr>
          <w:rFonts w:ascii="Calibri" w:hAnsi="Calibri" w:cs="Calibri"/>
          <w:u w:val="single"/>
        </w:rPr>
        <w:t>eksperckie w interpretacji stosowania zasady DNSH w kontekście inwestycji i pr</w:t>
      </w:r>
      <w:r w:rsidR="000A4245" w:rsidRPr="00762F15">
        <w:rPr>
          <w:rFonts w:ascii="Calibri" w:hAnsi="Calibri" w:cs="Calibri"/>
          <w:u w:val="single"/>
        </w:rPr>
        <w:t>zedsięwzięć</w:t>
      </w:r>
      <w:r w:rsidR="006E6BA1" w:rsidRPr="00762F15">
        <w:rPr>
          <w:rFonts w:ascii="Calibri" w:hAnsi="Calibri" w:cs="Calibri"/>
          <w:u w:val="single"/>
        </w:rPr>
        <w:t xml:space="preserve"> realizowanych w ramach KPO</w:t>
      </w:r>
    </w:p>
    <w:p w14:paraId="35A397E4" w14:textId="2F79BA52" w:rsidR="001579F6" w:rsidRPr="00A054FD" w:rsidRDefault="000832D0" w:rsidP="007202E7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Zamawiający spodziewa się </w:t>
      </w:r>
      <w:r w:rsidRPr="00FA3E30">
        <w:rPr>
          <w:rFonts w:eastAsia="Times New Roman" w:cstheme="minorHAnsi"/>
          <w:lang w:eastAsia="pl-PL"/>
        </w:rPr>
        <w:t xml:space="preserve">bieżącej współpracy z Wykonawcą </w:t>
      </w:r>
      <w:r w:rsidRPr="00FA3E30">
        <w:rPr>
          <w:rFonts w:cstheme="minorHAnsi"/>
        </w:rPr>
        <w:t>w zakresie doradztwa eksperckiego mającego pomóc w</w:t>
      </w:r>
      <w:r>
        <w:rPr>
          <w:rFonts w:cstheme="minorHAnsi"/>
        </w:rPr>
        <w:t xml:space="preserve"> </w:t>
      </w:r>
      <w:r w:rsidRPr="00FA3E30">
        <w:rPr>
          <w:rFonts w:cstheme="minorHAnsi"/>
        </w:rPr>
        <w:t xml:space="preserve">interpretacji i stosowaniu zasady DNSH na </w:t>
      </w:r>
      <w:r w:rsidR="006F0899">
        <w:rPr>
          <w:rFonts w:cstheme="minorHAnsi"/>
        </w:rPr>
        <w:t xml:space="preserve">poszczególnych </w:t>
      </w:r>
      <w:r w:rsidRPr="00FA3E30">
        <w:rPr>
          <w:rFonts w:cstheme="minorHAnsi"/>
        </w:rPr>
        <w:t>etapach pr</w:t>
      </w:r>
      <w:r w:rsidR="007A23D9">
        <w:rPr>
          <w:rFonts w:cstheme="minorHAnsi"/>
        </w:rPr>
        <w:t>zedsięwzięcia</w:t>
      </w:r>
      <w:r w:rsidRPr="00FA3E30">
        <w:rPr>
          <w:rFonts w:cstheme="minorHAnsi"/>
        </w:rPr>
        <w:t>/inwestycji objętego finansowaniem z KPO</w:t>
      </w:r>
      <w:r w:rsidR="006F0899">
        <w:rPr>
          <w:rFonts w:cstheme="minorHAnsi"/>
        </w:rPr>
        <w:t xml:space="preserve"> (szczególnie </w:t>
      </w:r>
      <w:r w:rsidR="006F0899">
        <w:rPr>
          <w:rFonts w:ascii="Calibri" w:hAnsi="Calibri" w:cs="Calibri"/>
        </w:rPr>
        <w:t>sposobu dokumentowania i monitorowania</w:t>
      </w:r>
      <w:r w:rsidR="006F0899" w:rsidRPr="00790FC0">
        <w:rPr>
          <w:rFonts w:ascii="Calibri" w:hAnsi="Calibri" w:cs="Calibri"/>
        </w:rPr>
        <w:t xml:space="preserve"> wymogów dot</w:t>
      </w:r>
      <w:r w:rsidR="006F0899">
        <w:rPr>
          <w:rFonts w:ascii="Calibri" w:hAnsi="Calibri" w:cs="Calibri"/>
        </w:rPr>
        <w:t xml:space="preserve">yczących </w:t>
      </w:r>
      <w:r w:rsidR="006F0899" w:rsidRPr="00790FC0">
        <w:rPr>
          <w:rFonts w:ascii="Calibri" w:hAnsi="Calibri" w:cs="Calibri"/>
        </w:rPr>
        <w:t>DNSH</w:t>
      </w:r>
      <w:r w:rsidR="006F0899">
        <w:rPr>
          <w:rFonts w:ascii="Calibri" w:hAnsi="Calibri" w:cs="Calibri"/>
        </w:rPr>
        <w:t>)</w:t>
      </w:r>
      <w:r w:rsidR="007A23D9">
        <w:rPr>
          <w:rFonts w:cstheme="minorHAnsi"/>
        </w:rPr>
        <w:t xml:space="preserve">. Doradztwo eksperckie </w:t>
      </w:r>
      <w:r w:rsidR="00345A89">
        <w:rPr>
          <w:rFonts w:cstheme="minorHAnsi"/>
        </w:rPr>
        <w:t xml:space="preserve">będzie </w:t>
      </w:r>
      <w:r>
        <w:rPr>
          <w:rFonts w:cstheme="minorHAnsi"/>
        </w:rPr>
        <w:t xml:space="preserve">zestawem </w:t>
      </w:r>
      <w:r w:rsidR="00345A89" w:rsidRPr="00A054FD">
        <w:rPr>
          <w:rFonts w:cstheme="minorHAnsi"/>
        </w:rPr>
        <w:t xml:space="preserve">usług </w:t>
      </w:r>
      <w:r w:rsidR="00345A89">
        <w:rPr>
          <w:rFonts w:cstheme="minorHAnsi"/>
        </w:rPr>
        <w:t>tj.:</w:t>
      </w:r>
      <w:r w:rsidR="00A054FD" w:rsidRPr="00A054FD">
        <w:rPr>
          <w:rFonts w:cstheme="minorHAnsi"/>
        </w:rPr>
        <w:t xml:space="preserve"> </w:t>
      </w:r>
      <w:r w:rsidR="001579F6">
        <w:rPr>
          <w:rFonts w:cstheme="minorHAnsi"/>
        </w:rPr>
        <w:t xml:space="preserve"> </w:t>
      </w:r>
      <w:r w:rsidR="00FA3E30">
        <w:rPr>
          <w:rFonts w:cstheme="minorHAnsi"/>
        </w:rPr>
        <w:t xml:space="preserve"> </w:t>
      </w:r>
      <w:r w:rsidR="00235237" w:rsidRPr="00A054FD">
        <w:rPr>
          <w:rFonts w:cstheme="minorHAnsi"/>
        </w:rPr>
        <w:t xml:space="preserve"> </w:t>
      </w:r>
    </w:p>
    <w:p w14:paraId="1F70BA89" w14:textId="60CD287F" w:rsidR="00051943" w:rsidRDefault="004B5FEA" w:rsidP="005C1CCE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jc w:val="both"/>
      </w:pPr>
      <w:r>
        <w:t>konsult</w:t>
      </w:r>
      <w:r w:rsidR="00F7213B">
        <w:t>owani</w:t>
      </w:r>
      <w:r w:rsidR="00345A89">
        <w:t>e</w:t>
      </w:r>
      <w:r w:rsidR="00F7213B">
        <w:t xml:space="preserve"> </w:t>
      </w:r>
      <w:r w:rsidR="00A054FD">
        <w:t xml:space="preserve">z Wykonawcą dokumentów związanych z DNSH </w:t>
      </w:r>
      <w:r w:rsidR="007A23D9">
        <w:t xml:space="preserve">i </w:t>
      </w:r>
      <w:r w:rsidR="001579F6">
        <w:t>przygotowywani</w:t>
      </w:r>
      <w:r w:rsidR="007A23D9">
        <w:t>e</w:t>
      </w:r>
      <w:r w:rsidR="00A054FD">
        <w:t xml:space="preserve"> przez Wykonawcę</w:t>
      </w:r>
      <w:r w:rsidR="001579F6">
        <w:t xml:space="preserve"> </w:t>
      </w:r>
      <w:r w:rsidR="00571A00">
        <w:t>uwag</w:t>
      </w:r>
      <w:r>
        <w:t>/</w:t>
      </w:r>
      <w:r w:rsidR="00051943">
        <w:t>rekomendacj</w:t>
      </w:r>
      <w:r w:rsidR="001579F6">
        <w:t xml:space="preserve">i </w:t>
      </w:r>
      <w:r w:rsidR="005C1CCE" w:rsidRPr="005C1CCE">
        <w:t>(ogóln</w:t>
      </w:r>
      <w:r w:rsidR="005C1CCE">
        <w:t>ych</w:t>
      </w:r>
      <w:r w:rsidR="005C1CCE" w:rsidRPr="005C1CCE">
        <w:t xml:space="preserve"> i szczegółowych</w:t>
      </w:r>
      <w:r w:rsidR="00BB54F6">
        <w:t>)</w:t>
      </w:r>
      <w:r w:rsidR="005C1CCE">
        <w:t xml:space="preserve"> </w:t>
      </w:r>
      <w:r w:rsidR="005C1CCE" w:rsidRPr="005C1CCE">
        <w:t xml:space="preserve">dostosowanych do charakteru </w:t>
      </w:r>
      <w:r w:rsidR="00051943">
        <w:t>dokumentów</w:t>
      </w:r>
      <w:r w:rsidR="00A054FD">
        <w:t xml:space="preserve">, </w:t>
      </w:r>
      <w:r w:rsidR="005C1CCE">
        <w:t xml:space="preserve">lub </w:t>
      </w:r>
      <w:r w:rsidR="005C1CCE" w:rsidRPr="005C1CCE">
        <w:t>zalece</w:t>
      </w:r>
      <w:r w:rsidR="005C1CCE">
        <w:t xml:space="preserve">ń </w:t>
      </w:r>
      <w:r w:rsidR="005C1CCE" w:rsidRPr="005C1CCE">
        <w:t>dotycząc</w:t>
      </w:r>
      <w:r w:rsidR="005C1CCE">
        <w:t>ych</w:t>
      </w:r>
      <w:r w:rsidR="005C1CCE" w:rsidRPr="005C1CCE">
        <w:t xml:space="preserve"> brakujących rozwiązań</w:t>
      </w:r>
      <w:r w:rsidR="00051943">
        <w:t>;</w:t>
      </w:r>
    </w:p>
    <w:p w14:paraId="2CE0BBC5" w14:textId="31EC407D" w:rsidR="005C1CCE" w:rsidRDefault="00051943" w:rsidP="005C1CCE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jc w:val="both"/>
      </w:pPr>
      <w:r>
        <w:t>wskaz</w:t>
      </w:r>
      <w:r w:rsidR="001579F6">
        <w:t>ywani</w:t>
      </w:r>
      <w:r w:rsidR="00345A89">
        <w:t>e</w:t>
      </w:r>
      <w:r w:rsidR="001579F6">
        <w:t xml:space="preserve"> </w:t>
      </w:r>
      <w:r>
        <w:t>ścieżki postępowania dla  IOR/IOI/JW,  w odpowiedzi na niejasności</w:t>
      </w:r>
      <w:r w:rsidR="00FA3E30">
        <w:t xml:space="preserve"> interpretacyjne</w:t>
      </w:r>
      <w:r w:rsidR="00571A00">
        <w:t xml:space="preserve"> w </w:t>
      </w:r>
      <w:r w:rsidR="00377EC0">
        <w:t>Ocenie</w:t>
      </w:r>
      <w:r w:rsidR="005C1CCE">
        <w:t xml:space="preserve"> DNSH</w:t>
      </w:r>
      <w:r w:rsidR="00377EC0">
        <w:t>, CID</w:t>
      </w:r>
      <w:r w:rsidR="00EA3254">
        <w:t xml:space="preserve">, </w:t>
      </w:r>
      <w:r w:rsidR="00571A00">
        <w:t>przepisach</w:t>
      </w:r>
      <w:r w:rsidR="00EA3254">
        <w:t xml:space="preserve">, </w:t>
      </w:r>
      <w:r w:rsidR="00571A00">
        <w:t>dokumentach krajowych i unijnych</w:t>
      </w:r>
      <w:r w:rsidR="00EA3254">
        <w:t xml:space="preserve"> - środowiskowych</w:t>
      </w:r>
      <w:r w:rsidR="00377EC0">
        <w:t xml:space="preserve">, </w:t>
      </w:r>
      <w:r w:rsidR="00EA2EB7">
        <w:t xml:space="preserve">uwagi KE do </w:t>
      </w:r>
      <w:r w:rsidR="003073F8">
        <w:t>wniosk</w:t>
      </w:r>
      <w:r w:rsidR="00EA2EB7">
        <w:t>u</w:t>
      </w:r>
      <w:r w:rsidR="003073F8">
        <w:t xml:space="preserve"> o płatność, </w:t>
      </w:r>
      <w:r w:rsidR="00377EC0">
        <w:t>itp.</w:t>
      </w:r>
      <w:r>
        <w:t xml:space="preserve">;  </w:t>
      </w:r>
    </w:p>
    <w:p w14:paraId="6CA86BB8" w14:textId="5A856B41" w:rsidR="006E6BA1" w:rsidRDefault="00D56A23" w:rsidP="005C1CCE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jc w:val="both"/>
      </w:pPr>
      <w:r>
        <w:t xml:space="preserve">aktywny udział, w roli eksperta, w spotkaniach </w:t>
      </w:r>
      <w:r w:rsidR="0079798F">
        <w:t>grup</w:t>
      </w:r>
      <w:r>
        <w:t>y</w:t>
      </w:r>
      <w:r w:rsidR="0079798F">
        <w:t xml:space="preserve"> DNSH</w:t>
      </w:r>
      <w:r w:rsidR="00DC2E01">
        <w:t xml:space="preserve"> oraz IOR/IOI/JW </w:t>
      </w:r>
      <w:r>
        <w:t xml:space="preserve">w tym </w:t>
      </w:r>
      <w:r w:rsidR="00211FB3">
        <w:t xml:space="preserve">prezentowanie </w:t>
      </w:r>
      <w:r>
        <w:t xml:space="preserve"> </w:t>
      </w:r>
      <w:r w:rsidRPr="005F43B3">
        <w:t>wyjaśnie</w:t>
      </w:r>
      <w:r>
        <w:t xml:space="preserve">ń do </w:t>
      </w:r>
      <w:r w:rsidR="007A23D9">
        <w:t>podejmowanych</w:t>
      </w:r>
      <w:r w:rsidR="007A23D9" w:rsidRPr="005F43B3">
        <w:t xml:space="preserve"> </w:t>
      </w:r>
      <w:r w:rsidRPr="005F43B3">
        <w:t>zagadnień</w:t>
      </w:r>
      <w:r w:rsidR="007A23D9">
        <w:t xml:space="preserve"> </w:t>
      </w:r>
      <w:r w:rsidRPr="005F43B3">
        <w:t>w ramach grupy</w:t>
      </w:r>
      <w:r>
        <w:t xml:space="preserve"> </w:t>
      </w:r>
      <w:r w:rsidR="00DC2E01">
        <w:t xml:space="preserve">DNSH </w:t>
      </w:r>
      <w:r>
        <w:t xml:space="preserve">i </w:t>
      </w:r>
      <w:r w:rsidRPr="005C1CCE">
        <w:t>propozycj</w:t>
      </w:r>
      <w:r>
        <w:t xml:space="preserve">i </w:t>
      </w:r>
      <w:r w:rsidRPr="005C1CCE">
        <w:t>rozwiązań alternatywnych</w:t>
      </w:r>
      <w:r>
        <w:t xml:space="preserve"> </w:t>
      </w:r>
      <w:r w:rsidRPr="005C1CCE">
        <w:t>wraz z uzasadnieniem ich wyboru</w:t>
      </w:r>
      <w:r>
        <w:t xml:space="preserve"> </w:t>
      </w:r>
      <w:r w:rsidRPr="005C1CCE">
        <w:t>albo wyjaśnienie braku takich rozwiązań</w:t>
      </w:r>
      <w:r w:rsidR="006E6BA1">
        <w:t>.</w:t>
      </w:r>
    </w:p>
    <w:p w14:paraId="0F324543" w14:textId="431B8E02" w:rsidR="00B32626" w:rsidRDefault="00B32626" w:rsidP="007202E7">
      <w:pPr>
        <w:spacing w:before="120" w:after="120" w:line="240" w:lineRule="auto"/>
        <w:jc w:val="both"/>
        <w:rPr>
          <w:b/>
          <w:bCs/>
        </w:rPr>
      </w:pPr>
      <w:r w:rsidRPr="0079798F">
        <w:rPr>
          <w:b/>
          <w:bCs/>
        </w:rPr>
        <w:t>Etap I</w:t>
      </w:r>
      <w:r>
        <w:rPr>
          <w:b/>
          <w:bCs/>
        </w:rPr>
        <w:t>I</w:t>
      </w:r>
      <w:r w:rsidR="006E7BD3">
        <w:rPr>
          <w:b/>
          <w:bCs/>
        </w:rPr>
        <w:t xml:space="preserve"> </w:t>
      </w:r>
    </w:p>
    <w:p w14:paraId="6E771957" w14:textId="77777777" w:rsidR="000A4245" w:rsidRPr="000F78F7" w:rsidRDefault="000A4245" w:rsidP="000A4245">
      <w:pPr>
        <w:spacing w:before="120" w:after="120" w:line="240" w:lineRule="auto"/>
        <w:jc w:val="both"/>
        <w:rPr>
          <w:b/>
          <w:bCs/>
        </w:rPr>
      </w:pPr>
      <w:r w:rsidRPr="000F78F7">
        <w:rPr>
          <w:b/>
          <w:bCs/>
        </w:rPr>
        <w:t>Zadanie 1.</w:t>
      </w:r>
    </w:p>
    <w:p w14:paraId="1697D603" w14:textId="77777777" w:rsidR="00B32626" w:rsidRPr="00676369" w:rsidRDefault="00B32626" w:rsidP="00246D8A">
      <w:pPr>
        <w:pStyle w:val="Akapitzlist"/>
        <w:numPr>
          <w:ilvl w:val="0"/>
          <w:numId w:val="19"/>
        </w:numPr>
        <w:suppressAutoHyphens/>
        <w:spacing w:before="120" w:after="120" w:line="240" w:lineRule="auto"/>
        <w:contextualSpacing w:val="0"/>
        <w:jc w:val="both"/>
        <w:rPr>
          <w:rFonts w:ascii="Calibri" w:hAnsi="Calibri" w:cs="Calibri"/>
          <w:i/>
          <w:iCs/>
          <w:u w:val="single"/>
        </w:rPr>
      </w:pPr>
      <w:r w:rsidRPr="00676369">
        <w:rPr>
          <w:rFonts w:ascii="Calibri" w:hAnsi="Calibri" w:cs="Calibri"/>
          <w:i/>
          <w:iCs/>
          <w:u w:val="single"/>
        </w:rPr>
        <w:t xml:space="preserve">Metodyka oceny skutków realizacji reform i inwestycji zawartych w KPO dla środowiska; </w:t>
      </w:r>
    </w:p>
    <w:p w14:paraId="59F9ED2E" w14:textId="6E9E7AA9" w:rsidR="00B32626" w:rsidRDefault="00B32626" w:rsidP="007202E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984A97">
        <w:rPr>
          <w:rFonts w:ascii="Calibri" w:hAnsi="Calibri" w:cs="Calibri"/>
        </w:rPr>
        <w:t xml:space="preserve">Wykonawca </w:t>
      </w:r>
      <w:r>
        <w:rPr>
          <w:rFonts w:ascii="Calibri" w:hAnsi="Calibri" w:cs="Calibri"/>
        </w:rPr>
        <w:t>wykorzysta zastosowaną w</w:t>
      </w:r>
      <w:r w:rsidR="0040686A">
        <w:rPr>
          <w:rFonts w:ascii="Calibri" w:hAnsi="Calibri" w:cs="Calibri"/>
        </w:rPr>
        <w:t> </w:t>
      </w:r>
      <w:r w:rsidR="00633C6D">
        <w:rPr>
          <w:rFonts w:ascii="Calibri" w:hAnsi="Calibri" w:cs="Calibri"/>
        </w:rPr>
        <w:t xml:space="preserve">Etapie I </w:t>
      </w:r>
      <w:r>
        <w:rPr>
          <w:rFonts w:ascii="Calibri" w:hAnsi="Calibri" w:cs="Calibri"/>
        </w:rPr>
        <w:t>metodykę.</w:t>
      </w:r>
    </w:p>
    <w:p w14:paraId="6BD3899F" w14:textId="3F12904F" w:rsidR="000A4245" w:rsidRPr="00715A1B" w:rsidRDefault="00633C6D" w:rsidP="000A4245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Pozostałe Zadania - a</w:t>
      </w:r>
      <w:r w:rsidR="000A4245">
        <w:rPr>
          <w:rFonts w:ascii="Calibri" w:hAnsi="Calibri" w:cs="Calibri"/>
        </w:rPr>
        <w:t xml:space="preserve">nalogicznie jak opisane w Etapie I: </w:t>
      </w:r>
      <w:r w:rsidR="000A4245" w:rsidRPr="00715A1B">
        <w:rPr>
          <w:rFonts w:ascii="Calibri" w:hAnsi="Calibri" w:cs="Calibri"/>
        </w:rPr>
        <w:t xml:space="preserve"> </w:t>
      </w:r>
    </w:p>
    <w:p w14:paraId="149D3BEA" w14:textId="107A6520" w:rsidR="00B32626" w:rsidRPr="00676369" w:rsidRDefault="00B32626" w:rsidP="007202E7">
      <w:pPr>
        <w:suppressAutoHyphens/>
        <w:spacing w:before="120" w:after="120" w:line="240" w:lineRule="auto"/>
        <w:ind w:left="142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 xml:space="preserve">2. Ocena </w:t>
      </w:r>
      <w:r w:rsidRPr="00676369">
        <w:rPr>
          <w:rFonts w:ascii="Calibri" w:hAnsi="Calibri" w:cs="Calibri"/>
          <w:i/>
          <w:iCs/>
          <w:u w:val="single"/>
        </w:rPr>
        <w:t xml:space="preserve">spełniania zasady DNSH, w rozumieniu art. 17 rozporządzenia (UE) nr 2020/852 </w:t>
      </w:r>
      <w:proofErr w:type="spellStart"/>
      <w:r w:rsidRPr="00676369">
        <w:rPr>
          <w:rFonts w:ascii="Calibri" w:hAnsi="Calibri" w:cs="Calibri"/>
          <w:i/>
          <w:iCs/>
          <w:u w:val="single"/>
        </w:rPr>
        <w:t>ws</w:t>
      </w:r>
      <w:proofErr w:type="spellEnd"/>
      <w:r w:rsidRPr="00676369">
        <w:rPr>
          <w:rFonts w:ascii="Calibri" w:hAnsi="Calibri" w:cs="Calibri"/>
          <w:i/>
          <w:iCs/>
          <w:u w:val="single"/>
        </w:rPr>
        <w:t>. taksonomii dla Krajowy Plan Odbudowy i Zwiększania Odporności</w:t>
      </w:r>
      <w:r>
        <w:rPr>
          <w:rFonts w:ascii="Calibri" w:hAnsi="Calibri" w:cs="Calibri"/>
          <w:i/>
          <w:iCs/>
          <w:u w:val="single"/>
        </w:rPr>
        <w:t xml:space="preserve"> </w:t>
      </w:r>
      <w:r w:rsidRPr="00676369">
        <w:rPr>
          <w:rFonts w:ascii="Calibri" w:hAnsi="Calibri" w:cs="Calibri"/>
          <w:i/>
          <w:iCs/>
          <w:u w:val="single"/>
        </w:rPr>
        <w:t>poddanego rewizji w roku 202</w:t>
      </w:r>
      <w:r>
        <w:rPr>
          <w:rFonts w:ascii="Calibri" w:hAnsi="Calibri" w:cs="Calibri"/>
          <w:i/>
          <w:iCs/>
          <w:u w:val="single"/>
        </w:rPr>
        <w:t>6</w:t>
      </w:r>
      <w:r w:rsidRPr="00676369">
        <w:rPr>
          <w:rFonts w:ascii="Calibri" w:hAnsi="Calibri" w:cs="Calibri"/>
          <w:i/>
          <w:iCs/>
          <w:u w:val="single"/>
        </w:rPr>
        <w:t>;</w:t>
      </w:r>
    </w:p>
    <w:p w14:paraId="6855713A" w14:textId="36BA3559" w:rsidR="00B32626" w:rsidRDefault="00B32626" w:rsidP="007202E7">
      <w:pPr>
        <w:suppressAutoHyphens/>
        <w:spacing w:before="120" w:after="120" w:line="240" w:lineRule="auto"/>
        <w:ind w:left="142"/>
        <w:jc w:val="both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3. Ustalenia z Komisją Europejską i stroną rządową</w:t>
      </w:r>
    </w:p>
    <w:p w14:paraId="049D29E3" w14:textId="3F5D3018" w:rsidR="00B32626" w:rsidRPr="00686C54" w:rsidRDefault="000A4245" w:rsidP="00232B6F">
      <w:pPr>
        <w:spacing w:before="120" w:after="120" w:line="240" w:lineRule="auto"/>
        <w:jc w:val="both"/>
        <w:rPr>
          <w:rFonts w:ascii="Calibri" w:hAnsi="Calibri" w:cs="Calibri"/>
          <w:i/>
          <w:iCs/>
          <w:u w:val="single"/>
        </w:rPr>
      </w:pPr>
      <w:r w:rsidRPr="000F78F7">
        <w:rPr>
          <w:b/>
          <w:bCs/>
        </w:rPr>
        <w:t>Zadanie 2.</w:t>
      </w:r>
      <w:r w:rsidR="00232B6F">
        <w:rPr>
          <w:b/>
          <w:bCs/>
        </w:rPr>
        <w:t xml:space="preserve"> </w:t>
      </w:r>
      <w:r w:rsidR="00B32626" w:rsidRPr="00686C54">
        <w:rPr>
          <w:rFonts w:ascii="Calibri" w:hAnsi="Calibri" w:cs="Calibri"/>
          <w:i/>
          <w:iCs/>
          <w:u w:val="single"/>
        </w:rPr>
        <w:t>Doradztwo eksperckie w interpretacji stosowania zasady DNSH w kontekście inwestycji i</w:t>
      </w:r>
      <w:r w:rsidR="0040686A">
        <w:rPr>
          <w:rFonts w:ascii="Calibri" w:hAnsi="Calibri" w:cs="Calibri"/>
          <w:i/>
          <w:iCs/>
          <w:u w:val="single"/>
        </w:rPr>
        <w:t> </w:t>
      </w:r>
      <w:r w:rsidR="00B32626" w:rsidRPr="00686C54">
        <w:rPr>
          <w:rFonts w:ascii="Calibri" w:hAnsi="Calibri" w:cs="Calibri"/>
          <w:i/>
          <w:iCs/>
          <w:u w:val="single"/>
        </w:rPr>
        <w:t>pr</w:t>
      </w:r>
      <w:r>
        <w:rPr>
          <w:rFonts w:ascii="Calibri" w:hAnsi="Calibri" w:cs="Calibri"/>
          <w:i/>
          <w:iCs/>
          <w:u w:val="single"/>
        </w:rPr>
        <w:t>zedsięwzięć</w:t>
      </w:r>
      <w:r w:rsidR="00B32626" w:rsidRPr="00686C54">
        <w:rPr>
          <w:rFonts w:ascii="Calibri" w:hAnsi="Calibri" w:cs="Calibri"/>
          <w:i/>
          <w:iCs/>
          <w:u w:val="single"/>
        </w:rPr>
        <w:t xml:space="preserve"> realizowanych w ramach KPO</w:t>
      </w:r>
    </w:p>
    <w:p w14:paraId="63749848" w14:textId="6F7E447D" w:rsidR="003875D2" w:rsidRPr="003875D2" w:rsidRDefault="003875D2" w:rsidP="007202E7">
      <w:pPr>
        <w:spacing w:before="120" w:after="12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5. </w:t>
      </w:r>
      <w:r w:rsidR="008215FF">
        <w:rPr>
          <w:rFonts w:ascii="Calibri" w:hAnsi="Calibri" w:cs="Calibri"/>
          <w:b/>
        </w:rPr>
        <w:t>H</w:t>
      </w:r>
      <w:r w:rsidR="008142CA" w:rsidRPr="008142CA">
        <w:rPr>
          <w:rFonts w:ascii="Calibri" w:hAnsi="Calibri" w:cs="Calibri"/>
          <w:b/>
        </w:rPr>
        <w:t>armonogram realizacji</w:t>
      </w:r>
      <w:r w:rsidR="008142CA">
        <w:rPr>
          <w:rFonts w:ascii="Calibri" w:hAnsi="Calibri" w:cs="Calibri"/>
          <w:b/>
        </w:rPr>
        <w:t xml:space="preserve"> </w:t>
      </w:r>
      <w:r w:rsidR="005974BA">
        <w:rPr>
          <w:rFonts w:ascii="Calibri" w:hAnsi="Calibri" w:cs="Calibri"/>
          <w:b/>
        </w:rPr>
        <w:t xml:space="preserve"> </w:t>
      </w:r>
      <w:r w:rsidR="00F33C25">
        <w:rPr>
          <w:rFonts w:ascii="Calibri" w:hAnsi="Calibri" w:cs="Calibri"/>
          <w:b/>
        </w:rPr>
        <w:t>zamówienia</w:t>
      </w:r>
    </w:p>
    <w:p w14:paraId="25E22B9C" w14:textId="1A0730CA" w:rsidR="00AB5C32" w:rsidRDefault="00AB5C32" w:rsidP="007202E7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</w:pPr>
      <w:r w:rsidRPr="00AB5C32">
        <w:t>Zamówienie zostanie podzielone na dwa etapy</w:t>
      </w:r>
      <w:r>
        <w:t>:</w:t>
      </w:r>
    </w:p>
    <w:p w14:paraId="09B9501D" w14:textId="7FF8348B" w:rsidR="00571A00" w:rsidRPr="002379A8" w:rsidRDefault="00021332" w:rsidP="00AB5C3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jc w:val="both"/>
      </w:pPr>
      <w:r w:rsidRPr="002379A8">
        <w:t>Etap I</w:t>
      </w:r>
      <w:r w:rsidR="00232B6F" w:rsidRPr="002379A8">
        <w:t xml:space="preserve"> (Zadanie 1  i Zadanie 2)</w:t>
      </w:r>
      <w:r w:rsidRPr="002379A8">
        <w:t xml:space="preserve"> </w:t>
      </w:r>
      <w:r w:rsidR="00571A00" w:rsidRPr="002379A8">
        <w:t>–</w:t>
      </w:r>
      <w:r w:rsidRPr="002379A8">
        <w:t xml:space="preserve"> </w:t>
      </w:r>
      <w:r w:rsidR="00571A00" w:rsidRPr="002379A8">
        <w:t>od daty zawarcia umowy do</w:t>
      </w:r>
      <w:r w:rsidR="00971ECF" w:rsidRPr="002379A8">
        <w:t xml:space="preserve"> 15 grud</w:t>
      </w:r>
      <w:r w:rsidR="00B0493B">
        <w:t>nia</w:t>
      </w:r>
      <w:r w:rsidR="00571A00" w:rsidRPr="002379A8">
        <w:t xml:space="preserve"> 2025 r.</w:t>
      </w:r>
      <w:r w:rsidR="00232B6F" w:rsidRPr="002379A8">
        <w:t xml:space="preserve"> </w:t>
      </w:r>
    </w:p>
    <w:p w14:paraId="08E349D5" w14:textId="62E12150" w:rsidR="009F0006" w:rsidRPr="002379A8" w:rsidRDefault="009F0006" w:rsidP="00AB5C3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jc w:val="both"/>
      </w:pPr>
      <w:r w:rsidRPr="002379A8">
        <w:lastRenderedPageBreak/>
        <w:t xml:space="preserve">Etap II </w:t>
      </w:r>
      <w:r w:rsidR="00232B6F" w:rsidRPr="002379A8">
        <w:t xml:space="preserve">(Zadanie 1  i Zadanie 2) </w:t>
      </w:r>
      <w:r w:rsidRPr="002379A8">
        <w:t>– od 1 stycz</w:t>
      </w:r>
      <w:r w:rsidR="00B0493B">
        <w:t>nia</w:t>
      </w:r>
      <w:r w:rsidRPr="002379A8">
        <w:t xml:space="preserve"> do 15 czerw</w:t>
      </w:r>
      <w:r w:rsidR="00B0493B">
        <w:t>ca</w:t>
      </w:r>
      <w:r w:rsidRPr="002379A8">
        <w:t xml:space="preserve"> 2026 r. </w:t>
      </w:r>
    </w:p>
    <w:p w14:paraId="044FAB4E" w14:textId="0EFCD3F9" w:rsidR="008215FF" w:rsidRPr="002379A8" w:rsidRDefault="008215FF" w:rsidP="008215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  <w:r w:rsidRPr="002379A8">
        <w:rPr>
          <w:rFonts w:ascii="Calibri" w:hAnsi="Calibri" w:cs="Calibri"/>
          <w:b/>
        </w:rPr>
        <w:t xml:space="preserve">6. </w:t>
      </w:r>
      <w:r w:rsidR="00EE27D6" w:rsidRPr="002379A8">
        <w:rPr>
          <w:rFonts w:ascii="Calibri" w:hAnsi="Calibri" w:cs="Calibri"/>
          <w:b/>
        </w:rPr>
        <w:t>Przewidywany s</w:t>
      </w:r>
      <w:r w:rsidRPr="002379A8">
        <w:rPr>
          <w:rFonts w:ascii="Calibri" w:hAnsi="Calibri" w:cs="Calibri"/>
          <w:b/>
        </w:rPr>
        <w:t>posób realizacji zamówienia</w:t>
      </w:r>
    </w:p>
    <w:p w14:paraId="3DF235E3" w14:textId="1D161E8B" w:rsidR="008215FF" w:rsidRPr="002379A8" w:rsidRDefault="00D42061" w:rsidP="00D42061">
      <w:pPr>
        <w:autoSpaceDE w:val="0"/>
        <w:autoSpaceDN w:val="0"/>
        <w:adjustRightInd w:val="0"/>
        <w:spacing w:before="120" w:after="120" w:line="240" w:lineRule="auto"/>
        <w:jc w:val="both"/>
      </w:pPr>
      <w:r w:rsidRPr="002379A8">
        <w:rPr>
          <w:rFonts w:ascii="Calibri" w:hAnsi="Calibri" w:cs="Calibri"/>
        </w:rPr>
        <w:t xml:space="preserve">W ramach Etapu I </w:t>
      </w:r>
      <w:proofErr w:type="spellStart"/>
      <w:r w:rsidRPr="002379A8">
        <w:rPr>
          <w:rFonts w:ascii="Calibri" w:hAnsi="Calibri" w:cs="Calibri"/>
        </w:rPr>
        <w:t>i</w:t>
      </w:r>
      <w:proofErr w:type="spellEnd"/>
      <w:r w:rsidRPr="002379A8">
        <w:rPr>
          <w:rFonts w:ascii="Calibri" w:hAnsi="Calibri" w:cs="Calibri"/>
        </w:rPr>
        <w:t xml:space="preserve"> Etapu 2 Wykonawca będzie  </w:t>
      </w:r>
      <w:r w:rsidRPr="002379A8">
        <w:rPr>
          <w:rFonts w:cstheme="minorHAnsi"/>
        </w:rPr>
        <w:t xml:space="preserve">wykonywał zadania zlecone przez Zamawiającego. Współpraca pomiędzy Zamawiającym a Wykonawcą będzie miała charakter ciągły, choć może różnić się intensywnością, w zależności od etapu wdrażania KPO. </w:t>
      </w:r>
    </w:p>
    <w:p w14:paraId="6869C7C8" w14:textId="412B67E0" w:rsidR="00AB5C32" w:rsidRPr="002379A8" w:rsidRDefault="00A0283B" w:rsidP="00AB5C32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2379A8">
        <w:rPr>
          <w:rFonts w:ascii="Calibri" w:hAnsi="Calibri" w:cs="Calibri"/>
        </w:rPr>
        <w:t xml:space="preserve">W ramach </w:t>
      </w:r>
      <w:r w:rsidRPr="002379A8">
        <w:rPr>
          <w:rFonts w:ascii="Calibri" w:hAnsi="Calibri" w:cs="Calibri"/>
          <w:u w:val="single"/>
        </w:rPr>
        <w:t xml:space="preserve">Zadania 1. </w:t>
      </w:r>
      <w:r w:rsidRPr="002379A8">
        <w:rPr>
          <w:u w:val="single"/>
        </w:rPr>
        <w:t>Analiza zgodności z zasadą DNSH W</w:t>
      </w:r>
      <w:r w:rsidR="00AB5C32" w:rsidRPr="002379A8">
        <w:rPr>
          <w:rFonts w:ascii="Calibri" w:hAnsi="Calibri" w:cs="Calibri"/>
        </w:rPr>
        <w:t>ykonawca</w:t>
      </w:r>
      <w:r w:rsidRPr="002379A8">
        <w:rPr>
          <w:rFonts w:ascii="Calibri" w:hAnsi="Calibri" w:cs="Calibri"/>
        </w:rPr>
        <w:t>:</w:t>
      </w:r>
      <w:r w:rsidR="008215FF" w:rsidRPr="002379A8">
        <w:rPr>
          <w:rFonts w:ascii="Calibri" w:hAnsi="Calibri" w:cs="Calibri"/>
        </w:rPr>
        <w:t xml:space="preserve"> </w:t>
      </w:r>
    </w:p>
    <w:p w14:paraId="3D222B48" w14:textId="37A07A56" w:rsidR="00AB5C32" w:rsidRPr="002379A8" w:rsidRDefault="004653D8" w:rsidP="00AB5C32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>Zamawiający i Wykonawca w trakcie spotkania roboczego ustalą ramowy harmonogram prac</w:t>
      </w:r>
      <w:r w:rsidR="002379A8">
        <w:rPr>
          <w:rFonts w:cstheme="minorHAnsi"/>
        </w:rPr>
        <w:t xml:space="preserve"> nad </w:t>
      </w:r>
      <w:r w:rsidRPr="002379A8">
        <w:rPr>
          <w:rFonts w:cstheme="minorHAnsi"/>
        </w:rPr>
        <w:t xml:space="preserve"> projektem </w:t>
      </w:r>
      <w:r w:rsidRPr="002379A8">
        <w:rPr>
          <w:rFonts w:cstheme="minorHAnsi"/>
          <w:i/>
          <w:iCs/>
        </w:rPr>
        <w:t xml:space="preserve">Oceny reform i inwestycji w ramach rewizji krajowego Planu Odbudowy i Zwiększania Odporności pod kątem zgodności z zasadą DNSH </w:t>
      </w:r>
      <w:r w:rsidRPr="002379A8">
        <w:rPr>
          <w:rFonts w:cstheme="minorHAnsi"/>
        </w:rPr>
        <w:t xml:space="preserve">(Zadanie 1.2 – odpowiednio Etap I </w:t>
      </w:r>
      <w:proofErr w:type="spellStart"/>
      <w:r w:rsidRPr="002379A8">
        <w:rPr>
          <w:rFonts w:cstheme="minorHAnsi"/>
        </w:rPr>
        <w:t>i</w:t>
      </w:r>
      <w:proofErr w:type="spellEnd"/>
      <w:r w:rsidRPr="002379A8">
        <w:rPr>
          <w:rFonts w:cstheme="minorHAnsi"/>
        </w:rPr>
        <w:t xml:space="preserve"> II).   </w:t>
      </w:r>
      <w:r w:rsidR="00FF3883" w:rsidRPr="002379A8">
        <w:rPr>
          <w:rFonts w:cstheme="minorHAnsi"/>
        </w:rPr>
        <w:t xml:space="preserve"> </w:t>
      </w:r>
      <w:r w:rsidR="00AB5C32" w:rsidRPr="002379A8">
        <w:rPr>
          <w:rFonts w:cstheme="minorHAnsi"/>
        </w:rPr>
        <w:t xml:space="preserve"> </w:t>
      </w:r>
    </w:p>
    <w:p w14:paraId="5F75C7A5" w14:textId="7E51D6CF" w:rsidR="00FB6068" w:rsidRPr="002379A8" w:rsidRDefault="004A319D" w:rsidP="00AB5C32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 xml:space="preserve">W trakcie </w:t>
      </w:r>
      <w:r w:rsidR="00FB6068" w:rsidRPr="002379A8">
        <w:rPr>
          <w:rFonts w:cstheme="minorHAnsi"/>
        </w:rPr>
        <w:t>negocjacji z KE Wykonawca pozostaje do dyspozycji Zamawiającego i będzie go wspomagał na jego żądanie w negocjacjach</w:t>
      </w:r>
      <w:r w:rsidR="00C2435E" w:rsidRPr="002379A8">
        <w:rPr>
          <w:rFonts w:cstheme="minorHAnsi"/>
        </w:rPr>
        <w:t xml:space="preserve"> (Zadanie 1.3</w:t>
      </w:r>
      <w:r w:rsidR="00232B6F" w:rsidRPr="002379A8">
        <w:rPr>
          <w:rFonts w:cstheme="minorHAnsi"/>
        </w:rPr>
        <w:t xml:space="preserve"> – odpowiednio Etap I </w:t>
      </w:r>
      <w:proofErr w:type="spellStart"/>
      <w:r w:rsidR="00232B6F" w:rsidRPr="002379A8">
        <w:rPr>
          <w:rFonts w:cstheme="minorHAnsi"/>
        </w:rPr>
        <w:t>i</w:t>
      </w:r>
      <w:proofErr w:type="spellEnd"/>
      <w:r w:rsidR="00232B6F" w:rsidRPr="002379A8">
        <w:rPr>
          <w:rFonts w:cstheme="minorHAnsi"/>
        </w:rPr>
        <w:t xml:space="preserve"> II</w:t>
      </w:r>
      <w:r w:rsidR="00C2435E" w:rsidRPr="002379A8">
        <w:rPr>
          <w:rFonts w:cstheme="minorHAnsi"/>
        </w:rPr>
        <w:t>)</w:t>
      </w:r>
      <w:r w:rsidR="00FB6068" w:rsidRPr="002379A8">
        <w:rPr>
          <w:rFonts w:cstheme="minorHAnsi"/>
        </w:rPr>
        <w:t>. Wykonawca będzie zobowiązany do:</w:t>
      </w:r>
    </w:p>
    <w:p w14:paraId="7A41C686" w14:textId="52DBD4EF" w:rsidR="00FB6068" w:rsidRPr="002379A8" w:rsidRDefault="00C621FF" w:rsidP="00FB606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 xml:space="preserve">analizy </w:t>
      </w:r>
      <w:r w:rsidRPr="002379A8">
        <w:rPr>
          <w:rFonts w:ascii="Calibri" w:hAnsi="Calibri" w:cs="Calibri"/>
        </w:rPr>
        <w:t xml:space="preserve">uwag KE do </w:t>
      </w:r>
      <w:r w:rsidRPr="002379A8">
        <w:rPr>
          <w:rFonts w:ascii="Calibri" w:hAnsi="Calibri" w:cs="Calibri"/>
          <w:i/>
          <w:iCs/>
        </w:rPr>
        <w:t>Oceny</w:t>
      </w:r>
      <w:r w:rsidRPr="002379A8">
        <w:rPr>
          <w:rFonts w:ascii="Calibri" w:hAnsi="Calibri" w:cs="Calibri"/>
        </w:rPr>
        <w:t xml:space="preserve"> oraz wprowadzenie niezbędnych zmian i uzupełnień wynikających z</w:t>
      </w:r>
      <w:r w:rsidR="00732100">
        <w:rPr>
          <w:rFonts w:ascii="Calibri" w:hAnsi="Calibri" w:cs="Calibri"/>
        </w:rPr>
        <w:t> </w:t>
      </w:r>
      <w:r w:rsidRPr="002379A8">
        <w:rPr>
          <w:rFonts w:ascii="Calibri" w:hAnsi="Calibri" w:cs="Calibri"/>
        </w:rPr>
        <w:t>uwag KE</w:t>
      </w:r>
      <w:r w:rsidR="00FB6068" w:rsidRPr="002379A8">
        <w:rPr>
          <w:rFonts w:cstheme="minorHAnsi"/>
        </w:rPr>
        <w:t>;</w:t>
      </w:r>
    </w:p>
    <w:p w14:paraId="26F5E9F0" w14:textId="4CF76B25" w:rsidR="00FB6068" w:rsidRPr="002379A8" w:rsidRDefault="00FB6068" w:rsidP="00FB606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 xml:space="preserve">udziału na żądanie Zamawiającego w spotkaniach roboczych organizowanych ad hoc (maksymalnie </w:t>
      </w:r>
      <w:r w:rsidR="00C621FF" w:rsidRPr="002379A8">
        <w:rPr>
          <w:rFonts w:cstheme="minorHAnsi"/>
        </w:rPr>
        <w:t>4</w:t>
      </w:r>
      <w:r w:rsidRPr="002379A8">
        <w:rPr>
          <w:rFonts w:cstheme="minorHAnsi"/>
        </w:rPr>
        <w:t xml:space="preserve"> spotka</w:t>
      </w:r>
      <w:r w:rsidR="00C621FF" w:rsidRPr="002379A8">
        <w:rPr>
          <w:rFonts w:cstheme="minorHAnsi"/>
        </w:rPr>
        <w:t>nia</w:t>
      </w:r>
      <w:r w:rsidRPr="002379A8">
        <w:rPr>
          <w:rFonts w:cstheme="minorHAnsi"/>
        </w:rPr>
        <w:t xml:space="preserve"> robocz</w:t>
      </w:r>
      <w:r w:rsidR="00C621FF" w:rsidRPr="002379A8">
        <w:rPr>
          <w:rFonts w:cstheme="minorHAnsi"/>
        </w:rPr>
        <w:t xml:space="preserve">e, w </w:t>
      </w:r>
      <w:r w:rsidRPr="002379A8">
        <w:rPr>
          <w:rFonts w:cstheme="minorHAnsi"/>
        </w:rPr>
        <w:t>tym z przedstawicielami KE)</w:t>
      </w:r>
      <w:r w:rsidR="002379A8" w:rsidRPr="002379A8">
        <w:rPr>
          <w:rFonts w:cstheme="minorHAnsi"/>
        </w:rPr>
        <w:t>.</w:t>
      </w:r>
      <w:r w:rsidRPr="002379A8">
        <w:rPr>
          <w:rFonts w:cstheme="minorHAnsi"/>
        </w:rPr>
        <w:t xml:space="preserve">  </w:t>
      </w:r>
    </w:p>
    <w:p w14:paraId="7FE0725B" w14:textId="3CA8F05C" w:rsidR="00A0283B" w:rsidRPr="002379A8" w:rsidRDefault="00C621FF" w:rsidP="00A0283B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cstheme="minorHAnsi"/>
        </w:rPr>
        <w:t xml:space="preserve">Wykonawca dostarczy </w:t>
      </w:r>
      <w:r w:rsidR="00C2435E" w:rsidRPr="002379A8">
        <w:rPr>
          <w:rFonts w:cstheme="minorHAnsi"/>
        </w:rPr>
        <w:t>Z</w:t>
      </w:r>
      <w:r w:rsidRPr="002379A8">
        <w:rPr>
          <w:rFonts w:cstheme="minorHAnsi"/>
        </w:rPr>
        <w:t xml:space="preserve">amawiającemu, zgodnie z </w:t>
      </w:r>
      <w:r w:rsidR="002379A8" w:rsidRPr="002379A8">
        <w:rPr>
          <w:rFonts w:cstheme="minorHAnsi"/>
        </w:rPr>
        <w:t xml:space="preserve">ustalonym przez Strony </w:t>
      </w:r>
      <w:r w:rsidR="00C2435E" w:rsidRPr="002379A8">
        <w:rPr>
          <w:rFonts w:cstheme="minorHAnsi"/>
        </w:rPr>
        <w:t xml:space="preserve">harmonogramem, </w:t>
      </w:r>
      <w:r w:rsidR="00C2435E" w:rsidRPr="002379A8">
        <w:rPr>
          <w:rFonts w:ascii="Calibri" w:hAnsi="Calibri" w:cs="Calibri"/>
        </w:rPr>
        <w:t>ostateczną  wersję</w:t>
      </w:r>
      <w:r w:rsidR="00C2435E" w:rsidRPr="002379A8">
        <w:rPr>
          <w:rFonts w:eastAsia="Times New Roman" w:cstheme="minorHAnsi"/>
          <w:lang w:eastAsia="pl-PL"/>
        </w:rPr>
        <w:t xml:space="preserve"> </w:t>
      </w:r>
      <w:r w:rsidR="00C2435E" w:rsidRPr="002379A8">
        <w:rPr>
          <w:rFonts w:eastAsia="Times New Roman" w:cstheme="minorHAnsi"/>
          <w:i/>
          <w:iCs/>
          <w:lang w:eastAsia="pl-PL"/>
        </w:rPr>
        <w:t xml:space="preserve">Oceny </w:t>
      </w:r>
      <w:r w:rsidR="00C2435E" w:rsidRPr="002379A8">
        <w:rPr>
          <w:rFonts w:eastAsia="Arial Unicode MS" w:cstheme="minorHAnsi"/>
          <w:i/>
          <w:iCs/>
          <w:lang w:eastAsia="pl-PL"/>
        </w:rPr>
        <w:t>reform i inwestycji w ramach rewizji krajowego Planu Odbudowy i</w:t>
      </w:r>
      <w:r w:rsidR="00732100">
        <w:rPr>
          <w:rFonts w:eastAsia="Arial Unicode MS" w:cstheme="minorHAnsi"/>
          <w:i/>
          <w:iCs/>
          <w:lang w:eastAsia="pl-PL"/>
        </w:rPr>
        <w:t> </w:t>
      </w:r>
      <w:r w:rsidR="00C2435E" w:rsidRPr="002379A8">
        <w:rPr>
          <w:rFonts w:eastAsia="Arial Unicode MS" w:cstheme="minorHAnsi"/>
          <w:i/>
          <w:iCs/>
          <w:lang w:eastAsia="pl-PL"/>
        </w:rPr>
        <w:t xml:space="preserve">Zwiększania Odporności </w:t>
      </w:r>
      <w:r w:rsidR="00C2435E" w:rsidRPr="002379A8">
        <w:rPr>
          <w:rFonts w:eastAsia="Times New Roman" w:cstheme="minorHAnsi"/>
          <w:i/>
          <w:iCs/>
          <w:lang w:eastAsia="pl-PL"/>
        </w:rPr>
        <w:t>pod kątem zgodności z zasadą DNSH</w:t>
      </w:r>
      <w:r w:rsidR="00C2435E" w:rsidRPr="002379A8">
        <w:rPr>
          <w:rFonts w:eastAsia="Times New Roman" w:cstheme="minorHAnsi"/>
          <w:i/>
          <w:lang w:eastAsia="pl-PL"/>
        </w:rPr>
        <w:t xml:space="preserve"> - </w:t>
      </w:r>
      <w:r w:rsidR="00C2435E" w:rsidRPr="002379A8">
        <w:rPr>
          <w:rFonts w:eastAsia="Times New Roman" w:cstheme="minorHAnsi"/>
          <w:iCs/>
          <w:lang w:eastAsia="pl-PL"/>
        </w:rPr>
        <w:t>uwzględniającej ustalenia z KE</w:t>
      </w:r>
      <w:r w:rsidR="002379A8" w:rsidRPr="002379A8">
        <w:rPr>
          <w:rFonts w:eastAsia="Times New Roman" w:cstheme="minorHAnsi"/>
          <w:iCs/>
          <w:lang w:eastAsia="pl-PL"/>
        </w:rPr>
        <w:t xml:space="preserve">. </w:t>
      </w:r>
      <w:r w:rsidR="00C2435E" w:rsidRPr="002379A8">
        <w:rPr>
          <w:rFonts w:cstheme="minorHAnsi"/>
        </w:rPr>
        <w:t xml:space="preserve"> </w:t>
      </w:r>
    </w:p>
    <w:p w14:paraId="45551534" w14:textId="32AE07E2" w:rsidR="00726237" w:rsidRPr="002379A8" w:rsidRDefault="00726237" w:rsidP="00A0283B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ascii="Calibri" w:hAnsi="Calibri" w:cs="Calibri"/>
        </w:rPr>
        <w:t>Zamawiający może zgłosić Wykonawcy uwagi do udostępnion</w:t>
      </w:r>
      <w:r w:rsidR="002379A8">
        <w:rPr>
          <w:rFonts w:ascii="Calibri" w:hAnsi="Calibri" w:cs="Calibri"/>
        </w:rPr>
        <w:t xml:space="preserve">ych </w:t>
      </w:r>
      <w:r w:rsidRPr="002379A8">
        <w:rPr>
          <w:rFonts w:ascii="Calibri" w:hAnsi="Calibri" w:cs="Calibri"/>
        </w:rPr>
        <w:t xml:space="preserve">przez Wykonawcę elementów zamówienia, w terminie </w:t>
      </w:r>
      <w:r w:rsidR="00BF15E9" w:rsidRPr="008C7D6C">
        <w:rPr>
          <w:rFonts w:ascii="Calibri" w:hAnsi="Calibri" w:cs="Calibri"/>
        </w:rPr>
        <w:t xml:space="preserve">7 </w:t>
      </w:r>
      <w:r w:rsidRPr="008C7D6C">
        <w:rPr>
          <w:rFonts w:ascii="Calibri" w:hAnsi="Calibri" w:cs="Calibri"/>
        </w:rPr>
        <w:t>dni</w:t>
      </w:r>
      <w:r w:rsidRPr="002379A8">
        <w:rPr>
          <w:rFonts w:ascii="Calibri" w:hAnsi="Calibri" w:cs="Calibri"/>
        </w:rPr>
        <w:t xml:space="preserve"> od dnia udostępnienia Zamawiającemu</w:t>
      </w:r>
      <w:r w:rsidR="00A05231">
        <w:rPr>
          <w:rFonts w:ascii="Calibri" w:hAnsi="Calibri" w:cs="Calibri"/>
        </w:rPr>
        <w:t xml:space="preserve">, które Wykonawca powinien rozpatrzyć i uwzględnić a w przypadku odrzucenia dołączyć wyjaśnienie. </w:t>
      </w:r>
      <w:r w:rsidR="00BF15E9" w:rsidRPr="002379A8">
        <w:rPr>
          <w:rFonts w:ascii="Calibri" w:hAnsi="Calibri" w:cs="Calibri"/>
        </w:rPr>
        <w:t xml:space="preserve"> </w:t>
      </w:r>
    </w:p>
    <w:p w14:paraId="49289CAC" w14:textId="40C07399" w:rsidR="006D4CDE" w:rsidRPr="006B26BB" w:rsidRDefault="006D4CDE" w:rsidP="00B3162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6B26BB">
        <w:rPr>
          <w:rFonts w:ascii="Calibri" w:hAnsi="Calibri" w:cs="Calibri"/>
        </w:rPr>
        <w:t xml:space="preserve"> </w:t>
      </w:r>
    </w:p>
    <w:p w14:paraId="6A66A46C" w14:textId="15EE1301" w:rsidR="00A05231" w:rsidRPr="004C5F5C" w:rsidRDefault="00232B6F" w:rsidP="006B26B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379A8">
        <w:rPr>
          <w:rFonts w:ascii="Calibri" w:hAnsi="Calibri" w:cs="Calibri"/>
        </w:rPr>
        <w:t xml:space="preserve">W ramach </w:t>
      </w:r>
      <w:r w:rsidRPr="002379A8">
        <w:rPr>
          <w:rFonts w:ascii="Calibri" w:hAnsi="Calibri" w:cs="Calibri"/>
          <w:u w:val="single"/>
        </w:rPr>
        <w:t xml:space="preserve">Zadania 2. </w:t>
      </w:r>
      <w:r w:rsidRPr="002379A8">
        <w:rPr>
          <w:rFonts w:ascii="Calibri" w:hAnsi="Calibri" w:cs="Calibri"/>
          <w:i/>
          <w:iCs/>
          <w:u w:val="single"/>
        </w:rPr>
        <w:t>Doradztwo eksperckie w interpretacji stosowania zasady DNSH w kontekście inwestycji i przedsięwzięć realizowanych w ramach KPO</w:t>
      </w:r>
      <w:r w:rsidR="002B31C0" w:rsidRPr="002379A8">
        <w:rPr>
          <w:rFonts w:ascii="Calibri" w:hAnsi="Calibri" w:cs="Calibri"/>
          <w:i/>
          <w:iCs/>
          <w:u w:val="single"/>
        </w:rPr>
        <w:t xml:space="preserve"> W</w:t>
      </w:r>
      <w:r w:rsidR="002B31C0" w:rsidRPr="002379A8">
        <w:rPr>
          <w:rFonts w:ascii="Calibri" w:hAnsi="Calibri" w:cs="Calibri"/>
        </w:rPr>
        <w:t xml:space="preserve">ykonawca będzie </w:t>
      </w:r>
      <w:r w:rsidR="00D42061" w:rsidRPr="002379A8">
        <w:rPr>
          <w:rFonts w:ascii="Calibri" w:hAnsi="Calibri" w:cs="Calibri"/>
        </w:rPr>
        <w:t xml:space="preserve"> </w:t>
      </w:r>
      <w:r w:rsidR="00D42061" w:rsidRPr="002379A8">
        <w:rPr>
          <w:rFonts w:cstheme="minorHAnsi"/>
        </w:rPr>
        <w:t xml:space="preserve">wykonywał </w:t>
      </w:r>
      <w:r w:rsidR="00A0283B" w:rsidRPr="002379A8">
        <w:rPr>
          <w:rFonts w:cstheme="minorHAnsi"/>
        </w:rPr>
        <w:t xml:space="preserve">prace </w:t>
      </w:r>
      <w:r w:rsidR="00D42061" w:rsidRPr="002379A8">
        <w:rPr>
          <w:rFonts w:cstheme="minorHAnsi"/>
        </w:rPr>
        <w:t>zlecone przez Zamawiającego</w:t>
      </w:r>
      <w:r w:rsidR="006B26BB">
        <w:rPr>
          <w:rFonts w:cstheme="minorHAnsi"/>
        </w:rPr>
        <w:t xml:space="preserve">, zgodnie z ustalonym każdorazowo harmonogramem: </w:t>
      </w:r>
      <w:r w:rsidR="00A05231" w:rsidRPr="004C5F5C">
        <w:rPr>
          <w:rFonts w:cstheme="minorHAnsi"/>
        </w:rPr>
        <w:t xml:space="preserve"> </w:t>
      </w:r>
    </w:p>
    <w:p w14:paraId="2C9502C9" w14:textId="3C927B0E" w:rsidR="007D0226" w:rsidRPr="004C5F5C" w:rsidRDefault="00A05231" w:rsidP="00105D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C5F5C">
        <w:rPr>
          <w:rFonts w:cstheme="minorHAnsi"/>
        </w:rPr>
        <w:t>p</w:t>
      </w:r>
      <w:r w:rsidR="002B31C0" w:rsidRPr="004C5F5C">
        <w:rPr>
          <w:rFonts w:cstheme="minorHAnsi"/>
        </w:rPr>
        <w:t>rzygotowani</w:t>
      </w:r>
      <w:r w:rsidR="007D0226" w:rsidRPr="004C5F5C">
        <w:rPr>
          <w:rFonts w:cstheme="minorHAnsi"/>
        </w:rPr>
        <w:t xml:space="preserve">e </w:t>
      </w:r>
      <w:r w:rsidR="00211FB3" w:rsidRPr="004C5F5C">
        <w:rPr>
          <w:rFonts w:cstheme="minorHAnsi"/>
        </w:rPr>
        <w:t>opinii/analiz</w:t>
      </w:r>
      <w:r w:rsidR="005E1E98">
        <w:rPr>
          <w:rFonts w:cstheme="minorHAnsi"/>
        </w:rPr>
        <w:t>/</w:t>
      </w:r>
      <w:r w:rsidR="005E1E98">
        <w:t xml:space="preserve">uwag/rekomendacji, itp. </w:t>
      </w:r>
      <w:r w:rsidR="00211FB3" w:rsidRPr="004C5F5C">
        <w:rPr>
          <w:rFonts w:cstheme="minorHAnsi"/>
        </w:rPr>
        <w:t xml:space="preserve">w roku 2025 i 2026 </w:t>
      </w:r>
      <w:r w:rsidR="00D56A23" w:rsidRPr="004C5F5C">
        <w:rPr>
          <w:rFonts w:cstheme="minorHAnsi"/>
        </w:rPr>
        <w:t xml:space="preserve">- </w:t>
      </w:r>
      <w:r w:rsidR="002B31C0" w:rsidRPr="004C5F5C">
        <w:rPr>
          <w:rFonts w:cstheme="minorHAnsi"/>
        </w:rPr>
        <w:t>w zakresie</w:t>
      </w:r>
      <w:r w:rsidR="00DC72D1" w:rsidRPr="004C5F5C">
        <w:rPr>
          <w:rFonts w:cstheme="minorHAnsi"/>
        </w:rPr>
        <w:t xml:space="preserve"> konsultowania i </w:t>
      </w:r>
      <w:r w:rsidR="00211FB3" w:rsidRPr="004C5F5C">
        <w:rPr>
          <w:rFonts w:cstheme="minorHAnsi"/>
        </w:rPr>
        <w:t xml:space="preserve">rozwiązywania problemów związanych z </w:t>
      </w:r>
      <w:r w:rsidR="002B31C0" w:rsidRPr="004C5F5C">
        <w:rPr>
          <w:rFonts w:cstheme="minorHAnsi"/>
        </w:rPr>
        <w:t>interpretacj</w:t>
      </w:r>
      <w:r w:rsidR="00211FB3" w:rsidRPr="004C5F5C">
        <w:rPr>
          <w:rFonts w:cstheme="minorHAnsi"/>
        </w:rPr>
        <w:t>ą</w:t>
      </w:r>
      <w:r w:rsidR="002B31C0" w:rsidRPr="004C5F5C">
        <w:rPr>
          <w:rFonts w:cstheme="minorHAnsi"/>
        </w:rPr>
        <w:t xml:space="preserve"> stosowania zasady DNSH</w:t>
      </w:r>
      <w:r w:rsidR="00D56A23" w:rsidRPr="004C5F5C">
        <w:rPr>
          <w:rFonts w:cstheme="minorHAnsi"/>
        </w:rPr>
        <w:t>.</w:t>
      </w:r>
      <w:r w:rsidR="00DE5BB8" w:rsidRPr="004C5F5C">
        <w:rPr>
          <w:rFonts w:cstheme="minorHAnsi"/>
        </w:rPr>
        <w:t xml:space="preserve"> </w:t>
      </w:r>
      <w:r w:rsidR="007D0226" w:rsidRPr="004C5F5C">
        <w:rPr>
          <w:rFonts w:cstheme="minorHAnsi"/>
        </w:rPr>
        <w:t xml:space="preserve"> </w:t>
      </w:r>
    </w:p>
    <w:p w14:paraId="6CCF6EFD" w14:textId="1524B723" w:rsidR="00DC72D1" w:rsidRPr="004C5F5C" w:rsidRDefault="00A05231" w:rsidP="00105DA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C5F5C">
        <w:rPr>
          <w:rFonts w:cstheme="minorHAnsi"/>
        </w:rPr>
        <w:t>u</w:t>
      </w:r>
      <w:r w:rsidR="00D56A23" w:rsidRPr="004C5F5C">
        <w:rPr>
          <w:rFonts w:cstheme="minorHAnsi"/>
        </w:rPr>
        <w:t xml:space="preserve">dział w spotkaniach grupy roboczej </w:t>
      </w:r>
      <w:r w:rsidR="00DC72D1" w:rsidRPr="004C5F5C">
        <w:rPr>
          <w:rFonts w:cstheme="minorHAnsi"/>
        </w:rPr>
        <w:t xml:space="preserve">i </w:t>
      </w:r>
      <w:r w:rsidR="00211FB3" w:rsidRPr="004C5F5C">
        <w:rPr>
          <w:rFonts w:cstheme="minorHAnsi"/>
        </w:rPr>
        <w:t xml:space="preserve">z </w:t>
      </w:r>
      <w:r w:rsidR="00DC72D1" w:rsidRPr="004C5F5C">
        <w:rPr>
          <w:rFonts w:cstheme="minorHAnsi"/>
        </w:rPr>
        <w:t>przedstawicielami IOI/IOR</w:t>
      </w:r>
      <w:r w:rsidR="00A05563" w:rsidRPr="004C5F5C">
        <w:rPr>
          <w:rFonts w:cstheme="minorHAnsi"/>
        </w:rPr>
        <w:t xml:space="preserve">/JW </w:t>
      </w:r>
      <w:r w:rsidR="00DC72D1" w:rsidRPr="004C5F5C">
        <w:rPr>
          <w:rFonts w:cstheme="minorHAnsi"/>
        </w:rPr>
        <w:t xml:space="preserve">wraz z </w:t>
      </w:r>
      <w:r w:rsidR="00C04075" w:rsidRPr="004C5F5C">
        <w:rPr>
          <w:rFonts w:cstheme="minorHAnsi"/>
        </w:rPr>
        <w:t xml:space="preserve">przygotowaniem </w:t>
      </w:r>
      <w:r w:rsidR="00DC72D1" w:rsidRPr="004C5F5C">
        <w:rPr>
          <w:rFonts w:cstheme="minorHAnsi"/>
        </w:rPr>
        <w:t>materiał</w:t>
      </w:r>
      <w:r w:rsidR="00C04075" w:rsidRPr="004C5F5C">
        <w:rPr>
          <w:rFonts w:cstheme="minorHAnsi"/>
        </w:rPr>
        <w:t xml:space="preserve">ów i ich prezentacją </w:t>
      </w:r>
      <w:r w:rsidR="00211FB3" w:rsidRPr="004C5F5C">
        <w:rPr>
          <w:rFonts w:cstheme="minorHAnsi"/>
        </w:rPr>
        <w:t>na spotkaniach</w:t>
      </w:r>
      <w:r w:rsidR="00DC72D1" w:rsidRPr="004C5F5C">
        <w:rPr>
          <w:rFonts w:cstheme="minorHAnsi"/>
        </w:rPr>
        <w:t xml:space="preserve"> </w:t>
      </w:r>
      <w:r w:rsidRPr="004C5F5C">
        <w:rPr>
          <w:rFonts w:cstheme="minorHAnsi"/>
        </w:rPr>
        <w:t xml:space="preserve">(około </w:t>
      </w:r>
      <w:r w:rsidR="00961A1F">
        <w:rPr>
          <w:rFonts w:cstheme="minorHAnsi"/>
        </w:rPr>
        <w:t xml:space="preserve"> 4</w:t>
      </w:r>
      <w:r w:rsidRPr="004C5F5C">
        <w:rPr>
          <w:rFonts w:cstheme="minorHAnsi"/>
        </w:rPr>
        <w:t xml:space="preserve"> spotka</w:t>
      </w:r>
      <w:r w:rsidR="00961A1F">
        <w:rPr>
          <w:rFonts w:cstheme="minorHAnsi"/>
        </w:rPr>
        <w:t>nia</w:t>
      </w:r>
      <w:r w:rsidRPr="004C5F5C">
        <w:rPr>
          <w:rFonts w:cstheme="minorHAnsi"/>
        </w:rPr>
        <w:t>)</w:t>
      </w:r>
      <w:r w:rsidR="00D56A23" w:rsidRPr="004C5F5C">
        <w:rPr>
          <w:rFonts w:cstheme="minorHAnsi"/>
        </w:rPr>
        <w:t xml:space="preserve">. </w:t>
      </w:r>
    </w:p>
    <w:p w14:paraId="27F63747" w14:textId="17E09B12" w:rsidR="009E7047" w:rsidRPr="009E7047" w:rsidRDefault="006B26BB" w:rsidP="009E704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9E7047">
        <w:rPr>
          <w:rFonts w:cstheme="minorHAnsi"/>
        </w:rPr>
        <w:t xml:space="preserve">Na wykonanie </w:t>
      </w:r>
      <w:r w:rsidRPr="009E7047">
        <w:rPr>
          <w:rFonts w:cstheme="minorHAnsi"/>
          <w:i/>
          <w:iCs/>
        </w:rPr>
        <w:t>Zadania 1</w:t>
      </w:r>
      <w:r w:rsidRPr="009E7047">
        <w:rPr>
          <w:rFonts w:cstheme="minorHAnsi"/>
        </w:rPr>
        <w:t xml:space="preserve"> i </w:t>
      </w:r>
      <w:r w:rsidRPr="009E7047">
        <w:rPr>
          <w:rFonts w:cstheme="minorHAnsi"/>
          <w:i/>
          <w:iCs/>
        </w:rPr>
        <w:t>Zadania 2</w:t>
      </w:r>
      <w:r w:rsidRPr="009E7047">
        <w:rPr>
          <w:rFonts w:cstheme="minorHAnsi"/>
        </w:rPr>
        <w:t xml:space="preserve"> w trakcie trwania umowy Zamawiający przeznacza</w:t>
      </w:r>
      <w:r w:rsidR="005E1E98">
        <w:rPr>
          <w:rFonts w:cstheme="minorHAnsi"/>
        </w:rPr>
        <w:t xml:space="preserve"> do</w:t>
      </w:r>
      <w:r w:rsidRPr="009E7047">
        <w:rPr>
          <w:rFonts w:cstheme="minorHAnsi"/>
        </w:rPr>
        <w:t xml:space="preserve"> </w:t>
      </w:r>
      <w:r w:rsidRPr="009E7047">
        <w:rPr>
          <w:rFonts w:cstheme="minorHAnsi"/>
          <w:b/>
          <w:bCs/>
        </w:rPr>
        <w:t>400 godzin</w:t>
      </w:r>
      <w:r w:rsidR="009E7047" w:rsidRPr="009E7047">
        <w:rPr>
          <w:rFonts w:cstheme="minorHAnsi"/>
          <w:b/>
          <w:bCs/>
        </w:rPr>
        <w:t xml:space="preserve">. </w:t>
      </w:r>
    </w:p>
    <w:p w14:paraId="205C90BE" w14:textId="318A3E40" w:rsidR="009E7047" w:rsidRPr="009E7047" w:rsidRDefault="00AB0387" w:rsidP="009E704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9E7047">
        <w:rPr>
          <w:rFonts w:cstheme="minorHAnsi"/>
        </w:rPr>
        <w:t xml:space="preserve">Zaangażowanie Wykonawcy będzie rozliczane </w:t>
      </w:r>
      <w:r w:rsidR="006D4CDE" w:rsidRPr="009E7047">
        <w:rPr>
          <w:rFonts w:cstheme="minorHAnsi"/>
        </w:rPr>
        <w:t xml:space="preserve">wg </w:t>
      </w:r>
      <w:r w:rsidR="00E67FCE" w:rsidRPr="009E7047">
        <w:rPr>
          <w:rFonts w:cstheme="minorHAnsi"/>
        </w:rPr>
        <w:t xml:space="preserve">roboczogodzin </w:t>
      </w:r>
      <w:r w:rsidRPr="009E7047">
        <w:rPr>
          <w:rFonts w:cstheme="minorHAnsi"/>
        </w:rPr>
        <w:t>(1 roboczogodzina = 60 minut)</w:t>
      </w:r>
      <w:r w:rsidR="004C5F5C" w:rsidRPr="009E7047">
        <w:rPr>
          <w:rFonts w:cstheme="minorHAnsi"/>
        </w:rPr>
        <w:t>.</w:t>
      </w:r>
      <w:r w:rsidR="00105DA8" w:rsidRPr="009E7047">
        <w:rPr>
          <w:rFonts w:cstheme="minorHAnsi"/>
        </w:rPr>
        <w:t xml:space="preserve"> </w:t>
      </w:r>
      <w:r w:rsidR="00E67FCE" w:rsidRPr="009E7047">
        <w:rPr>
          <w:rFonts w:cstheme="minorHAnsi"/>
        </w:rPr>
        <w:t>Wykonawca w terminie</w:t>
      </w:r>
      <w:r w:rsidR="00C04075" w:rsidRPr="009E7047">
        <w:rPr>
          <w:rFonts w:cstheme="minorHAnsi"/>
        </w:rPr>
        <w:t xml:space="preserve"> do </w:t>
      </w:r>
      <w:r w:rsidR="00E67FCE" w:rsidRPr="009E7047">
        <w:rPr>
          <w:rFonts w:cstheme="minorHAnsi"/>
        </w:rPr>
        <w:t>2 dni roboczych od otrzymania zlecenia</w:t>
      </w:r>
      <w:r w:rsidR="00793D6D" w:rsidRPr="009E7047">
        <w:rPr>
          <w:rFonts w:cstheme="minorHAnsi"/>
        </w:rPr>
        <w:t xml:space="preserve"> </w:t>
      </w:r>
      <w:r w:rsidR="00E67FCE" w:rsidRPr="009E7047">
        <w:rPr>
          <w:rFonts w:cstheme="minorHAnsi"/>
        </w:rPr>
        <w:t>określi</w:t>
      </w:r>
      <w:r w:rsidR="00C04075" w:rsidRPr="009E7047">
        <w:rPr>
          <w:rFonts w:cstheme="minorHAnsi"/>
        </w:rPr>
        <w:t xml:space="preserve"> </w:t>
      </w:r>
      <w:r w:rsidR="002B0EC9">
        <w:rPr>
          <w:rFonts w:cstheme="minorHAnsi"/>
        </w:rPr>
        <w:t xml:space="preserve">szacunkowe </w:t>
      </w:r>
      <w:r w:rsidR="00E67FCE" w:rsidRPr="009E7047">
        <w:rPr>
          <w:rFonts w:cstheme="minorHAnsi"/>
        </w:rPr>
        <w:t>zaangażowanie czasowe niezbędne na wykonanie zleconej usługi</w:t>
      </w:r>
      <w:r w:rsidR="00C04075" w:rsidRPr="009E7047">
        <w:rPr>
          <w:rFonts w:cstheme="minorHAnsi"/>
        </w:rPr>
        <w:t xml:space="preserve">. </w:t>
      </w:r>
      <w:r w:rsidR="009E7047">
        <w:rPr>
          <w:rFonts w:cstheme="minorHAnsi"/>
        </w:rPr>
        <w:t xml:space="preserve">Przy czym: </w:t>
      </w:r>
    </w:p>
    <w:p w14:paraId="01199A39" w14:textId="6C722622" w:rsidR="009E7047" w:rsidRPr="009E7047" w:rsidRDefault="009E7047" w:rsidP="009E70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9E7047">
        <w:rPr>
          <w:rFonts w:cstheme="minorHAnsi"/>
        </w:rPr>
        <w:t>czas na wykonanie Metodyki</w:t>
      </w:r>
      <w:r>
        <w:rPr>
          <w:rFonts w:cstheme="minorHAnsi"/>
        </w:rPr>
        <w:t xml:space="preserve"> tj. </w:t>
      </w:r>
      <w:r w:rsidR="00913EAE">
        <w:rPr>
          <w:rFonts w:cstheme="minorHAnsi"/>
        </w:rPr>
        <w:t>nie więcej niż  1</w:t>
      </w:r>
      <w:r>
        <w:rPr>
          <w:rFonts w:cstheme="minorHAnsi"/>
        </w:rPr>
        <w:t>6 godzin</w:t>
      </w:r>
      <w:r w:rsidRPr="009E7047">
        <w:rPr>
          <w:rFonts w:cstheme="minorHAnsi"/>
        </w:rPr>
        <w:t>;</w:t>
      </w:r>
    </w:p>
    <w:p w14:paraId="4E3E1C1A" w14:textId="66C51901" w:rsidR="009E7047" w:rsidRDefault="009E7047" w:rsidP="009E704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czas </w:t>
      </w:r>
      <w:r w:rsidRPr="00CF6099">
        <w:rPr>
          <w:rFonts w:cstheme="minorHAnsi"/>
        </w:rPr>
        <w:t xml:space="preserve">przypadający na </w:t>
      </w:r>
      <w:r w:rsidRPr="00CF6099">
        <w:rPr>
          <w:rFonts w:ascii="Calibri" w:hAnsi="Calibri" w:cs="Calibri"/>
        </w:rPr>
        <w:t xml:space="preserve">dokonanie analizy </w:t>
      </w:r>
      <w:r w:rsidR="00913EAE">
        <w:rPr>
          <w:rFonts w:ascii="Calibri" w:hAnsi="Calibri" w:cs="Calibri"/>
        </w:rPr>
        <w:t xml:space="preserve">jednej </w:t>
      </w:r>
      <w:r w:rsidRPr="00CF6099">
        <w:rPr>
          <w:rFonts w:ascii="Calibri" w:hAnsi="Calibri" w:cs="Calibri"/>
        </w:rPr>
        <w:t xml:space="preserve">reformy/inwestycji, </w:t>
      </w:r>
      <w:r>
        <w:t>która uznana zostanie za wymagającą ponownej Oceny wynosi do 8 godzin (w z</w:t>
      </w:r>
      <w:r w:rsidRPr="009E4372">
        <w:rPr>
          <w:rFonts w:ascii="Calibri" w:hAnsi="Calibri" w:cs="Calibri"/>
        </w:rPr>
        <w:t>wiązku z tym,</w:t>
      </w:r>
      <w:r w:rsidRPr="00CF6099">
        <w:rPr>
          <w:rFonts w:ascii="Calibri" w:hAnsi="Calibri" w:cs="Calibri"/>
        </w:rPr>
        <w:t xml:space="preserve"> że część zmienianych reform i inwestycji była już poddawana Ocenie), a w  przypadku nowej inwestycji czas ten może ulec wydłużeniu do 16 godzin</w:t>
      </w:r>
      <w:r w:rsidR="00C1630E">
        <w:rPr>
          <w:rFonts w:ascii="Calibri" w:hAnsi="Calibri" w:cs="Calibri"/>
        </w:rPr>
        <w:t xml:space="preserve">. Jeśli uwagi KE będą wymagały </w:t>
      </w:r>
      <w:r w:rsidR="002B0EC9">
        <w:rPr>
          <w:rFonts w:ascii="Calibri" w:hAnsi="Calibri" w:cs="Calibri"/>
        </w:rPr>
        <w:t>dodatkow</w:t>
      </w:r>
      <w:r w:rsidR="00C1630E">
        <w:rPr>
          <w:rFonts w:ascii="Calibri" w:hAnsi="Calibri" w:cs="Calibri"/>
        </w:rPr>
        <w:t>ych analiz</w:t>
      </w:r>
      <w:r w:rsidR="002B0EC9">
        <w:rPr>
          <w:rFonts w:ascii="Calibri" w:hAnsi="Calibri" w:cs="Calibri"/>
        </w:rPr>
        <w:t xml:space="preserve">, Zamawiający i Wykonawca ustalą </w:t>
      </w:r>
      <w:r w:rsidR="00C1630E">
        <w:rPr>
          <w:rFonts w:ascii="Calibri" w:hAnsi="Calibri" w:cs="Calibri"/>
        </w:rPr>
        <w:t>zaangażowanie Zamawiającego</w:t>
      </w:r>
      <w:r w:rsidR="002B0EC9">
        <w:rPr>
          <w:rFonts w:ascii="Calibri" w:hAnsi="Calibri" w:cs="Calibri"/>
        </w:rPr>
        <w:t xml:space="preserve">.  </w:t>
      </w:r>
    </w:p>
    <w:p w14:paraId="0B797EE8" w14:textId="604E675A" w:rsidR="006B26BB" w:rsidRPr="009E7047" w:rsidRDefault="009E7047" w:rsidP="009E7047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="00E67FCE" w:rsidRPr="009E7047">
        <w:rPr>
          <w:rFonts w:cstheme="minorHAnsi"/>
        </w:rPr>
        <w:t>łatności będą dokonywane</w:t>
      </w:r>
      <w:r w:rsidR="004C5F5C" w:rsidRPr="009E7047">
        <w:rPr>
          <w:rFonts w:cstheme="minorHAnsi"/>
        </w:rPr>
        <w:t xml:space="preserve"> </w:t>
      </w:r>
      <w:r w:rsidR="00E67FCE" w:rsidRPr="009E7047">
        <w:rPr>
          <w:rFonts w:cstheme="minorHAnsi"/>
        </w:rPr>
        <w:t>po podpisaniu</w:t>
      </w:r>
      <w:r w:rsidR="00C04075" w:rsidRPr="009E7047">
        <w:rPr>
          <w:rFonts w:cstheme="minorHAnsi"/>
        </w:rPr>
        <w:t xml:space="preserve"> </w:t>
      </w:r>
      <w:r w:rsidR="00E67FCE" w:rsidRPr="009E7047">
        <w:rPr>
          <w:rFonts w:cstheme="minorHAnsi"/>
        </w:rPr>
        <w:t>protokołu odbioru,</w:t>
      </w:r>
      <w:r w:rsidR="00C04075" w:rsidRPr="009E7047">
        <w:rPr>
          <w:rFonts w:cstheme="minorHAnsi"/>
        </w:rPr>
        <w:t xml:space="preserve"> zgodnie z Umową. </w:t>
      </w:r>
    </w:p>
    <w:p w14:paraId="7C35CCF9" w14:textId="296270B2" w:rsidR="007D0226" w:rsidRPr="007D0226" w:rsidRDefault="007D0226" w:rsidP="007D02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</w:t>
      </w:r>
      <w:r w:rsidRPr="007D0226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O</w:t>
      </w:r>
      <w:r w:rsidR="00AF6595">
        <w:rPr>
          <w:rFonts w:ascii="Calibri" w:hAnsi="Calibri" w:cs="Calibri"/>
          <w:b/>
        </w:rPr>
        <w:t xml:space="preserve">bowiązki </w:t>
      </w:r>
      <w:r>
        <w:rPr>
          <w:rFonts w:ascii="Calibri" w:hAnsi="Calibri" w:cs="Calibri"/>
          <w:b/>
        </w:rPr>
        <w:t>Wykonawcy</w:t>
      </w:r>
    </w:p>
    <w:p w14:paraId="375D5CC3" w14:textId="1CBD000A" w:rsidR="00A0283B" w:rsidRPr="00A0283B" w:rsidRDefault="00AF6595" w:rsidP="007D0226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A0283B">
        <w:rPr>
          <w:rFonts w:cstheme="minorHAnsi"/>
        </w:rPr>
        <w:t>Od Wykonawcy oczekuje się</w:t>
      </w:r>
      <w:r>
        <w:rPr>
          <w:rFonts w:cstheme="minorHAnsi"/>
        </w:rPr>
        <w:t xml:space="preserve"> </w:t>
      </w:r>
      <w:r w:rsidRPr="00A0283B">
        <w:rPr>
          <w:rFonts w:cstheme="minorHAnsi"/>
        </w:rPr>
        <w:t xml:space="preserve">sprawnej i terminowej realizacji zadań oraz </w:t>
      </w:r>
      <w:r>
        <w:rPr>
          <w:rFonts w:cstheme="minorHAnsi"/>
        </w:rPr>
        <w:t xml:space="preserve">bieżącej </w:t>
      </w:r>
      <w:r w:rsidRPr="00A0283B">
        <w:rPr>
          <w:rFonts w:cstheme="minorHAnsi"/>
        </w:rPr>
        <w:t>współpracy z</w:t>
      </w:r>
      <w:r w:rsidR="00732100">
        <w:rPr>
          <w:rFonts w:cstheme="minorHAnsi"/>
        </w:rPr>
        <w:t> </w:t>
      </w:r>
      <w:r w:rsidRPr="00A0283B">
        <w:rPr>
          <w:rFonts w:cstheme="minorHAnsi"/>
        </w:rPr>
        <w:t>Zamawiającym</w:t>
      </w:r>
      <w:r>
        <w:rPr>
          <w:rFonts w:cstheme="minorHAnsi"/>
        </w:rPr>
        <w:t xml:space="preserve">. W </w:t>
      </w:r>
      <w:r w:rsidR="00A0283B" w:rsidRPr="00A0283B">
        <w:rPr>
          <w:rFonts w:cstheme="minorHAnsi"/>
        </w:rPr>
        <w:t>trakcie prac Wykonawca:</w:t>
      </w:r>
    </w:p>
    <w:p w14:paraId="4ABE184F" w14:textId="012BACDF" w:rsidR="007D0226" w:rsidRDefault="00AF6595" w:rsidP="00AF6595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AF6595">
        <w:rPr>
          <w:rFonts w:cstheme="minorHAnsi"/>
        </w:rPr>
        <w:t xml:space="preserve">Pozostanie w bieżącym kontakcie z Zamawiającym (spotkania odpowiednio do potrzeb, kontakt telefoniczny oraz drogą elektroniczną) oraz będzie </w:t>
      </w:r>
      <w:r w:rsidR="00A0283B" w:rsidRPr="00AF6595">
        <w:rPr>
          <w:rFonts w:cstheme="minorHAnsi"/>
        </w:rPr>
        <w:t>brał udział w</w:t>
      </w:r>
      <w:r w:rsidR="007D0226" w:rsidRPr="00AF6595">
        <w:rPr>
          <w:rFonts w:cstheme="minorHAnsi"/>
        </w:rPr>
        <w:t xml:space="preserve"> </w:t>
      </w:r>
      <w:r w:rsidR="00A0283B" w:rsidRPr="00AF6595">
        <w:rPr>
          <w:rFonts w:cstheme="minorHAnsi"/>
        </w:rPr>
        <w:t>spotkaniach roboczych organizowanych ad hoc (część spotkań może odbywać się</w:t>
      </w:r>
      <w:r w:rsidR="007D0226" w:rsidRPr="00AF6595">
        <w:rPr>
          <w:rFonts w:cstheme="minorHAnsi"/>
        </w:rPr>
        <w:t xml:space="preserve"> </w:t>
      </w:r>
      <w:r w:rsidR="00A0283B" w:rsidRPr="00AF6595">
        <w:rPr>
          <w:rFonts w:cstheme="minorHAnsi"/>
        </w:rPr>
        <w:t>zdalnie, a część – w siedzibie Zamawiającego)</w:t>
      </w:r>
      <w:r w:rsidR="00536EDB">
        <w:rPr>
          <w:rFonts w:cstheme="minorHAnsi"/>
        </w:rPr>
        <w:t>.</w:t>
      </w:r>
      <w:r w:rsidR="007D0226" w:rsidRPr="00AF6595">
        <w:rPr>
          <w:rFonts w:cstheme="minorHAnsi"/>
        </w:rPr>
        <w:t xml:space="preserve"> </w:t>
      </w:r>
    </w:p>
    <w:p w14:paraId="4335C0D5" w14:textId="27CE2134" w:rsidR="00AF6595" w:rsidRPr="003F6C51" w:rsidRDefault="00AF6595" w:rsidP="00AF6595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Calibri" w:hAnsi="Calibri" w:cs="Calibri"/>
        </w:rPr>
      </w:pPr>
      <w:r w:rsidRPr="003F6C51">
        <w:rPr>
          <w:rFonts w:ascii="Calibri" w:hAnsi="Calibri" w:cs="Calibri"/>
        </w:rPr>
        <w:t>Zamawiający wymaga, by wskazani w ofercie Wykonawcy Eksperci uczestniczyli osobiście lub w</w:t>
      </w:r>
      <w:r w:rsidR="00732100">
        <w:rPr>
          <w:rFonts w:ascii="Calibri" w:hAnsi="Calibri" w:cs="Calibri"/>
        </w:rPr>
        <w:t> </w:t>
      </w:r>
      <w:r w:rsidRPr="003F6C51">
        <w:rPr>
          <w:rFonts w:ascii="Calibri" w:hAnsi="Calibri" w:cs="Calibri"/>
        </w:rPr>
        <w:t>formule on-line w spotkaniach z Zamawiającym dotyczących elementów zamówienia, w których realizacji uczestniczyli. W przypadku braku na spotkaniu</w:t>
      </w:r>
      <w:r>
        <w:rPr>
          <w:rFonts w:ascii="Calibri" w:hAnsi="Calibri" w:cs="Calibri"/>
        </w:rPr>
        <w:t xml:space="preserve"> tych</w:t>
      </w:r>
      <w:r w:rsidRPr="003F6C51">
        <w:rPr>
          <w:rFonts w:ascii="Calibri" w:hAnsi="Calibri" w:cs="Calibri"/>
        </w:rPr>
        <w:t xml:space="preserve"> Ekspertów, Zamawiający może uznać, że spotkanie się nie odbyło</w:t>
      </w:r>
      <w:r w:rsidR="00536EDB">
        <w:rPr>
          <w:rFonts w:ascii="Calibri" w:hAnsi="Calibri" w:cs="Calibri"/>
        </w:rPr>
        <w:t>.</w:t>
      </w:r>
    </w:p>
    <w:p w14:paraId="01EAE069" w14:textId="0EFCF7E2" w:rsidR="00A0283B" w:rsidRPr="007D0226" w:rsidRDefault="007D0226" w:rsidP="00AF659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7D0226">
        <w:rPr>
          <w:rFonts w:cstheme="minorHAnsi"/>
        </w:rPr>
        <w:t xml:space="preserve">Na </w:t>
      </w:r>
      <w:r w:rsidR="00A0283B" w:rsidRPr="007D0226">
        <w:rPr>
          <w:rFonts w:cstheme="minorHAnsi"/>
        </w:rPr>
        <w:t xml:space="preserve">bieżąco </w:t>
      </w:r>
      <w:r w:rsidR="00AF6595">
        <w:rPr>
          <w:rFonts w:cstheme="minorHAnsi"/>
        </w:rPr>
        <w:t xml:space="preserve">będzie </w:t>
      </w:r>
      <w:r w:rsidR="00A0283B" w:rsidRPr="007D0226">
        <w:rPr>
          <w:rFonts w:cstheme="minorHAnsi"/>
        </w:rPr>
        <w:t>informował o stanie prac, pojawiających się problemach i innych</w:t>
      </w:r>
      <w:r w:rsidRPr="007D0226">
        <w:rPr>
          <w:rFonts w:cstheme="minorHAnsi"/>
        </w:rPr>
        <w:t xml:space="preserve"> </w:t>
      </w:r>
      <w:r w:rsidR="00A0283B" w:rsidRPr="007D0226">
        <w:rPr>
          <w:rFonts w:cstheme="minorHAnsi"/>
        </w:rPr>
        <w:t>zagadnieniach istotnych dla realizacji zamówienia</w:t>
      </w:r>
      <w:r w:rsidR="00536EDB">
        <w:rPr>
          <w:rFonts w:cstheme="minorHAnsi"/>
        </w:rPr>
        <w:t>.</w:t>
      </w:r>
    </w:p>
    <w:p w14:paraId="660A6840" w14:textId="19BE5E90" w:rsidR="00A0283B" w:rsidRDefault="00A0283B" w:rsidP="00AF6595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AF6595">
        <w:rPr>
          <w:rFonts w:cstheme="minorHAnsi"/>
        </w:rPr>
        <w:t>Dodatkowo Wykonawca</w:t>
      </w:r>
      <w:r w:rsidR="00AF6595" w:rsidRPr="00AF6595">
        <w:rPr>
          <w:rFonts w:cstheme="minorHAnsi"/>
        </w:rPr>
        <w:t xml:space="preserve"> </w:t>
      </w:r>
      <w:r w:rsidRPr="00AF6595">
        <w:rPr>
          <w:rFonts w:cstheme="minorHAnsi"/>
        </w:rPr>
        <w:t>w celu zapewnienia bezstronności zamówienia przedstawi oświadczenie, że nie jest</w:t>
      </w:r>
      <w:r w:rsidR="00AF6595" w:rsidRPr="00AF6595">
        <w:rPr>
          <w:rFonts w:cstheme="minorHAnsi"/>
        </w:rPr>
        <w:t xml:space="preserve"> </w:t>
      </w:r>
      <w:r w:rsidRPr="00AF6595">
        <w:rPr>
          <w:rFonts w:cstheme="minorHAnsi"/>
        </w:rPr>
        <w:t>pracownikiem ani doradcą instytucji zaangażowanych w przygotowanie i wdrażanie</w:t>
      </w:r>
      <w:r w:rsidR="00AF6595">
        <w:rPr>
          <w:rFonts w:cstheme="minorHAnsi"/>
        </w:rPr>
        <w:t xml:space="preserve"> KPO. </w:t>
      </w:r>
    </w:p>
    <w:p w14:paraId="373E7C66" w14:textId="4022B468" w:rsidR="00536EDB" w:rsidRPr="00536EDB" w:rsidRDefault="00536EDB" w:rsidP="00AF6595">
      <w:pPr>
        <w:numPr>
          <w:ilvl w:val="0"/>
          <w:numId w:val="34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536EDB">
        <w:rPr>
          <w:rFonts w:ascii="Calibri" w:hAnsi="Calibri" w:cs="Calibri"/>
        </w:rPr>
        <w:t>Wszelkie zmiany w składzie osobowym Zespołu realizującego zamówienie w stosunku do wykazanego w ofercie są możliwe jedynie pod warunkiem zachowania wymogów dotyczących potencjału kadrowego Wykonawcy, określonych w niniejszym dokumencie. Zmiany, o których mowa powyżej wymagają pisemnej akceptacji Zamawiającego.</w:t>
      </w:r>
    </w:p>
    <w:p w14:paraId="19C4DDB3" w14:textId="17082A87" w:rsidR="0003472D" w:rsidRPr="003F6C51" w:rsidRDefault="00E67FCE" w:rsidP="0003472D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</w:t>
      </w:r>
      <w:r w:rsidR="0003472D" w:rsidRPr="003F6C51">
        <w:rPr>
          <w:rFonts w:ascii="Calibri" w:hAnsi="Calibri" w:cs="Calibri"/>
          <w:b/>
        </w:rPr>
        <w:t>. Odbiór zamówienia</w:t>
      </w:r>
    </w:p>
    <w:p w14:paraId="7B8604AD" w14:textId="77777777" w:rsidR="00430765" w:rsidRDefault="00111BC4" w:rsidP="00430765">
      <w:pPr>
        <w:pStyle w:val="Akapitzlist"/>
        <w:numPr>
          <w:ilvl w:val="0"/>
          <w:numId w:val="38"/>
        </w:numPr>
        <w:suppressAutoHyphens/>
        <w:spacing w:before="120" w:after="120" w:line="240" w:lineRule="auto"/>
        <w:ind w:hanging="357"/>
        <w:contextualSpacing w:val="0"/>
        <w:jc w:val="both"/>
        <w:rPr>
          <w:rFonts w:ascii="Calibri" w:hAnsi="Calibri" w:cs="Calibri"/>
        </w:rPr>
      </w:pPr>
      <w:r w:rsidRPr="00430765">
        <w:rPr>
          <w:rFonts w:ascii="Calibri" w:hAnsi="Calibri" w:cs="Calibri"/>
        </w:rPr>
        <w:t>Wyniki pracy zostaną przedstawione w wersji elektronicznej w postaci plików w formacie DOC lub DOCX oraz PDF. Wersje przekazane w formie PDF są wersjami ostatecznymi, zaakceptowanymi przez Zamawiającego;</w:t>
      </w:r>
    </w:p>
    <w:p w14:paraId="78B86AA4" w14:textId="77777777" w:rsidR="00430765" w:rsidRPr="00430765" w:rsidRDefault="00111BC4" w:rsidP="00430765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430765">
        <w:rPr>
          <w:rFonts w:ascii="Calibri" w:hAnsi="Calibri" w:cs="Calibri"/>
        </w:rPr>
        <w:t>Wykonawca zobowiązany jest do przekazania Zamawiającemu wszystkich dodatkowych dokumentów, danych i materiałów, pozyskanych i wykonanych w ramach niniejszego zamówienia, w formie edytowalnej, jeśli zostały wytworzone w ramach prac oraz w formie umożliwiającej ich odczyt;</w:t>
      </w:r>
    </w:p>
    <w:p w14:paraId="4B98FF5B" w14:textId="0CA38881" w:rsidR="0003472D" w:rsidRPr="00430765" w:rsidRDefault="0003472D" w:rsidP="00430765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430765">
        <w:rPr>
          <w:rFonts w:cstheme="minorHAnsi"/>
        </w:rPr>
        <w:t>Przekazanie Zamawiającemu do odbioru wykonanych utworów, będących rezultatem danego Zadania</w:t>
      </w:r>
      <w:r w:rsidR="00DA5175" w:rsidRPr="00430765">
        <w:rPr>
          <w:rFonts w:cstheme="minorHAnsi"/>
        </w:rPr>
        <w:t xml:space="preserve"> </w:t>
      </w:r>
      <w:r w:rsidRPr="00430765">
        <w:rPr>
          <w:rFonts w:cstheme="minorHAnsi"/>
        </w:rPr>
        <w:t>może nastąpić poprzez:</w:t>
      </w:r>
    </w:p>
    <w:p w14:paraId="47891914" w14:textId="77777777" w:rsidR="0003472D" w:rsidRPr="00111BC4" w:rsidRDefault="0003472D" w:rsidP="004307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111BC4">
        <w:rPr>
          <w:rFonts w:cstheme="minorHAnsi"/>
        </w:rPr>
        <w:t>przesłanie Zamawiającemu pocztą elektroniczną wszystkich utworów będących rezultatem danego Zadania w edytowalnej i nieedytowalnej formie elektronicznej, bądź</w:t>
      </w:r>
    </w:p>
    <w:p w14:paraId="7193F7FE" w14:textId="77777777" w:rsidR="0003472D" w:rsidRPr="00111BC4" w:rsidRDefault="0003472D" w:rsidP="004307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111BC4">
        <w:rPr>
          <w:rFonts w:cstheme="minorHAnsi"/>
        </w:rPr>
        <w:t>dostarczenie do siedziby Zamawiającego zapisanych na nośniku elektronicznym wszystkich utworów będących rezultatem danego Zadania w edytowalnej i nieedytowalnej formie elektronicznej, bądź</w:t>
      </w:r>
    </w:p>
    <w:p w14:paraId="549DC269" w14:textId="77777777" w:rsidR="0003472D" w:rsidRPr="00111BC4" w:rsidRDefault="0003472D" w:rsidP="004307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theme="minorHAnsi"/>
        </w:rPr>
      </w:pPr>
      <w:r w:rsidRPr="00111BC4">
        <w:rPr>
          <w:rFonts w:cstheme="minorHAnsi"/>
        </w:rPr>
        <w:t>zamieszczenie na dedykowanym serwerze Wykonawcy wszystkich utworów będących rezultatem danego Zadania w edytowalnej i nieedytowalnej formie elektronicznej i wskazanie pocztą elektroniczną Zamawiającemu adresu serwera, nazwy użytkownika i hasła dostępu.</w:t>
      </w:r>
    </w:p>
    <w:p w14:paraId="1B5FADE6" w14:textId="24B5AE6E" w:rsidR="004F462F" w:rsidRDefault="00D40A76" w:rsidP="004F462F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4F462F">
        <w:rPr>
          <w:rFonts w:ascii="Calibri" w:hAnsi="Calibri" w:cs="Calibri"/>
          <w:b/>
          <w:bCs/>
        </w:rPr>
        <w:t xml:space="preserve">. </w:t>
      </w:r>
      <w:r w:rsidR="004F462F" w:rsidRPr="008F5EDC">
        <w:rPr>
          <w:rFonts w:ascii="Calibri" w:hAnsi="Calibri" w:cs="Calibri"/>
          <w:b/>
          <w:bCs/>
        </w:rPr>
        <w:t xml:space="preserve">Warunki udziału w </w:t>
      </w:r>
      <w:r w:rsidR="00EC7DB7">
        <w:rPr>
          <w:rFonts w:ascii="Calibri" w:hAnsi="Calibri" w:cs="Calibri"/>
          <w:b/>
          <w:bCs/>
        </w:rPr>
        <w:t>zamówieniu</w:t>
      </w:r>
      <w:r w:rsidR="004F462F" w:rsidRPr="008F5EDC">
        <w:rPr>
          <w:rFonts w:ascii="Calibri" w:hAnsi="Calibri" w:cs="Calibri"/>
          <w:b/>
          <w:bCs/>
        </w:rPr>
        <w:t xml:space="preserve"> </w:t>
      </w:r>
    </w:p>
    <w:p w14:paraId="0DFAD17F" w14:textId="0E94ADC4" w:rsidR="00430765" w:rsidRDefault="00430765" w:rsidP="00430765">
      <w:pPr>
        <w:pStyle w:val="Akapitzlist"/>
        <w:numPr>
          <w:ilvl w:val="0"/>
          <w:numId w:val="42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430765">
        <w:rPr>
          <w:rFonts w:ascii="Calibri" w:hAnsi="Calibri" w:cs="Calibri"/>
        </w:rPr>
        <w:t>O udzielenie zamówienia może ubiegać się Wykonawca dysponujący</w:t>
      </w:r>
      <w:r>
        <w:rPr>
          <w:rFonts w:ascii="Calibri" w:hAnsi="Calibri" w:cs="Calibri"/>
        </w:rPr>
        <w:t xml:space="preserve"> </w:t>
      </w:r>
      <w:r w:rsidRPr="00C64D85">
        <w:rPr>
          <w:rFonts w:ascii="Calibri" w:hAnsi="Calibri" w:cs="Calibri"/>
        </w:rPr>
        <w:t xml:space="preserve">zespołem </w:t>
      </w:r>
      <w:r>
        <w:rPr>
          <w:rFonts w:ascii="Calibri" w:hAnsi="Calibri" w:cs="Calibri"/>
        </w:rPr>
        <w:t xml:space="preserve">przynajmniej </w:t>
      </w:r>
      <w:r w:rsidR="004F06BF">
        <w:rPr>
          <w:rFonts w:ascii="Calibri" w:hAnsi="Calibri" w:cs="Calibri"/>
        </w:rPr>
        <w:t xml:space="preserve">dwóch </w:t>
      </w:r>
      <w:r w:rsidRPr="00C64D85">
        <w:rPr>
          <w:rFonts w:ascii="Calibri" w:hAnsi="Calibri" w:cs="Calibri"/>
        </w:rPr>
        <w:t xml:space="preserve">osób, które będą uczestniczyły w wykonaniu zamówienia, </w:t>
      </w:r>
      <w:r w:rsidR="004F06BF">
        <w:rPr>
          <w:rFonts w:ascii="Calibri" w:hAnsi="Calibri" w:cs="Calibri"/>
        </w:rPr>
        <w:t>i każda z nich spełnia następujące warunki</w:t>
      </w:r>
      <w:r w:rsidRPr="00C64D85">
        <w:rPr>
          <w:rFonts w:ascii="Calibri" w:hAnsi="Calibri" w:cs="Calibri"/>
        </w:rPr>
        <w:t>:</w:t>
      </w:r>
    </w:p>
    <w:p w14:paraId="11021759" w14:textId="77777777" w:rsidR="0070796B" w:rsidRDefault="004F06BF" w:rsidP="0070796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4F06BF">
        <w:rPr>
          <w:rFonts w:cstheme="minorHAnsi"/>
        </w:rPr>
        <w:lastRenderedPageBreak/>
        <w:t xml:space="preserve">należycie wykonała co najmniej 3 usługi, z których każda polegała na samodzielnym lub jako współautor, przygotowaniu strategicznej oceny oddziaływania na środowisko w krajowych lub regionalnych programach operacyjnych w ramach perspektywy finansowej 2014-2020 lub 2021-2027, </w:t>
      </w:r>
    </w:p>
    <w:p w14:paraId="122AB810" w14:textId="780272FC" w:rsidR="004F06BF" w:rsidRPr="0070796B" w:rsidRDefault="004F06BF" w:rsidP="0070796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70796B">
        <w:rPr>
          <w:rFonts w:cstheme="minorHAnsi"/>
        </w:rPr>
        <w:t xml:space="preserve">lub </w:t>
      </w:r>
    </w:p>
    <w:p w14:paraId="2A0069C7" w14:textId="2479FE6B" w:rsidR="004F06BF" w:rsidRPr="004F06BF" w:rsidRDefault="004F06BF" w:rsidP="0070796B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</w:rPr>
      </w:pPr>
      <w:r w:rsidRPr="004F06BF">
        <w:rPr>
          <w:rFonts w:cstheme="minorHAnsi"/>
        </w:rPr>
        <w:t>należycie zrealizowała, samodzielnie lub jako współautor co najmniej 3 ewaluacje z zakresu środowiska w ramach programów operacyjnych, krajowych lub regionalnych w perspektywie finansowej 2014-2020 lub 2021-2027 (w tym co najmniej 1 raport lub analizę lub opracowanie lub ewaluację z zakresu DNSH w ramach perspektywy finansowej 2021-2027).</w:t>
      </w:r>
    </w:p>
    <w:p w14:paraId="2028A191" w14:textId="77777777" w:rsidR="004F462F" w:rsidRPr="00C64D85" w:rsidRDefault="004F462F" w:rsidP="004F462F">
      <w:pPr>
        <w:spacing w:after="120"/>
        <w:jc w:val="both"/>
        <w:rPr>
          <w:rFonts w:ascii="Calibri" w:hAnsi="Calibri" w:cs="Calibri"/>
        </w:rPr>
      </w:pPr>
      <w:r w:rsidRPr="00C64D85">
        <w:rPr>
          <w:rFonts w:ascii="Calibri" w:hAnsi="Calibri" w:cs="Calibri"/>
        </w:rPr>
        <w:t>Dowodami potwierdzającymi czy usługi zostały wykonane należycie są:</w:t>
      </w:r>
    </w:p>
    <w:p w14:paraId="51CAED8C" w14:textId="77777777" w:rsidR="004F462F" w:rsidRPr="00C64D85" w:rsidRDefault="004F462F" w:rsidP="00246D8A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C64D85">
        <w:rPr>
          <w:rFonts w:ascii="Calibri" w:hAnsi="Calibri" w:cs="Calibri"/>
        </w:rPr>
        <w:t>Referencje bądź inne dokumenty wystawione przez podmiot, na rzecz którego usługi były wykonane,</w:t>
      </w:r>
    </w:p>
    <w:p w14:paraId="710804B3" w14:textId="77777777" w:rsidR="004F462F" w:rsidRPr="00C64D85" w:rsidRDefault="004F462F" w:rsidP="00246D8A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C64D85">
        <w:rPr>
          <w:rFonts w:ascii="Calibri" w:hAnsi="Calibri" w:cs="Calibri"/>
        </w:rPr>
        <w:t>Oświadczenie Wykonawcy, jeżeli z uzasadnionych przyczyn o obiektywnym charakterze, Wykonawca nie jest w stanie uzyskać dokumentów, o których mowa powyżej. Jeśli Wykonawca składa oświadczenie zobowiązany jest podać przyczyny braku możliwości uzyskania poświadczenia.</w:t>
      </w:r>
    </w:p>
    <w:p w14:paraId="25294E4F" w14:textId="0CBFFC71" w:rsidR="0070796B" w:rsidRPr="0070796B" w:rsidRDefault="0070796B" w:rsidP="0070796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70796B">
        <w:rPr>
          <w:rFonts w:cstheme="minorHAnsi"/>
        </w:rPr>
        <w:t>ukończyła, w rozumieniu przepisów o szkolnictwie wyższym i nauce, co najmniej studia pierwszego stopnia lub studia drugiego stopnia, lub jednolite studia magisterskie na kierunkach związanych z</w:t>
      </w:r>
      <w:r w:rsidR="00732100">
        <w:rPr>
          <w:rFonts w:cstheme="minorHAnsi"/>
        </w:rPr>
        <w:t> </w:t>
      </w:r>
      <w:r w:rsidRPr="0070796B">
        <w:rPr>
          <w:rFonts w:cstheme="minorHAnsi"/>
        </w:rPr>
        <w:t>kształceniem w zakresie:</w:t>
      </w:r>
    </w:p>
    <w:p w14:paraId="3CAE05F0" w14:textId="7C2163E5" w:rsidR="0070796B" w:rsidRPr="0070796B" w:rsidRDefault="0070796B" w:rsidP="0070796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70796B">
        <w:rPr>
          <w:rFonts w:ascii="Calibri" w:hAnsi="Calibri" w:cs="Calibri"/>
        </w:rPr>
        <w:t>nauk ścisłych z dziedzin nauk chemicznych,</w:t>
      </w:r>
    </w:p>
    <w:p w14:paraId="7B26AED6" w14:textId="4EED4D95" w:rsidR="0070796B" w:rsidRPr="0070796B" w:rsidRDefault="0070796B" w:rsidP="0070796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70796B">
        <w:rPr>
          <w:rFonts w:ascii="Calibri" w:hAnsi="Calibri" w:cs="Calibri"/>
        </w:rPr>
        <w:t>nauk przyrodniczych z dziedzin nauk biologicznych oraz nauk o Ziemi,</w:t>
      </w:r>
    </w:p>
    <w:p w14:paraId="3C0AAAC0" w14:textId="1F26FDCE" w:rsidR="0070796B" w:rsidRPr="0070796B" w:rsidRDefault="0070796B" w:rsidP="0070796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70796B">
        <w:rPr>
          <w:rFonts w:ascii="Calibri" w:hAnsi="Calibri" w:cs="Calibri"/>
        </w:rPr>
        <w:t>nauk technicznych z dziedzin nauk technicznych z dyscyplin: biotechnologia, górnictwo i</w:t>
      </w:r>
      <w:r w:rsidR="00732100">
        <w:rPr>
          <w:rFonts w:ascii="Calibri" w:hAnsi="Calibri" w:cs="Calibri"/>
        </w:rPr>
        <w:t> </w:t>
      </w:r>
      <w:r w:rsidRPr="0070796B">
        <w:rPr>
          <w:rFonts w:ascii="Calibri" w:hAnsi="Calibri" w:cs="Calibri"/>
        </w:rPr>
        <w:t>geologia inżynierska, inżynieria środowiska,</w:t>
      </w:r>
    </w:p>
    <w:p w14:paraId="00455049" w14:textId="05314809" w:rsidR="0070796B" w:rsidRPr="0070796B" w:rsidRDefault="0070796B" w:rsidP="0070796B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hAnsi="Calibri" w:cs="Calibri"/>
        </w:rPr>
      </w:pPr>
      <w:r w:rsidRPr="0070796B">
        <w:rPr>
          <w:rFonts w:ascii="Calibri" w:hAnsi="Calibri" w:cs="Calibri"/>
        </w:rPr>
        <w:t>nauk rolniczych, leśnych i weterynaryjnych z dziedzin nauk rolniczych,</w:t>
      </w:r>
      <w:r>
        <w:rPr>
          <w:rFonts w:ascii="Calibri" w:hAnsi="Calibri" w:cs="Calibri"/>
        </w:rPr>
        <w:t xml:space="preserve"> nauk leśnych</w:t>
      </w:r>
    </w:p>
    <w:p w14:paraId="067A1AB2" w14:textId="77777777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lub</w:t>
      </w:r>
    </w:p>
    <w:p w14:paraId="70A24CE7" w14:textId="305E9228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ukończyła, w rozumieniu przepisów o szkolnictwie wyższym i nauce, studia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pierwszego stopnia lub drugiego stopnia lub jednolite studia magisterskie</w:t>
      </w:r>
    </w:p>
    <w:p w14:paraId="1D6D3D6B" w14:textId="77777777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i</w:t>
      </w:r>
    </w:p>
    <w:p w14:paraId="0018C638" w14:textId="727483F0" w:rsidR="004F462F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posiada co najmniej 3-letnie doświadczenie w pracach w zespołach autorów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przygotowujących raporty o oddziaływaniu przedsięwzięcia na środowisko lub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prognozy oddziaływania na środowisko lub była co najmniej pięciokrotnie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członkiem zespołów autorów przygotowujących raporty o</w:t>
      </w:r>
      <w:r w:rsidR="00732100">
        <w:rPr>
          <w:rFonts w:cstheme="minorHAnsi"/>
        </w:rPr>
        <w:t> </w:t>
      </w:r>
      <w:r w:rsidRPr="0070796B">
        <w:rPr>
          <w:rFonts w:cstheme="minorHAnsi"/>
        </w:rPr>
        <w:t>oddziaływaniu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przedsięwzięcia na środowisko lub prognozy oddziaływania na środowisko</w:t>
      </w:r>
    </w:p>
    <w:p w14:paraId="2F1EC034" w14:textId="77777777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lub</w:t>
      </w:r>
    </w:p>
    <w:p w14:paraId="0CB3CE33" w14:textId="60961A81" w:rsidR="0070796B" w:rsidRPr="0070796B" w:rsidRDefault="0070796B" w:rsidP="0070796B">
      <w:pPr>
        <w:autoSpaceDE w:val="0"/>
        <w:autoSpaceDN w:val="0"/>
        <w:adjustRightInd w:val="0"/>
        <w:spacing w:before="120" w:after="120" w:line="240" w:lineRule="auto"/>
        <w:ind w:left="48"/>
        <w:jc w:val="both"/>
        <w:rPr>
          <w:rFonts w:cstheme="minorHAnsi"/>
        </w:rPr>
      </w:pPr>
      <w:r w:rsidRPr="0070796B">
        <w:rPr>
          <w:rFonts w:cstheme="minorHAnsi"/>
        </w:rPr>
        <w:t>posiada co najmniej 3-letnie doświadczenie w pracach zespołów autorów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przygotowujących ewaluacje z zakresu środowiska w ramach programów</w:t>
      </w:r>
      <w:r>
        <w:rPr>
          <w:rFonts w:cstheme="minorHAnsi"/>
        </w:rPr>
        <w:t xml:space="preserve"> </w:t>
      </w:r>
      <w:r w:rsidRPr="0070796B">
        <w:rPr>
          <w:rFonts w:cstheme="minorHAnsi"/>
        </w:rPr>
        <w:t>operacyjnych, krajowych lub regionalnych w</w:t>
      </w:r>
      <w:r w:rsidR="00732100">
        <w:rPr>
          <w:rFonts w:cstheme="minorHAnsi"/>
        </w:rPr>
        <w:t> </w:t>
      </w:r>
      <w:r w:rsidRPr="0070796B">
        <w:rPr>
          <w:rFonts w:cstheme="minorHAnsi"/>
        </w:rPr>
        <w:t>perspektywie finansowej 2014-2020</w:t>
      </w:r>
      <w:r>
        <w:rPr>
          <w:rFonts w:cstheme="minorHAnsi"/>
        </w:rPr>
        <w:t xml:space="preserve"> lub 2021-2027</w:t>
      </w:r>
      <w:r w:rsidR="005B7567">
        <w:rPr>
          <w:rFonts w:cstheme="minorHAnsi"/>
        </w:rPr>
        <w:t>.</w:t>
      </w:r>
    </w:p>
    <w:sectPr w:rsidR="0070796B" w:rsidRPr="007079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92DC" w14:textId="77777777" w:rsidR="004A7FF5" w:rsidRDefault="004A7FF5" w:rsidP="005D0684">
      <w:pPr>
        <w:spacing w:after="0" w:line="240" w:lineRule="auto"/>
      </w:pPr>
      <w:r>
        <w:separator/>
      </w:r>
    </w:p>
  </w:endnote>
  <w:endnote w:type="continuationSeparator" w:id="0">
    <w:p w14:paraId="77893B31" w14:textId="77777777" w:rsidR="004A7FF5" w:rsidRDefault="004A7FF5" w:rsidP="005D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013D" w14:textId="77777777" w:rsidR="004A7FF5" w:rsidRDefault="004A7FF5" w:rsidP="005D0684">
      <w:pPr>
        <w:spacing w:after="0" w:line="240" w:lineRule="auto"/>
      </w:pPr>
      <w:r>
        <w:separator/>
      </w:r>
    </w:p>
  </w:footnote>
  <w:footnote w:type="continuationSeparator" w:id="0">
    <w:p w14:paraId="7806AAC2" w14:textId="77777777" w:rsidR="004A7FF5" w:rsidRDefault="004A7FF5" w:rsidP="005D0684">
      <w:pPr>
        <w:spacing w:after="0" w:line="240" w:lineRule="auto"/>
      </w:pPr>
      <w:r>
        <w:continuationSeparator/>
      </w:r>
    </w:p>
  </w:footnote>
  <w:footnote w:id="1">
    <w:p w14:paraId="5AD709A8" w14:textId="7C6AE0A4" w:rsidR="005D0684" w:rsidRPr="0006729E" w:rsidRDefault="005D0684" w:rsidP="005D0684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2" w:name="_Hlk186795770"/>
      <w:r w:rsidRPr="00010BD0">
        <w:rPr>
          <w:rFonts w:ascii="Calibri" w:hAnsi="Calibri" w:cs="Calibri"/>
          <w:i/>
          <w:iCs/>
          <w:sz w:val="18"/>
          <w:szCs w:val="18"/>
        </w:rPr>
        <w:t>Ocena DNSH reform i inwestycji (wiązek projektów) przedstawionych w KPO</w:t>
      </w:r>
      <w:r w:rsidR="00010BD0">
        <w:rPr>
          <w:rFonts w:ascii="Calibri" w:hAnsi="Calibri" w:cs="Calibri"/>
          <w:i/>
          <w:iCs/>
          <w:sz w:val="18"/>
          <w:szCs w:val="18"/>
        </w:rPr>
        <w:t xml:space="preserve"> - 2021,</w:t>
      </w:r>
      <w:r w:rsidRPr="0006729E">
        <w:rPr>
          <w:rFonts w:ascii="Calibri" w:hAnsi="Calibri" w:cs="Calibri"/>
          <w:sz w:val="18"/>
          <w:szCs w:val="18"/>
        </w:rPr>
        <w:t xml:space="preserve"> </w:t>
      </w:r>
      <w:bookmarkEnd w:id="2"/>
      <w:r w:rsidRPr="0006729E">
        <w:rPr>
          <w:rFonts w:ascii="Calibri" w:hAnsi="Calibri" w:cs="Calibri"/>
          <w:sz w:val="18"/>
          <w:szCs w:val="18"/>
        </w:rPr>
        <w:fldChar w:fldCharType="begin"/>
      </w:r>
      <w:r w:rsidRPr="0006729E">
        <w:rPr>
          <w:rFonts w:ascii="Calibri" w:hAnsi="Calibri" w:cs="Calibri"/>
          <w:sz w:val="18"/>
          <w:szCs w:val="18"/>
        </w:rPr>
        <w:instrText xml:space="preserve"> HYPERLINK "https://www.kpo.gov.pl/strony/o-kpo/dla-instytucji/dokumenty/dnsh/" </w:instrText>
      </w:r>
      <w:r w:rsidRPr="0006729E">
        <w:rPr>
          <w:rFonts w:ascii="Calibri" w:hAnsi="Calibri" w:cs="Calibri"/>
          <w:sz w:val="18"/>
          <w:szCs w:val="18"/>
        </w:rPr>
        <w:fldChar w:fldCharType="separate"/>
      </w:r>
      <w:r w:rsidRPr="0006729E">
        <w:rPr>
          <w:rStyle w:val="Hipercze"/>
          <w:rFonts w:ascii="Calibri" w:hAnsi="Calibri" w:cs="Calibri"/>
          <w:sz w:val="18"/>
          <w:szCs w:val="18"/>
        </w:rPr>
        <w:t>https://www.kpo.gov.pl/strony/o-kpo/dla-instytucji/dokumenty/dnsh/</w:t>
      </w:r>
      <w:r w:rsidRPr="0006729E">
        <w:rPr>
          <w:rFonts w:ascii="Calibri" w:hAnsi="Calibri" w:cs="Calibri"/>
          <w:sz w:val="18"/>
          <w:szCs w:val="18"/>
        </w:rPr>
        <w:fldChar w:fldCharType="end"/>
      </w:r>
      <w:r w:rsidRPr="0006729E">
        <w:rPr>
          <w:rFonts w:ascii="Calibri" w:hAnsi="Calibri" w:cs="Calibri"/>
          <w:sz w:val="18"/>
          <w:szCs w:val="18"/>
        </w:rPr>
        <w:t xml:space="preserve"> </w:t>
      </w:r>
    </w:p>
  </w:footnote>
  <w:footnote w:id="2">
    <w:p w14:paraId="67B6C32F" w14:textId="43CE9D9E" w:rsidR="005D0684" w:rsidRPr="0006729E" w:rsidRDefault="005D0684" w:rsidP="005D0684">
      <w:pPr>
        <w:pStyle w:val="Tekstprzypisudolnego"/>
        <w:rPr>
          <w:rFonts w:ascii="Calibri" w:hAnsi="Calibri" w:cs="Calibri"/>
        </w:rPr>
      </w:pPr>
      <w:r w:rsidRPr="0006729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06729E">
        <w:rPr>
          <w:rFonts w:ascii="Calibri" w:hAnsi="Calibri" w:cs="Calibri"/>
          <w:sz w:val="18"/>
          <w:szCs w:val="18"/>
        </w:rPr>
        <w:t xml:space="preserve"> </w:t>
      </w:r>
      <w:r w:rsidRPr="00010BD0">
        <w:rPr>
          <w:rFonts w:ascii="Calibri" w:hAnsi="Calibri" w:cs="Calibri"/>
          <w:i/>
          <w:iCs/>
          <w:sz w:val="18"/>
          <w:szCs w:val="18"/>
        </w:rPr>
        <w:t>Ocena DNSH nowych reform i inwestycji w ramach rewizji krajowego Planu Odbudowy i Zwiększania Odporności</w:t>
      </w:r>
      <w:r w:rsidR="00010BD0" w:rsidRPr="00010BD0">
        <w:rPr>
          <w:rFonts w:ascii="Calibri" w:hAnsi="Calibri" w:cs="Calibri"/>
          <w:i/>
          <w:iCs/>
          <w:sz w:val="18"/>
          <w:szCs w:val="18"/>
        </w:rPr>
        <w:t xml:space="preserve"> - </w:t>
      </w:r>
      <w:r w:rsidRPr="00010BD0">
        <w:rPr>
          <w:rFonts w:ascii="Calibri" w:hAnsi="Calibri" w:cs="Calibri"/>
          <w:i/>
          <w:iCs/>
          <w:sz w:val="18"/>
          <w:szCs w:val="18"/>
        </w:rPr>
        <w:t>2023</w:t>
      </w:r>
      <w:r w:rsidRPr="0006729E">
        <w:rPr>
          <w:rFonts w:ascii="Calibri" w:hAnsi="Calibri" w:cs="Calibri"/>
          <w:sz w:val="18"/>
          <w:szCs w:val="18"/>
        </w:rPr>
        <w:t xml:space="preserve"> oraz </w:t>
      </w:r>
      <w:r w:rsidRPr="00010BD0">
        <w:rPr>
          <w:rFonts w:ascii="Calibri" w:hAnsi="Calibri" w:cs="Calibri"/>
          <w:i/>
          <w:iCs/>
          <w:sz w:val="18"/>
          <w:szCs w:val="18"/>
        </w:rPr>
        <w:t>Ocena DNSH reform i inwestycji w ramach rewizji krajowego Planu Odbudowy i Zwiększania Odporności</w:t>
      </w:r>
      <w:r w:rsidR="00010BD0" w:rsidRPr="00010BD0">
        <w:rPr>
          <w:rFonts w:ascii="Calibri" w:hAnsi="Calibri" w:cs="Calibri"/>
          <w:i/>
          <w:iCs/>
          <w:sz w:val="18"/>
          <w:szCs w:val="18"/>
        </w:rPr>
        <w:t xml:space="preserve"> - </w:t>
      </w:r>
      <w:r w:rsidRPr="00010BD0">
        <w:rPr>
          <w:rFonts w:ascii="Calibri" w:hAnsi="Calibri" w:cs="Calibri"/>
          <w:i/>
          <w:iCs/>
          <w:sz w:val="18"/>
          <w:szCs w:val="18"/>
        </w:rPr>
        <w:t>2024;</w:t>
      </w:r>
      <w:r w:rsidRPr="0006729E">
        <w:rPr>
          <w:rFonts w:ascii="Calibri" w:hAnsi="Calibri" w:cs="Calibri"/>
          <w:sz w:val="18"/>
          <w:szCs w:val="18"/>
        </w:rPr>
        <w:t xml:space="preserve"> </w:t>
      </w:r>
      <w:bookmarkStart w:id="3" w:name="_Hlk187142444"/>
      <w:r w:rsidR="00010BD0">
        <w:rPr>
          <w:rFonts w:ascii="Calibri" w:hAnsi="Calibri" w:cs="Calibri"/>
          <w:sz w:val="18"/>
          <w:szCs w:val="18"/>
        </w:rPr>
        <w:t>Tamże</w:t>
      </w:r>
      <w:r w:rsidR="00010BD0">
        <w:t xml:space="preserve"> </w:t>
      </w:r>
      <w:bookmarkEnd w:id="3"/>
    </w:p>
  </w:footnote>
  <w:footnote w:id="3">
    <w:p w14:paraId="2A6D275B" w14:textId="77777777" w:rsidR="00A85D07" w:rsidRPr="00CF2882" w:rsidRDefault="00A85D07" w:rsidP="00A85D07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F2882">
        <w:rPr>
          <w:rFonts w:ascii="Calibri" w:hAnsi="Calibri" w:cs="Calibri"/>
          <w:sz w:val="18"/>
          <w:szCs w:val="18"/>
        </w:rPr>
        <w:t>Zgodność przedsięwzięć finansowanych</w:t>
      </w:r>
      <w:r>
        <w:rPr>
          <w:rFonts w:ascii="Calibri" w:hAnsi="Calibri" w:cs="Calibri"/>
          <w:sz w:val="18"/>
          <w:szCs w:val="18"/>
        </w:rPr>
        <w:t xml:space="preserve"> </w:t>
      </w:r>
      <w:r w:rsidRPr="00CF2882">
        <w:rPr>
          <w:rFonts w:ascii="Calibri" w:hAnsi="Calibri" w:cs="Calibri"/>
          <w:sz w:val="18"/>
          <w:szCs w:val="18"/>
        </w:rPr>
        <w:t>ze środków Unii Europejskiej, w tym</w:t>
      </w:r>
      <w:r>
        <w:rPr>
          <w:rFonts w:ascii="Calibri" w:hAnsi="Calibri" w:cs="Calibri"/>
          <w:sz w:val="18"/>
          <w:szCs w:val="18"/>
        </w:rPr>
        <w:t xml:space="preserve"> </w:t>
      </w:r>
      <w:r w:rsidRPr="00CF2882">
        <w:rPr>
          <w:rFonts w:ascii="Calibri" w:hAnsi="Calibri" w:cs="Calibri"/>
          <w:sz w:val="18"/>
          <w:szCs w:val="18"/>
        </w:rPr>
        <w:t>realizowanych w ramach Krajowego Planu</w:t>
      </w:r>
    </w:p>
    <w:p w14:paraId="388B90F8" w14:textId="77777777" w:rsidR="00A85D07" w:rsidRPr="00CF2882" w:rsidRDefault="00A85D07" w:rsidP="00A85D07">
      <w:pPr>
        <w:pStyle w:val="Tekstprzypisudolnego"/>
        <w:rPr>
          <w:rFonts w:ascii="Calibri" w:hAnsi="Calibri" w:cs="Calibri"/>
          <w:sz w:val="18"/>
          <w:szCs w:val="18"/>
        </w:rPr>
      </w:pPr>
      <w:r w:rsidRPr="00CF2882">
        <w:rPr>
          <w:rFonts w:ascii="Calibri" w:hAnsi="Calibri" w:cs="Calibri"/>
          <w:sz w:val="18"/>
          <w:szCs w:val="18"/>
        </w:rPr>
        <w:t>Odbudowy i Zwiększania Odporności,</w:t>
      </w:r>
      <w:r>
        <w:rPr>
          <w:rFonts w:ascii="Calibri" w:hAnsi="Calibri" w:cs="Calibri"/>
          <w:sz w:val="18"/>
          <w:szCs w:val="18"/>
        </w:rPr>
        <w:t xml:space="preserve"> </w:t>
      </w:r>
      <w:r w:rsidRPr="00CF2882">
        <w:rPr>
          <w:rFonts w:ascii="Calibri" w:hAnsi="Calibri" w:cs="Calibri"/>
          <w:sz w:val="18"/>
          <w:szCs w:val="18"/>
        </w:rPr>
        <w:t>z zasadą „nie czyń poważnych szkód” -</w:t>
      </w:r>
      <w:r>
        <w:rPr>
          <w:rFonts w:ascii="Calibri" w:hAnsi="Calibri" w:cs="Calibri"/>
          <w:sz w:val="18"/>
          <w:szCs w:val="18"/>
        </w:rPr>
        <w:t xml:space="preserve"> </w:t>
      </w:r>
      <w:r w:rsidRPr="00CF2882">
        <w:rPr>
          <w:rFonts w:ascii="Calibri" w:hAnsi="Calibri" w:cs="Calibri"/>
          <w:sz w:val="18"/>
          <w:szCs w:val="18"/>
        </w:rPr>
        <w:t>zasadą DNSH</w:t>
      </w:r>
      <w:r>
        <w:rPr>
          <w:rFonts w:ascii="Calibri" w:hAnsi="Calibri" w:cs="Calibri"/>
          <w:sz w:val="18"/>
          <w:szCs w:val="18"/>
        </w:rPr>
        <w:t>;</w:t>
      </w:r>
      <w:r w:rsidRPr="00CF288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Tamże </w:t>
      </w:r>
    </w:p>
    <w:p w14:paraId="480B4CFB" w14:textId="5D455BCC" w:rsidR="00A85D07" w:rsidRDefault="00A85D0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CBB0" w14:textId="34546605" w:rsidR="00191688" w:rsidRDefault="00191688">
    <w:pPr>
      <w:pStyle w:val="Nagwek"/>
    </w:pPr>
    <w:r>
      <w:rPr>
        <w:noProof/>
      </w:rPr>
      <w:drawing>
        <wp:inline distT="0" distB="0" distL="0" distR="0" wp14:anchorId="24DAAA94" wp14:editId="7185F9C9">
          <wp:extent cx="5760720" cy="746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kern w:val="0"/>
        <w:sz w:val="22"/>
        <w:szCs w:val="22"/>
        <w:lang w:eastAsia="en-US" w:bidi="ar-SA"/>
      </w:rPr>
    </w:lvl>
  </w:abstractNum>
  <w:abstractNum w:abstractNumId="2" w15:restartNumberingAfterBreak="0">
    <w:nsid w:val="02DA13EE"/>
    <w:multiLevelType w:val="hybridMultilevel"/>
    <w:tmpl w:val="77FEE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D377D"/>
    <w:multiLevelType w:val="multilevel"/>
    <w:tmpl w:val="FAF88EEE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CE639D"/>
    <w:multiLevelType w:val="hybridMultilevel"/>
    <w:tmpl w:val="81AC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F6BB7"/>
    <w:multiLevelType w:val="hybridMultilevel"/>
    <w:tmpl w:val="DF06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F0033"/>
    <w:multiLevelType w:val="hybridMultilevel"/>
    <w:tmpl w:val="F26478EA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D3035"/>
    <w:multiLevelType w:val="hybridMultilevel"/>
    <w:tmpl w:val="98DA6B40"/>
    <w:lvl w:ilvl="0" w:tplc="D1287DB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C76353C"/>
    <w:multiLevelType w:val="hybridMultilevel"/>
    <w:tmpl w:val="EEC82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34BD0"/>
    <w:multiLevelType w:val="hybridMultilevel"/>
    <w:tmpl w:val="FDA8DF24"/>
    <w:lvl w:ilvl="0" w:tplc="88048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DF06795"/>
    <w:multiLevelType w:val="hybridMultilevel"/>
    <w:tmpl w:val="9202CFFC"/>
    <w:lvl w:ilvl="0" w:tplc="B4B88CE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110469E2"/>
    <w:multiLevelType w:val="hybridMultilevel"/>
    <w:tmpl w:val="97BEB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A1F35"/>
    <w:multiLevelType w:val="hybridMultilevel"/>
    <w:tmpl w:val="B2DC5112"/>
    <w:lvl w:ilvl="0" w:tplc="EF16B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1C72F76"/>
    <w:multiLevelType w:val="hybridMultilevel"/>
    <w:tmpl w:val="F4E47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655D2"/>
    <w:multiLevelType w:val="hybridMultilevel"/>
    <w:tmpl w:val="677695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918A9"/>
    <w:multiLevelType w:val="hybridMultilevel"/>
    <w:tmpl w:val="91701124"/>
    <w:lvl w:ilvl="0" w:tplc="83340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964C5"/>
    <w:multiLevelType w:val="hybridMultilevel"/>
    <w:tmpl w:val="1AC08F2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C54C44E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2AEE3FAC">
      <w:start w:val="1"/>
      <w:numFmt w:val="lowerLetter"/>
      <w:lvlText w:val="%3.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E479B8"/>
    <w:multiLevelType w:val="hybridMultilevel"/>
    <w:tmpl w:val="E69EC8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8BA155D"/>
    <w:multiLevelType w:val="hybridMultilevel"/>
    <w:tmpl w:val="D17882F4"/>
    <w:lvl w:ilvl="0" w:tplc="C22C9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91D7A41"/>
    <w:multiLevelType w:val="hybridMultilevel"/>
    <w:tmpl w:val="DE169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C12E9"/>
    <w:multiLevelType w:val="hybridMultilevel"/>
    <w:tmpl w:val="44B2D244"/>
    <w:lvl w:ilvl="0" w:tplc="83340692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2DBB16CF"/>
    <w:multiLevelType w:val="hybridMultilevel"/>
    <w:tmpl w:val="76B8DB64"/>
    <w:lvl w:ilvl="0" w:tplc="BF6879C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2DBE1C0D"/>
    <w:multiLevelType w:val="hybridMultilevel"/>
    <w:tmpl w:val="8DAEB322"/>
    <w:lvl w:ilvl="0" w:tplc="88048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2605A"/>
    <w:multiLevelType w:val="hybridMultilevel"/>
    <w:tmpl w:val="6A86254A"/>
    <w:lvl w:ilvl="0" w:tplc="D142661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808FC"/>
    <w:multiLevelType w:val="hybridMultilevel"/>
    <w:tmpl w:val="B1A6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83776"/>
    <w:multiLevelType w:val="hybridMultilevel"/>
    <w:tmpl w:val="F34AD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D1BC5"/>
    <w:multiLevelType w:val="hybridMultilevel"/>
    <w:tmpl w:val="1B7844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26685B"/>
    <w:multiLevelType w:val="hybridMultilevel"/>
    <w:tmpl w:val="0F128190"/>
    <w:lvl w:ilvl="0" w:tplc="AA224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A54E5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121608"/>
    <w:multiLevelType w:val="hybridMultilevel"/>
    <w:tmpl w:val="CD7EE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40915"/>
    <w:multiLevelType w:val="hybridMultilevel"/>
    <w:tmpl w:val="41942420"/>
    <w:lvl w:ilvl="0" w:tplc="32207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11010B8"/>
    <w:multiLevelType w:val="hybridMultilevel"/>
    <w:tmpl w:val="82241F5C"/>
    <w:lvl w:ilvl="0" w:tplc="CA221E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A8A1656"/>
    <w:multiLevelType w:val="hybridMultilevel"/>
    <w:tmpl w:val="48FE977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ABF2A1C"/>
    <w:multiLevelType w:val="multilevel"/>
    <w:tmpl w:val="63D8D71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6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2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09" w:hanging="360"/>
      </w:pPr>
      <w:rPr>
        <w:rFonts w:ascii="Symbol" w:hAnsi="Symbol" w:hint="default"/>
      </w:rPr>
    </w:lvl>
  </w:abstractNum>
  <w:abstractNum w:abstractNumId="33" w15:restartNumberingAfterBreak="0">
    <w:nsid w:val="5BC90924"/>
    <w:multiLevelType w:val="singleLevel"/>
    <w:tmpl w:val="C018124A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4" w15:restartNumberingAfterBreak="0">
    <w:nsid w:val="5C4D4FE8"/>
    <w:multiLevelType w:val="hybridMultilevel"/>
    <w:tmpl w:val="9788B246"/>
    <w:lvl w:ilvl="0" w:tplc="A9908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E7C0744"/>
    <w:multiLevelType w:val="hybridMultilevel"/>
    <w:tmpl w:val="C332CF60"/>
    <w:lvl w:ilvl="0" w:tplc="928819E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 w15:restartNumberingAfterBreak="0">
    <w:nsid w:val="628C625C"/>
    <w:multiLevelType w:val="hybridMultilevel"/>
    <w:tmpl w:val="0E40258C"/>
    <w:lvl w:ilvl="0" w:tplc="1E24C9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64259"/>
    <w:multiLevelType w:val="hybridMultilevel"/>
    <w:tmpl w:val="778A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D5F1C"/>
    <w:multiLevelType w:val="hybridMultilevel"/>
    <w:tmpl w:val="E38AB4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75734D6"/>
    <w:multiLevelType w:val="hybridMultilevel"/>
    <w:tmpl w:val="F358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24684"/>
    <w:multiLevelType w:val="hybridMultilevel"/>
    <w:tmpl w:val="08366D22"/>
    <w:lvl w:ilvl="0" w:tplc="03147C6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1" w15:restartNumberingAfterBreak="0">
    <w:nsid w:val="6CD3341F"/>
    <w:multiLevelType w:val="hybridMultilevel"/>
    <w:tmpl w:val="85BE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A7AED"/>
    <w:multiLevelType w:val="hybridMultilevel"/>
    <w:tmpl w:val="DCBE1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576C8"/>
    <w:multiLevelType w:val="multilevel"/>
    <w:tmpl w:val="FAF88EE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38D2EB0"/>
    <w:multiLevelType w:val="hybridMultilevel"/>
    <w:tmpl w:val="40128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93B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97D1395"/>
    <w:multiLevelType w:val="hybridMultilevel"/>
    <w:tmpl w:val="2C144A00"/>
    <w:lvl w:ilvl="0" w:tplc="2E1EB56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5770F9AA">
      <w:start w:val="1"/>
      <w:numFmt w:val="lowerLetter"/>
      <w:pStyle w:val="Nagwek3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16"/>
  </w:num>
  <w:num w:numId="4">
    <w:abstractNumId w:val="19"/>
  </w:num>
  <w:num w:numId="5">
    <w:abstractNumId w:val="32"/>
  </w:num>
  <w:num w:numId="6">
    <w:abstractNumId w:val="8"/>
  </w:num>
  <w:num w:numId="7">
    <w:abstractNumId w:val="45"/>
  </w:num>
  <w:num w:numId="8">
    <w:abstractNumId w:val="7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39"/>
  </w:num>
  <w:num w:numId="12">
    <w:abstractNumId w:val="31"/>
  </w:num>
  <w:num w:numId="13">
    <w:abstractNumId w:val="46"/>
  </w:num>
  <w:num w:numId="14">
    <w:abstractNumId w:val="3"/>
  </w:num>
  <w:num w:numId="15">
    <w:abstractNumId w:val="4"/>
  </w:num>
  <w:num w:numId="16">
    <w:abstractNumId w:val="25"/>
  </w:num>
  <w:num w:numId="17">
    <w:abstractNumId w:val="30"/>
  </w:num>
  <w:num w:numId="18">
    <w:abstractNumId w:val="5"/>
  </w:num>
  <w:num w:numId="19">
    <w:abstractNumId w:val="17"/>
  </w:num>
  <w:num w:numId="20">
    <w:abstractNumId w:val="9"/>
  </w:num>
  <w:num w:numId="21">
    <w:abstractNumId w:val="24"/>
  </w:num>
  <w:num w:numId="22">
    <w:abstractNumId w:val="22"/>
  </w:num>
  <w:num w:numId="23">
    <w:abstractNumId w:val="11"/>
  </w:num>
  <w:num w:numId="24">
    <w:abstractNumId w:val="27"/>
  </w:num>
  <w:num w:numId="25">
    <w:abstractNumId w:val="33"/>
  </w:num>
  <w:num w:numId="26">
    <w:abstractNumId w:val="2"/>
  </w:num>
  <w:num w:numId="27">
    <w:abstractNumId w:val="18"/>
  </w:num>
  <w:num w:numId="28">
    <w:abstractNumId w:val="36"/>
  </w:num>
  <w:num w:numId="29">
    <w:abstractNumId w:val="6"/>
  </w:num>
  <w:num w:numId="30">
    <w:abstractNumId w:val="28"/>
  </w:num>
  <w:num w:numId="31">
    <w:abstractNumId w:val="23"/>
  </w:num>
  <w:num w:numId="32">
    <w:abstractNumId w:val="37"/>
  </w:num>
  <w:num w:numId="33">
    <w:abstractNumId w:val="34"/>
  </w:num>
  <w:num w:numId="34">
    <w:abstractNumId w:val="38"/>
  </w:num>
  <w:num w:numId="35">
    <w:abstractNumId w:val="13"/>
  </w:num>
  <w:num w:numId="36">
    <w:abstractNumId w:val="41"/>
  </w:num>
  <w:num w:numId="37">
    <w:abstractNumId w:val="10"/>
  </w:num>
  <w:num w:numId="38">
    <w:abstractNumId w:val="12"/>
  </w:num>
  <w:num w:numId="39">
    <w:abstractNumId w:val="40"/>
  </w:num>
  <w:num w:numId="40">
    <w:abstractNumId w:val="20"/>
  </w:num>
  <w:num w:numId="41">
    <w:abstractNumId w:val="29"/>
  </w:num>
  <w:num w:numId="42">
    <w:abstractNumId w:val="26"/>
  </w:num>
  <w:num w:numId="43">
    <w:abstractNumId w:val="21"/>
  </w:num>
  <w:num w:numId="44">
    <w:abstractNumId w:val="35"/>
  </w:num>
  <w:num w:numId="4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13"/>
    <w:rsid w:val="000022E0"/>
    <w:rsid w:val="00010BD0"/>
    <w:rsid w:val="000127EB"/>
    <w:rsid w:val="000135A1"/>
    <w:rsid w:val="00021332"/>
    <w:rsid w:val="0003312C"/>
    <w:rsid w:val="0003472D"/>
    <w:rsid w:val="000432BA"/>
    <w:rsid w:val="00044905"/>
    <w:rsid w:val="00047014"/>
    <w:rsid w:val="00047E7C"/>
    <w:rsid w:val="0005084C"/>
    <w:rsid w:val="00051943"/>
    <w:rsid w:val="00053462"/>
    <w:rsid w:val="00053566"/>
    <w:rsid w:val="000639D3"/>
    <w:rsid w:val="000753A1"/>
    <w:rsid w:val="00081387"/>
    <w:rsid w:val="00081D0E"/>
    <w:rsid w:val="000832D0"/>
    <w:rsid w:val="00084A5C"/>
    <w:rsid w:val="00096A42"/>
    <w:rsid w:val="000A1974"/>
    <w:rsid w:val="000A4245"/>
    <w:rsid w:val="000A7B11"/>
    <w:rsid w:val="000B1978"/>
    <w:rsid w:val="000B3EA3"/>
    <w:rsid w:val="000C4484"/>
    <w:rsid w:val="000C62B5"/>
    <w:rsid w:val="000D602F"/>
    <w:rsid w:val="000E01C7"/>
    <w:rsid w:val="000E276C"/>
    <w:rsid w:val="000E5903"/>
    <w:rsid w:val="000F4946"/>
    <w:rsid w:val="000F78F7"/>
    <w:rsid w:val="00101E6F"/>
    <w:rsid w:val="00102E45"/>
    <w:rsid w:val="00105DA8"/>
    <w:rsid w:val="00111BC4"/>
    <w:rsid w:val="00124528"/>
    <w:rsid w:val="001453C6"/>
    <w:rsid w:val="00151D3E"/>
    <w:rsid w:val="0015327F"/>
    <w:rsid w:val="0015340D"/>
    <w:rsid w:val="001579F6"/>
    <w:rsid w:val="00160F36"/>
    <w:rsid w:val="00163828"/>
    <w:rsid w:val="001666DE"/>
    <w:rsid w:val="00170D20"/>
    <w:rsid w:val="0017697C"/>
    <w:rsid w:val="00191688"/>
    <w:rsid w:val="00192125"/>
    <w:rsid w:val="001A0775"/>
    <w:rsid w:val="001A215C"/>
    <w:rsid w:val="001A3F6C"/>
    <w:rsid w:val="001A440F"/>
    <w:rsid w:val="001A7644"/>
    <w:rsid w:val="001B53EF"/>
    <w:rsid w:val="001B6C13"/>
    <w:rsid w:val="001C1840"/>
    <w:rsid w:val="001C3578"/>
    <w:rsid w:val="00211FB3"/>
    <w:rsid w:val="00212866"/>
    <w:rsid w:val="002133B8"/>
    <w:rsid w:val="00232B6F"/>
    <w:rsid w:val="00235237"/>
    <w:rsid w:val="002379A8"/>
    <w:rsid w:val="00246D8A"/>
    <w:rsid w:val="002557C2"/>
    <w:rsid w:val="00260560"/>
    <w:rsid w:val="00264F13"/>
    <w:rsid w:val="00272107"/>
    <w:rsid w:val="002724AF"/>
    <w:rsid w:val="00273DE2"/>
    <w:rsid w:val="002754E6"/>
    <w:rsid w:val="00280014"/>
    <w:rsid w:val="00282AD9"/>
    <w:rsid w:val="00291FD9"/>
    <w:rsid w:val="00296766"/>
    <w:rsid w:val="002973CA"/>
    <w:rsid w:val="002B0A58"/>
    <w:rsid w:val="002B0EC9"/>
    <w:rsid w:val="002B31C0"/>
    <w:rsid w:val="002C1C1D"/>
    <w:rsid w:val="002C666C"/>
    <w:rsid w:val="002C7926"/>
    <w:rsid w:val="002D4311"/>
    <w:rsid w:val="002E14B5"/>
    <w:rsid w:val="002E7DE4"/>
    <w:rsid w:val="00302D89"/>
    <w:rsid w:val="00304D90"/>
    <w:rsid w:val="003066E8"/>
    <w:rsid w:val="003073F8"/>
    <w:rsid w:val="00310C6D"/>
    <w:rsid w:val="00314C48"/>
    <w:rsid w:val="00335461"/>
    <w:rsid w:val="00345A89"/>
    <w:rsid w:val="0037114C"/>
    <w:rsid w:val="00377804"/>
    <w:rsid w:val="00377EC0"/>
    <w:rsid w:val="00385209"/>
    <w:rsid w:val="003875D2"/>
    <w:rsid w:val="0039025D"/>
    <w:rsid w:val="0039621D"/>
    <w:rsid w:val="003A0F1C"/>
    <w:rsid w:val="003A296D"/>
    <w:rsid w:val="003A2D2E"/>
    <w:rsid w:val="003D0F56"/>
    <w:rsid w:val="003D24E8"/>
    <w:rsid w:val="003D548C"/>
    <w:rsid w:val="003D681D"/>
    <w:rsid w:val="003E2BB5"/>
    <w:rsid w:val="003E5E41"/>
    <w:rsid w:val="003E7C0F"/>
    <w:rsid w:val="00403BD7"/>
    <w:rsid w:val="0040686A"/>
    <w:rsid w:val="00411BCF"/>
    <w:rsid w:val="00413361"/>
    <w:rsid w:val="00427239"/>
    <w:rsid w:val="00430765"/>
    <w:rsid w:val="00430B46"/>
    <w:rsid w:val="004366DC"/>
    <w:rsid w:val="004563C1"/>
    <w:rsid w:val="00462266"/>
    <w:rsid w:val="004653D8"/>
    <w:rsid w:val="00467C64"/>
    <w:rsid w:val="00470443"/>
    <w:rsid w:val="00480066"/>
    <w:rsid w:val="004838AC"/>
    <w:rsid w:val="00491E85"/>
    <w:rsid w:val="004937F7"/>
    <w:rsid w:val="00493DFA"/>
    <w:rsid w:val="004A1340"/>
    <w:rsid w:val="004A28F0"/>
    <w:rsid w:val="004A319D"/>
    <w:rsid w:val="004A5558"/>
    <w:rsid w:val="004A7FF5"/>
    <w:rsid w:val="004B5FEA"/>
    <w:rsid w:val="004C2FF6"/>
    <w:rsid w:val="004C5F5C"/>
    <w:rsid w:val="004D34FA"/>
    <w:rsid w:val="004D7840"/>
    <w:rsid w:val="004E386B"/>
    <w:rsid w:val="004F06BF"/>
    <w:rsid w:val="004F0880"/>
    <w:rsid w:val="004F462F"/>
    <w:rsid w:val="004F51C1"/>
    <w:rsid w:val="00515C21"/>
    <w:rsid w:val="00523612"/>
    <w:rsid w:val="00524D22"/>
    <w:rsid w:val="00526293"/>
    <w:rsid w:val="0053015B"/>
    <w:rsid w:val="00530A6A"/>
    <w:rsid w:val="00536EDB"/>
    <w:rsid w:val="00544924"/>
    <w:rsid w:val="00555406"/>
    <w:rsid w:val="00555BEB"/>
    <w:rsid w:val="00556047"/>
    <w:rsid w:val="00571A00"/>
    <w:rsid w:val="00573898"/>
    <w:rsid w:val="005774B3"/>
    <w:rsid w:val="00581E30"/>
    <w:rsid w:val="00591F97"/>
    <w:rsid w:val="005974BA"/>
    <w:rsid w:val="00597917"/>
    <w:rsid w:val="005A5B0B"/>
    <w:rsid w:val="005B4A84"/>
    <w:rsid w:val="005B4E6B"/>
    <w:rsid w:val="005B7567"/>
    <w:rsid w:val="005C1CCE"/>
    <w:rsid w:val="005C7872"/>
    <w:rsid w:val="005D0684"/>
    <w:rsid w:val="005D07F2"/>
    <w:rsid w:val="005D0FF5"/>
    <w:rsid w:val="005E1E98"/>
    <w:rsid w:val="005F06EE"/>
    <w:rsid w:val="005F39A0"/>
    <w:rsid w:val="005F5165"/>
    <w:rsid w:val="00601C59"/>
    <w:rsid w:val="00602298"/>
    <w:rsid w:val="00605B36"/>
    <w:rsid w:val="006110F2"/>
    <w:rsid w:val="00622E53"/>
    <w:rsid w:val="006314C8"/>
    <w:rsid w:val="00631F14"/>
    <w:rsid w:val="0063242F"/>
    <w:rsid w:val="006336C3"/>
    <w:rsid w:val="00633C6D"/>
    <w:rsid w:val="00634A3D"/>
    <w:rsid w:val="006465A4"/>
    <w:rsid w:val="00650D42"/>
    <w:rsid w:val="00660F94"/>
    <w:rsid w:val="0066570E"/>
    <w:rsid w:val="006726EE"/>
    <w:rsid w:val="00676369"/>
    <w:rsid w:val="00686C54"/>
    <w:rsid w:val="00687ACA"/>
    <w:rsid w:val="00692E61"/>
    <w:rsid w:val="006943ED"/>
    <w:rsid w:val="006B26BB"/>
    <w:rsid w:val="006C70C4"/>
    <w:rsid w:val="006D1C99"/>
    <w:rsid w:val="006D45BE"/>
    <w:rsid w:val="006D4CDE"/>
    <w:rsid w:val="006D6347"/>
    <w:rsid w:val="006E1831"/>
    <w:rsid w:val="006E1B20"/>
    <w:rsid w:val="006E6BA1"/>
    <w:rsid w:val="006E7BD3"/>
    <w:rsid w:val="006F0899"/>
    <w:rsid w:val="006F70A5"/>
    <w:rsid w:val="00700767"/>
    <w:rsid w:val="00702DA1"/>
    <w:rsid w:val="00706576"/>
    <w:rsid w:val="0070796B"/>
    <w:rsid w:val="00710718"/>
    <w:rsid w:val="00715A1B"/>
    <w:rsid w:val="00716E4B"/>
    <w:rsid w:val="007202E7"/>
    <w:rsid w:val="00726237"/>
    <w:rsid w:val="00732100"/>
    <w:rsid w:val="00732ACA"/>
    <w:rsid w:val="0073306F"/>
    <w:rsid w:val="00733408"/>
    <w:rsid w:val="00746572"/>
    <w:rsid w:val="00762F15"/>
    <w:rsid w:val="00763265"/>
    <w:rsid w:val="00770884"/>
    <w:rsid w:val="007709FA"/>
    <w:rsid w:val="00776B33"/>
    <w:rsid w:val="007830C1"/>
    <w:rsid w:val="00790DFB"/>
    <w:rsid w:val="00790FC0"/>
    <w:rsid w:val="00793D6D"/>
    <w:rsid w:val="0079798F"/>
    <w:rsid w:val="007A23D9"/>
    <w:rsid w:val="007A2E26"/>
    <w:rsid w:val="007C199C"/>
    <w:rsid w:val="007C43AA"/>
    <w:rsid w:val="007C5A1D"/>
    <w:rsid w:val="007C6751"/>
    <w:rsid w:val="007C72C1"/>
    <w:rsid w:val="007D0226"/>
    <w:rsid w:val="007E04F6"/>
    <w:rsid w:val="007E0DC4"/>
    <w:rsid w:val="007E4A73"/>
    <w:rsid w:val="007F2641"/>
    <w:rsid w:val="00800F2A"/>
    <w:rsid w:val="0080217E"/>
    <w:rsid w:val="00813279"/>
    <w:rsid w:val="008142CA"/>
    <w:rsid w:val="008169E7"/>
    <w:rsid w:val="008215FF"/>
    <w:rsid w:val="00823F40"/>
    <w:rsid w:val="00831397"/>
    <w:rsid w:val="00835A4D"/>
    <w:rsid w:val="008372EE"/>
    <w:rsid w:val="00846212"/>
    <w:rsid w:val="00846327"/>
    <w:rsid w:val="00850FC0"/>
    <w:rsid w:val="00853A11"/>
    <w:rsid w:val="00855F43"/>
    <w:rsid w:val="00876236"/>
    <w:rsid w:val="008A307D"/>
    <w:rsid w:val="008C1976"/>
    <w:rsid w:val="008C2270"/>
    <w:rsid w:val="008C7D6C"/>
    <w:rsid w:val="008E0B48"/>
    <w:rsid w:val="008E7FA4"/>
    <w:rsid w:val="008F161B"/>
    <w:rsid w:val="00913EAE"/>
    <w:rsid w:val="00923A6A"/>
    <w:rsid w:val="0092549F"/>
    <w:rsid w:val="009276B6"/>
    <w:rsid w:val="00931B70"/>
    <w:rsid w:val="0093226E"/>
    <w:rsid w:val="00933E7F"/>
    <w:rsid w:val="00934FE8"/>
    <w:rsid w:val="009505C3"/>
    <w:rsid w:val="00951BD7"/>
    <w:rsid w:val="00952DFA"/>
    <w:rsid w:val="00961A1F"/>
    <w:rsid w:val="00964269"/>
    <w:rsid w:val="0097135C"/>
    <w:rsid w:val="00971ECF"/>
    <w:rsid w:val="00973313"/>
    <w:rsid w:val="00974E04"/>
    <w:rsid w:val="00984A97"/>
    <w:rsid w:val="009924DA"/>
    <w:rsid w:val="009C0656"/>
    <w:rsid w:val="009D2C5B"/>
    <w:rsid w:val="009E4372"/>
    <w:rsid w:val="009E7047"/>
    <w:rsid w:val="009F0006"/>
    <w:rsid w:val="00A0283B"/>
    <w:rsid w:val="00A05231"/>
    <w:rsid w:val="00A054FD"/>
    <w:rsid w:val="00A05563"/>
    <w:rsid w:val="00A0794E"/>
    <w:rsid w:val="00A3087F"/>
    <w:rsid w:val="00A319A4"/>
    <w:rsid w:val="00A319AD"/>
    <w:rsid w:val="00A4198F"/>
    <w:rsid w:val="00A461A0"/>
    <w:rsid w:val="00A72FB9"/>
    <w:rsid w:val="00A85D07"/>
    <w:rsid w:val="00A865C3"/>
    <w:rsid w:val="00A91083"/>
    <w:rsid w:val="00A91506"/>
    <w:rsid w:val="00A96930"/>
    <w:rsid w:val="00AA40EA"/>
    <w:rsid w:val="00AA4AA7"/>
    <w:rsid w:val="00AA57AA"/>
    <w:rsid w:val="00AB0387"/>
    <w:rsid w:val="00AB2D46"/>
    <w:rsid w:val="00AB3C27"/>
    <w:rsid w:val="00AB5C32"/>
    <w:rsid w:val="00AB7A10"/>
    <w:rsid w:val="00AC32F1"/>
    <w:rsid w:val="00AD4C0C"/>
    <w:rsid w:val="00AE04DE"/>
    <w:rsid w:val="00AE419F"/>
    <w:rsid w:val="00AF0105"/>
    <w:rsid w:val="00AF2400"/>
    <w:rsid w:val="00AF6595"/>
    <w:rsid w:val="00B0493B"/>
    <w:rsid w:val="00B16AE0"/>
    <w:rsid w:val="00B250FC"/>
    <w:rsid w:val="00B3162D"/>
    <w:rsid w:val="00B32626"/>
    <w:rsid w:val="00B35417"/>
    <w:rsid w:val="00B421B2"/>
    <w:rsid w:val="00B47B60"/>
    <w:rsid w:val="00B539A0"/>
    <w:rsid w:val="00B744CB"/>
    <w:rsid w:val="00B811DE"/>
    <w:rsid w:val="00B8574F"/>
    <w:rsid w:val="00B864B8"/>
    <w:rsid w:val="00BA0216"/>
    <w:rsid w:val="00BA4F5F"/>
    <w:rsid w:val="00BB28AA"/>
    <w:rsid w:val="00BB54F6"/>
    <w:rsid w:val="00BC4602"/>
    <w:rsid w:val="00BC7260"/>
    <w:rsid w:val="00BC772B"/>
    <w:rsid w:val="00BD76E3"/>
    <w:rsid w:val="00BE4915"/>
    <w:rsid w:val="00BE4B0D"/>
    <w:rsid w:val="00BE7204"/>
    <w:rsid w:val="00BF15E9"/>
    <w:rsid w:val="00BF2306"/>
    <w:rsid w:val="00C0068E"/>
    <w:rsid w:val="00C02D51"/>
    <w:rsid w:val="00C02F86"/>
    <w:rsid w:val="00C04075"/>
    <w:rsid w:val="00C1630E"/>
    <w:rsid w:val="00C16568"/>
    <w:rsid w:val="00C233E3"/>
    <w:rsid w:val="00C2435E"/>
    <w:rsid w:val="00C42208"/>
    <w:rsid w:val="00C529E4"/>
    <w:rsid w:val="00C53ACA"/>
    <w:rsid w:val="00C621FF"/>
    <w:rsid w:val="00C62EC5"/>
    <w:rsid w:val="00C66108"/>
    <w:rsid w:val="00C74629"/>
    <w:rsid w:val="00C76B3B"/>
    <w:rsid w:val="00C82254"/>
    <w:rsid w:val="00C8561C"/>
    <w:rsid w:val="00CE0FE0"/>
    <w:rsid w:val="00CE5479"/>
    <w:rsid w:val="00CE6698"/>
    <w:rsid w:val="00CF171F"/>
    <w:rsid w:val="00CF1C9E"/>
    <w:rsid w:val="00CF2882"/>
    <w:rsid w:val="00CF4671"/>
    <w:rsid w:val="00D01545"/>
    <w:rsid w:val="00D11DD2"/>
    <w:rsid w:val="00D1360C"/>
    <w:rsid w:val="00D21D0B"/>
    <w:rsid w:val="00D276E8"/>
    <w:rsid w:val="00D34E65"/>
    <w:rsid w:val="00D40A76"/>
    <w:rsid w:val="00D42061"/>
    <w:rsid w:val="00D43ACF"/>
    <w:rsid w:val="00D472B7"/>
    <w:rsid w:val="00D501F2"/>
    <w:rsid w:val="00D56A23"/>
    <w:rsid w:val="00D60B97"/>
    <w:rsid w:val="00D6286D"/>
    <w:rsid w:val="00D711EC"/>
    <w:rsid w:val="00D80EC5"/>
    <w:rsid w:val="00D8381B"/>
    <w:rsid w:val="00D8616B"/>
    <w:rsid w:val="00D9368D"/>
    <w:rsid w:val="00D96218"/>
    <w:rsid w:val="00DA32EA"/>
    <w:rsid w:val="00DA3D20"/>
    <w:rsid w:val="00DA5175"/>
    <w:rsid w:val="00DB5DC2"/>
    <w:rsid w:val="00DC08C6"/>
    <w:rsid w:val="00DC2E01"/>
    <w:rsid w:val="00DC47CE"/>
    <w:rsid w:val="00DC72D1"/>
    <w:rsid w:val="00DC7582"/>
    <w:rsid w:val="00DE3609"/>
    <w:rsid w:val="00DE5BB8"/>
    <w:rsid w:val="00DE6F80"/>
    <w:rsid w:val="00DF300F"/>
    <w:rsid w:val="00E0233B"/>
    <w:rsid w:val="00E04AD0"/>
    <w:rsid w:val="00E12DD0"/>
    <w:rsid w:val="00E14829"/>
    <w:rsid w:val="00E24947"/>
    <w:rsid w:val="00E32086"/>
    <w:rsid w:val="00E526B7"/>
    <w:rsid w:val="00E55D96"/>
    <w:rsid w:val="00E67FCE"/>
    <w:rsid w:val="00E924E5"/>
    <w:rsid w:val="00EA2EB7"/>
    <w:rsid w:val="00EA3254"/>
    <w:rsid w:val="00EA5798"/>
    <w:rsid w:val="00EA640E"/>
    <w:rsid w:val="00EB223E"/>
    <w:rsid w:val="00EC7DB7"/>
    <w:rsid w:val="00ED0D2F"/>
    <w:rsid w:val="00ED5285"/>
    <w:rsid w:val="00ED5DFD"/>
    <w:rsid w:val="00EE27D6"/>
    <w:rsid w:val="00F01A66"/>
    <w:rsid w:val="00F02D80"/>
    <w:rsid w:val="00F11ECA"/>
    <w:rsid w:val="00F23EB7"/>
    <w:rsid w:val="00F33C25"/>
    <w:rsid w:val="00F37D9B"/>
    <w:rsid w:val="00F4703A"/>
    <w:rsid w:val="00F473E1"/>
    <w:rsid w:val="00F47E4B"/>
    <w:rsid w:val="00F51771"/>
    <w:rsid w:val="00F52011"/>
    <w:rsid w:val="00F53CFA"/>
    <w:rsid w:val="00F54550"/>
    <w:rsid w:val="00F6074A"/>
    <w:rsid w:val="00F62B85"/>
    <w:rsid w:val="00F62BE5"/>
    <w:rsid w:val="00F62EAF"/>
    <w:rsid w:val="00F633BA"/>
    <w:rsid w:val="00F70F0F"/>
    <w:rsid w:val="00F7213B"/>
    <w:rsid w:val="00F8356E"/>
    <w:rsid w:val="00F90212"/>
    <w:rsid w:val="00F90C45"/>
    <w:rsid w:val="00F9243C"/>
    <w:rsid w:val="00FA3E30"/>
    <w:rsid w:val="00FA5414"/>
    <w:rsid w:val="00FA5596"/>
    <w:rsid w:val="00FB6068"/>
    <w:rsid w:val="00FE064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99216A"/>
  <w15:chartTrackingRefBased/>
  <w15:docId w15:val="{F2067575-123E-4BF1-957E-513128D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B6F"/>
  </w:style>
  <w:style w:type="paragraph" w:styleId="Nagwek1">
    <w:name w:val="heading 1"/>
    <w:basedOn w:val="Normalny"/>
    <w:next w:val="Normalny"/>
    <w:link w:val="Nagwek1Znak"/>
    <w:uiPriority w:val="9"/>
    <w:qFormat/>
    <w:rsid w:val="00601C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D07"/>
    <w:pPr>
      <w:keepNext/>
      <w:keepLines/>
      <w:numPr>
        <w:numId w:val="13"/>
      </w:numPr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5D07"/>
    <w:pPr>
      <w:keepNext/>
      <w:keepLines/>
      <w:numPr>
        <w:ilvl w:val="1"/>
        <w:numId w:val="13"/>
      </w:numPr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umerowanie,L1,Akapit z listą5,Akapit z listą BS,Kolorowa lista — akcent 11,List Paragraph2,List Paragraph21,A_wyliczenie,K-P_odwolanie,maz_wyliczenie,opis dzialania,EPL lista punktowana z wyrózneniem"/>
    <w:basedOn w:val="Normalny"/>
    <w:link w:val="AkapitzlistZnak"/>
    <w:uiPriority w:val="34"/>
    <w:qFormat/>
    <w:rsid w:val="002C7926"/>
    <w:pPr>
      <w:ind w:left="720"/>
      <w:contextualSpacing/>
    </w:pPr>
  </w:style>
  <w:style w:type="character" w:styleId="Hipercze">
    <w:name w:val="Hyperlink"/>
    <w:rsid w:val="005D0684"/>
    <w:rPr>
      <w:color w:val="0000FF"/>
      <w:u w:val="single"/>
    </w:rPr>
  </w:style>
  <w:style w:type="paragraph" w:styleId="Tekstprzypisudolnego">
    <w:name w:val="footnote text"/>
    <w:aliases w:val="Footnote,Podrozdzia3,-E Fuﬂnotentext,Fuﬂnotentext Ursprung,Fußnotentext Ursprung,-E Fußnotentext,Tekst przypisu Znak Znak Znak Znak,Tekst przypisu Znak Znak Znak Znak Znak,Fußnote,FOOTNOTES,o,fn,Podrozdział,Footnote text,Znak Zn"/>
    <w:basedOn w:val="Normalny"/>
    <w:link w:val="TekstprzypisudolnegoZnak"/>
    <w:qFormat/>
    <w:rsid w:val="005D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Tekst przypisu Znak Znak Znak Znak Znak1,Tekst przypisu Znak Znak Znak Znak Znak Znak,Fußnote Znak"/>
    <w:basedOn w:val="Domylnaczcionkaakapitu"/>
    <w:link w:val="Tekstprzypisudolnego"/>
    <w:qFormat/>
    <w:rsid w:val="005D06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symbol,Nota,Appel note de bas de p,BVI fnr,SUPERS,Odwołanie przypisu,Footnote reference number,note TESI,EN Footnote Reference,Footnote number,Ref,de nota al pie,Odwo3anie przypisu,number"/>
    <w:unhideWhenUsed/>
    <w:rsid w:val="005D0684"/>
    <w:rPr>
      <w:vertAlign w:val="superscript"/>
    </w:rPr>
  </w:style>
  <w:style w:type="character" w:customStyle="1" w:styleId="WW8Num1z0">
    <w:name w:val="WW8Num1z0"/>
    <w:rsid w:val="00CE0FE0"/>
    <w:rPr>
      <w:rFonts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8F"/>
    <w:rPr>
      <w:b/>
      <w:bCs/>
      <w:sz w:val="20"/>
      <w:szCs w:val="20"/>
    </w:rPr>
  </w:style>
  <w:style w:type="character" w:customStyle="1" w:styleId="AkapitzlistZnak">
    <w:name w:val="Akapit z listą Znak"/>
    <w:aliases w:val="Sl_Akapit z listą Znak,Numerowanie Znak,L1 Znak,Akapit z listą5 Znak,Akapit z listą BS Znak,Kolorowa lista — akcent 11 Znak,List Paragraph2 Znak,List Paragraph21 Znak,A_wyliczenie Znak,K-P_odwolanie Znak,maz_wyliczenie Znak"/>
    <w:link w:val="Akapitzlist"/>
    <w:uiPriority w:val="34"/>
    <w:qFormat/>
    <w:locked/>
    <w:rsid w:val="00D1360C"/>
  </w:style>
  <w:style w:type="paragraph" w:customStyle="1" w:styleId="Default">
    <w:name w:val="Default"/>
    <w:rsid w:val="00D136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5417"/>
    <w:rPr>
      <w:b/>
      <w:bCs/>
    </w:rPr>
  </w:style>
  <w:style w:type="paragraph" w:customStyle="1" w:styleId="Zawartotabeli">
    <w:name w:val="Zawartość tabeli"/>
    <w:basedOn w:val="Normalny"/>
    <w:rsid w:val="00151D3E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151D3E"/>
    <w:pPr>
      <w:jc w:val="center"/>
    </w:pPr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88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85D0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A85D07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numbering" w:customStyle="1" w:styleId="Styl1">
    <w:name w:val="Styl1"/>
    <w:uiPriority w:val="99"/>
    <w:rsid w:val="00526293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191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688"/>
  </w:style>
  <w:style w:type="paragraph" w:styleId="Stopka">
    <w:name w:val="footer"/>
    <w:basedOn w:val="Normalny"/>
    <w:link w:val="StopkaZnak"/>
    <w:uiPriority w:val="99"/>
    <w:unhideWhenUsed/>
    <w:rsid w:val="00191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688"/>
  </w:style>
  <w:style w:type="table" w:styleId="Tabela-Siatka">
    <w:name w:val="Table Grid"/>
    <w:basedOn w:val="Standardowy"/>
    <w:rsid w:val="009F0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C1CC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nakZnak">
    <w:name w:val="Znak Znak"/>
    <w:basedOn w:val="Normalny"/>
    <w:rsid w:val="005C1CC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AA4A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01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4D7C-22A7-4D71-9FD8-AC781B98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2840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Zagaja-Fiedoruk Aldona</dc:creator>
  <cp:keywords/>
  <dc:description/>
  <cp:lastModifiedBy>Zagaja-Fiedoruk Aldona</cp:lastModifiedBy>
  <cp:revision>7</cp:revision>
  <cp:lastPrinted>2025-02-05T11:13:00Z</cp:lastPrinted>
  <dcterms:created xsi:type="dcterms:W3CDTF">2025-03-12T12:43:00Z</dcterms:created>
  <dcterms:modified xsi:type="dcterms:W3CDTF">2025-03-12T14:14:00Z</dcterms:modified>
</cp:coreProperties>
</file>