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726" w:rsidRDefault="005D1AFC" w:rsidP="00994D35">
      <w:pPr>
        <w:jc w:val="center"/>
        <w:rPr>
          <w:rFonts w:ascii="Arial" w:hAnsi="Arial" w:cs="Arial"/>
          <w:b/>
          <w:bCs/>
          <w:sz w:val="24"/>
          <w:szCs w:val="24"/>
          <w:lang w:bidi="pl-PL"/>
        </w:rPr>
      </w:pPr>
      <w:bookmarkStart w:id="0" w:name="_GoBack"/>
      <w:bookmarkEnd w:id="0"/>
      <w:r w:rsidRPr="00DC4CF0">
        <w:rPr>
          <w:rFonts w:ascii="Arial" w:hAnsi="Arial" w:cs="Arial"/>
          <w:b/>
          <w:bCs/>
          <w:sz w:val="24"/>
          <w:szCs w:val="24"/>
          <w:lang w:bidi="pl-PL"/>
        </w:rPr>
        <w:t>Wydawanie</w:t>
      </w:r>
      <w:r w:rsidR="00897FF2" w:rsidRPr="00DC4CF0">
        <w:rPr>
          <w:rFonts w:ascii="Arial" w:hAnsi="Arial" w:cs="Arial"/>
          <w:b/>
          <w:bCs/>
          <w:sz w:val="24"/>
          <w:szCs w:val="24"/>
          <w:lang w:bidi="pl-PL"/>
        </w:rPr>
        <w:t xml:space="preserve"> zaświadczeń o samodzielności dla lokali o innym przeznaczeniu (tzw. lokali użytkowych)</w:t>
      </w:r>
    </w:p>
    <w:p w:rsidR="00AA0DD8" w:rsidRDefault="00AA0DD8" w:rsidP="00994D35">
      <w:pPr>
        <w:jc w:val="center"/>
        <w:rPr>
          <w:rFonts w:ascii="Arial" w:hAnsi="Arial" w:cs="Arial"/>
          <w:b/>
          <w:bCs/>
          <w:sz w:val="24"/>
          <w:szCs w:val="24"/>
          <w:lang w:bidi="pl-PL"/>
        </w:rPr>
      </w:pPr>
    </w:p>
    <w:p w:rsidR="00107DFA" w:rsidRPr="00DC4CF0" w:rsidRDefault="00DC535F" w:rsidP="00107DFA">
      <w:pPr>
        <w:jc w:val="both"/>
        <w:rPr>
          <w:rFonts w:ascii="Arial" w:hAnsi="Arial" w:cs="Arial"/>
          <w:bCs/>
          <w:sz w:val="24"/>
          <w:szCs w:val="24"/>
          <w:lang w:bidi="pl-PL"/>
        </w:rPr>
      </w:pPr>
      <w:r>
        <w:rPr>
          <w:rFonts w:ascii="Arial" w:hAnsi="Arial" w:cs="Arial"/>
          <w:bCs/>
          <w:sz w:val="24"/>
          <w:szCs w:val="24"/>
          <w:lang w:bidi="pl-PL"/>
        </w:rPr>
        <w:t>Ustawa</w:t>
      </w:r>
      <w:r w:rsidR="00107DFA" w:rsidRPr="00DC4CF0">
        <w:rPr>
          <w:rFonts w:ascii="Arial" w:hAnsi="Arial" w:cs="Arial"/>
          <w:bCs/>
          <w:sz w:val="24"/>
          <w:szCs w:val="24"/>
          <w:lang w:bidi="pl-PL"/>
        </w:rPr>
        <w:t xml:space="preserve"> z dnia 5 lipca 2018 r. o zmianie ustawy o własności lokali</w:t>
      </w:r>
      <w:r w:rsidR="00107DFA" w:rsidRPr="00DC4CF0">
        <w:rPr>
          <w:rFonts w:ascii="Arial" w:hAnsi="Arial" w:cs="Arial"/>
          <w:bCs/>
          <w:sz w:val="24"/>
          <w:szCs w:val="24"/>
          <w:vertAlign w:val="superscript"/>
          <w:lang w:bidi="pl-PL"/>
        </w:rPr>
        <w:footnoteReference w:id="1"/>
      </w:r>
      <w:r>
        <w:rPr>
          <w:rFonts w:ascii="Arial" w:hAnsi="Arial" w:cs="Arial"/>
          <w:bCs/>
          <w:sz w:val="24"/>
          <w:szCs w:val="24"/>
          <w:lang w:bidi="pl-PL"/>
        </w:rPr>
        <w:t>, doprecyzowuje</w:t>
      </w:r>
      <w:r w:rsidR="00107DFA" w:rsidRPr="00DC4CF0">
        <w:rPr>
          <w:rFonts w:ascii="Arial" w:hAnsi="Arial" w:cs="Arial"/>
          <w:bCs/>
          <w:sz w:val="24"/>
          <w:szCs w:val="24"/>
          <w:lang w:bidi="pl-PL"/>
        </w:rPr>
        <w:t xml:space="preserve"> przepis art. 2 ust. 1a, </w:t>
      </w:r>
      <w:r>
        <w:rPr>
          <w:rFonts w:ascii="Arial" w:hAnsi="Arial" w:cs="Arial"/>
          <w:bCs/>
          <w:sz w:val="24"/>
          <w:szCs w:val="24"/>
          <w:lang w:bidi="pl-PL"/>
        </w:rPr>
        <w:t xml:space="preserve">wskazując, że </w:t>
      </w:r>
      <w:r w:rsidR="00107DFA" w:rsidRPr="00DC4CF0">
        <w:rPr>
          <w:rFonts w:ascii="Arial" w:hAnsi="Arial" w:cs="Arial"/>
          <w:bCs/>
          <w:sz w:val="24"/>
          <w:szCs w:val="24"/>
          <w:lang w:bidi="pl-PL"/>
        </w:rPr>
        <w:t>znajduje</w:t>
      </w:r>
      <w:r>
        <w:rPr>
          <w:rFonts w:ascii="Arial" w:hAnsi="Arial" w:cs="Arial"/>
          <w:bCs/>
          <w:sz w:val="24"/>
          <w:szCs w:val="24"/>
          <w:lang w:bidi="pl-PL"/>
        </w:rPr>
        <w:t xml:space="preserve"> on</w:t>
      </w:r>
      <w:r w:rsidR="00107DFA" w:rsidRPr="00DC4CF0">
        <w:rPr>
          <w:rFonts w:ascii="Arial" w:hAnsi="Arial" w:cs="Arial"/>
          <w:bCs/>
          <w:sz w:val="24"/>
          <w:szCs w:val="24"/>
          <w:lang w:bidi="pl-PL"/>
        </w:rPr>
        <w:t xml:space="preserve"> zastosowanie do ustanawiania odrębnej własności samodzielnego lokalu (zarówno mieszkalnego, jak i o innym przeznaczeniu – użytkowego). </w:t>
      </w:r>
    </w:p>
    <w:p w:rsidR="00107DFA" w:rsidRPr="00994D35" w:rsidRDefault="00107DFA" w:rsidP="00107DFA">
      <w:pPr>
        <w:jc w:val="both"/>
        <w:rPr>
          <w:rFonts w:ascii="Arial" w:hAnsi="Arial" w:cs="Arial"/>
          <w:sz w:val="24"/>
          <w:szCs w:val="24"/>
        </w:rPr>
      </w:pPr>
      <w:r w:rsidRPr="00994D35">
        <w:rPr>
          <w:rFonts w:ascii="Arial" w:hAnsi="Arial" w:cs="Arial"/>
          <w:bCs/>
          <w:sz w:val="24"/>
          <w:szCs w:val="24"/>
          <w:lang w:bidi="pl-PL"/>
        </w:rPr>
        <w:t xml:space="preserve">Zgodnie z art. 2 ust. 1a </w:t>
      </w:r>
      <w:r w:rsidR="00041D0C" w:rsidRPr="00994D35">
        <w:rPr>
          <w:rFonts w:ascii="Arial" w:hAnsi="Arial" w:cs="Arial"/>
          <w:bCs/>
          <w:sz w:val="24"/>
          <w:szCs w:val="24"/>
          <w:lang w:bidi="pl-PL"/>
        </w:rPr>
        <w:t>ustawy</w:t>
      </w:r>
      <w:r w:rsidR="00994D35" w:rsidRPr="00994D35">
        <w:rPr>
          <w:rFonts w:ascii="Arial" w:hAnsi="Arial" w:cs="Arial"/>
          <w:bCs/>
          <w:sz w:val="24"/>
          <w:szCs w:val="24"/>
          <w:lang w:bidi="pl-PL"/>
        </w:rPr>
        <w:t xml:space="preserve"> </w:t>
      </w:r>
      <w:r w:rsidR="00994D35" w:rsidRPr="00994D35">
        <w:rPr>
          <w:rFonts w:ascii="Arial" w:eastAsia="Times New Roman" w:hAnsi="Arial" w:cs="Arial"/>
          <w:sz w:val="24"/>
          <w:szCs w:val="24"/>
          <w:lang w:eastAsia="pl-PL"/>
        </w:rPr>
        <w:t>z dnia 24 czerwca 1994 r. o własności lokali</w:t>
      </w:r>
      <w:r w:rsidR="009B251F">
        <w:rPr>
          <w:rStyle w:val="Odwoanieprzypisudolnego"/>
          <w:rFonts w:ascii="Arial" w:eastAsia="Times New Roman" w:hAnsi="Arial" w:cs="Arial"/>
          <w:sz w:val="24"/>
          <w:szCs w:val="24"/>
          <w:lang w:eastAsia="pl-PL"/>
        </w:rPr>
        <w:footnoteReference w:id="2"/>
      </w:r>
      <w:r w:rsidR="00994D35" w:rsidRPr="00994D35">
        <w:rPr>
          <w:rFonts w:ascii="Arial" w:hAnsi="Arial" w:cs="Arial"/>
          <w:sz w:val="24"/>
          <w:szCs w:val="24"/>
        </w:rPr>
        <w:t xml:space="preserve">, </w:t>
      </w:r>
      <w:r w:rsidR="00994D35">
        <w:rPr>
          <w:rFonts w:ascii="Arial" w:hAnsi="Arial" w:cs="Arial"/>
          <w:bCs/>
          <w:sz w:val="24"/>
          <w:szCs w:val="24"/>
          <w:lang w:bidi="pl-PL"/>
        </w:rPr>
        <w:t>zwanej</w:t>
      </w:r>
      <w:r w:rsidR="00041D0C" w:rsidRPr="00994D35">
        <w:rPr>
          <w:rFonts w:ascii="Arial" w:hAnsi="Arial" w:cs="Arial"/>
          <w:bCs/>
          <w:sz w:val="24"/>
          <w:szCs w:val="24"/>
          <w:lang w:bidi="pl-PL"/>
        </w:rPr>
        <w:t xml:space="preserve"> dalej: </w:t>
      </w:r>
      <w:proofErr w:type="spellStart"/>
      <w:r w:rsidR="00041D0C" w:rsidRPr="00994D35">
        <w:rPr>
          <w:rFonts w:ascii="Arial" w:hAnsi="Arial" w:cs="Arial"/>
          <w:bCs/>
          <w:sz w:val="24"/>
          <w:szCs w:val="24"/>
          <w:lang w:bidi="pl-PL"/>
        </w:rPr>
        <w:t>u.w.l</w:t>
      </w:r>
      <w:proofErr w:type="spellEnd"/>
      <w:r w:rsidR="00041D0C" w:rsidRPr="00994D35">
        <w:rPr>
          <w:rFonts w:ascii="Arial" w:hAnsi="Arial" w:cs="Arial"/>
          <w:bCs/>
          <w:sz w:val="24"/>
          <w:szCs w:val="24"/>
          <w:lang w:bidi="pl-PL"/>
        </w:rPr>
        <w:t>.</w:t>
      </w:r>
      <w:r w:rsidR="00994D35" w:rsidRPr="00994D35">
        <w:rPr>
          <w:rFonts w:ascii="Arial" w:hAnsi="Arial" w:cs="Arial"/>
          <w:bCs/>
          <w:sz w:val="24"/>
          <w:szCs w:val="24"/>
          <w:lang w:bidi="pl-PL"/>
        </w:rPr>
        <w:t xml:space="preserve">, </w:t>
      </w:r>
      <w:r w:rsidRPr="00994D35">
        <w:rPr>
          <w:rFonts w:ascii="Arial" w:hAnsi="Arial" w:cs="Arial"/>
          <w:sz w:val="24"/>
          <w:szCs w:val="24"/>
        </w:rPr>
        <w:t xml:space="preserve">ustanowienie odrębnej </w:t>
      </w:r>
      <w:bookmarkStart w:id="1" w:name="highlightHit_23"/>
      <w:bookmarkEnd w:id="1"/>
      <w:r w:rsidRPr="00994D35">
        <w:rPr>
          <w:rFonts w:ascii="Arial" w:hAnsi="Arial" w:cs="Arial"/>
          <w:sz w:val="24"/>
          <w:szCs w:val="24"/>
        </w:rPr>
        <w:t>własności samodzielnego lokalu następuje zgodnie z ustaleniami miejscowego planu zagospodarowania przest</w:t>
      </w:r>
      <w:r w:rsidR="005D1AFC" w:rsidRPr="00994D35">
        <w:rPr>
          <w:rFonts w:ascii="Arial" w:hAnsi="Arial" w:cs="Arial"/>
          <w:sz w:val="24"/>
          <w:szCs w:val="24"/>
        </w:rPr>
        <w:t>rzennego albo treścią decyzji o </w:t>
      </w:r>
      <w:r w:rsidR="00994D35">
        <w:rPr>
          <w:rFonts w:ascii="Arial" w:hAnsi="Arial" w:cs="Arial"/>
          <w:sz w:val="24"/>
          <w:szCs w:val="24"/>
        </w:rPr>
        <w:t>warunkach zabudowy i </w:t>
      </w:r>
      <w:r w:rsidRPr="00994D35">
        <w:rPr>
          <w:rFonts w:ascii="Arial" w:hAnsi="Arial" w:cs="Arial"/>
          <w:sz w:val="24"/>
          <w:szCs w:val="24"/>
        </w:rPr>
        <w:t>zagospodarowania terenu oraz zgodnie z pozwoleniem na budowę albo skutecznie dokonanym zgłoszeniem, i zgodnie z pozwoleniem na użytkowanie albo skutecznie dokonanym zawiadomieniem o zakończeniu budowy.</w:t>
      </w:r>
    </w:p>
    <w:p w:rsidR="00107DFA" w:rsidRPr="00DC4CF0" w:rsidRDefault="00107DFA" w:rsidP="00107DFA">
      <w:pPr>
        <w:jc w:val="both"/>
        <w:rPr>
          <w:rFonts w:ascii="Arial" w:hAnsi="Arial" w:cs="Arial"/>
          <w:bCs/>
          <w:sz w:val="24"/>
          <w:szCs w:val="24"/>
          <w:lang w:bidi="pl-PL"/>
        </w:rPr>
      </w:pPr>
      <w:r w:rsidRPr="00DC4CF0">
        <w:rPr>
          <w:rFonts w:ascii="Arial" w:hAnsi="Arial" w:cs="Arial"/>
          <w:bCs/>
          <w:sz w:val="24"/>
          <w:szCs w:val="24"/>
          <w:lang w:bidi="pl-PL"/>
        </w:rPr>
        <w:t xml:space="preserve">W związku z </w:t>
      </w:r>
      <w:r w:rsidR="00DC535F">
        <w:rPr>
          <w:rFonts w:ascii="Arial" w:hAnsi="Arial" w:cs="Arial"/>
          <w:bCs/>
          <w:sz w:val="24"/>
          <w:szCs w:val="24"/>
          <w:lang w:bidi="pl-PL"/>
        </w:rPr>
        <w:t xml:space="preserve">art. 2 </w:t>
      </w:r>
      <w:r w:rsidRPr="00DC4CF0">
        <w:rPr>
          <w:rFonts w:ascii="Arial" w:hAnsi="Arial" w:cs="Arial"/>
          <w:bCs/>
          <w:sz w:val="24"/>
          <w:szCs w:val="24"/>
          <w:lang w:bidi="pl-PL"/>
        </w:rPr>
        <w:t xml:space="preserve">ust. 1b </w:t>
      </w:r>
      <w:proofErr w:type="spellStart"/>
      <w:r w:rsidRPr="00DC4CF0">
        <w:rPr>
          <w:rFonts w:ascii="Arial" w:hAnsi="Arial" w:cs="Arial"/>
          <w:bCs/>
          <w:sz w:val="24"/>
          <w:szCs w:val="24"/>
          <w:lang w:bidi="pl-PL"/>
        </w:rPr>
        <w:t>u.w.l</w:t>
      </w:r>
      <w:proofErr w:type="spellEnd"/>
      <w:r w:rsidRPr="00DC4CF0">
        <w:rPr>
          <w:rFonts w:ascii="Arial" w:hAnsi="Arial" w:cs="Arial"/>
          <w:bCs/>
          <w:sz w:val="24"/>
          <w:szCs w:val="24"/>
          <w:lang w:bidi="pl-PL"/>
        </w:rPr>
        <w:t>., w brzmieniu nadanym</w:t>
      </w:r>
      <w:r w:rsidR="00357BE5">
        <w:rPr>
          <w:rFonts w:ascii="Arial" w:hAnsi="Arial" w:cs="Arial"/>
          <w:bCs/>
          <w:sz w:val="24"/>
          <w:szCs w:val="24"/>
          <w:lang w:bidi="pl-PL"/>
        </w:rPr>
        <w:t xml:space="preserve"> nowelizacją</w:t>
      </w:r>
      <w:r w:rsidRPr="00DC4CF0">
        <w:rPr>
          <w:rFonts w:ascii="Arial" w:hAnsi="Arial" w:cs="Arial"/>
          <w:bCs/>
          <w:sz w:val="24"/>
          <w:szCs w:val="24"/>
          <w:lang w:bidi="pl-PL"/>
        </w:rPr>
        <w:t>, obowiązek badania przesłanek zgodności planowanego wyd</w:t>
      </w:r>
      <w:r w:rsidR="00DC4CF0">
        <w:rPr>
          <w:rFonts w:ascii="Arial" w:hAnsi="Arial" w:cs="Arial"/>
          <w:bCs/>
          <w:sz w:val="24"/>
          <w:szCs w:val="24"/>
          <w:lang w:bidi="pl-PL"/>
        </w:rPr>
        <w:t>zielenia samodzielnego lokalu z </w:t>
      </w:r>
      <w:r w:rsidRPr="00DC4CF0">
        <w:rPr>
          <w:rFonts w:ascii="Arial" w:hAnsi="Arial" w:cs="Arial"/>
          <w:bCs/>
          <w:sz w:val="24"/>
          <w:szCs w:val="24"/>
          <w:lang w:bidi="pl-PL"/>
        </w:rPr>
        <w:t>dokumentami z zakresu planowania przestrzennego i budownictwa:</w:t>
      </w:r>
    </w:p>
    <w:p w:rsidR="00107DFA" w:rsidRPr="00DC4CF0" w:rsidRDefault="00107DFA" w:rsidP="00107DFA">
      <w:pPr>
        <w:numPr>
          <w:ilvl w:val="0"/>
          <w:numId w:val="1"/>
        </w:numPr>
        <w:jc w:val="both"/>
        <w:rPr>
          <w:rFonts w:ascii="Arial" w:hAnsi="Arial" w:cs="Arial"/>
          <w:bCs/>
          <w:sz w:val="24"/>
          <w:szCs w:val="24"/>
          <w:lang w:bidi="pl-PL"/>
        </w:rPr>
      </w:pPr>
      <w:r w:rsidRPr="00DC4CF0">
        <w:rPr>
          <w:rFonts w:ascii="Arial" w:hAnsi="Arial" w:cs="Arial"/>
          <w:bCs/>
          <w:sz w:val="24"/>
          <w:szCs w:val="24"/>
          <w:lang w:bidi="pl-PL"/>
        </w:rPr>
        <w:t>ustaleniami miejscowego planu zagospodarowania przestrzennego albo treścią decyzji</w:t>
      </w:r>
      <w:bookmarkStart w:id="2" w:name="highlightHit_21"/>
      <w:bookmarkEnd w:id="2"/>
      <w:r w:rsidR="005D1AFC" w:rsidRPr="00DC4CF0">
        <w:rPr>
          <w:rFonts w:ascii="Arial" w:hAnsi="Arial" w:cs="Arial"/>
          <w:bCs/>
          <w:sz w:val="24"/>
          <w:szCs w:val="24"/>
          <w:lang w:bidi="pl-PL"/>
        </w:rPr>
        <w:t xml:space="preserve"> o </w:t>
      </w:r>
      <w:r w:rsidRPr="00DC4CF0">
        <w:rPr>
          <w:rFonts w:ascii="Arial" w:hAnsi="Arial" w:cs="Arial"/>
          <w:bCs/>
          <w:sz w:val="24"/>
          <w:szCs w:val="24"/>
          <w:lang w:bidi="pl-PL"/>
        </w:rPr>
        <w:t>warunkach zabudowy i zagospodarowania terenu,</w:t>
      </w:r>
    </w:p>
    <w:p w:rsidR="00107DFA" w:rsidRPr="00DC4CF0" w:rsidRDefault="00107DFA" w:rsidP="00107DFA">
      <w:pPr>
        <w:numPr>
          <w:ilvl w:val="0"/>
          <w:numId w:val="1"/>
        </w:numPr>
        <w:jc w:val="both"/>
        <w:rPr>
          <w:rFonts w:ascii="Arial" w:hAnsi="Arial" w:cs="Arial"/>
          <w:bCs/>
          <w:sz w:val="24"/>
          <w:szCs w:val="24"/>
          <w:lang w:bidi="pl-PL"/>
        </w:rPr>
      </w:pPr>
      <w:r w:rsidRPr="00DC4CF0">
        <w:rPr>
          <w:rFonts w:ascii="Arial" w:hAnsi="Arial" w:cs="Arial"/>
          <w:bCs/>
          <w:sz w:val="24"/>
          <w:szCs w:val="24"/>
          <w:lang w:bidi="pl-PL"/>
        </w:rPr>
        <w:t>pozwoleniem na budowę albo skutecznie dokonanym zgłoszeniem,</w:t>
      </w:r>
    </w:p>
    <w:p w:rsidR="00107DFA" w:rsidRPr="00DC4CF0" w:rsidRDefault="00107DFA" w:rsidP="00107DFA">
      <w:pPr>
        <w:numPr>
          <w:ilvl w:val="0"/>
          <w:numId w:val="1"/>
        </w:numPr>
        <w:jc w:val="both"/>
        <w:rPr>
          <w:rFonts w:ascii="Arial" w:hAnsi="Arial" w:cs="Arial"/>
          <w:bCs/>
          <w:sz w:val="24"/>
          <w:szCs w:val="24"/>
          <w:lang w:bidi="pl-PL"/>
        </w:rPr>
      </w:pPr>
      <w:r w:rsidRPr="00DC4CF0">
        <w:rPr>
          <w:rFonts w:ascii="Arial" w:hAnsi="Arial" w:cs="Arial"/>
          <w:bCs/>
          <w:sz w:val="24"/>
          <w:szCs w:val="24"/>
          <w:lang w:bidi="pl-PL"/>
        </w:rPr>
        <w:t>pozwoleniem na użytkowanie albo skutecznie dokonanym zawiadomieniem o zakończeniu budowy.</w:t>
      </w:r>
    </w:p>
    <w:p w:rsidR="00107DFA" w:rsidRPr="00994D35" w:rsidRDefault="00107DFA" w:rsidP="00107DFA">
      <w:pPr>
        <w:jc w:val="both"/>
        <w:rPr>
          <w:rFonts w:ascii="Arial" w:hAnsi="Arial" w:cs="Arial"/>
          <w:bCs/>
          <w:sz w:val="24"/>
          <w:szCs w:val="24"/>
          <w:lang w:bidi="pl-PL"/>
        </w:rPr>
      </w:pPr>
      <w:r w:rsidRPr="00DC4CF0">
        <w:rPr>
          <w:rFonts w:ascii="Arial" w:hAnsi="Arial" w:cs="Arial"/>
          <w:bCs/>
          <w:sz w:val="24"/>
          <w:szCs w:val="24"/>
          <w:lang w:bidi="pl-PL"/>
        </w:rPr>
        <w:t xml:space="preserve">- </w:t>
      </w:r>
      <w:r w:rsidR="00CA5C32">
        <w:rPr>
          <w:rFonts w:ascii="Arial" w:hAnsi="Arial" w:cs="Arial"/>
          <w:bCs/>
          <w:sz w:val="24"/>
          <w:szCs w:val="24"/>
          <w:lang w:bidi="pl-PL"/>
        </w:rPr>
        <w:t xml:space="preserve">nie dotyczy </w:t>
      </w:r>
      <w:r w:rsidRPr="00DC4CF0">
        <w:rPr>
          <w:rFonts w:ascii="Arial" w:hAnsi="Arial" w:cs="Arial"/>
          <w:bCs/>
          <w:sz w:val="24"/>
          <w:szCs w:val="24"/>
          <w:lang w:bidi="pl-PL"/>
        </w:rPr>
        <w:t xml:space="preserve">budynków </w:t>
      </w:r>
      <w:r w:rsidR="00FC2471" w:rsidRPr="00994D35">
        <w:rPr>
          <w:rFonts w:ascii="Arial" w:hAnsi="Arial" w:cs="Arial"/>
          <w:bCs/>
          <w:sz w:val="24"/>
          <w:szCs w:val="24"/>
          <w:lang w:bidi="pl-PL"/>
        </w:rPr>
        <w:t>istniejąc</w:t>
      </w:r>
      <w:r w:rsidR="003374E0" w:rsidRPr="00994D35">
        <w:rPr>
          <w:rFonts w:ascii="Arial" w:hAnsi="Arial" w:cs="Arial"/>
          <w:bCs/>
          <w:sz w:val="24"/>
          <w:szCs w:val="24"/>
          <w:lang w:bidi="pl-PL"/>
        </w:rPr>
        <w:t>ych</w:t>
      </w:r>
      <w:r w:rsidR="00FC2471" w:rsidRPr="00994D35">
        <w:rPr>
          <w:rFonts w:ascii="Arial" w:hAnsi="Arial" w:cs="Arial"/>
          <w:bCs/>
          <w:sz w:val="24"/>
          <w:szCs w:val="24"/>
          <w:lang w:bidi="pl-PL"/>
        </w:rPr>
        <w:t xml:space="preserve"> przed</w:t>
      </w:r>
      <w:r w:rsidRPr="00994D35">
        <w:rPr>
          <w:rFonts w:ascii="Arial" w:hAnsi="Arial" w:cs="Arial"/>
          <w:bCs/>
          <w:sz w:val="24"/>
          <w:szCs w:val="24"/>
          <w:lang w:bidi="pl-PL"/>
        </w:rPr>
        <w:t xml:space="preserve"> dni</w:t>
      </w:r>
      <w:r w:rsidR="00FC2471" w:rsidRPr="00994D35">
        <w:rPr>
          <w:rFonts w:ascii="Arial" w:hAnsi="Arial" w:cs="Arial"/>
          <w:bCs/>
          <w:sz w:val="24"/>
          <w:szCs w:val="24"/>
          <w:lang w:bidi="pl-PL"/>
        </w:rPr>
        <w:t>em</w:t>
      </w:r>
      <w:r w:rsidRPr="00994D35">
        <w:rPr>
          <w:rFonts w:ascii="Arial" w:hAnsi="Arial" w:cs="Arial"/>
          <w:bCs/>
          <w:sz w:val="24"/>
          <w:szCs w:val="24"/>
          <w:lang w:bidi="pl-PL"/>
        </w:rPr>
        <w:t xml:space="preserve"> 1 stycznia 1995 r. lub wybudowanych na podstawie </w:t>
      </w:r>
      <w:r w:rsidR="00CA5C32">
        <w:rPr>
          <w:rFonts w:ascii="Arial" w:hAnsi="Arial" w:cs="Arial"/>
          <w:bCs/>
          <w:sz w:val="24"/>
          <w:szCs w:val="24"/>
          <w:lang w:bidi="pl-PL"/>
        </w:rPr>
        <w:t>pozwolenia na budowę wydanego przed tą</w:t>
      </w:r>
      <w:r w:rsidRPr="00994D35">
        <w:rPr>
          <w:rFonts w:ascii="Arial" w:hAnsi="Arial" w:cs="Arial"/>
          <w:bCs/>
          <w:sz w:val="24"/>
          <w:szCs w:val="24"/>
          <w:lang w:bidi="pl-PL"/>
        </w:rPr>
        <w:t xml:space="preserve"> d</w:t>
      </w:r>
      <w:r w:rsidR="00CA5C32">
        <w:rPr>
          <w:rFonts w:ascii="Arial" w:hAnsi="Arial" w:cs="Arial"/>
          <w:bCs/>
          <w:sz w:val="24"/>
          <w:szCs w:val="24"/>
          <w:lang w:bidi="pl-PL"/>
        </w:rPr>
        <w:t>atą</w:t>
      </w:r>
      <w:r w:rsidRPr="00994D35">
        <w:rPr>
          <w:rFonts w:ascii="Arial" w:hAnsi="Arial" w:cs="Arial"/>
          <w:bCs/>
          <w:sz w:val="24"/>
          <w:szCs w:val="24"/>
          <w:lang w:bidi="pl-PL"/>
        </w:rPr>
        <w:t xml:space="preserve">. </w:t>
      </w:r>
    </w:p>
    <w:p w:rsidR="00411EB5" w:rsidRDefault="00107DFA" w:rsidP="00107DFA">
      <w:pPr>
        <w:jc w:val="both"/>
        <w:rPr>
          <w:rFonts w:ascii="Arial" w:hAnsi="Arial" w:cs="Arial"/>
          <w:sz w:val="24"/>
          <w:szCs w:val="24"/>
        </w:rPr>
      </w:pPr>
      <w:r w:rsidRPr="00994D35">
        <w:rPr>
          <w:rFonts w:ascii="Arial" w:hAnsi="Arial" w:cs="Arial"/>
          <w:sz w:val="24"/>
          <w:szCs w:val="24"/>
        </w:rPr>
        <w:t>Oznacza to, iż obowiązek badania przez starostę przesłanek zgodności planowanego wydzielania lokalu (zarówno mi</w:t>
      </w:r>
      <w:r w:rsidR="00DC4CF0" w:rsidRPr="00994D35">
        <w:rPr>
          <w:rFonts w:ascii="Arial" w:hAnsi="Arial" w:cs="Arial"/>
          <w:sz w:val="24"/>
          <w:szCs w:val="24"/>
        </w:rPr>
        <w:t>eszkalnego, jak i użytkowego) z </w:t>
      </w:r>
      <w:r w:rsidRPr="00994D35">
        <w:rPr>
          <w:rFonts w:ascii="Arial" w:hAnsi="Arial" w:cs="Arial"/>
          <w:sz w:val="24"/>
          <w:szCs w:val="24"/>
        </w:rPr>
        <w:t xml:space="preserve">dokumentami z zakresu planowania przestrzennego i budownictwa, będzie </w:t>
      </w:r>
      <w:r w:rsidR="00CA5C32">
        <w:rPr>
          <w:rFonts w:ascii="Arial" w:hAnsi="Arial" w:cs="Arial"/>
          <w:sz w:val="24"/>
          <w:szCs w:val="24"/>
        </w:rPr>
        <w:t xml:space="preserve">dotyczył </w:t>
      </w:r>
      <w:r w:rsidR="004620BF">
        <w:rPr>
          <w:rFonts w:ascii="Arial" w:hAnsi="Arial" w:cs="Arial"/>
          <w:sz w:val="24"/>
          <w:szCs w:val="24"/>
        </w:rPr>
        <w:t>wszystkich budynków, z</w:t>
      </w:r>
      <w:r w:rsidR="00411EB5">
        <w:rPr>
          <w:rFonts w:ascii="Arial" w:hAnsi="Arial" w:cs="Arial"/>
          <w:sz w:val="24"/>
          <w:szCs w:val="24"/>
        </w:rPr>
        <w:t xml:space="preserve"> wyjątkiem budynków </w:t>
      </w:r>
      <w:r w:rsidR="00411EB5" w:rsidRPr="00411EB5">
        <w:rPr>
          <w:rFonts w:ascii="Arial" w:hAnsi="Arial" w:cs="Arial"/>
          <w:sz w:val="24"/>
          <w:szCs w:val="24"/>
        </w:rPr>
        <w:t>istniejących przed dniem 1 stycznia 1995 r. lub wybudowanych na podstawie pozwolenia na budowę wydanego przed tą datą.</w:t>
      </w:r>
    </w:p>
    <w:p w:rsidR="00107DFA" w:rsidRPr="00DC4CF0" w:rsidRDefault="004620BF" w:rsidP="00107DFA">
      <w:pPr>
        <w:jc w:val="both"/>
        <w:rPr>
          <w:rFonts w:ascii="Arial" w:hAnsi="Arial" w:cs="Arial"/>
          <w:sz w:val="24"/>
          <w:szCs w:val="24"/>
        </w:rPr>
      </w:pPr>
      <w:r>
        <w:rPr>
          <w:rFonts w:ascii="Arial" w:hAnsi="Arial" w:cs="Arial"/>
          <w:sz w:val="24"/>
          <w:szCs w:val="24"/>
        </w:rPr>
        <w:t xml:space="preserve">Jednocześnie, </w:t>
      </w:r>
      <w:r w:rsidR="00107DFA" w:rsidRPr="00DC4CF0">
        <w:rPr>
          <w:rFonts w:ascii="Arial" w:hAnsi="Arial" w:cs="Arial"/>
          <w:sz w:val="24"/>
          <w:szCs w:val="24"/>
        </w:rPr>
        <w:t xml:space="preserve">zgodnie z art. 2 ust. 1 </w:t>
      </w:r>
      <w:proofErr w:type="spellStart"/>
      <w:r w:rsidR="00107DFA" w:rsidRPr="00DC4CF0">
        <w:rPr>
          <w:rFonts w:ascii="Arial" w:hAnsi="Arial" w:cs="Arial"/>
          <w:sz w:val="24"/>
          <w:szCs w:val="24"/>
        </w:rPr>
        <w:t>u.w.l</w:t>
      </w:r>
      <w:proofErr w:type="spellEnd"/>
      <w:r w:rsidR="00107DFA" w:rsidRPr="00DC4CF0">
        <w:rPr>
          <w:rFonts w:ascii="Arial" w:hAnsi="Arial" w:cs="Arial"/>
          <w:sz w:val="24"/>
          <w:szCs w:val="24"/>
        </w:rPr>
        <w:t>., samodzielny lo</w:t>
      </w:r>
      <w:r w:rsidR="005D1AFC" w:rsidRPr="00DC4CF0">
        <w:rPr>
          <w:rFonts w:ascii="Arial" w:hAnsi="Arial" w:cs="Arial"/>
          <w:sz w:val="24"/>
          <w:szCs w:val="24"/>
        </w:rPr>
        <w:t>kal mieszkalny, a także lokal o</w:t>
      </w:r>
      <w:r w:rsidR="003374E0">
        <w:rPr>
          <w:rFonts w:ascii="Arial" w:hAnsi="Arial" w:cs="Arial"/>
          <w:sz w:val="24"/>
          <w:szCs w:val="24"/>
        </w:rPr>
        <w:t xml:space="preserve"> </w:t>
      </w:r>
      <w:r w:rsidR="00107DFA" w:rsidRPr="00DC4CF0">
        <w:rPr>
          <w:rFonts w:ascii="Arial" w:hAnsi="Arial" w:cs="Arial"/>
          <w:sz w:val="24"/>
          <w:szCs w:val="24"/>
        </w:rPr>
        <w:t xml:space="preserve">innym przeznaczeniu (tzw. lokal użytkowy), mogą stanowić odrębne nieruchomości. Samodzielność stanowi zatem warunek, jaki bezwzględnie musi spełniać lokal, aby mógł stać się odrębną nieruchomością. Zamierzeniem ustawodawcy było stworzenie pojęcia samodzielności lokalu umożliwiającego </w:t>
      </w:r>
      <w:r w:rsidR="00107DFA" w:rsidRPr="00DC4CF0">
        <w:rPr>
          <w:rFonts w:ascii="Arial" w:hAnsi="Arial" w:cs="Arial"/>
          <w:sz w:val="24"/>
          <w:szCs w:val="24"/>
        </w:rPr>
        <w:lastRenderedPageBreak/>
        <w:t>wyodrębnienie takiej nieruchomośc</w:t>
      </w:r>
      <w:r w:rsidR="00DC4CF0">
        <w:rPr>
          <w:rFonts w:ascii="Arial" w:hAnsi="Arial" w:cs="Arial"/>
          <w:sz w:val="24"/>
          <w:szCs w:val="24"/>
        </w:rPr>
        <w:t>i, która zapewnia korzystanie z </w:t>
      </w:r>
      <w:r w:rsidR="00013DDE">
        <w:rPr>
          <w:rFonts w:ascii="Arial" w:hAnsi="Arial" w:cs="Arial"/>
          <w:sz w:val="24"/>
          <w:szCs w:val="24"/>
        </w:rPr>
        <w:t>prawa własności w </w:t>
      </w:r>
      <w:r w:rsidR="00107DFA" w:rsidRPr="00DC4CF0">
        <w:rPr>
          <w:rFonts w:ascii="Arial" w:hAnsi="Arial" w:cs="Arial"/>
          <w:sz w:val="24"/>
          <w:szCs w:val="24"/>
        </w:rPr>
        <w:t xml:space="preserve">sposób nieograniczony. </w:t>
      </w:r>
    </w:p>
    <w:p w:rsidR="00107DFA" w:rsidRPr="00DC4CF0" w:rsidRDefault="00107DFA" w:rsidP="00107DFA">
      <w:pPr>
        <w:jc w:val="both"/>
        <w:rPr>
          <w:rFonts w:ascii="Arial" w:hAnsi="Arial" w:cs="Arial"/>
          <w:sz w:val="24"/>
          <w:szCs w:val="24"/>
        </w:rPr>
      </w:pPr>
      <w:r w:rsidRPr="00DC4CF0">
        <w:rPr>
          <w:rFonts w:ascii="Arial" w:hAnsi="Arial" w:cs="Arial"/>
          <w:sz w:val="24"/>
          <w:szCs w:val="24"/>
        </w:rPr>
        <w:t xml:space="preserve">Przepis art. 2 ust. 2 </w:t>
      </w:r>
      <w:proofErr w:type="spellStart"/>
      <w:r w:rsidRPr="00DC4CF0">
        <w:rPr>
          <w:rFonts w:ascii="Arial" w:hAnsi="Arial" w:cs="Arial"/>
          <w:sz w:val="24"/>
          <w:szCs w:val="24"/>
        </w:rPr>
        <w:t>u.w.l</w:t>
      </w:r>
      <w:proofErr w:type="spellEnd"/>
      <w:r w:rsidRPr="00DC4CF0">
        <w:rPr>
          <w:rFonts w:ascii="Arial" w:hAnsi="Arial" w:cs="Arial"/>
          <w:sz w:val="24"/>
          <w:szCs w:val="24"/>
        </w:rPr>
        <w:t>. zawiera definicję „samodzielnego lokalu mieszkalnego”, którym w rozumieniu ustawy jest wydzielona trwałymi ścianami w obrębie budynku izba lub zespół izb przeznaczonych na stały pobyt ludzi, które wraz z pomieszczeniami pomocniczymi służą zaspokajaniu ich potrzeb mieszkaniowych. Przepis ten stosuje się odpowiednio również do samodzielnych lokali wykorzystywanych zgodnie z przeznaczeniem na cele inne niż mieszkalne. Przywołany przepis wskazuje jednoznacznie, że kryterium decydującym o możliwości wyodrębnienia lokalu jest jego samodzielność. Lokal posiada cechę samodzielności, o ile funkcjonalnie nie stanowi on części składowej</w:t>
      </w:r>
      <w:r w:rsidR="00DC4CF0">
        <w:rPr>
          <w:rFonts w:ascii="Arial" w:hAnsi="Arial" w:cs="Arial"/>
          <w:sz w:val="24"/>
          <w:szCs w:val="24"/>
        </w:rPr>
        <w:t xml:space="preserve"> innego lokalu, a korzystanie z </w:t>
      </w:r>
      <w:r w:rsidRPr="00DC4CF0">
        <w:rPr>
          <w:rFonts w:ascii="Arial" w:hAnsi="Arial" w:cs="Arial"/>
          <w:sz w:val="24"/>
          <w:szCs w:val="24"/>
        </w:rPr>
        <w:t>niego nie wiąże si</w:t>
      </w:r>
      <w:r w:rsidR="005D1AFC" w:rsidRPr="00DC4CF0">
        <w:rPr>
          <w:rFonts w:ascii="Arial" w:hAnsi="Arial" w:cs="Arial"/>
          <w:sz w:val="24"/>
          <w:szCs w:val="24"/>
        </w:rPr>
        <w:t>ę z koniecznością korzystania z </w:t>
      </w:r>
      <w:r w:rsidRPr="00DC4CF0">
        <w:rPr>
          <w:rFonts w:ascii="Arial" w:hAnsi="Arial" w:cs="Arial"/>
          <w:sz w:val="24"/>
          <w:szCs w:val="24"/>
        </w:rPr>
        <w:t>pom</w:t>
      </w:r>
      <w:r w:rsidR="00DC4CF0">
        <w:rPr>
          <w:rFonts w:ascii="Arial" w:hAnsi="Arial" w:cs="Arial"/>
          <w:sz w:val="24"/>
          <w:szCs w:val="24"/>
        </w:rPr>
        <w:t>ieszczeń znajdujących się w </w:t>
      </w:r>
      <w:r w:rsidRPr="00DC4CF0">
        <w:rPr>
          <w:rFonts w:ascii="Arial" w:hAnsi="Arial" w:cs="Arial"/>
          <w:sz w:val="24"/>
          <w:szCs w:val="24"/>
        </w:rPr>
        <w:t xml:space="preserve">innym lokalu. O tym, czy dany lokal może być uznany za samodzielny, decyduje jego wydzielenie trwałymi ścianami, swobodny dostęp do niego właściciela i możliwość korzystania z niego bez wymogu korzystania z innych samodzielnych lokali. </w:t>
      </w:r>
    </w:p>
    <w:p w:rsidR="00107DFA" w:rsidRPr="00DC4CF0" w:rsidRDefault="00107DFA" w:rsidP="00107DFA">
      <w:pPr>
        <w:jc w:val="both"/>
        <w:rPr>
          <w:rFonts w:ascii="Arial" w:hAnsi="Arial" w:cs="Arial"/>
          <w:sz w:val="24"/>
          <w:szCs w:val="24"/>
        </w:rPr>
      </w:pPr>
      <w:r w:rsidRPr="00DC4CF0">
        <w:rPr>
          <w:rFonts w:ascii="Arial" w:hAnsi="Arial" w:cs="Arial"/>
          <w:sz w:val="24"/>
          <w:szCs w:val="24"/>
        </w:rPr>
        <w:t xml:space="preserve">Należy ponadto zauważyć, iż z definicją samodzielnego lokalu mieszkalnego określoną w art. 2 ust. 2 </w:t>
      </w:r>
      <w:proofErr w:type="spellStart"/>
      <w:r w:rsidRPr="00DC4CF0">
        <w:rPr>
          <w:rFonts w:ascii="Arial" w:hAnsi="Arial" w:cs="Arial"/>
          <w:sz w:val="24"/>
          <w:szCs w:val="24"/>
        </w:rPr>
        <w:t>u.w.l</w:t>
      </w:r>
      <w:proofErr w:type="spellEnd"/>
      <w:r w:rsidRPr="00DC4CF0">
        <w:rPr>
          <w:rFonts w:ascii="Arial" w:hAnsi="Arial" w:cs="Arial"/>
          <w:sz w:val="24"/>
          <w:szCs w:val="24"/>
        </w:rPr>
        <w:t>. koresponduje definicja mieszkania zawarta w § 3 pkt 9 rozporząd</w:t>
      </w:r>
      <w:r w:rsidR="005D1AFC" w:rsidRPr="00DC4CF0">
        <w:rPr>
          <w:rFonts w:ascii="Arial" w:hAnsi="Arial" w:cs="Arial"/>
          <w:sz w:val="24"/>
          <w:szCs w:val="24"/>
        </w:rPr>
        <w:t>zenia Ministra Infrastruktury z </w:t>
      </w:r>
      <w:r w:rsidRPr="00DC4CF0">
        <w:rPr>
          <w:rFonts w:ascii="Arial" w:hAnsi="Arial" w:cs="Arial"/>
          <w:sz w:val="24"/>
          <w:szCs w:val="24"/>
        </w:rPr>
        <w:t>dnia 12</w:t>
      </w:r>
      <w:r w:rsidR="00A76546">
        <w:rPr>
          <w:rFonts w:ascii="Arial" w:hAnsi="Arial" w:cs="Arial"/>
          <w:sz w:val="24"/>
          <w:szCs w:val="24"/>
        </w:rPr>
        <w:t xml:space="preserve"> </w:t>
      </w:r>
      <w:r w:rsidRPr="00DC4CF0">
        <w:rPr>
          <w:rFonts w:ascii="Arial" w:hAnsi="Arial" w:cs="Arial"/>
          <w:sz w:val="24"/>
          <w:szCs w:val="24"/>
        </w:rPr>
        <w:t>kwietnia 2002 r. w sprawie warunków technicznych, jakim powinny odpowiadać budynki i ich usytuowanie</w:t>
      </w:r>
      <w:r w:rsidRPr="00DC4CF0">
        <w:rPr>
          <w:rFonts w:ascii="Arial" w:hAnsi="Arial" w:cs="Arial"/>
          <w:sz w:val="24"/>
          <w:szCs w:val="24"/>
          <w:vertAlign w:val="superscript"/>
        </w:rPr>
        <w:footnoteReference w:id="3"/>
      </w:r>
      <w:r w:rsidRPr="00DC4CF0">
        <w:rPr>
          <w:rFonts w:ascii="Arial" w:hAnsi="Arial" w:cs="Arial"/>
          <w:sz w:val="24"/>
          <w:szCs w:val="24"/>
        </w:rPr>
        <w:t xml:space="preserve">, </w:t>
      </w:r>
      <w:r w:rsidR="00956AF5">
        <w:rPr>
          <w:rFonts w:ascii="Arial" w:hAnsi="Arial" w:cs="Arial"/>
          <w:sz w:val="24"/>
          <w:szCs w:val="24"/>
        </w:rPr>
        <w:t xml:space="preserve">zwanym </w:t>
      </w:r>
      <w:r w:rsidRPr="00DC4CF0">
        <w:rPr>
          <w:rFonts w:ascii="Arial" w:hAnsi="Arial" w:cs="Arial"/>
          <w:sz w:val="24"/>
          <w:szCs w:val="24"/>
        </w:rPr>
        <w:t>dalej</w:t>
      </w:r>
      <w:r w:rsidR="00956AF5">
        <w:rPr>
          <w:rFonts w:ascii="Arial" w:hAnsi="Arial" w:cs="Arial"/>
          <w:sz w:val="24"/>
          <w:szCs w:val="24"/>
        </w:rPr>
        <w:t>:</w:t>
      </w:r>
      <w:r w:rsidRPr="00DC4CF0">
        <w:rPr>
          <w:rFonts w:ascii="Arial" w:hAnsi="Arial" w:cs="Arial"/>
          <w:sz w:val="24"/>
          <w:szCs w:val="24"/>
        </w:rPr>
        <w:t xml:space="preserve"> „rozporządzenie WT”. Zgodnie z brzmieniem rozporządzenia WT pod pojęciem mieszkania rozumie się zespół pomieszczeń mieszkalnych i pomocniczych, mający odrębne wejście, wydzielony s</w:t>
      </w:r>
      <w:r w:rsidR="00956AF5">
        <w:rPr>
          <w:rFonts w:ascii="Arial" w:hAnsi="Arial" w:cs="Arial"/>
          <w:sz w:val="24"/>
          <w:szCs w:val="24"/>
        </w:rPr>
        <w:t xml:space="preserve">tałymi przegrodami budowlanymi, </w:t>
      </w:r>
      <w:r w:rsidRPr="00DC4CF0">
        <w:rPr>
          <w:rFonts w:ascii="Arial" w:hAnsi="Arial" w:cs="Arial"/>
          <w:sz w:val="24"/>
          <w:szCs w:val="24"/>
        </w:rPr>
        <w:t>um</w:t>
      </w:r>
      <w:r w:rsidR="00956AF5">
        <w:rPr>
          <w:rFonts w:ascii="Arial" w:hAnsi="Arial" w:cs="Arial"/>
          <w:sz w:val="24"/>
          <w:szCs w:val="24"/>
        </w:rPr>
        <w:t xml:space="preserve">ożliwiający stały pobyt ludzi i </w:t>
      </w:r>
      <w:r w:rsidRPr="00DC4CF0">
        <w:rPr>
          <w:rFonts w:ascii="Arial" w:hAnsi="Arial" w:cs="Arial"/>
          <w:sz w:val="24"/>
          <w:szCs w:val="24"/>
        </w:rPr>
        <w:t>prowadzenie samodzielnego gospodarstwa</w:t>
      </w:r>
      <w:r w:rsidR="00956AF5">
        <w:rPr>
          <w:rFonts w:ascii="Arial" w:hAnsi="Arial" w:cs="Arial"/>
          <w:sz w:val="24"/>
          <w:szCs w:val="24"/>
        </w:rPr>
        <w:t xml:space="preserve"> </w:t>
      </w:r>
      <w:r w:rsidRPr="00DC4CF0">
        <w:rPr>
          <w:rFonts w:ascii="Arial" w:hAnsi="Arial" w:cs="Arial"/>
          <w:sz w:val="24"/>
          <w:szCs w:val="24"/>
        </w:rPr>
        <w:t>domowego. Definicja lokalu użytkowego została określona w § 3 pkt 14 rozporządzenia WT, przez który należy rozumieć jedno pomieszczenie lub zespół pomieszczeń, wydzielone stałymi przegrodami budowlanymi, niebędące mieszkaniem, pomieszczeniem technicznym albo pomieszczeniem gospodarczym. Definicje ustanowione w rozporządzeniu WT wypełniają zatem postulat racjonalności ustawoda</w:t>
      </w:r>
      <w:r w:rsidR="00DC4CF0">
        <w:rPr>
          <w:rFonts w:ascii="Arial" w:hAnsi="Arial" w:cs="Arial"/>
          <w:sz w:val="24"/>
          <w:szCs w:val="24"/>
        </w:rPr>
        <w:t>wcy, który tym samym pojęciom w</w:t>
      </w:r>
      <w:r w:rsidR="00956AF5">
        <w:rPr>
          <w:rFonts w:ascii="Arial" w:hAnsi="Arial" w:cs="Arial"/>
          <w:sz w:val="24"/>
          <w:szCs w:val="24"/>
        </w:rPr>
        <w:t xml:space="preserve"> </w:t>
      </w:r>
      <w:r w:rsidRPr="00DC4CF0">
        <w:rPr>
          <w:rFonts w:ascii="Arial" w:hAnsi="Arial" w:cs="Arial"/>
          <w:sz w:val="24"/>
          <w:szCs w:val="24"/>
        </w:rPr>
        <w:t>różnych aktach normatywnych przypisuje to samo znaczenie.</w:t>
      </w:r>
    </w:p>
    <w:p w:rsidR="00107DFA" w:rsidRPr="00DC4CF0" w:rsidRDefault="00107DFA" w:rsidP="00107DFA">
      <w:pPr>
        <w:jc w:val="both"/>
        <w:rPr>
          <w:rFonts w:ascii="Arial" w:hAnsi="Arial" w:cs="Arial"/>
          <w:sz w:val="24"/>
          <w:szCs w:val="24"/>
        </w:rPr>
      </w:pPr>
      <w:r w:rsidRPr="00DC4CF0">
        <w:rPr>
          <w:rFonts w:ascii="Arial" w:hAnsi="Arial" w:cs="Arial"/>
          <w:sz w:val="24"/>
          <w:szCs w:val="24"/>
        </w:rPr>
        <w:t xml:space="preserve">Powyższe wskazuje na przesłankę funkcjonalną kwalifikowania jako samodzielnego lokalu mieszkalnego lub o przeznaczeniu innym niż mieszkalny. Zatem, poza wydzieleniem trwałymi ścianami w obrębie budynku, lokal samodzielny (izba lub zespół izb) ma mieć cechy korespondujące z jego przeznaczeniem. </w:t>
      </w:r>
    </w:p>
    <w:p w:rsidR="00107DFA" w:rsidRPr="00DC4CF0" w:rsidRDefault="00107DFA" w:rsidP="00107DFA">
      <w:pPr>
        <w:jc w:val="both"/>
        <w:rPr>
          <w:rFonts w:ascii="Arial" w:hAnsi="Arial" w:cs="Arial"/>
          <w:sz w:val="24"/>
          <w:szCs w:val="24"/>
        </w:rPr>
      </w:pPr>
      <w:r w:rsidRPr="00DC4CF0">
        <w:rPr>
          <w:rFonts w:ascii="Arial" w:hAnsi="Arial" w:cs="Arial"/>
          <w:sz w:val="24"/>
          <w:szCs w:val="24"/>
        </w:rPr>
        <w:t>Rozporządzenie WT, które stosuje się przy projektowaniu, budowie i przebudowie oraz przy zmianie sposobu użytkowania budy</w:t>
      </w:r>
      <w:r w:rsidR="00DC4CF0">
        <w:rPr>
          <w:rFonts w:ascii="Arial" w:hAnsi="Arial" w:cs="Arial"/>
          <w:sz w:val="24"/>
          <w:szCs w:val="24"/>
        </w:rPr>
        <w:t>nków oraz budowli nadziemnych i </w:t>
      </w:r>
      <w:r w:rsidRPr="00DC4CF0">
        <w:rPr>
          <w:rFonts w:ascii="Arial" w:hAnsi="Arial" w:cs="Arial"/>
          <w:sz w:val="24"/>
          <w:szCs w:val="24"/>
        </w:rPr>
        <w:t>podziemnych spełniających funkcje użytkowe bu</w:t>
      </w:r>
      <w:r w:rsidR="00DC4CF0">
        <w:rPr>
          <w:rFonts w:ascii="Arial" w:hAnsi="Arial" w:cs="Arial"/>
          <w:sz w:val="24"/>
          <w:szCs w:val="24"/>
        </w:rPr>
        <w:t>dynków, a także do związanych z </w:t>
      </w:r>
      <w:r w:rsidRPr="00DC4CF0">
        <w:rPr>
          <w:rFonts w:ascii="Arial" w:hAnsi="Arial" w:cs="Arial"/>
          <w:sz w:val="24"/>
          <w:szCs w:val="24"/>
        </w:rPr>
        <w:t xml:space="preserve">nimi urządzeń budowlanych, określa wymagania jakie powinny spełniać zarówno mieszkania w budynkach wielorodzinnych, jak również lokale o innym przeznaczeniu. </w:t>
      </w:r>
      <w:r w:rsidRPr="00DC4CF0">
        <w:rPr>
          <w:rFonts w:ascii="Arial" w:hAnsi="Arial" w:cs="Arial"/>
          <w:sz w:val="24"/>
          <w:szCs w:val="24"/>
        </w:rPr>
        <w:lastRenderedPageBreak/>
        <w:t>Wobec powyższego każdy lokal w budynku powinien spełniać wymagania rozporządzenia WT, zgodnie z jego przeznacze</w:t>
      </w:r>
      <w:r w:rsidR="00DC4CF0">
        <w:rPr>
          <w:rFonts w:ascii="Arial" w:hAnsi="Arial" w:cs="Arial"/>
          <w:sz w:val="24"/>
          <w:szCs w:val="24"/>
        </w:rPr>
        <w:t>niem, które zostało określone w </w:t>
      </w:r>
      <w:r w:rsidRPr="00DC4CF0">
        <w:rPr>
          <w:rFonts w:ascii="Arial" w:hAnsi="Arial" w:cs="Arial"/>
          <w:sz w:val="24"/>
          <w:szCs w:val="24"/>
        </w:rPr>
        <w:t>decyzji o pozwoleniu na budowę albo skutecznie dokonanym zgłoszeniu lub ewentualnie w skutecznie dokona</w:t>
      </w:r>
      <w:r w:rsidR="00956AF5">
        <w:rPr>
          <w:rFonts w:ascii="Arial" w:hAnsi="Arial" w:cs="Arial"/>
          <w:sz w:val="24"/>
          <w:szCs w:val="24"/>
        </w:rPr>
        <w:t>n</w:t>
      </w:r>
      <w:r w:rsidRPr="00DC4CF0">
        <w:rPr>
          <w:rFonts w:ascii="Arial" w:hAnsi="Arial" w:cs="Arial"/>
          <w:sz w:val="24"/>
          <w:szCs w:val="24"/>
        </w:rPr>
        <w:t>y</w:t>
      </w:r>
      <w:r w:rsidR="00956AF5">
        <w:rPr>
          <w:rFonts w:ascii="Arial" w:hAnsi="Arial" w:cs="Arial"/>
          <w:sz w:val="24"/>
          <w:szCs w:val="24"/>
        </w:rPr>
        <w:t>m</w:t>
      </w:r>
      <w:r w:rsidRPr="00DC4CF0">
        <w:rPr>
          <w:rFonts w:ascii="Arial" w:hAnsi="Arial" w:cs="Arial"/>
          <w:sz w:val="24"/>
          <w:szCs w:val="24"/>
        </w:rPr>
        <w:t xml:space="preserve"> zgłoszeniu zmiany sposobu użytkowania obiektu budowlanego lub jego część (np. lokalu).</w:t>
      </w:r>
    </w:p>
    <w:p w:rsidR="00107DFA" w:rsidRPr="00DC4CF0" w:rsidRDefault="004620BF" w:rsidP="00107DFA">
      <w:pPr>
        <w:jc w:val="both"/>
        <w:rPr>
          <w:rFonts w:ascii="Arial" w:hAnsi="Arial" w:cs="Arial"/>
          <w:bCs/>
          <w:sz w:val="24"/>
          <w:szCs w:val="24"/>
          <w:lang w:bidi="pl-PL"/>
        </w:rPr>
      </w:pPr>
      <w:r>
        <w:rPr>
          <w:rFonts w:ascii="Arial" w:hAnsi="Arial" w:cs="Arial"/>
          <w:bCs/>
          <w:sz w:val="24"/>
          <w:szCs w:val="24"/>
        </w:rPr>
        <w:t xml:space="preserve">Oznacza to, że </w:t>
      </w:r>
      <w:r w:rsidR="00107DFA" w:rsidRPr="00DC4CF0">
        <w:rPr>
          <w:rFonts w:ascii="Arial" w:hAnsi="Arial" w:cs="Arial"/>
          <w:bCs/>
          <w:sz w:val="24"/>
          <w:szCs w:val="24"/>
        </w:rPr>
        <w:t>zaświadczenie o samodzielności lokalu użytkowego ma nie tylko potwierdzać samodzielność, czyli wydzielenie trwałymi ścianami w obrębie budynku, lecz także spełnianie in</w:t>
      </w:r>
      <w:r>
        <w:rPr>
          <w:rFonts w:ascii="Arial" w:hAnsi="Arial" w:cs="Arial"/>
          <w:bCs/>
          <w:sz w:val="24"/>
          <w:szCs w:val="24"/>
        </w:rPr>
        <w:t>nych wymogów odpowiadających</w:t>
      </w:r>
      <w:r w:rsidR="00107DFA" w:rsidRPr="00DC4CF0">
        <w:rPr>
          <w:rFonts w:ascii="Arial" w:hAnsi="Arial" w:cs="Arial"/>
          <w:bCs/>
          <w:sz w:val="24"/>
          <w:szCs w:val="24"/>
        </w:rPr>
        <w:t xml:space="preserve"> przeznaczeni</w:t>
      </w:r>
      <w:r w:rsidR="005D1AFC" w:rsidRPr="00DC4CF0">
        <w:rPr>
          <w:rFonts w:ascii="Arial" w:hAnsi="Arial" w:cs="Arial"/>
          <w:bCs/>
          <w:sz w:val="24"/>
          <w:szCs w:val="24"/>
        </w:rPr>
        <w:t>u na potrzeby ludzi określone w </w:t>
      </w:r>
      <w:r w:rsidR="00107DFA" w:rsidRPr="00DC4CF0">
        <w:rPr>
          <w:rFonts w:ascii="Arial" w:hAnsi="Arial" w:cs="Arial"/>
          <w:bCs/>
          <w:sz w:val="24"/>
          <w:szCs w:val="24"/>
        </w:rPr>
        <w:t xml:space="preserve">przepisach techniczno-budowlanych. Wobec tego </w:t>
      </w:r>
      <w:proofErr w:type="spellStart"/>
      <w:r w:rsidR="00107DFA" w:rsidRPr="00DC4CF0">
        <w:rPr>
          <w:rFonts w:ascii="Arial" w:hAnsi="Arial" w:cs="Arial"/>
          <w:bCs/>
          <w:sz w:val="24"/>
          <w:szCs w:val="24"/>
        </w:rPr>
        <w:t>u.w.l</w:t>
      </w:r>
      <w:proofErr w:type="spellEnd"/>
      <w:r w:rsidR="00107DFA" w:rsidRPr="00DC4CF0">
        <w:rPr>
          <w:rFonts w:ascii="Arial" w:hAnsi="Arial" w:cs="Arial"/>
          <w:bCs/>
          <w:sz w:val="24"/>
          <w:szCs w:val="24"/>
        </w:rPr>
        <w:t>. dopuszcza wydzielenie</w:t>
      </w:r>
      <w:r w:rsidR="00107DFA" w:rsidRPr="00DC4CF0">
        <w:rPr>
          <w:rFonts w:ascii="Arial" w:hAnsi="Arial" w:cs="Arial"/>
          <w:bCs/>
          <w:sz w:val="24"/>
          <w:szCs w:val="24"/>
          <w:lang w:bidi="pl-PL"/>
        </w:rPr>
        <w:t xml:space="preserve"> samodzielnego</w:t>
      </w:r>
      <w:r w:rsidR="00DC4CF0">
        <w:rPr>
          <w:rFonts w:ascii="Arial" w:hAnsi="Arial" w:cs="Arial"/>
          <w:bCs/>
          <w:sz w:val="24"/>
          <w:szCs w:val="24"/>
          <w:lang w:bidi="pl-PL"/>
        </w:rPr>
        <w:t xml:space="preserve"> lokalu o innym przeznaczeniu w </w:t>
      </w:r>
      <w:r w:rsidR="00107DFA" w:rsidRPr="00DC4CF0">
        <w:rPr>
          <w:rFonts w:ascii="Arial" w:hAnsi="Arial" w:cs="Arial"/>
          <w:bCs/>
          <w:sz w:val="24"/>
          <w:szCs w:val="24"/>
          <w:lang w:bidi="pl-PL"/>
        </w:rPr>
        <w:t xml:space="preserve">rozumieniu art. 2 ust. 2 </w:t>
      </w:r>
      <w:proofErr w:type="spellStart"/>
      <w:r w:rsidR="00107DFA" w:rsidRPr="00DC4CF0">
        <w:rPr>
          <w:rFonts w:ascii="Arial" w:hAnsi="Arial" w:cs="Arial"/>
          <w:bCs/>
          <w:sz w:val="24"/>
          <w:szCs w:val="24"/>
          <w:lang w:bidi="pl-PL"/>
        </w:rPr>
        <w:t>u.w.l</w:t>
      </w:r>
      <w:proofErr w:type="spellEnd"/>
      <w:r w:rsidR="00107DFA" w:rsidRPr="00DC4CF0">
        <w:rPr>
          <w:rFonts w:ascii="Arial" w:hAnsi="Arial" w:cs="Arial"/>
          <w:bCs/>
          <w:sz w:val="24"/>
          <w:szCs w:val="24"/>
          <w:lang w:bidi="pl-PL"/>
        </w:rPr>
        <w:t>.</w:t>
      </w:r>
      <w:r w:rsidR="00931CDE">
        <w:rPr>
          <w:rFonts w:ascii="Arial" w:hAnsi="Arial" w:cs="Arial"/>
          <w:bCs/>
          <w:sz w:val="24"/>
          <w:szCs w:val="24"/>
          <w:lang w:bidi="pl-PL"/>
        </w:rPr>
        <w:t xml:space="preserve">, </w:t>
      </w:r>
      <w:r w:rsidR="00107DFA" w:rsidRPr="00DC4CF0">
        <w:rPr>
          <w:rFonts w:ascii="Arial" w:hAnsi="Arial" w:cs="Arial"/>
          <w:bCs/>
          <w:sz w:val="24"/>
          <w:szCs w:val="24"/>
          <w:lang w:bidi="pl-PL"/>
        </w:rPr>
        <w:t>pod warunkiem, iż będzie on spełniać odpowiednie wymagania określone</w:t>
      </w:r>
      <w:r w:rsidR="00CD25B1">
        <w:rPr>
          <w:rFonts w:ascii="Arial" w:hAnsi="Arial" w:cs="Arial"/>
          <w:bCs/>
          <w:sz w:val="24"/>
          <w:szCs w:val="24"/>
          <w:lang w:bidi="pl-PL"/>
        </w:rPr>
        <w:t xml:space="preserve"> m.in.</w:t>
      </w:r>
      <w:r w:rsidR="00107DFA" w:rsidRPr="00DC4CF0">
        <w:rPr>
          <w:rFonts w:ascii="Arial" w:hAnsi="Arial" w:cs="Arial"/>
          <w:bCs/>
          <w:sz w:val="24"/>
          <w:szCs w:val="24"/>
          <w:lang w:bidi="pl-PL"/>
        </w:rPr>
        <w:t xml:space="preserve"> w rozporządzeniu WT, stosownie do przeznaczenia tego lokalu. </w:t>
      </w:r>
    </w:p>
    <w:p w:rsidR="006157C4" w:rsidRDefault="00107DFA" w:rsidP="00107DFA">
      <w:pPr>
        <w:jc w:val="both"/>
        <w:rPr>
          <w:rFonts w:ascii="Arial" w:hAnsi="Arial" w:cs="Arial"/>
          <w:bCs/>
          <w:sz w:val="24"/>
          <w:szCs w:val="24"/>
          <w:lang w:bidi="pl-PL"/>
        </w:rPr>
      </w:pPr>
      <w:r w:rsidRPr="00DC4CF0">
        <w:rPr>
          <w:rFonts w:ascii="Arial" w:hAnsi="Arial" w:cs="Arial"/>
          <w:bCs/>
          <w:sz w:val="24"/>
          <w:szCs w:val="24"/>
          <w:lang w:bidi="pl-PL"/>
        </w:rPr>
        <w:t xml:space="preserve">Warunkiem wydania takiego zaświadczenia jest jednak także uzyskanie zgodności planowanego wydzielania samodzielnego lokalu użytkowego z dokumentami z zakresu planowania przestrzennego i budownictwa, o których mowa w art. 2 ust. 1a </w:t>
      </w:r>
      <w:proofErr w:type="spellStart"/>
      <w:r w:rsidRPr="00DC4CF0">
        <w:rPr>
          <w:rFonts w:ascii="Arial" w:hAnsi="Arial" w:cs="Arial"/>
          <w:bCs/>
          <w:sz w:val="24"/>
          <w:szCs w:val="24"/>
          <w:lang w:bidi="pl-PL"/>
        </w:rPr>
        <w:t>u.w.l</w:t>
      </w:r>
      <w:proofErr w:type="spellEnd"/>
      <w:r w:rsidRPr="00DC4CF0">
        <w:rPr>
          <w:rFonts w:ascii="Arial" w:hAnsi="Arial" w:cs="Arial"/>
          <w:bCs/>
          <w:sz w:val="24"/>
          <w:szCs w:val="24"/>
          <w:lang w:bidi="pl-PL"/>
        </w:rPr>
        <w:t>.</w:t>
      </w:r>
    </w:p>
    <w:p w:rsidR="00BB0FA9" w:rsidRPr="00DC4CF0" w:rsidRDefault="00D01A62" w:rsidP="00107DFA">
      <w:pPr>
        <w:jc w:val="both"/>
        <w:rPr>
          <w:rFonts w:ascii="Arial" w:hAnsi="Arial" w:cs="Arial"/>
          <w:bCs/>
          <w:sz w:val="24"/>
          <w:szCs w:val="24"/>
          <w:lang w:bidi="pl-PL"/>
        </w:rPr>
      </w:pPr>
      <w:r>
        <w:rPr>
          <w:rFonts w:ascii="Arial" w:hAnsi="Arial" w:cs="Arial"/>
          <w:bCs/>
          <w:sz w:val="24"/>
          <w:szCs w:val="24"/>
          <w:lang w:bidi="pl-PL"/>
        </w:rPr>
        <w:t xml:space="preserve">Uprzejmie informujemy, że </w:t>
      </w:r>
      <w:r w:rsidR="004620BF">
        <w:rPr>
          <w:rFonts w:ascii="Arial" w:hAnsi="Arial" w:cs="Arial"/>
          <w:bCs/>
          <w:sz w:val="24"/>
          <w:szCs w:val="24"/>
          <w:lang w:bidi="pl-PL"/>
        </w:rPr>
        <w:t xml:space="preserve">przedstawione </w:t>
      </w:r>
      <w:r w:rsidR="00790859">
        <w:rPr>
          <w:rFonts w:ascii="Arial" w:hAnsi="Arial" w:cs="Arial"/>
          <w:bCs/>
          <w:sz w:val="24"/>
          <w:szCs w:val="24"/>
          <w:lang w:bidi="pl-PL"/>
        </w:rPr>
        <w:t>informacje nie są wiążące</w:t>
      </w:r>
      <w:r w:rsidR="00BB0FA9" w:rsidRPr="00BB0FA9">
        <w:rPr>
          <w:rFonts w:ascii="Arial" w:hAnsi="Arial" w:cs="Arial"/>
          <w:bCs/>
          <w:sz w:val="24"/>
          <w:szCs w:val="24"/>
          <w:lang w:bidi="pl-PL"/>
        </w:rPr>
        <w:t xml:space="preserve"> dla organów administracji publicznej prowadzących</w:t>
      </w:r>
      <w:r w:rsidR="00EF5A73">
        <w:rPr>
          <w:rFonts w:ascii="Arial" w:hAnsi="Arial" w:cs="Arial"/>
          <w:bCs/>
          <w:sz w:val="24"/>
          <w:szCs w:val="24"/>
          <w:lang w:bidi="pl-PL"/>
        </w:rPr>
        <w:t xml:space="preserve"> postępowania administracyjne w </w:t>
      </w:r>
      <w:r w:rsidR="00BB0FA9" w:rsidRPr="00BB0FA9">
        <w:rPr>
          <w:rFonts w:ascii="Arial" w:hAnsi="Arial" w:cs="Arial"/>
          <w:bCs/>
          <w:sz w:val="24"/>
          <w:szCs w:val="24"/>
          <w:lang w:bidi="pl-PL"/>
        </w:rPr>
        <w:t>sprawach indywidualnych.</w:t>
      </w:r>
    </w:p>
    <w:sectPr w:rsidR="00BB0FA9" w:rsidRPr="00DC4CF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42E" w:rsidRDefault="00DF342E" w:rsidP="00107DFA">
      <w:pPr>
        <w:spacing w:after="0" w:line="240" w:lineRule="auto"/>
      </w:pPr>
      <w:r>
        <w:separator/>
      </w:r>
    </w:p>
  </w:endnote>
  <w:endnote w:type="continuationSeparator" w:id="0">
    <w:p w:rsidR="00DF342E" w:rsidRDefault="00DF342E" w:rsidP="00107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42E" w:rsidRDefault="00DF342E" w:rsidP="00107DFA">
      <w:pPr>
        <w:spacing w:after="0" w:line="240" w:lineRule="auto"/>
      </w:pPr>
      <w:r>
        <w:separator/>
      </w:r>
    </w:p>
  </w:footnote>
  <w:footnote w:type="continuationSeparator" w:id="0">
    <w:p w:rsidR="00DF342E" w:rsidRDefault="00DF342E" w:rsidP="00107DFA">
      <w:pPr>
        <w:spacing w:after="0" w:line="240" w:lineRule="auto"/>
      </w:pPr>
      <w:r>
        <w:continuationSeparator/>
      </w:r>
    </w:p>
  </w:footnote>
  <w:footnote w:id="1">
    <w:p w:rsidR="00107DFA" w:rsidRDefault="00107DFA" w:rsidP="00107DFA">
      <w:pPr>
        <w:pStyle w:val="Tekstprzypisudolnego"/>
      </w:pPr>
      <w:r>
        <w:rPr>
          <w:rStyle w:val="Odwoanieprzypisudolnego"/>
        </w:rPr>
        <w:footnoteRef/>
      </w:r>
      <w:r>
        <w:t xml:space="preserve"> (Dz. U. poz. 1506) </w:t>
      </w:r>
    </w:p>
  </w:footnote>
  <w:footnote w:id="2">
    <w:p w:rsidR="009B251F" w:rsidRDefault="009B251F">
      <w:pPr>
        <w:pStyle w:val="Tekstprzypisudolnego"/>
      </w:pPr>
      <w:r>
        <w:rPr>
          <w:rStyle w:val="Odwoanieprzypisudolnego"/>
        </w:rPr>
        <w:footnoteRef/>
      </w:r>
      <w:r>
        <w:t xml:space="preserve"> </w:t>
      </w:r>
      <w:r w:rsidRPr="009B251F">
        <w:t xml:space="preserve">(Dz. U. z 2018 r. poz. 716, z </w:t>
      </w:r>
      <w:proofErr w:type="spellStart"/>
      <w:r w:rsidRPr="009B251F">
        <w:t>późn</w:t>
      </w:r>
      <w:proofErr w:type="spellEnd"/>
      <w:r w:rsidRPr="009B251F">
        <w:t>. zm.)</w:t>
      </w:r>
    </w:p>
  </w:footnote>
  <w:footnote w:id="3">
    <w:p w:rsidR="00107DFA" w:rsidRDefault="00107DFA" w:rsidP="00107DFA">
      <w:pPr>
        <w:pStyle w:val="Tekstprzypisudolnego"/>
      </w:pPr>
      <w:r>
        <w:rPr>
          <w:rStyle w:val="Odwoanieprzypisudolnego"/>
        </w:rPr>
        <w:footnoteRef/>
      </w:r>
      <w:r>
        <w:t xml:space="preserve"> </w:t>
      </w:r>
      <w:r w:rsidRPr="00001CD2">
        <w:t xml:space="preserve">(Dz. U. z 2015 r. poz. 1422, z </w:t>
      </w:r>
      <w:proofErr w:type="spellStart"/>
      <w:r w:rsidRPr="00001CD2">
        <w:t>późn</w:t>
      </w:r>
      <w:proofErr w:type="spellEnd"/>
      <w:r w:rsidRPr="00001CD2">
        <w:t>. zm.)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8368AC"/>
    <w:multiLevelType w:val="hybridMultilevel"/>
    <w:tmpl w:val="B35AFB5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DFA"/>
    <w:rsid w:val="00013DDE"/>
    <w:rsid w:val="00041D0C"/>
    <w:rsid w:val="00107DFA"/>
    <w:rsid w:val="001B559A"/>
    <w:rsid w:val="002A67D6"/>
    <w:rsid w:val="003374E0"/>
    <w:rsid w:val="00357BE5"/>
    <w:rsid w:val="00411EB5"/>
    <w:rsid w:val="004620BF"/>
    <w:rsid w:val="004E0726"/>
    <w:rsid w:val="005D1AFC"/>
    <w:rsid w:val="006157C4"/>
    <w:rsid w:val="00623672"/>
    <w:rsid w:val="00682937"/>
    <w:rsid w:val="006E0F3D"/>
    <w:rsid w:val="00760556"/>
    <w:rsid w:val="00790859"/>
    <w:rsid w:val="008342FB"/>
    <w:rsid w:val="00870643"/>
    <w:rsid w:val="00897FF2"/>
    <w:rsid w:val="008A2B1A"/>
    <w:rsid w:val="009028F3"/>
    <w:rsid w:val="0091456C"/>
    <w:rsid w:val="00931CDE"/>
    <w:rsid w:val="00931E90"/>
    <w:rsid w:val="00956AF5"/>
    <w:rsid w:val="00971A18"/>
    <w:rsid w:val="00994D35"/>
    <w:rsid w:val="009B251F"/>
    <w:rsid w:val="00A76546"/>
    <w:rsid w:val="00AA0DD8"/>
    <w:rsid w:val="00B5194C"/>
    <w:rsid w:val="00B912B1"/>
    <w:rsid w:val="00BB0FA9"/>
    <w:rsid w:val="00C52DBC"/>
    <w:rsid w:val="00C92907"/>
    <w:rsid w:val="00CA5C32"/>
    <w:rsid w:val="00CB1886"/>
    <w:rsid w:val="00CD25B1"/>
    <w:rsid w:val="00D01A62"/>
    <w:rsid w:val="00D26307"/>
    <w:rsid w:val="00D35FBE"/>
    <w:rsid w:val="00DC4CF0"/>
    <w:rsid w:val="00DC535F"/>
    <w:rsid w:val="00DF342E"/>
    <w:rsid w:val="00E352EB"/>
    <w:rsid w:val="00E656A9"/>
    <w:rsid w:val="00E66D90"/>
    <w:rsid w:val="00E6764A"/>
    <w:rsid w:val="00EF5A73"/>
    <w:rsid w:val="00FA6D30"/>
    <w:rsid w:val="00FC24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nhideWhenUsed/>
    <w:rsid w:val="00107DFA"/>
    <w:pPr>
      <w:spacing w:after="0" w:line="240" w:lineRule="auto"/>
    </w:pPr>
    <w:rPr>
      <w:rFonts w:ascii="Arial" w:eastAsia="Times New Roman" w:hAnsi="Arial" w:cs="Times New Roman"/>
      <w:sz w:val="20"/>
      <w:szCs w:val="20"/>
      <w:lang w:eastAsia="pl-PL"/>
    </w:rPr>
  </w:style>
  <w:style w:type="character" w:customStyle="1" w:styleId="TekstprzypisudolnegoZnak">
    <w:name w:val="Tekst przypisu dolnego Znak"/>
    <w:basedOn w:val="Domylnaczcionkaakapitu"/>
    <w:link w:val="Tekstprzypisudolnego"/>
    <w:rsid w:val="00107DFA"/>
    <w:rPr>
      <w:rFonts w:ascii="Arial" w:eastAsia="Times New Roman" w:hAnsi="Arial" w:cs="Times New Roman"/>
      <w:sz w:val="20"/>
      <w:szCs w:val="20"/>
      <w:lang w:eastAsia="pl-PL"/>
    </w:rPr>
  </w:style>
  <w:style w:type="character" w:styleId="Odwoanieprzypisudolnego">
    <w:name w:val="footnote reference"/>
    <w:basedOn w:val="Domylnaczcionkaakapitu"/>
    <w:unhideWhenUsed/>
    <w:rsid w:val="00107DFA"/>
    <w:rPr>
      <w:vertAlign w:val="superscript"/>
    </w:rPr>
  </w:style>
  <w:style w:type="character" w:styleId="Odwoaniedokomentarza">
    <w:name w:val="annotation reference"/>
    <w:basedOn w:val="Domylnaczcionkaakapitu"/>
    <w:uiPriority w:val="99"/>
    <w:semiHidden/>
    <w:unhideWhenUsed/>
    <w:rsid w:val="006E0F3D"/>
    <w:rPr>
      <w:sz w:val="16"/>
      <w:szCs w:val="16"/>
    </w:rPr>
  </w:style>
  <w:style w:type="paragraph" w:styleId="Tekstkomentarza">
    <w:name w:val="annotation text"/>
    <w:basedOn w:val="Normalny"/>
    <w:link w:val="TekstkomentarzaZnak"/>
    <w:uiPriority w:val="99"/>
    <w:semiHidden/>
    <w:unhideWhenUsed/>
    <w:rsid w:val="006E0F3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E0F3D"/>
    <w:rPr>
      <w:sz w:val="20"/>
      <w:szCs w:val="20"/>
    </w:rPr>
  </w:style>
  <w:style w:type="paragraph" w:styleId="Tematkomentarza">
    <w:name w:val="annotation subject"/>
    <w:basedOn w:val="Tekstkomentarza"/>
    <w:next w:val="Tekstkomentarza"/>
    <w:link w:val="TematkomentarzaZnak"/>
    <w:uiPriority w:val="99"/>
    <w:semiHidden/>
    <w:unhideWhenUsed/>
    <w:rsid w:val="006E0F3D"/>
    <w:rPr>
      <w:b/>
      <w:bCs/>
    </w:rPr>
  </w:style>
  <w:style w:type="character" w:customStyle="1" w:styleId="TematkomentarzaZnak">
    <w:name w:val="Temat komentarza Znak"/>
    <w:basedOn w:val="TekstkomentarzaZnak"/>
    <w:link w:val="Tematkomentarza"/>
    <w:uiPriority w:val="99"/>
    <w:semiHidden/>
    <w:rsid w:val="006E0F3D"/>
    <w:rPr>
      <w:b/>
      <w:bCs/>
      <w:sz w:val="20"/>
      <w:szCs w:val="20"/>
    </w:rPr>
  </w:style>
  <w:style w:type="paragraph" w:styleId="Tekstdymka">
    <w:name w:val="Balloon Text"/>
    <w:basedOn w:val="Normalny"/>
    <w:link w:val="TekstdymkaZnak"/>
    <w:uiPriority w:val="99"/>
    <w:semiHidden/>
    <w:unhideWhenUsed/>
    <w:rsid w:val="006E0F3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E0F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nhideWhenUsed/>
    <w:rsid w:val="00107DFA"/>
    <w:pPr>
      <w:spacing w:after="0" w:line="240" w:lineRule="auto"/>
    </w:pPr>
    <w:rPr>
      <w:rFonts w:ascii="Arial" w:eastAsia="Times New Roman" w:hAnsi="Arial" w:cs="Times New Roman"/>
      <w:sz w:val="20"/>
      <w:szCs w:val="20"/>
      <w:lang w:eastAsia="pl-PL"/>
    </w:rPr>
  </w:style>
  <w:style w:type="character" w:customStyle="1" w:styleId="TekstprzypisudolnegoZnak">
    <w:name w:val="Tekst przypisu dolnego Znak"/>
    <w:basedOn w:val="Domylnaczcionkaakapitu"/>
    <w:link w:val="Tekstprzypisudolnego"/>
    <w:rsid w:val="00107DFA"/>
    <w:rPr>
      <w:rFonts w:ascii="Arial" w:eastAsia="Times New Roman" w:hAnsi="Arial" w:cs="Times New Roman"/>
      <w:sz w:val="20"/>
      <w:szCs w:val="20"/>
      <w:lang w:eastAsia="pl-PL"/>
    </w:rPr>
  </w:style>
  <w:style w:type="character" w:styleId="Odwoanieprzypisudolnego">
    <w:name w:val="footnote reference"/>
    <w:basedOn w:val="Domylnaczcionkaakapitu"/>
    <w:unhideWhenUsed/>
    <w:rsid w:val="00107DFA"/>
    <w:rPr>
      <w:vertAlign w:val="superscript"/>
    </w:rPr>
  </w:style>
  <w:style w:type="character" w:styleId="Odwoaniedokomentarza">
    <w:name w:val="annotation reference"/>
    <w:basedOn w:val="Domylnaczcionkaakapitu"/>
    <w:uiPriority w:val="99"/>
    <w:semiHidden/>
    <w:unhideWhenUsed/>
    <w:rsid w:val="006E0F3D"/>
    <w:rPr>
      <w:sz w:val="16"/>
      <w:szCs w:val="16"/>
    </w:rPr>
  </w:style>
  <w:style w:type="paragraph" w:styleId="Tekstkomentarza">
    <w:name w:val="annotation text"/>
    <w:basedOn w:val="Normalny"/>
    <w:link w:val="TekstkomentarzaZnak"/>
    <w:uiPriority w:val="99"/>
    <w:semiHidden/>
    <w:unhideWhenUsed/>
    <w:rsid w:val="006E0F3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E0F3D"/>
    <w:rPr>
      <w:sz w:val="20"/>
      <w:szCs w:val="20"/>
    </w:rPr>
  </w:style>
  <w:style w:type="paragraph" w:styleId="Tematkomentarza">
    <w:name w:val="annotation subject"/>
    <w:basedOn w:val="Tekstkomentarza"/>
    <w:next w:val="Tekstkomentarza"/>
    <w:link w:val="TematkomentarzaZnak"/>
    <w:uiPriority w:val="99"/>
    <w:semiHidden/>
    <w:unhideWhenUsed/>
    <w:rsid w:val="006E0F3D"/>
    <w:rPr>
      <w:b/>
      <w:bCs/>
    </w:rPr>
  </w:style>
  <w:style w:type="character" w:customStyle="1" w:styleId="TematkomentarzaZnak">
    <w:name w:val="Temat komentarza Znak"/>
    <w:basedOn w:val="TekstkomentarzaZnak"/>
    <w:link w:val="Tematkomentarza"/>
    <w:uiPriority w:val="99"/>
    <w:semiHidden/>
    <w:rsid w:val="006E0F3D"/>
    <w:rPr>
      <w:b/>
      <w:bCs/>
      <w:sz w:val="20"/>
      <w:szCs w:val="20"/>
    </w:rPr>
  </w:style>
  <w:style w:type="paragraph" w:styleId="Tekstdymka">
    <w:name w:val="Balloon Text"/>
    <w:basedOn w:val="Normalny"/>
    <w:link w:val="TekstdymkaZnak"/>
    <w:uiPriority w:val="99"/>
    <w:semiHidden/>
    <w:unhideWhenUsed/>
    <w:rsid w:val="006E0F3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E0F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C2594-8457-478C-B7A9-F8BD9B966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918</Words>
  <Characters>5508</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Pawelska Bożena</dc:creator>
  <cp:lastModifiedBy>Norbert Gulinski</cp:lastModifiedBy>
  <cp:revision>2</cp:revision>
  <cp:lastPrinted>2019-01-11T08:42:00Z</cp:lastPrinted>
  <dcterms:created xsi:type="dcterms:W3CDTF">2019-01-22T13:31:00Z</dcterms:created>
  <dcterms:modified xsi:type="dcterms:W3CDTF">2019-01-22T13:31:00Z</dcterms:modified>
</cp:coreProperties>
</file>