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F353" w14:textId="2E87C1D0" w:rsidR="00816802" w:rsidRPr="00483B69" w:rsidRDefault="00816802" w:rsidP="00816802">
      <w:pPr>
        <w:jc w:val="center"/>
        <w:rPr>
          <w:rFonts w:ascii="Abadi" w:hAnsi="Abadi"/>
          <w:b/>
          <w:bCs/>
          <w:color w:val="00B0F0"/>
          <w:sz w:val="36"/>
          <w:szCs w:val="36"/>
          <w:u w:val="single"/>
        </w:rPr>
      </w:pPr>
      <w:r w:rsidRPr="00483B69">
        <w:rPr>
          <w:rFonts w:ascii="Abadi" w:hAnsi="Abadi"/>
          <w:b/>
          <w:bCs/>
          <w:color w:val="00B0F0"/>
          <w:sz w:val="36"/>
          <w:szCs w:val="36"/>
          <w:u w:val="single"/>
        </w:rPr>
        <w:t>PODSUMOWANIE REFUNDACJI W 2022 ROKU (OBWIESZCZENIA NR 61-6</w:t>
      </w:r>
      <w:r w:rsidR="006110C1" w:rsidRPr="00483B69">
        <w:rPr>
          <w:rFonts w:ascii="Abadi" w:hAnsi="Abadi"/>
          <w:b/>
          <w:bCs/>
          <w:color w:val="00B0F0"/>
          <w:sz w:val="36"/>
          <w:szCs w:val="36"/>
          <w:u w:val="single"/>
        </w:rPr>
        <w:t>6</w:t>
      </w:r>
      <w:r w:rsidRPr="00483B69">
        <w:rPr>
          <w:rFonts w:ascii="Abadi" w:hAnsi="Abadi"/>
          <w:b/>
          <w:bCs/>
          <w:color w:val="00B0F0"/>
          <w:sz w:val="36"/>
          <w:szCs w:val="36"/>
          <w:u w:val="single"/>
        </w:rPr>
        <w:t>)</w:t>
      </w:r>
    </w:p>
    <w:p w14:paraId="031E6709" w14:textId="77777777" w:rsidR="00816802" w:rsidRPr="00483B69" w:rsidRDefault="00816802" w:rsidP="00816802">
      <w:pPr>
        <w:spacing w:before="360"/>
        <w:jc w:val="center"/>
        <w:rPr>
          <w:rFonts w:ascii="Abadi" w:hAnsi="Abadi"/>
          <w:b/>
          <w:bCs/>
          <w:color w:val="00B0F0"/>
          <w:sz w:val="28"/>
          <w:szCs w:val="28"/>
        </w:rPr>
      </w:pPr>
      <w:r w:rsidRPr="00483B69">
        <w:rPr>
          <w:rFonts w:ascii="Abadi" w:hAnsi="Abadi"/>
          <w:b/>
          <w:bCs/>
          <w:color w:val="00B0F0"/>
          <w:sz w:val="28"/>
          <w:szCs w:val="28"/>
        </w:rPr>
        <w:t>STATYSTYKI</w:t>
      </w:r>
    </w:p>
    <w:p w14:paraId="4EAA632A" w14:textId="067E1C3E" w:rsidR="00816ED3" w:rsidRPr="004602B0" w:rsidRDefault="00816ED3" w:rsidP="00A541E2">
      <w:pPr>
        <w:rPr>
          <w:rFonts w:asciiTheme="majorHAnsi" w:hAnsiTheme="majorHAnsi" w:cstheme="majorHAnsi"/>
          <w:sz w:val="24"/>
          <w:szCs w:val="24"/>
        </w:rPr>
      </w:pPr>
      <w:r w:rsidRPr="004602B0">
        <w:rPr>
          <w:rFonts w:asciiTheme="majorHAnsi" w:hAnsiTheme="majorHAnsi" w:cstheme="majorHAnsi"/>
          <w:sz w:val="24"/>
          <w:szCs w:val="24"/>
        </w:rPr>
        <w:t>W 202</w:t>
      </w:r>
      <w:r w:rsidR="007645CA" w:rsidRPr="004602B0">
        <w:rPr>
          <w:rFonts w:asciiTheme="majorHAnsi" w:hAnsiTheme="majorHAnsi" w:cstheme="majorHAnsi"/>
          <w:sz w:val="24"/>
          <w:szCs w:val="24"/>
        </w:rPr>
        <w:t>2</w:t>
      </w:r>
      <w:r w:rsidRPr="004602B0">
        <w:rPr>
          <w:rFonts w:asciiTheme="majorHAnsi" w:hAnsiTheme="majorHAnsi" w:cstheme="majorHAnsi"/>
          <w:sz w:val="24"/>
          <w:szCs w:val="24"/>
        </w:rPr>
        <w:t xml:space="preserve"> r. obwieszczenia refundacyjne obowiązujące od stycznia (nr </w:t>
      </w:r>
      <w:r w:rsidR="007645CA" w:rsidRPr="004602B0">
        <w:rPr>
          <w:rFonts w:asciiTheme="majorHAnsi" w:hAnsiTheme="majorHAnsi" w:cstheme="majorHAnsi"/>
          <w:sz w:val="24"/>
          <w:szCs w:val="24"/>
        </w:rPr>
        <w:t>61</w:t>
      </w:r>
      <w:r w:rsidRPr="004602B0">
        <w:rPr>
          <w:rFonts w:asciiTheme="majorHAnsi" w:hAnsiTheme="majorHAnsi" w:cstheme="majorHAnsi"/>
          <w:sz w:val="24"/>
          <w:szCs w:val="24"/>
        </w:rPr>
        <w:t>) do</w:t>
      </w:r>
      <w:r w:rsidR="002B1DA1">
        <w:rPr>
          <w:rFonts w:asciiTheme="majorHAnsi" w:hAnsiTheme="majorHAnsi" w:cstheme="majorHAnsi"/>
          <w:sz w:val="24"/>
          <w:szCs w:val="24"/>
        </w:rPr>
        <w:t xml:space="preserve"> listopada</w:t>
      </w:r>
      <w:r w:rsidRPr="004602B0">
        <w:rPr>
          <w:rFonts w:asciiTheme="majorHAnsi" w:hAnsiTheme="majorHAnsi" w:cstheme="majorHAnsi"/>
          <w:sz w:val="24"/>
          <w:szCs w:val="24"/>
        </w:rPr>
        <w:t xml:space="preserve"> (nr 6</w:t>
      </w:r>
      <w:r w:rsidR="006110C1" w:rsidRPr="004602B0">
        <w:rPr>
          <w:rFonts w:asciiTheme="majorHAnsi" w:hAnsiTheme="majorHAnsi" w:cstheme="majorHAnsi"/>
          <w:sz w:val="24"/>
          <w:szCs w:val="24"/>
        </w:rPr>
        <w:t>6</w:t>
      </w:r>
      <w:r w:rsidRPr="004602B0">
        <w:rPr>
          <w:rFonts w:asciiTheme="majorHAnsi" w:hAnsiTheme="majorHAnsi" w:cstheme="majorHAnsi"/>
          <w:sz w:val="24"/>
          <w:szCs w:val="24"/>
        </w:rPr>
        <w:t>) zawierały następujące zmiany:</w:t>
      </w:r>
    </w:p>
    <w:p w14:paraId="79AB1DE4" w14:textId="620C72D6" w:rsidR="00816ED3" w:rsidRPr="004602B0" w:rsidRDefault="00816ED3" w:rsidP="00C64949">
      <w:pPr>
        <w:pStyle w:val="Akapitzlist"/>
        <w:numPr>
          <w:ilvl w:val="0"/>
          <w:numId w:val="1"/>
        </w:numPr>
        <w:ind w:left="567" w:hanging="567"/>
        <w:contextualSpacing w:val="0"/>
        <w:rPr>
          <w:rFonts w:asciiTheme="majorHAnsi" w:hAnsiTheme="majorHAnsi" w:cstheme="majorHAnsi"/>
          <w:sz w:val="24"/>
          <w:szCs w:val="24"/>
        </w:rPr>
      </w:pPr>
      <w:r w:rsidRPr="004602B0">
        <w:rPr>
          <w:rFonts w:asciiTheme="majorHAnsi" w:hAnsiTheme="majorHAnsi" w:cstheme="majorHAnsi"/>
          <w:sz w:val="24"/>
          <w:szCs w:val="24"/>
        </w:rPr>
        <w:t xml:space="preserve">W związku z wydaniem pozytywnych decyzji o objęciu refundacją zostało dodanych </w:t>
      </w:r>
      <w:r w:rsidR="006110C1" w:rsidRPr="004602B0">
        <w:rPr>
          <w:rFonts w:asciiTheme="majorHAnsi" w:hAnsiTheme="majorHAnsi" w:cstheme="majorHAnsi"/>
          <w:sz w:val="24"/>
          <w:szCs w:val="24"/>
        </w:rPr>
        <w:t>648</w:t>
      </w:r>
      <w:r w:rsidRPr="004602B0">
        <w:rPr>
          <w:rFonts w:asciiTheme="majorHAnsi" w:hAnsiTheme="majorHAnsi" w:cstheme="majorHAnsi"/>
          <w:sz w:val="24"/>
          <w:szCs w:val="24"/>
        </w:rPr>
        <w:t xml:space="preserve"> produktów bądź nowych wskazań.</w:t>
      </w:r>
    </w:p>
    <w:p w14:paraId="34A6B9A7" w14:textId="732927D2" w:rsidR="00816ED3" w:rsidRPr="004602B0" w:rsidRDefault="00816ED3" w:rsidP="00C64949">
      <w:pPr>
        <w:pStyle w:val="Akapitzlist"/>
        <w:numPr>
          <w:ilvl w:val="0"/>
          <w:numId w:val="1"/>
        </w:numPr>
        <w:ind w:left="567" w:hanging="567"/>
        <w:contextualSpacing w:val="0"/>
        <w:rPr>
          <w:rFonts w:asciiTheme="majorHAnsi" w:hAnsiTheme="majorHAnsi" w:cstheme="majorHAnsi"/>
          <w:sz w:val="24"/>
          <w:szCs w:val="24"/>
        </w:rPr>
      </w:pPr>
      <w:r w:rsidRPr="004602B0">
        <w:rPr>
          <w:rFonts w:asciiTheme="majorHAnsi" w:hAnsiTheme="majorHAnsi" w:cstheme="majorHAnsi"/>
          <w:sz w:val="24"/>
          <w:szCs w:val="24"/>
        </w:rPr>
        <w:t xml:space="preserve">Dla </w:t>
      </w:r>
      <w:r w:rsidR="0006343F" w:rsidRPr="004602B0">
        <w:rPr>
          <w:rFonts w:asciiTheme="majorHAnsi" w:hAnsiTheme="majorHAnsi" w:cstheme="majorHAnsi"/>
          <w:sz w:val="24"/>
          <w:szCs w:val="24"/>
        </w:rPr>
        <w:t>1</w:t>
      </w:r>
      <w:r w:rsidR="006110C1" w:rsidRPr="004602B0">
        <w:rPr>
          <w:rFonts w:asciiTheme="majorHAnsi" w:hAnsiTheme="majorHAnsi" w:cstheme="majorHAnsi"/>
          <w:sz w:val="24"/>
          <w:szCs w:val="24"/>
        </w:rPr>
        <w:t>806</w:t>
      </w:r>
      <w:r w:rsidRPr="004602B0">
        <w:rPr>
          <w:rFonts w:asciiTheme="majorHAnsi" w:hAnsiTheme="majorHAnsi" w:cstheme="majorHAnsi"/>
          <w:sz w:val="24"/>
          <w:szCs w:val="24"/>
        </w:rPr>
        <w:t xml:space="preserve"> produktów wprowadzono obniżki urzędowych cen zbytu (od 0,01 zł do </w:t>
      </w:r>
      <w:r w:rsidR="00EB544D" w:rsidRPr="004602B0">
        <w:rPr>
          <w:rFonts w:asciiTheme="majorHAnsi" w:hAnsiTheme="majorHAnsi" w:cstheme="majorHAnsi"/>
          <w:sz w:val="24"/>
          <w:szCs w:val="24"/>
        </w:rPr>
        <w:t>7753,98</w:t>
      </w:r>
      <w:r w:rsidRPr="004602B0">
        <w:rPr>
          <w:rFonts w:asciiTheme="majorHAnsi" w:hAnsiTheme="majorHAnsi" w:cstheme="majorHAnsi"/>
          <w:sz w:val="24"/>
          <w:szCs w:val="24"/>
        </w:rPr>
        <w:t xml:space="preserve"> zł).</w:t>
      </w:r>
    </w:p>
    <w:p w14:paraId="7B2CFF06" w14:textId="6D2629B3" w:rsidR="00816ED3" w:rsidRPr="004602B0" w:rsidRDefault="00816ED3" w:rsidP="00C64949">
      <w:pPr>
        <w:pStyle w:val="Akapitzlist"/>
        <w:numPr>
          <w:ilvl w:val="0"/>
          <w:numId w:val="1"/>
        </w:numPr>
        <w:ind w:left="567" w:hanging="567"/>
        <w:contextualSpacing w:val="0"/>
        <w:rPr>
          <w:rFonts w:asciiTheme="majorHAnsi" w:hAnsiTheme="majorHAnsi" w:cstheme="majorHAnsi"/>
          <w:sz w:val="24"/>
          <w:szCs w:val="24"/>
        </w:rPr>
      </w:pPr>
      <w:r w:rsidRPr="004602B0">
        <w:rPr>
          <w:rFonts w:asciiTheme="majorHAnsi" w:hAnsiTheme="majorHAnsi" w:cstheme="majorHAnsi"/>
          <w:sz w:val="24"/>
          <w:szCs w:val="24"/>
        </w:rPr>
        <w:t xml:space="preserve">Dla </w:t>
      </w:r>
      <w:r w:rsidR="006110C1" w:rsidRPr="004602B0">
        <w:rPr>
          <w:rFonts w:asciiTheme="majorHAnsi" w:hAnsiTheme="majorHAnsi" w:cstheme="majorHAnsi"/>
          <w:sz w:val="24"/>
          <w:szCs w:val="24"/>
        </w:rPr>
        <w:t>1</w:t>
      </w:r>
      <w:r w:rsidRPr="004602B0">
        <w:rPr>
          <w:rFonts w:asciiTheme="majorHAnsi" w:hAnsiTheme="majorHAnsi" w:cstheme="majorHAnsi"/>
          <w:sz w:val="24"/>
          <w:szCs w:val="24"/>
        </w:rPr>
        <w:t>6</w:t>
      </w:r>
      <w:r w:rsidR="006110C1" w:rsidRPr="004602B0">
        <w:rPr>
          <w:rFonts w:asciiTheme="majorHAnsi" w:hAnsiTheme="majorHAnsi" w:cstheme="majorHAnsi"/>
          <w:sz w:val="24"/>
          <w:szCs w:val="24"/>
        </w:rPr>
        <w:t>7</w:t>
      </w:r>
      <w:r w:rsidRPr="004602B0">
        <w:rPr>
          <w:rFonts w:asciiTheme="majorHAnsi" w:hAnsiTheme="majorHAnsi" w:cstheme="majorHAnsi"/>
          <w:sz w:val="24"/>
          <w:szCs w:val="24"/>
        </w:rPr>
        <w:t xml:space="preserve"> produktów podwyższono urzędowe ceny zbytu (od 0,</w:t>
      </w:r>
      <w:r w:rsidR="006110C1" w:rsidRPr="004602B0">
        <w:rPr>
          <w:rFonts w:asciiTheme="majorHAnsi" w:hAnsiTheme="majorHAnsi" w:cstheme="majorHAnsi"/>
          <w:sz w:val="24"/>
          <w:szCs w:val="24"/>
        </w:rPr>
        <w:t>08</w:t>
      </w:r>
      <w:r w:rsidRPr="004602B0">
        <w:rPr>
          <w:rFonts w:asciiTheme="majorHAnsi" w:hAnsiTheme="majorHAnsi" w:cstheme="majorHAnsi"/>
          <w:sz w:val="24"/>
          <w:szCs w:val="24"/>
        </w:rPr>
        <w:t xml:space="preserve"> zł do </w:t>
      </w:r>
      <w:r w:rsidR="00FD3BAC" w:rsidRPr="004602B0">
        <w:rPr>
          <w:rFonts w:asciiTheme="majorHAnsi" w:hAnsiTheme="majorHAnsi" w:cstheme="majorHAnsi"/>
          <w:sz w:val="24"/>
          <w:szCs w:val="24"/>
        </w:rPr>
        <w:t>3726</w:t>
      </w:r>
      <w:r w:rsidRPr="004602B0">
        <w:rPr>
          <w:rFonts w:asciiTheme="majorHAnsi" w:hAnsiTheme="majorHAnsi" w:cstheme="majorHAnsi"/>
          <w:sz w:val="24"/>
          <w:szCs w:val="24"/>
        </w:rPr>
        <w:t>,00 zł).</w:t>
      </w:r>
    </w:p>
    <w:p w14:paraId="084094B3" w14:textId="6D688F9E" w:rsidR="00816ED3" w:rsidRPr="004602B0" w:rsidRDefault="00816ED3" w:rsidP="00C64949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602B0">
        <w:rPr>
          <w:rFonts w:asciiTheme="majorHAnsi" w:hAnsiTheme="majorHAnsi" w:cstheme="majorHAnsi"/>
          <w:sz w:val="24"/>
          <w:szCs w:val="24"/>
        </w:rPr>
        <w:t xml:space="preserve">W związku z wpłynięciem wniosków o skrócenie terminu obowiązywania decyzji refundacyjnych lub upłynięciem terminu obowiązywania decyzji refundacyjnych lub odmową refundacji na kolejny okres z wykazów usunięto </w:t>
      </w:r>
      <w:r w:rsidR="006110C1" w:rsidRPr="004602B0">
        <w:rPr>
          <w:rFonts w:asciiTheme="majorHAnsi" w:hAnsiTheme="majorHAnsi" w:cstheme="majorHAnsi"/>
          <w:sz w:val="24"/>
          <w:szCs w:val="24"/>
        </w:rPr>
        <w:t>768</w:t>
      </w:r>
      <w:r w:rsidRPr="004602B0">
        <w:rPr>
          <w:rFonts w:asciiTheme="majorHAnsi" w:hAnsiTheme="majorHAnsi" w:cstheme="majorHAnsi"/>
          <w:sz w:val="24"/>
          <w:szCs w:val="24"/>
        </w:rPr>
        <w:t xml:space="preserve"> produktów bądź wskazań.</w:t>
      </w:r>
    </w:p>
    <w:p w14:paraId="6B99FA0C" w14:textId="3499A90A" w:rsidR="00816ED3" w:rsidRPr="004602B0" w:rsidRDefault="00816ED3" w:rsidP="00C64949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602B0">
        <w:rPr>
          <w:rFonts w:asciiTheme="majorHAnsi" w:hAnsiTheme="majorHAnsi" w:cstheme="majorHAnsi"/>
          <w:sz w:val="24"/>
          <w:szCs w:val="24"/>
        </w:rPr>
        <w:t xml:space="preserve">W związku z obwieszczeniami nr </w:t>
      </w:r>
      <w:r w:rsidR="00FD3BAC" w:rsidRPr="004602B0">
        <w:rPr>
          <w:rFonts w:asciiTheme="majorHAnsi" w:hAnsiTheme="majorHAnsi" w:cstheme="majorHAnsi"/>
          <w:sz w:val="24"/>
          <w:szCs w:val="24"/>
        </w:rPr>
        <w:t>61</w:t>
      </w:r>
      <w:r w:rsidRPr="004602B0">
        <w:rPr>
          <w:rFonts w:asciiTheme="majorHAnsi" w:hAnsiTheme="majorHAnsi" w:cstheme="majorHAnsi"/>
          <w:sz w:val="24"/>
          <w:szCs w:val="24"/>
        </w:rPr>
        <w:t xml:space="preserve"> – 6</w:t>
      </w:r>
      <w:r w:rsidR="006110C1" w:rsidRPr="004602B0">
        <w:rPr>
          <w:rFonts w:asciiTheme="majorHAnsi" w:hAnsiTheme="majorHAnsi" w:cstheme="majorHAnsi"/>
          <w:sz w:val="24"/>
          <w:szCs w:val="24"/>
        </w:rPr>
        <w:t>6</w:t>
      </w:r>
      <w:r w:rsidRPr="004602B0">
        <w:rPr>
          <w:rFonts w:asciiTheme="majorHAnsi" w:hAnsiTheme="majorHAnsi" w:cstheme="majorHAnsi"/>
          <w:sz w:val="24"/>
          <w:szCs w:val="24"/>
        </w:rPr>
        <w:t xml:space="preserve"> wydano </w:t>
      </w:r>
      <w:r w:rsidR="006110C1" w:rsidRPr="004602B0">
        <w:rPr>
          <w:rFonts w:asciiTheme="majorHAnsi" w:hAnsiTheme="majorHAnsi" w:cstheme="majorHAnsi"/>
          <w:sz w:val="24"/>
          <w:szCs w:val="24"/>
        </w:rPr>
        <w:t>7</w:t>
      </w:r>
      <w:r w:rsidR="004B709A" w:rsidRPr="004602B0">
        <w:rPr>
          <w:rFonts w:asciiTheme="majorHAnsi" w:hAnsiTheme="majorHAnsi" w:cstheme="majorHAnsi"/>
          <w:sz w:val="24"/>
          <w:szCs w:val="24"/>
        </w:rPr>
        <w:t>87</w:t>
      </w:r>
      <w:r w:rsidR="00091CDE" w:rsidRPr="004602B0">
        <w:rPr>
          <w:rFonts w:asciiTheme="majorHAnsi" w:hAnsiTheme="majorHAnsi" w:cstheme="majorHAnsi"/>
          <w:sz w:val="24"/>
          <w:szCs w:val="24"/>
        </w:rPr>
        <w:t>4</w:t>
      </w:r>
      <w:r w:rsidRPr="004602B0">
        <w:rPr>
          <w:rFonts w:asciiTheme="majorHAnsi" w:hAnsiTheme="majorHAnsi" w:cstheme="majorHAnsi"/>
          <w:sz w:val="24"/>
          <w:szCs w:val="24"/>
        </w:rPr>
        <w:t xml:space="preserve"> decyzj</w:t>
      </w:r>
      <w:r w:rsidR="006110C1" w:rsidRPr="004602B0">
        <w:rPr>
          <w:rFonts w:asciiTheme="majorHAnsi" w:hAnsiTheme="majorHAnsi" w:cstheme="majorHAnsi"/>
          <w:sz w:val="24"/>
          <w:szCs w:val="24"/>
        </w:rPr>
        <w:t>e</w:t>
      </w:r>
      <w:r w:rsidRPr="004602B0">
        <w:rPr>
          <w:rFonts w:asciiTheme="majorHAnsi" w:hAnsiTheme="majorHAnsi" w:cstheme="majorHAnsi"/>
          <w:sz w:val="24"/>
          <w:szCs w:val="24"/>
        </w:rPr>
        <w:t xml:space="preserve"> administracyjn</w:t>
      </w:r>
      <w:r w:rsidR="006110C1" w:rsidRPr="004602B0">
        <w:rPr>
          <w:rFonts w:asciiTheme="majorHAnsi" w:hAnsiTheme="majorHAnsi" w:cstheme="majorHAnsi"/>
          <w:sz w:val="24"/>
          <w:szCs w:val="24"/>
        </w:rPr>
        <w:t>e</w:t>
      </w:r>
      <w:r w:rsidR="0010323F" w:rsidRPr="004602B0">
        <w:rPr>
          <w:rFonts w:asciiTheme="majorHAnsi" w:hAnsiTheme="majorHAnsi" w:cstheme="majorHAnsi"/>
          <w:sz w:val="24"/>
          <w:szCs w:val="24"/>
        </w:rPr>
        <w:t xml:space="preserve"> (do 15 grudnia 2022 r.)</w:t>
      </w:r>
      <w:r w:rsidR="00652447" w:rsidRPr="004602B0">
        <w:rPr>
          <w:rFonts w:asciiTheme="majorHAnsi" w:hAnsiTheme="majorHAnsi" w:cstheme="majorHAnsi"/>
          <w:sz w:val="24"/>
          <w:szCs w:val="24"/>
        </w:rPr>
        <w:t xml:space="preserve"> (dla porównania w związku z obwieszczeniami 55 – 60 wydano 3</w:t>
      </w:r>
      <w:r w:rsidR="004B709A" w:rsidRPr="004602B0">
        <w:rPr>
          <w:rFonts w:asciiTheme="majorHAnsi" w:hAnsiTheme="majorHAnsi" w:cstheme="majorHAnsi"/>
          <w:sz w:val="24"/>
          <w:szCs w:val="24"/>
        </w:rPr>
        <w:t>435</w:t>
      </w:r>
      <w:r w:rsidR="00652447" w:rsidRPr="004602B0">
        <w:rPr>
          <w:rFonts w:asciiTheme="majorHAnsi" w:hAnsiTheme="majorHAnsi" w:cstheme="majorHAnsi"/>
          <w:sz w:val="24"/>
          <w:szCs w:val="24"/>
        </w:rPr>
        <w:t xml:space="preserve"> decyzji administracyjnych)</w:t>
      </w:r>
      <w:r w:rsidR="003C2525" w:rsidRPr="004602B0">
        <w:rPr>
          <w:rFonts w:asciiTheme="majorHAnsi" w:hAnsiTheme="majorHAnsi" w:cstheme="majorHAnsi"/>
          <w:sz w:val="24"/>
          <w:szCs w:val="24"/>
        </w:rPr>
        <w:t>.</w:t>
      </w:r>
    </w:p>
    <w:p w14:paraId="0D1A9CEB" w14:textId="633B790E" w:rsidR="00816ED3" w:rsidRPr="004602B0" w:rsidRDefault="00974E35" w:rsidP="00C64949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602B0">
        <w:rPr>
          <w:rFonts w:asciiTheme="majorHAnsi" w:hAnsiTheme="majorHAnsi" w:cstheme="majorHAnsi"/>
          <w:sz w:val="24"/>
          <w:szCs w:val="24"/>
        </w:rPr>
        <w:t xml:space="preserve">W 2022 r. (do 15 </w:t>
      </w:r>
      <w:r w:rsidR="006110C1" w:rsidRPr="004602B0">
        <w:rPr>
          <w:rFonts w:asciiTheme="majorHAnsi" w:hAnsiTheme="majorHAnsi" w:cstheme="majorHAnsi"/>
          <w:sz w:val="24"/>
          <w:szCs w:val="24"/>
        </w:rPr>
        <w:t>grudnia</w:t>
      </w:r>
      <w:r w:rsidRPr="004602B0">
        <w:rPr>
          <w:rFonts w:asciiTheme="majorHAnsi" w:hAnsiTheme="majorHAnsi" w:cstheme="majorHAnsi"/>
          <w:sz w:val="24"/>
          <w:szCs w:val="24"/>
        </w:rPr>
        <w:t xml:space="preserve"> 2022 r.) </w:t>
      </w:r>
      <w:r w:rsidR="00816ED3" w:rsidRPr="004602B0">
        <w:rPr>
          <w:rFonts w:asciiTheme="majorHAnsi" w:hAnsiTheme="majorHAnsi" w:cstheme="majorHAnsi"/>
          <w:sz w:val="24"/>
          <w:szCs w:val="24"/>
        </w:rPr>
        <w:t xml:space="preserve">wpłynęło </w:t>
      </w:r>
      <w:r w:rsidR="006110C1" w:rsidRPr="004602B0">
        <w:rPr>
          <w:rFonts w:asciiTheme="majorHAnsi" w:hAnsiTheme="majorHAnsi" w:cstheme="majorHAnsi"/>
          <w:sz w:val="24"/>
          <w:szCs w:val="24"/>
        </w:rPr>
        <w:t>2</w:t>
      </w:r>
      <w:r w:rsidR="0010323F" w:rsidRPr="004602B0">
        <w:rPr>
          <w:rFonts w:asciiTheme="majorHAnsi" w:hAnsiTheme="majorHAnsi" w:cstheme="majorHAnsi"/>
          <w:sz w:val="24"/>
          <w:szCs w:val="24"/>
        </w:rPr>
        <w:t>403</w:t>
      </w:r>
      <w:r w:rsidR="006110C1" w:rsidRPr="004602B0">
        <w:rPr>
          <w:rFonts w:asciiTheme="majorHAnsi" w:hAnsiTheme="majorHAnsi" w:cstheme="majorHAnsi"/>
          <w:sz w:val="24"/>
          <w:szCs w:val="24"/>
        </w:rPr>
        <w:t xml:space="preserve"> </w:t>
      </w:r>
      <w:r w:rsidR="00816ED3" w:rsidRPr="004602B0">
        <w:rPr>
          <w:rFonts w:asciiTheme="majorHAnsi" w:hAnsiTheme="majorHAnsi" w:cstheme="majorHAnsi"/>
          <w:sz w:val="24"/>
          <w:szCs w:val="24"/>
        </w:rPr>
        <w:t>wniosk</w:t>
      </w:r>
      <w:r w:rsidR="00091CDE" w:rsidRPr="004602B0">
        <w:rPr>
          <w:rFonts w:asciiTheme="majorHAnsi" w:hAnsiTheme="majorHAnsi" w:cstheme="majorHAnsi"/>
          <w:sz w:val="24"/>
          <w:szCs w:val="24"/>
        </w:rPr>
        <w:t>i</w:t>
      </w:r>
      <w:r w:rsidR="00816ED3" w:rsidRPr="004602B0">
        <w:rPr>
          <w:rFonts w:asciiTheme="majorHAnsi" w:hAnsiTheme="majorHAnsi" w:cstheme="majorHAnsi"/>
          <w:sz w:val="24"/>
          <w:szCs w:val="24"/>
        </w:rPr>
        <w:t xml:space="preserve"> </w:t>
      </w:r>
      <w:r w:rsidRPr="004602B0">
        <w:rPr>
          <w:rFonts w:asciiTheme="majorHAnsi" w:hAnsiTheme="majorHAnsi" w:cstheme="majorHAnsi"/>
          <w:sz w:val="24"/>
          <w:szCs w:val="24"/>
        </w:rPr>
        <w:t xml:space="preserve">(łącznie: </w:t>
      </w:r>
      <w:r w:rsidR="00816ED3" w:rsidRPr="004602B0">
        <w:rPr>
          <w:rFonts w:asciiTheme="majorHAnsi" w:hAnsiTheme="majorHAnsi" w:cstheme="majorHAnsi"/>
          <w:sz w:val="24"/>
          <w:szCs w:val="24"/>
        </w:rPr>
        <w:t>o objęcie refundacją i ustalenie urzędowej ceny zbytu,</w:t>
      </w:r>
      <w:r w:rsidRPr="004602B0">
        <w:rPr>
          <w:rFonts w:asciiTheme="majorHAnsi" w:hAnsiTheme="majorHAnsi" w:cstheme="majorHAnsi"/>
          <w:sz w:val="24"/>
          <w:szCs w:val="24"/>
        </w:rPr>
        <w:t xml:space="preserve"> podwyższenie, obniżenie urzędowej ceny zbytu oraz skrócenie obowiązywania decyzji) (dla porównania </w:t>
      </w:r>
      <w:r w:rsidR="00BC5518" w:rsidRPr="004602B0">
        <w:rPr>
          <w:rFonts w:asciiTheme="majorHAnsi" w:hAnsiTheme="majorHAnsi" w:cstheme="majorHAnsi"/>
          <w:sz w:val="24"/>
          <w:szCs w:val="24"/>
        </w:rPr>
        <w:t xml:space="preserve">w </w:t>
      </w:r>
      <w:r w:rsidRPr="004602B0">
        <w:rPr>
          <w:rFonts w:asciiTheme="majorHAnsi" w:hAnsiTheme="majorHAnsi" w:cstheme="majorHAnsi"/>
          <w:sz w:val="24"/>
          <w:szCs w:val="24"/>
        </w:rPr>
        <w:t>2021</w:t>
      </w:r>
      <w:r w:rsidR="00816ED3" w:rsidRPr="004602B0">
        <w:rPr>
          <w:rFonts w:asciiTheme="majorHAnsi" w:hAnsiTheme="majorHAnsi" w:cstheme="majorHAnsi"/>
          <w:sz w:val="24"/>
          <w:szCs w:val="24"/>
        </w:rPr>
        <w:t xml:space="preserve"> wpłynęło</w:t>
      </w:r>
      <w:r w:rsidR="00BC5518" w:rsidRPr="004602B0">
        <w:rPr>
          <w:rFonts w:asciiTheme="majorHAnsi" w:hAnsiTheme="majorHAnsi" w:cstheme="majorHAnsi"/>
          <w:sz w:val="24"/>
          <w:szCs w:val="24"/>
        </w:rPr>
        <w:t xml:space="preserve"> 411</w:t>
      </w:r>
      <w:r w:rsidR="008A3002" w:rsidRPr="004602B0">
        <w:rPr>
          <w:rFonts w:asciiTheme="majorHAnsi" w:hAnsiTheme="majorHAnsi" w:cstheme="majorHAnsi"/>
          <w:sz w:val="24"/>
          <w:szCs w:val="24"/>
        </w:rPr>
        <w:t>6</w:t>
      </w:r>
      <w:r w:rsidR="00BC5518" w:rsidRPr="004602B0">
        <w:rPr>
          <w:rFonts w:asciiTheme="majorHAnsi" w:hAnsiTheme="majorHAnsi" w:cstheme="majorHAnsi"/>
          <w:sz w:val="24"/>
          <w:szCs w:val="24"/>
        </w:rPr>
        <w:t xml:space="preserve"> </w:t>
      </w:r>
      <w:r w:rsidR="00804B8E" w:rsidRPr="004602B0">
        <w:rPr>
          <w:rFonts w:asciiTheme="majorHAnsi" w:hAnsiTheme="majorHAnsi" w:cstheme="majorHAnsi"/>
          <w:sz w:val="24"/>
          <w:szCs w:val="24"/>
        </w:rPr>
        <w:t>wniosków</w:t>
      </w:r>
      <w:r w:rsidR="00BC5518" w:rsidRPr="004602B0">
        <w:rPr>
          <w:rFonts w:asciiTheme="majorHAnsi" w:hAnsiTheme="majorHAnsi" w:cstheme="majorHAnsi"/>
          <w:sz w:val="24"/>
          <w:szCs w:val="24"/>
        </w:rPr>
        <w:t>)</w:t>
      </w:r>
      <w:r w:rsidR="00804B8E" w:rsidRPr="004602B0">
        <w:rPr>
          <w:rFonts w:asciiTheme="majorHAnsi" w:hAnsiTheme="majorHAnsi" w:cstheme="majorHAnsi"/>
          <w:sz w:val="24"/>
          <w:szCs w:val="24"/>
        </w:rPr>
        <w:t>.</w:t>
      </w:r>
    </w:p>
    <w:p w14:paraId="51028EE7" w14:textId="77B21BC7" w:rsidR="00816ED3" w:rsidRPr="004602B0" w:rsidRDefault="00816ED3" w:rsidP="00C64949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4602B0">
        <w:rPr>
          <w:rFonts w:asciiTheme="majorHAnsi" w:hAnsiTheme="majorHAnsi" w:cstheme="majorHAnsi"/>
          <w:sz w:val="24"/>
          <w:szCs w:val="24"/>
        </w:rPr>
        <w:t>W 202</w:t>
      </w:r>
      <w:r w:rsidR="00FD3BAC" w:rsidRPr="004602B0">
        <w:rPr>
          <w:rFonts w:asciiTheme="majorHAnsi" w:hAnsiTheme="majorHAnsi" w:cstheme="majorHAnsi"/>
          <w:sz w:val="24"/>
          <w:szCs w:val="24"/>
        </w:rPr>
        <w:t>2</w:t>
      </w:r>
      <w:r w:rsidRPr="004602B0">
        <w:rPr>
          <w:rFonts w:asciiTheme="majorHAnsi" w:hAnsiTheme="majorHAnsi" w:cstheme="majorHAnsi"/>
          <w:sz w:val="24"/>
          <w:szCs w:val="24"/>
        </w:rPr>
        <w:t xml:space="preserve"> r. refundacją objęto </w:t>
      </w:r>
      <w:r w:rsidR="006110C1" w:rsidRPr="004602B0">
        <w:rPr>
          <w:rFonts w:asciiTheme="majorHAnsi" w:hAnsiTheme="majorHAnsi" w:cstheme="majorHAnsi"/>
          <w:sz w:val="24"/>
          <w:szCs w:val="24"/>
        </w:rPr>
        <w:t>115</w:t>
      </w:r>
      <w:r w:rsidRPr="004602B0">
        <w:rPr>
          <w:rFonts w:asciiTheme="majorHAnsi" w:hAnsiTheme="majorHAnsi" w:cstheme="majorHAnsi"/>
          <w:sz w:val="24"/>
          <w:szCs w:val="24"/>
        </w:rPr>
        <w:t xml:space="preserve"> nowych cząsteczko</w:t>
      </w:r>
      <w:r w:rsidR="002B1197" w:rsidRPr="004602B0">
        <w:rPr>
          <w:rFonts w:asciiTheme="majorHAnsi" w:hAnsiTheme="majorHAnsi" w:cstheme="majorHAnsi"/>
          <w:sz w:val="24"/>
          <w:szCs w:val="24"/>
        </w:rPr>
        <w:t>-</w:t>
      </w:r>
      <w:r w:rsidRPr="004602B0">
        <w:rPr>
          <w:rFonts w:asciiTheme="majorHAnsi" w:hAnsiTheme="majorHAnsi" w:cstheme="majorHAnsi"/>
          <w:sz w:val="24"/>
          <w:szCs w:val="24"/>
        </w:rPr>
        <w:t>wskazań</w:t>
      </w:r>
      <w:r w:rsidR="00B25313" w:rsidRPr="004602B0">
        <w:rPr>
          <w:rFonts w:asciiTheme="majorHAnsi" w:hAnsiTheme="majorHAnsi" w:cstheme="majorHAnsi"/>
          <w:sz w:val="24"/>
          <w:szCs w:val="24"/>
        </w:rPr>
        <w:t xml:space="preserve"> (dla porównania w 2021 r. refundacją objęto 68 nowych cząsteczko</w:t>
      </w:r>
      <w:r w:rsidR="002B1197" w:rsidRPr="004602B0">
        <w:rPr>
          <w:rFonts w:asciiTheme="majorHAnsi" w:hAnsiTheme="majorHAnsi" w:cstheme="majorHAnsi"/>
          <w:sz w:val="24"/>
          <w:szCs w:val="24"/>
        </w:rPr>
        <w:t>-</w:t>
      </w:r>
      <w:r w:rsidR="00B25313" w:rsidRPr="004602B0">
        <w:rPr>
          <w:rFonts w:asciiTheme="majorHAnsi" w:hAnsiTheme="majorHAnsi" w:cstheme="majorHAnsi"/>
          <w:sz w:val="24"/>
          <w:szCs w:val="24"/>
        </w:rPr>
        <w:t>wskazań)</w:t>
      </w:r>
      <w:r w:rsidRPr="004602B0">
        <w:rPr>
          <w:rFonts w:asciiTheme="majorHAnsi" w:hAnsiTheme="majorHAnsi" w:cstheme="majorHAnsi"/>
          <w:sz w:val="24"/>
          <w:szCs w:val="24"/>
        </w:rPr>
        <w:t>. Podział ze względu na rodzaj wskazań, kategorię dostępności, choroby rzadkie przedstawiono na wykresach poniżej.</w:t>
      </w:r>
    </w:p>
    <w:p w14:paraId="79FA59D7" w14:textId="731A1EC3" w:rsidR="00816ED3" w:rsidRDefault="00816ED3" w:rsidP="00816ED3">
      <w:pPr>
        <w:jc w:val="both"/>
        <w:rPr>
          <w:rFonts w:asciiTheme="majorHAnsi" w:hAnsiTheme="majorHAnsi"/>
          <w:color w:val="FF0000"/>
          <w:sz w:val="24"/>
          <w:szCs w:val="24"/>
        </w:rPr>
      </w:pPr>
    </w:p>
    <w:p w14:paraId="69411C75" w14:textId="21E329F6" w:rsidR="00816802" w:rsidRDefault="00E25EC3" w:rsidP="00816802">
      <w:pPr>
        <w:rPr>
          <w:noProof/>
        </w:rPr>
      </w:pPr>
      <w:r w:rsidRPr="00E25EC3">
        <w:rPr>
          <w:noProof/>
        </w:rPr>
        <w:lastRenderedPageBreak/>
        <w:t xml:space="preserve"> </w:t>
      </w:r>
      <w:r w:rsidR="00D37E96">
        <w:rPr>
          <w:noProof/>
        </w:rPr>
        <w:drawing>
          <wp:inline distT="0" distB="0" distL="0" distR="0" wp14:anchorId="43E5E0BB" wp14:editId="119923E4">
            <wp:extent cx="2924175" cy="2962275"/>
            <wp:effectExtent l="0" t="0" r="9525" b="952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729F3DEE-6105-4281-860A-FBD6395563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B8735B">
        <w:rPr>
          <w:noProof/>
        </w:rPr>
        <w:t xml:space="preserve"> </w:t>
      </w:r>
      <w:r w:rsidR="00B8735B">
        <w:rPr>
          <w:noProof/>
        </w:rPr>
        <w:drawing>
          <wp:inline distT="0" distB="0" distL="0" distR="0" wp14:anchorId="246D8C06" wp14:editId="59AE2706">
            <wp:extent cx="2933065" cy="2962275"/>
            <wp:effectExtent l="0" t="0" r="635" b="9525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118770CA-56B6-4805-B90C-A976181714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B8735B">
        <w:rPr>
          <w:noProof/>
        </w:rPr>
        <w:t xml:space="preserve"> </w:t>
      </w:r>
      <w:r w:rsidR="00BB115A">
        <w:rPr>
          <w:noProof/>
        </w:rPr>
        <w:drawing>
          <wp:inline distT="0" distB="0" distL="0" distR="0" wp14:anchorId="60BC8EB9" wp14:editId="69F8E94E">
            <wp:extent cx="2903855" cy="2967355"/>
            <wp:effectExtent l="0" t="0" r="10795" b="4445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FD90813B-9E6A-4837-A68A-23B083805A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BB115A">
        <w:rPr>
          <w:noProof/>
        </w:rPr>
        <w:t xml:space="preserve"> </w:t>
      </w:r>
    </w:p>
    <w:p w14:paraId="02485099" w14:textId="6A7E590F" w:rsidR="00BA1ACD" w:rsidRDefault="0028574E" w:rsidP="00097FDB">
      <w:pPr>
        <w:suppressAutoHyphens w:val="0"/>
        <w:spacing w:line="252" w:lineRule="auto"/>
        <w:textAlignment w:val="auto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t xml:space="preserve"> </w:t>
      </w:r>
      <w:r w:rsidR="00BA1ACD">
        <w:rPr>
          <w:noProof/>
        </w:rPr>
        <w:drawing>
          <wp:inline distT="0" distB="0" distL="0" distR="0" wp14:anchorId="5CFE6AAF" wp14:editId="34A00207">
            <wp:extent cx="4389120" cy="2915996"/>
            <wp:effectExtent l="0" t="0" r="11430" b="1778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751A6AD-0937-45C0-9788-40D17F3792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CD04F5">
        <w:rPr>
          <w:rFonts w:ascii="Abadi" w:hAnsi="Abadi"/>
          <w:b/>
          <w:bCs/>
          <w:color w:val="00B0F0"/>
          <w:sz w:val="28"/>
          <w:szCs w:val="28"/>
        </w:rPr>
        <w:t xml:space="preserve"> </w:t>
      </w:r>
      <w:r w:rsidR="00CD04F5">
        <w:rPr>
          <w:noProof/>
        </w:rPr>
        <w:drawing>
          <wp:inline distT="0" distB="0" distL="0" distR="0" wp14:anchorId="0C2B7509" wp14:editId="66C3FD4F">
            <wp:extent cx="4362450" cy="2924582"/>
            <wp:effectExtent l="0" t="0" r="0" b="9525"/>
            <wp:docPr id="18" name="Wykres 18">
              <a:extLst xmlns:a="http://schemas.openxmlformats.org/drawingml/2006/main">
                <a:ext uri="{FF2B5EF4-FFF2-40B4-BE49-F238E27FC236}">
                  <a16:creationId xmlns:a16="http://schemas.microsoft.com/office/drawing/2014/main" id="{A8113DE0-A247-4936-8FA2-1B2E0783D8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1EDA114" w14:textId="77777777" w:rsidR="00816802" w:rsidRPr="00880D84" w:rsidRDefault="00816802" w:rsidP="00816802">
      <w:pPr>
        <w:jc w:val="center"/>
        <w:rPr>
          <w:rFonts w:asciiTheme="majorHAnsi" w:hAnsiTheme="majorHAnsi" w:cstheme="majorHAnsi"/>
          <w:b/>
          <w:bCs/>
          <w:color w:val="00B0F0"/>
          <w:sz w:val="28"/>
          <w:szCs w:val="28"/>
        </w:rPr>
      </w:pPr>
      <w:r w:rsidRPr="00880D84">
        <w:rPr>
          <w:rFonts w:asciiTheme="majorHAnsi" w:hAnsiTheme="majorHAnsi" w:cstheme="majorHAnsi"/>
          <w:b/>
          <w:bCs/>
          <w:color w:val="00B0F0"/>
          <w:sz w:val="28"/>
          <w:szCs w:val="28"/>
        </w:rPr>
        <w:lastRenderedPageBreak/>
        <w:t>NOWE WSKAZANIA ORAZ ZMIANY W PROGRAMACH LEKOWYCH i CHEMIOTERAPII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2"/>
        <w:gridCol w:w="1509"/>
        <w:gridCol w:w="1853"/>
        <w:gridCol w:w="1996"/>
        <w:gridCol w:w="3401"/>
        <w:gridCol w:w="4643"/>
      </w:tblGrid>
      <w:tr w:rsidR="00816802" w:rsidRPr="00880D84" w14:paraId="57DBB0A2" w14:textId="77777777" w:rsidTr="004D78D6">
        <w:trPr>
          <w:cantSplit/>
          <w:trHeight w:val="19"/>
        </w:trPr>
        <w:tc>
          <w:tcPr>
            <w:tcW w:w="5000" w:type="pct"/>
            <w:gridSpan w:val="6"/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93750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Programy lekowe i chemioterapia</w:t>
            </w:r>
          </w:p>
        </w:tc>
      </w:tr>
      <w:tr w:rsidR="00816802" w:rsidRPr="00880D84" w14:paraId="7B0FB716" w14:textId="77777777" w:rsidTr="004D78D6">
        <w:trPr>
          <w:cantSplit/>
          <w:trHeight w:val="19"/>
        </w:trPr>
        <w:tc>
          <w:tcPr>
            <w:tcW w:w="5000" w:type="pct"/>
            <w:gridSpan w:val="6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42D04" w14:textId="0EB001CC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Nowe </w:t>
            </w:r>
            <w:r w:rsidR="00E26A4D" w:rsidRPr="00880D84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880D84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wskazania onkologiczne</w:t>
            </w:r>
          </w:p>
        </w:tc>
      </w:tr>
      <w:tr w:rsidR="00816802" w:rsidRPr="00880D84" w14:paraId="4ECF3EF6" w14:textId="77777777" w:rsidTr="00C64949">
        <w:trPr>
          <w:cantSplit/>
          <w:trHeight w:val="19"/>
        </w:trPr>
        <w:tc>
          <w:tcPr>
            <w:tcW w:w="21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FAF85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39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43C8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66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078D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713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49965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215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D841E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Nazwa programu lekowego / </w:t>
            </w:r>
          </w:p>
          <w:p w14:paraId="6402573A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Załącznika chemioterapii</w:t>
            </w:r>
          </w:p>
        </w:tc>
        <w:tc>
          <w:tcPr>
            <w:tcW w:w="1659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92E3A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D71BA7" w:rsidRPr="00880D84" w14:paraId="6CBB0A25" w14:textId="77777777" w:rsidTr="00C64949">
        <w:trPr>
          <w:cantSplit/>
          <w:trHeight w:val="19"/>
        </w:trPr>
        <w:tc>
          <w:tcPr>
            <w:tcW w:w="212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F3FAD" w14:textId="4D1BE303" w:rsidR="00D71BA7" w:rsidRPr="00880D84" w:rsidRDefault="00D71BA7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AC7AA" w14:textId="4356A492" w:rsidR="00D71BA7" w:rsidRPr="00880D84" w:rsidRDefault="00D71BA7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Tecentriq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A62F4" w14:textId="6DF45FA9" w:rsidR="00D71BA7" w:rsidRPr="00880D84" w:rsidRDefault="00D71BA7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atezolizu</w:t>
            </w: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30C34" w14:textId="5306C271" w:rsidR="00D71BA7" w:rsidRPr="00880D84" w:rsidRDefault="00D71BA7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D27F" w14:textId="455E4031" w:rsidR="00D71BA7" w:rsidRPr="00880D84" w:rsidRDefault="00D71BA7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WĄTROBOWOKOMÓRKOWEGO (ICD-10: C22.0)</w:t>
            </w:r>
          </w:p>
        </w:tc>
        <w:tc>
          <w:tcPr>
            <w:tcW w:w="1659" w:type="pct"/>
            <w:vMerge w:val="restar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17B28" w14:textId="39AEABED" w:rsidR="00D71BA7" w:rsidRPr="00880D84" w:rsidRDefault="00D71BA7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I linii raka wątrobowokomórkowego atezolizumabem w skojarzeniu z bewacyzumabem u dorosłych pacjentów bez przerzutów poza wątrobę i pacjentów z przerzutami pozawątrobowymi.</w:t>
            </w:r>
          </w:p>
          <w:p w14:paraId="5A96F828" w14:textId="3E6E81D3" w:rsidR="00D71BA7" w:rsidRPr="00880D84" w:rsidRDefault="00D71BA7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D71BA7" w:rsidRPr="00880D84" w14:paraId="3470220E" w14:textId="77777777" w:rsidTr="00D71BA7">
        <w:trPr>
          <w:cantSplit/>
          <w:trHeight w:val="682"/>
        </w:trPr>
        <w:tc>
          <w:tcPr>
            <w:tcW w:w="2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014F6" w14:textId="77777777" w:rsidR="00D71BA7" w:rsidRPr="00880D84" w:rsidRDefault="00D71BA7" w:rsidP="00D71BA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0F5F7" w14:textId="6824B627" w:rsidR="00D71BA7" w:rsidRPr="00880D84" w:rsidRDefault="00D71BA7" w:rsidP="00D71BA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Avastin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8BAFA" w14:textId="636CEA15" w:rsidR="00D71BA7" w:rsidRPr="00880D84" w:rsidRDefault="00D71BA7" w:rsidP="00D71BA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bewacyzu</w:t>
            </w: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9F624" w14:textId="645D0164" w:rsidR="00D71BA7" w:rsidRPr="00880D84" w:rsidRDefault="00D71BA7" w:rsidP="00D71BA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C.82.d.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4B472" w14:textId="5F0B4A65" w:rsidR="00D71BA7" w:rsidRPr="00880D84" w:rsidRDefault="00D71BA7" w:rsidP="00D71BA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BEVACIZUMABUM</w:t>
            </w:r>
          </w:p>
        </w:tc>
        <w:tc>
          <w:tcPr>
            <w:tcW w:w="1659" w:type="pct"/>
            <w:vMerge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B4C70" w14:textId="5C6AFC8D" w:rsidR="00D71BA7" w:rsidRPr="00880D84" w:rsidRDefault="00D71BA7" w:rsidP="00D71BA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39096A" w:rsidRPr="00880D84" w14:paraId="0019EE1E" w14:textId="77777777" w:rsidTr="00C64949">
        <w:trPr>
          <w:cantSplit/>
          <w:trHeight w:val="74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11B2" w14:textId="658481BF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0B501" w14:textId="3D519A3D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Kadcyla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CAAF4" w14:textId="7E96E235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trastuzumab emtanzyna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6FFFA" w14:textId="38300112" w:rsidR="0039096A" w:rsidRPr="00880D84" w:rsidRDefault="002B1197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B.9.FM.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C92E" w14:textId="76EAE123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PIERSI (ICD-10 C50)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235E2" w14:textId="2BCC061C" w:rsidR="0039096A" w:rsidRPr="00880D84" w:rsidRDefault="0039096A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pooperacyjne wczesnego, HER2-dodatniego raka piersi z chorobą resztkową</w:t>
            </w:r>
          </w:p>
        </w:tc>
      </w:tr>
      <w:tr w:rsidR="00C24E46" w:rsidRPr="00880D84" w14:paraId="044EEB5D" w14:textId="77777777" w:rsidTr="00C64949">
        <w:trPr>
          <w:cantSplit/>
          <w:trHeight w:val="1692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B38F7" w14:textId="510A38D0" w:rsidR="00C24E46" w:rsidRPr="00880D84" w:rsidRDefault="00986C4C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52B01" w14:textId="10B9F42C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Piqray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A5F2" w14:textId="48D908C9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alpelisyb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E13EC" w14:textId="6BD93202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B.9.FM</w:t>
            </w:r>
            <w:r w:rsidR="00E26F6A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F2ADD" w14:textId="40F47D91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PIERSI (ICD-10: C50)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1FD70" w14:textId="7D067045" w:rsidR="00C24E46" w:rsidRPr="00880D84" w:rsidRDefault="00C24E46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 lub II linii przerzutowego HER-2 ujemnego raka piersi z obecnością mutacji </w:t>
            </w: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PIK3CA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472C29DD" w14:textId="5BE4A2C1" w:rsidR="00C24E46" w:rsidRPr="00880D84" w:rsidRDefault="00C24E46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Terapia skojarzona z fluwestrantem, stosowana po progresji lub nawrocie raka piersi w trakcie lub po zakończeniu leczenia hormonalnego z zastosowaniem inhibitora aromatazy.</w:t>
            </w:r>
          </w:p>
        </w:tc>
      </w:tr>
      <w:tr w:rsidR="00C24E46" w:rsidRPr="00880D84" w14:paraId="45CA1288" w14:textId="77777777" w:rsidTr="00C64949">
        <w:trPr>
          <w:cantSplit/>
          <w:trHeight w:val="126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1945C" w14:textId="79B42D60" w:rsidR="00C24E46" w:rsidRPr="00880D84" w:rsidRDefault="00986C4C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7605" w14:textId="6D44A3B2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Talzenna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D8D88" w14:textId="7D48DED8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talazoparyb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B93F1" w14:textId="066061CE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B.9.FM</w:t>
            </w:r>
            <w:r w:rsidR="00E26F6A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75000" w14:textId="007EA595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PIERSI (ICD-10: C50)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50CD4" w14:textId="15A3014D" w:rsidR="00C24E46" w:rsidRPr="00880D84" w:rsidRDefault="00C24E46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II lub III linii przerzutowego HER-2 ujemnego raka piersi z obecnością mutacji w genach BRCA 1/2, po uprzednim zastosowaniu hormonoterapii z lub bez inhibitorów CDK4/6.</w:t>
            </w:r>
          </w:p>
        </w:tc>
      </w:tr>
      <w:tr w:rsidR="00C24E46" w:rsidRPr="00880D84" w14:paraId="2ECFFB00" w14:textId="77777777" w:rsidTr="00C64949">
        <w:trPr>
          <w:cantSplit/>
          <w:trHeight w:val="102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EA77F" w14:textId="2C3413B4" w:rsidR="00C24E46" w:rsidRPr="00880D84" w:rsidRDefault="00986C4C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5.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CB12B" w14:textId="297594FB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Talzenna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862E" w14:textId="1EE13465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talazoparyb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95819" w14:textId="3A94BEAE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B.9.FM</w:t>
            </w:r>
            <w:r w:rsidR="00E26F6A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57234" w14:textId="6561B742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PIERSI (ICD-10: C50)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AF46E" w14:textId="70C058CF" w:rsidR="00C24E46" w:rsidRPr="00880D84" w:rsidRDefault="00C24E46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 lub II linii przerzutowego potrójnie ujemnego raka piersi z obecnością mutacji w genach </w:t>
            </w: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BRCA 1/2.</w:t>
            </w:r>
          </w:p>
        </w:tc>
      </w:tr>
      <w:tr w:rsidR="00C24E46" w:rsidRPr="00880D84" w14:paraId="2693D9E7" w14:textId="77777777" w:rsidTr="00C64949">
        <w:trPr>
          <w:cantSplit/>
          <w:trHeight w:val="197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3979D" w14:textId="328A807B" w:rsidR="00C24E46" w:rsidRPr="00880D84" w:rsidRDefault="00986C4C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6.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5115" w14:textId="1E1BE461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Trodelvy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F4D72" w14:textId="2F15155C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sacytuzumab gowitekan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AFECE" w14:textId="7763DE71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B.9.FM</w:t>
            </w:r>
            <w:r w:rsidR="00E26F6A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E105C" w14:textId="1B4C6CC8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PIERSI (ICD-10: C50)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5F3BF" w14:textId="49F67622" w:rsidR="00C24E46" w:rsidRPr="00880D84" w:rsidRDefault="00C24E46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II lub III linii przerzutowego potrójnie ujemnego </w:t>
            </w:r>
            <w:r w:rsidR="00D71BA7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raka piersi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 przypadku pacjentów, którzy wcześniej otrzymali co najmniej dwie linie leczenia systemowego.</w:t>
            </w:r>
          </w:p>
          <w:p w14:paraId="6D5665FF" w14:textId="5B5E4CA2" w:rsidR="00C24E46" w:rsidRPr="00880D84" w:rsidRDefault="00C24E46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Technologia lekowa o wysokim poziomie innowacyjności (technologia finansowana z Funduszu Medycznego)</w:t>
            </w:r>
          </w:p>
        </w:tc>
      </w:tr>
      <w:tr w:rsidR="0039096A" w:rsidRPr="00880D84" w14:paraId="045D80D5" w14:textId="77777777" w:rsidTr="00C64949">
        <w:trPr>
          <w:cantSplit/>
          <w:trHeight w:val="97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9DED2" w14:textId="099D6C28" w:rsidR="0039096A" w:rsidRPr="00880D84" w:rsidRDefault="00986C4C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7</w:t>
            </w:r>
            <w:r w:rsidR="0039096A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5EE75" w14:textId="51647046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Cabometyx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0C58" w14:textId="15341D00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kabozantynib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85FF7" w14:textId="0B494E3D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651F5" w14:textId="164B2758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RAKIEM NERKI (ICD-10 C64)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30BEF" w14:textId="5C3122C0" w:rsidR="0039096A" w:rsidRPr="00880D84" w:rsidRDefault="0039096A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Monoterapia w I linii leczenia raka nerkowokomórkowego w przypadku rokowania pośredniego i niekorzystnego</w:t>
            </w:r>
          </w:p>
        </w:tc>
      </w:tr>
      <w:tr w:rsidR="0039096A" w:rsidRPr="00880D84" w14:paraId="5F9B6B42" w14:textId="77777777" w:rsidTr="00C64949">
        <w:trPr>
          <w:cantSplit/>
          <w:trHeight w:val="69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416EA" w14:textId="118829AB" w:rsidR="0039096A" w:rsidRPr="00880D84" w:rsidRDefault="00986C4C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="0039096A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FD6F1" w14:textId="640EFA09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Cabo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metyx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59D69" w14:textId="2D9B26C1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kabozantynib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4B862" w14:textId="342A7AC7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26F61" w14:textId="5CB4F4C4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RAKIEM NERKI (ICD-10 C64)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7A5AB" w14:textId="251EE031" w:rsidR="0039096A" w:rsidRPr="00880D84" w:rsidRDefault="0039096A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Monoterapia w III linii leczenia raka nerkowokomórkowego</w:t>
            </w:r>
          </w:p>
        </w:tc>
      </w:tr>
      <w:tr w:rsidR="0039096A" w:rsidRPr="00880D84" w14:paraId="34F09147" w14:textId="77777777" w:rsidTr="00C64949">
        <w:trPr>
          <w:cantSplit/>
          <w:trHeight w:val="79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B085" w14:textId="09FC5258" w:rsidR="0039096A" w:rsidRPr="00880D84" w:rsidRDefault="00986C4C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9</w:t>
            </w:r>
            <w:r w:rsidR="0039096A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CD95" w14:textId="2C8B7B3D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Opdivo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9C337" w14:textId="7E0398EA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niwolumab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2F903" w14:textId="6B0E4D54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7AE5F" w14:textId="1EB98754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RAKIEM NERKI (ICD-10 C64)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95AE3" w14:textId="4E896613" w:rsidR="0039096A" w:rsidRPr="00880D84" w:rsidRDefault="0039096A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Monoterapia w III linii leczenia raka nerkowokomórkowego</w:t>
            </w:r>
          </w:p>
        </w:tc>
      </w:tr>
      <w:tr w:rsidR="00146A54" w:rsidRPr="00880D84" w14:paraId="02F3174F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B8FE6" w14:textId="60EB0AA1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10.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C66CA" w14:textId="708F9B9C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Opdivo + Yervoy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0D28" w14:textId="50519B0C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niwolumab+ ipilimumab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56CBB" w14:textId="65B5F100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91A6C" w14:textId="0FEB7E72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bookmarkStart w:id="0" w:name="_Hlk101258012"/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RAKIEM NERKI (ICD-10 C64)</w:t>
            </w:r>
            <w:bookmarkEnd w:id="0"/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78EEF" w14:textId="585E8F0A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Terapia skojarzona w I linii leczenia raka nerkowokomórkowego w przypadku rokowania pośredniego i niekorzystnego</w:t>
            </w:r>
          </w:p>
        </w:tc>
      </w:tr>
      <w:tr w:rsidR="00146A54" w:rsidRPr="00880D84" w14:paraId="6302BDAC" w14:textId="77777777" w:rsidTr="00C64949">
        <w:trPr>
          <w:cantSplit/>
          <w:trHeight w:val="103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23054" w14:textId="03EEB40A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  <w:r w:rsidR="00146A54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4D0B2" w14:textId="081DC876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Różne produkty handlowe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70FC3" w14:textId="79A01D5F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eweroli</w:t>
            </w: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mus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4702C" w14:textId="0E93C2CC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03B00" w14:textId="55A4B432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RAKIEM NERKI (ICD-10 C64)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1C2D3" w14:textId="7777777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Monoterapia w III linii leczenia raka nerkowokomórkowego</w:t>
            </w:r>
          </w:p>
          <w:p w14:paraId="2D2441F2" w14:textId="1ABBD845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(wskazanie off-label)</w:t>
            </w:r>
          </w:p>
        </w:tc>
      </w:tr>
      <w:tr w:rsidR="00146A54" w:rsidRPr="00880D84" w14:paraId="0CFAB685" w14:textId="77777777" w:rsidTr="00C64949">
        <w:trPr>
          <w:cantSplit/>
          <w:trHeight w:val="211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36ABD" w14:textId="5755F2D3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  <w:r w:rsidR="00146A54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2CD24" w14:textId="4D05E2F5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Lynparza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4E147" w14:textId="75E0B58E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olaparyb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33CBA" w14:textId="48A1FFA6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B.50.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DA6E6" w14:textId="09D94EE9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CHORYCH NA RAKA JAJNIKA, RAKA JAJOWODU LUB RAKA OTRZEWNEJ (ICD-10: C56, C57, C48)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8C503" w14:textId="70B4FEAF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olaparybem w skojarzeniu z bewcyzumabem pacjentek 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 xml:space="preserve">z nowo zdiagnozowanym zawansowanym, rakiem jajnika (stopień zaawansowania FIGO IV lub III) z obecnością mutacji w genach </w:t>
            </w: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BRCA1/2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 xml:space="preserve"> lub potwierdzonym niedoborem homologicznej rekombinacji (HRD) bez względu na obecność choroby resztkowej.</w:t>
            </w:r>
          </w:p>
        </w:tc>
      </w:tr>
      <w:tr w:rsidR="00146A54" w:rsidRPr="00880D84" w14:paraId="02A7B50D" w14:textId="77777777" w:rsidTr="00C64949">
        <w:trPr>
          <w:cantSplit/>
          <w:trHeight w:val="140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1D676" w14:textId="57DFFB99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D1AA7" w14:textId="55EF3185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Zejula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42B79" w14:textId="544BA856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niraparyb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47A48" w14:textId="670C6EDF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B.50.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3CDE9" w14:textId="298D154B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CHORYCH NA RAKA JAJNIKA, RAKA JAJOWODU LUB RAKA OTRZEWNEJ (ICD-10: C56, C57, C48)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F2E80" w14:textId="6A9B68B2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I linia leczenia podtrzymującego noworozpoznanego zaawansowanego raka jajnika, jajowodu lub pierwotnego raka otrzewnej, niezależnie od stanu mutacji w genach BRCA1/BRCA2</w:t>
            </w:r>
          </w:p>
        </w:tc>
      </w:tr>
      <w:tr w:rsidR="00146A54" w:rsidRPr="00880D84" w14:paraId="29F0788A" w14:textId="77777777" w:rsidTr="00C64949">
        <w:trPr>
          <w:cantSplit/>
          <w:trHeight w:val="14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ADAD" w14:textId="2A80D19D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4BC77" w14:textId="0C435795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Keytruda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EC2F4" w14:textId="0E83A3A8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pembrolizumab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9B414" w14:textId="6B2A242B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 52. 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3646" w14:textId="4ABA720B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PŁASKONABŁONKOWEGO RAKA NARZĄDÓW GŁOWY I SZYI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4FF3C" w14:textId="02851DEE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Objęcie refundacją w pierwszej linii terapii płaskonabłonkowego raka jamy ustnej, gardła lub krtani substancji czynnej </w:t>
            </w: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pembrolizumab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monoterapii lub terapii łączonej z chemioterapią u pacjentów z ekspresją CPS ≥ 1</w:t>
            </w:r>
          </w:p>
        </w:tc>
      </w:tr>
      <w:tr w:rsidR="00146A54" w:rsidRPr="00880D84" w14:paraId="53519397" w14:textId="77777777" w:rsidTr="00C64949">
        <w:trPr>
          <w:cantSplit/>
          <w:trHeight w:val="148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39579" w14:textId="37E67262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15.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A1F6C" w14:textId="7598B99B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Darzalex (s.c.)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42B42" w14:textId="7F155894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daratumumab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C3F38" w14:textId="70F42DE8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B.54.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222AF" w14:textId="62921F21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SZPICZAKA PLAZMOCYTOWEGO (ICD-10: C90.0)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12CF3" w14:textId="061A1755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II-IV linia leczenia dorosłych pacjentów z opornym lub nawrotowym szpiczakiem plazmocytowym – leczenie daratumumabem (w formie podskórnej) w skojarzeniu z bortezomibem i deksametazonem</w:t>
            </w:r>
          </w:p>
          <w:p w14:paraId="1AB9572A" w14:textId="7FE638B2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146A54" w:rsidRPr="00880D84" w14:paraId="1857779B" w14:textId="77777777" w:rsidTr="00C64949">
        <w:trPr>
          <w:cantSplit/>
          <w:trHeight w:val="1521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70D2E" w14:textId="482273BF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16.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18B55" w14:textId="4C56467C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Imnovid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B0BC0" w14:textId="24DAECC6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pomalidomid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EB6B6" w14:textId="7DBA26B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B.54.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46EF6" w14:textId="696C42EC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SZPICZAKA PLAZMOCYTOWEGO (ICD-10: C90.0)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4F18" w14:textId="2F157B5D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II-IV linia leczenia dorosłych pacjentów z opornym lub nawrotowym szpiczakiem plazmocytowym – leczenie pomalidomidem w skojarzeniu z bortezomibem i deksametazonem</w:t>
            </w:r>
          </w:p>
          <w:p w14:paraId="06E19D2D" w14:textId="18F7331F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146A54" w:rsidRPr="00880D84" w14:paraId="2FCB8661" w14:textId="77777777" w:rsidTr="00C64949">
        <w:trPr>
          <w:cantSplit/>
          <w:trHeight w:val="1271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8C929" w14:textId="4468EE39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17</w:t>
            </w:r>
            <w:r w:rsidR="00146A54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9F040" w14:textId="39C8221E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Revlimid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2B697" w14:textId="4DD19F41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lenalidomid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3BBEA" w14:textId="7DD76FF4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B.54.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CB98E" w14:textId="4CEEE0B2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SZPICZAKA PLAZMOCYTOWEGO (ICD-10: C90.0)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7433E" w14:textId="032EECA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 linia leczenia dorosłych pacjentów z nieleczonym uprzednio szpiczakiem plazmocytowym – leczenie lenalidomidem w skojarzeniu z deksametazonem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(Choroba rzadka)</w:t>
            </w:r>
          </w:p>
        </w:tc>
      </w:tr>
      <w:tr w:rsidR="00146A54" w:rsidRPr="00880D84" w14:paraId="3E334ABB" w14:textId="77777777" w:rsidTr="00C64949">
        <w:trPr>
          <w:cantSplit/>
          <w:trHeight w:val="145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EFD73" w14:textId="605658CB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986C4C" w:rsidRPr="00880D84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DFD2" w14:textId="3A3969EE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Revlimid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05A3A" w14:textId="47A1B032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lenalidomid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21BDE" w14:textId="20F14BC0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B.54.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E15A" w14:textId="63F3D991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SZPICZAKA PLAZMOCYTOWEGO (ICD-10: C90.0)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E8132" w14:textId="7777777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 linia leczenia dorosłych pacjentów z nieleczonym uprzednio szpiczakiem plazmocytowym – leczenie lenalidomidem w skojarzeniu z bortezomibem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i deksametazonem</w:t>
            </w:r>
          </w:p>
          <w:p w14:paraId="0B28FB09" w14:textId="04DF15C3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146A54" w:rsidRPr="00880D84" w14:paraId="39005D91" w14:textId="77777777" w:rsidTr="00C64949">
        <w:trPr>
          <w:cantSplit/>
          <w:trHeight w:val="9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E6514" w14:textId="73B0D492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986C4C" w:rsidRPr="00880D84">
              <w:rPr>
                <w:rFonts w:asciiTheme="majorHAnsi" w:hAnsiTheme="majorHAnsi" w:cstheme="majorHAnsi"/>
                <w:sz w:val="20"/>
                <w:szCs w:val="20"/>
              </w:rPr>
              <w:t>9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895F2" w14:textId="66073B3C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Erleada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D2B0B" w14:textId="3E785134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apalutamid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945CC" w14:textId="08AFB4B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B.56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7863D" w14:textId="6AE36E03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1" w:name="_Hlk95803576"/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OPORNEGO NA KASTRACJĘ RAKA GRUCZOŁU KROKOWEGO (ICD-10 C61)</w:t>
            </w:r>
            <w:bookmarkEnd w:id="1"/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D591B" w14:textId="33172160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opornego na kastrację raka gruczołu krokowego bez przerzutów</w:t>
            </w:r>
          </w:p>
        </w:tc>
      </w:tr>
      <w:tr w:rsidR="00146A54" w:rsidRPr="00880D84" w14:paraId="212C88E8" w14:textId="77777777" w:rsidTr="00C64949">
        <w:trPr>
          <w:cantSplit/>
          <w:trHeight w:val="981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247C9" w14:textId="10DAA4CD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20</w:t>
            </w:r>
            <w:r w:rsidR="00146A54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C820" w14:textId="19682DCE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Nubeqa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27939" w14:textId="4CB1E7B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darolutamid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15474" w14:textId="57B49530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B.56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1AA54" w14:textId="1184AE19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OPORNEGO NA KASTRACJĘ RAKA GRUCZOŁU KROKOWEGO (ICD-10 C61)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80D8C" w14:textId="6A1E4A6D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opornego na kastrację raka gruczołu krokowego bez przerzutów</w:t>
            </w:r>
          </w:p>
        </w:tc>
      </w:tr>
      <w:tr w:rsidR="00146A54" w:rsidRPr="00880D84" w14:paraId="3BA356CF" w14:textId="77777777" w:rsidTr="00C64949">
        <w:trPr>
          <w:cantSplit/>
          <w:trHeight w:val="98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CE5FA" w14:textId="435F1A84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21</w:t>
            </w:r>
            <w:r w:rsidR="00146A54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F7C69" w14:textId="271A394D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Xtandi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4CB1F" w14:textId="3415028F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enzalutamid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12B38" w14:textId="45CC41EE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B.56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DDB4" w14:textId="2A17B765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OPORNEGO NA KASTRACJĘ RAKA GRUCZOŁU KROKOWEGO (ICD-10 C61)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CF17" w14:textId="35E02B71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opornego na kastrację raka gruczołu krokowego bez przerzutów</w:t>
            </w:r>
          </w:p>
        </w:tc>
      </w:tr>
      <w:tr w:rsidR="00146A54" w:rsidRPr="00880D84" w14:paraId="3C6CBE16" w14:textId="77777777" w:rsidTr="00C64949">
        <w:trPr>
          <w:cantSplit/>
          <w:trHeight w:val="140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92B7D" w14:textId="3F9E6F51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60DBD" w14:textId="33AB441A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Cyramza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CF66" w14:textId="4C606F9D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ramucyrumab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63752" w14:textId="2AA6AF88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B.58.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538A1" w14:textId="57A8B18C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ZAAWANSOWANEGO RAKA PRZEŁYKU I ŻOŁĄDKA (ICD-10: C15-C16)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A4B70" w14:textId="7DB02A16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II linii zaawansowanego raka żołądka w przypadku pacjentów, u których wykazano progresję choroby po wcześniejszej chemioterapii pochodnymi platyny i fluoropirymidyną. Terapia skojarzona z paklitakselem.</w:t>
            </w:r>
          </w:p>
        </w:tc>
      </w:tr>
      <w:tr w:rsidR="00146A54" w:rsidRPr="00880D84" w14:paraId="79BB4D43" w14:textId="77777777" w:rsidTr="00C64949">
        <w:trPr>
          <w:cantSplit/>
          <w:trHeight w:val="12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73E31" w14:textId="31759689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9C281" w14:textId="6A4B9336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Opdivo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7AD7F" w14:textId="705B7D51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niwolumab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7CAC9" w14:textId="00E3928D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B.58.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B5F35" w14:textId="3579E418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ZAAWANSOWANEGO RAKA PRZEŁYKU I ŻOŁĄDKA (ICD-10: C15-C16)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03419" w14:textId="20304164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II linii zaawansowanego raka przełyku w przypadku pacjentów, którzy wcześniej otrzymywali chemioterapię opartą na pochodnych platyny w skojarzeniu z fluoropirymidyną.</w:t>
            </w:r>
          </w:p>
        </w:tc>
      </w:tr>
      <w:tr w:rsidR="00146A54" w:rsidRPr="00880D84" w14:paraId="30B5FC26" w14:textId="77777777" w:rsidTr="00C64949">
        <w:trPr>
          <w:cantSplit/>
          <w:trHeight w:val="196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6B03C" w14:textId="7CEA76A1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3DD38" w14:textId="1E8FADCB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Inrebic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A64A5" w14:textId="090B04AA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fedratynib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3C35E" w14:textId="06BE9EEA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B.81.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AB42F" w14:textId="5260AC35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MIELOFIBROZY PIERWOTNEJ ORAZ MIELOFIBROZY WTÓRNEJ W PRZEBIEGU CZERWIENICY PRAWDZIWEJ I NADPŁYTKOWOŚCI SAMOISTNEJ (ICD-10: D47.1)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F358B" w14:textId="7BC79E5F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fedratynibem chorych na mielofibrozę pierwotną lub mielofibrozę wtórną w przebiegu czerwienicy prawdziwej lub nadpłytkowości samoistnej, którzy nie byli wcześniej leczeni inhibitorami kinazy janusowej lub byli wcześniej leczeni ruksolitynibem.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(Choroba rzadka)</w:t>
            </w:r>
          </w:p>
        </w:tc>
      </w:tr>
      <w:tr w:rsidR="00146A54" w:rsidRPr="00880D84" w14:paraId="330371A0" w14:textId="77777777" w:rsidTr="00C64949">
        <w:trPr>
          <w:cantSplit/>
          <w:trHeight w:val="143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67BA5" w14:textId="64F0CCF5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24FD1" w14:textId="541D12C4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Lynparza 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CEDE8" w14:textId="7A65BCD2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olaparyb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7CC1" w14:textId="2C09B96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B.85.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1B6AD" w14:textId="0C1A7AAA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GRUCZOLAKORAKIEM TRZUSTKI (ICD-10 C 25.0, C 25.1, C 25.2, C 25.3, C 25.5, C 25.6, C 25.7, C 25.8, C 25.9)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A1564" w14:textId="7B0E0AB6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podtrzymujące pacjentów z gruczolakorakiem trzustki z mutacją w genach </w:t>
            </w: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BRCA1/2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u których zakończono co najmniej 16-tygodniowy cykl chemioterapii z udziałem pochodnych platyny.</w:t>
            </w:r>
          </w:p>
        </w:tc>
      </w:tr>
      <w:tr w:rsidR="00146A54" w:rsidRPr="00880D84" w14:paraId="1BD56362" w14:textId="77777777" w:rsidTr="00C64949">
        <w:trPr>
          <w:cantSplit/>
          <w:trHeight w:val="197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EF13A" w14:textId="1392D8B2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26.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F824" w14:textId="38E379CE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Kymriah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44E27" w14:textId="09C4AD74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tisagenlecleucel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6F62D" w14:textId="593EF7E8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B.93.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96508" w14:textId="7777777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CHŁONIAKI ROZLANE Z DUŻYCH KOMÓREK B ORAZ INNE CHŁONIAKI</w:t>
            </w:r>
          </w:p>
          <w:p w14:paraId="202EE52E" w14:textId="6665D75E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B-KOMÓRKOWE (ICD-10: C83, C85)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42DD4" w14:textId="7777777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III i kolejne linie leczenia dorosłych chorych na chłoniaka rozlanego z dużych komórek B (DLBCL), chłoniaka z komórek B o wysokim stopniu złośliwości (HGBCL) oraz stransformowanego w DLBCL chłoniaka grudkowego (TFL). Kolejna terapia CAR-T.</w:t>
            </w:r>
          </w:p>
          <w:p w14:paraId="421ADE77" w14:textId="775F0171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146A54" w:rsidRPr="00880D84" w14:paraId="4398F4F4" w14:textId="77777777" w:rsidTr="00C64949">
        <w:trPr>
          <w:cantSplit/>
          <w:trHeight w:val="236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6188C" w14:textId="5B06872F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27</w:t>
            </w:r>
            <w:r w:rsidR="00146A54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86211" w14:textId="226DE473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Polivy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6EA48" w14:textId="6CE1CDF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polatuzu</w:t>
            </w: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mab wedotyny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6D0A1" w14:textId="2DA773CB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B.93.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FE5A" w14:textId="7777777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CHŁONIAKI ROZLANE Z DUŻYCH KOMÓREK B ORAZ INNE CHŁONIAKI</w:t>
            </w:r>
          </w:p>
          <w:p w14:paraId="5BCE8FB9" w14:textId="295780BD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B-KOMÓRKOWE (ICD-10: C83, C85)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2956C" w14:textId="662A6418" w:rsidR="00146A54" w:rsidRPr="00880D84" w:rsidRDefault="00146A54" w:rsidP="00C6494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II i kolejne linie leczenia dorosłych chorych na nawrotowego lub opornego chłoniaka rozlanego z dużych komórek B (DLBCL) niekwalifikujących się do przeszczepienia krwiotwórczych komórek macierzystych - leczenie polatuzumabem wedotyny w skojarzeniu z bendamustyną i rytuksumabem</w:t>
            </w:r>
          </w:p>
          <w:p w14:paraId="1E6C80E1" w14:textId="215B2402" w:rsidR="00146A54" w:rsidRPr="00880D84" w:rsidRDefault="00146A54" w:rsidP="00C6494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146A54" w:rsidRPr="00880D84" w14:paraId="45CB042E" w14:textId="77777777" w:rsidTr="00C64949">
        <w:trPr>
          <w:cantSplit/>
          <w:trHeight w:val="1391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8134" w14:textId="61F1D2CB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9B13C" w14:textId="52768060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Revlimid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122B0" w14:textId="2727C6E8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lenalidomid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C9641" w14:textId="3C067891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B.93.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CE6B2" w14:textId="1224E9AD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CHŁONIAKI ROZLANE Z DUŻYCH KOMÓREK B ORAZ INNE CHŁONIAKI B-KOMÓRKOWE (ICD-10: C83, C85)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B2584" w14:textId="034EC73C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lenalidomidem dorosłych chorych na opornego lub nawrotowego chłoniaka z komórek płaszcza (ICD-10: C85.7).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(Choroba rzadka)</w:t>
            </w:r>
          </w:p>
        </w:tc>
      </w:tr>
      <w:tr w:rsidR="00146A54" w:rsidRPr="00880D84" w14:paraId="1E8741EC" w14:textId="77777777" w:rsidTr="00C64949">
        <w:trPr>
          <w:cantSplit/>
          <w:trHeight w:val="2615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A1DD7" w14:textId="04F6DC8D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29</w:t>
            </w:r>
            <w:r w:rsidR="00146A54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79BD8" w14:textId="4081170D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Yescarta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28609" w14:textId="335E1BA6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aksykabtagen cyloleucel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D591" w14:textId="3C57858C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B.93.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B2853" w14:textId="7777777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CHŁONIAKI ROZLANE Z DUŻYCH KOMÓREK B ORAZ INNE CHŁONIAKI</w:t>
            </w:r>
          </w:p>
          <w:p w14:paraId="58FA14C2" w14:textId="3536B12C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B-KOMÓRKOWE (ICD-10: C83, C85)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7C798" w14:textId="003E0C76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III i kolejne linie leczenia dorosłych chorych na chłoniaka rozlanego z dużych komórek B (DLBCL), pierwotnego chłoniaka śródpiersia z dużych komórek B (PMBCL), chłoniaka z komórek B o wysokim stopniu złośliwości (HGBCL) oraz stransformowanego w DLBCL chłoniaka grudkowego (TFL)</w:t>
            </w:r>
          </w:p>
          <w:p w14:paraId="0CF0C732" w14:textId="7777777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Kolejna terapia CAR-T.</w:t>
            </w:r>
          </w:p>
          <w:p w14:paraId="0CFB44B3" w14:textId="0C168CC1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146A54" w:rsidRPr="00880D84" w14:paraId="0A75AC66" w14:textId="77777777" w:rsidTr="00C64949">
        <w:trPr>
          <w:cantSplit/>
          <w:trHeight w:val="197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B50AC" w14:textId="67CF7BD0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30.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2CA79" w14:textId="1E5C99CB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Mylotarg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E64B0" w14:textId="6184B4AB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gemtuzumab ozogamycyny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9A0F5" w14:textId="3B13FF9B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B.114.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0BBDC" w14:textId="3A7A3DA1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OSTRĄ BIAŁACZKĘ SZPIKOWĄ (ICD-10: C92.0)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629EE" w14:textId="5E1832B5" w:rsidR="00146A54" w:rsidRPr="00880D84" w:rsidRDefault="00146A54" w:rsidP="00146A54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gemtuzumabem ozogamycyny w skojarzeniu z daunorubicyną i cytarabiną chorych w wieku 15 lat i powyżej na nowo rozpoznaną ostrą białaczkę szpikową występującą </w:t>
            </w: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de novo,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kwalifikujących się do intensywnej chemioterapii indukującej</w:t>
            </w:r>
          </w:p>
          <w:p w14:paraId="05E3AD22" w14:textId="45936C72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146A54" w:rsidRPr="00880D84" w14:paraId="1057A7F9" w14:textId="77777777" w:rsidTr="00C64949">
        <w:trPr>
          <w:cantSplit/>
          <w:trHeight w:val="1688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F1F8B" w14:textId="2DEAE0BE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9CDD2" w14:textId="43B43B3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Venclyxto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9BF37" w14:textId="745072BC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wenetoklaks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97739" w14:textId="4D4E9A9F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B.114.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A22C" w14:textId="7E9B0BF2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OSTRĄ BIAŁACZKĘ SZPIKOWĄ (ICD-10: C92.0)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BB71B" w14:textId="296D385E" w:rsidR="00146A54" w:rsidRPr="00880D84" w:rsidRDefault="00146A54" w:rsidP="00146A54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wenetoklaksem w skojarzeniu z azacytydyną dorosłych chorych na nowo rozpoznaną ostrą białaczkę szpikową występującą </w:t>
            </w: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de novo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lub wtórną, niekwalifikujących się do intensywnej chemioterapii</w:t>
            </w:r>
          </w:p>
          <w:p w14:paraId="6AAD2B01" w14:textId="5BBC3B08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146A54" w:rsidRPr="00880D84" w14:paraId="7025082D" w14:textId="77777777" w:rsidTr="00C64949">
        <w:trPr>
          <w:cantSplit/>
          <w:trHeight w:val="127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E059B" w14:textId="3E84E443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9C035" w14:textId="5F3192E6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Xospata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F943C" w14:textId="0BDD581A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gilterytynib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6999C" w14:textId="4589890E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B.114.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FF161" w14:textId="1D26478A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OSTRĄ BIAŁACZKĘ SZPIKOWĄ (ICD-10: C92.0)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823A8" w14:textId="7D7C6CF7" w:rsidR="00146A54" w:rsidRPr="00880D84" w:rsidRDefault="00146A54" w:rsidP="00146A54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gilterytynibem dorosłych chorych na oporną lub nawrotową ostrą białaczkę szpikową </w:t>
            </w: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FLT3+</w:t>
            </w:r>
          </w:p>
          <w:p w14:paraId="7ECBEBE1" w14:textId="534C8AEB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146A54" w:rsidRPr="00880D84" w14:paraId="679F5174" w14:textId="77777777" w:rsidTr="00C64949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9ABC" w14:textId="064A4C55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113D" w14:textId="1A146524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Sylvant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61D36" w14:textId="1B78C5BC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siltuksimab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B8877" w14:textId="034684DC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 131. 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F3425" w14:textId="34FE653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IDIOPATYCZNĄ WIELOOGNISKOWĄ CHOROBĄ CASTLEMANA (ICD-10: D47.7)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02D1B" w14:textId="5CD62109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wieloogniskową chorobą Castlemana w wieku powyżej 18 lat, których choroba nie jest związana z infekcją wirusami HIV oraz HHV-8. Pierwsza refundowana terapia w tej rzadkiej chorobie.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(Choroba rzadka)</w:t>
            </w:r>
          </w:p>
        </w:tc>
      </w:tr>
      <w:tr w:rsidR="00146A54" w:rsidRPr="00880D84" w14:paraId="7D11B9FB" w14:textId="77777777" w:rsidTr="00C64949">
        <w:trPr>
          <w:cantSplit/>
          <w:trHeight w:val="438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10194" w14:textId="021CA4E9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34.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682A7" w14:textId="1DBE2CD0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Prevymis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F0C1F" w14:textId="23C9F989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letermowir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0D7BA" w14:textId="615E2B4F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B.132</w:t>
            </w:r>
            <w:r w:rsidR="0034231B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0EBF1" w14:textId="29CBE48A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STOSOWANIE LETERMOWIRU W CELU ZAPOBIEGANIA REAKTYWACJI CYTOMEGALOWIRUSA (CMV) I ROZWOJOWI CHOROBY U DOROSŁYCH, SEROPOZYTYWNYCH WZGLĘDEM CMV PACJENTÓW, KTÓRZY BYLI PODDANI ZABIEGOWI PRZESZCZEPIENIA ALLOGENICZNYCH KRWIOTWÓRCZYCH KOMÓREK MACIERZYSTYCH (ICD-10: C81, C82, C83, C84, C85, C88, C90, C91, C92, C93, C94, C95, C96, C45, D46, D47, D56, D57, D58, D61, D75, D80, D81, D82, D84)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82935" w14:textId="00EAD090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Lek stosowany w profilaktyce reaktywacji cytomegalowirusa u pacjentów po allogenicznym przeszczepie krwiotwórczych komórek macierzystych.</w:t>
            </w:r>
          </w:p>
        </w:tc>
      </w:tr>
      <w:tr w:rsidR="00146A54" w:rsidRPr="00880D84" w14:paraId="57139782" w14:textId="77777777" w:rsidTr="00C64949">
        <w:trPr>
          <w:cantSplit/>
          <w:trHeight w:val="2672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53CBC" w14:textId="64CE2825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7B06B" w14:textId="6F378F0A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Xgeva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7D495" w14:textId="41777455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denosumab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33E8E" w14:textId="74B06291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B.134</w:t>
            </w:r>
            <w:r w:rsidR="0034231B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3B30A" w14:textId="6105E2DF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ZAPOBIEGANIE POWIKŁANIOM KOSTNYM U DOROSŁYCH PACJENTÓW Z ZAAWANSOWANYM PROCESEM NOWOTWOROWYM OBEJMUJĄCYM KOŚCI Z ZASTOSOWANIEM DENOSUMABU (ICD-10: C18, C19, C20, C34, C50, C61, C64, C67, C79.5, C90.0)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5E3A" w14:textId="4B4FDF81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Zapobieganie powikłaniom kostnym u dorosłych pacjentów z zaawansowanym procesem nowotworowym obejmującym kości, tj. z przerzutami do kości guzów litych w przypadku nietolerancji lub przeciwskazań do zastosowania bisfosfonianów oraz pacjentów ze szpiczakiem plazmocytowym.</w:t>
            </w:r>
          </w:p>
        </w:tc>
      </w:tr>
      <w:tr w:rsidR="00146A54" w:rsidRPr="00880D84" w14:paraId="13BC9427" w14:textId="77777777" w:rsidTr="00C64949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EC848" w14:textId="277B7337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67385" w14:textId="0659BDAB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Lutathera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9334" w14:textId="3BCDFFE5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lutetu (177Lu) oksodotreotyd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DFC37" w14:textId="68DEC590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B.139. 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1D160" w14:textId="454E0931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NOWOTWORAMI NEUROENDOKRYNNYMI UKŁADU POKARMOWEGO Z ZASTOSOWANIEM RADIOFARMACEUTYKÓW (ICD-10: C25.4, C17.0-C17.9, C18.0-C18.4)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7B82" w14:textId="7777777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pacjentów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guzami neuroendokrynnymi trzustki (ICD-10 C 25.4)</w:t>
            </w:r>
          </w:p>
          <w:p w14:paraId="1F8A3268" w14:textId="2F661AD8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(Choroba rzadka)</w:t>
            </w:r>
          </w:p>
        </w:tc>
      </w:tr>
      <w:tr w:rsidR="00146A54" w:rsidRPr="00880D84" w14:paraId="1E0147B3" w14:textId="77777777" w:rsidTr="00C64949">
        <w:trPr>
          <w:cantSplit/>
          <w:trHeight w:val="225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88911" w14:textId="31FE48AF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37.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F022E" w14:textId="7B20AA8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Lutathera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3709B" w14:textId="2F3B09FC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lutetu (177Lu) oksodotreotyd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3D89B" w14:textId="06FAD5A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B.139. 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9742C" w14:textId="5FE3179F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NOWOTWORAMI NEUROENDOKRYNNYMI UKŁADU POKARMOWEGO Z ZASTOSOWANIEM RADIOFARMACEUTYKÓW (ICD-10: C25.4, C17.0-C17.9, C18.0-C18.4)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E1232" w14:textId="7777777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nowotworami neuroendokrynnymi przewodu pokarmowego wywodzącego się ze środkowego odcinka prajelita (MIDGUT) (ICD-10 C17.0-C17.9, C18.0-C18.4)</w:t>
            </w:r>
          </w:p>
          <w:p w14:paraId="1D1A88DD" w14:textId="04DCBD11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146A54" w:rsidRPr="00880D84" w14:paraId="79100AA5" w14:textId="77777777" w:rsidTr="00C64949">
        <w:trPr>
          <w:cantSplit/>
          <w:trHeight w:val="2185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C6E68" w14:textId="2B719331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45BA8" w14:textId="41229289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Bavencio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D07A3" w14:textId="665C659D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awelumab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AB642" w14:textId="480A2C1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B.141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EC4BD" w14:textId="4F3A1F1B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RAKIEM UROTELIALNYM (ICD-10: C61, C65, C66, C67, C68)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E5A6E" w14:textId="03C8256F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podtrzymujące awelumabem pierwszego rzutu raka urotelialnego w stadium miejscowego zaawansowania poza możliwościami miejscowego leczenia o charakterze radykalnym lub w stadium uogólnienia u pacjentów, u których nie doszło do progresji choroby podczas stosowania chemioterapii paliatywnej opartej na pochodnych platyny</w:t>
            </w:r>
          </w:p>
        </w:tc>
      </w:tr>
      <w:tr w:rsidR="00146A54" w:rsidRPr="00880D84" w14:paraId="30410EA2" w14:textId="77777777" w:rsidTr="00C64949">
        <w:trPr>
          <w:cantSplit/>
          <w:trHeight w:val="3122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CFCC8" w14:textId="3EDA09F3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39</w:t>
            </w:r>
            <w:r w:rsidR="00146A54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A3D88" w14:textId="478F964E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Różne produkty handlowe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738B6" w14:textId="31B28681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oksaliplatyna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81B2" w14:textId="08E275C6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C.46.b.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772DC" w14:textId="384B4D25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OXALIPLATINUM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ED473" w14:textId="77777777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Nowe wskazania do stosowania oksaliplatyny wg klasyfikacji ICD-10:</w:t>
            </w:r>
          </w:p>
          <w:p w14:paraId="01C92B27" w14:textId="77777777" w:rsidR="00146A54" w:rsidRPr="00880D84" w:rsidRDefault="00146A54" w:rsidP="0034231B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ind w:left="325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C81-C85 (+ wybrane rozszerzenia) - chłoniaki;</w:t>
            </w:r>
          </w:p>
          <w:p w14:paraId="1D8935CF" w14:textId="77777777" w:rsidR="00146A54" w:rsidRPr="00880D84" w:rsidRDefault="00146A54" w:rsidP="0034231B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ind w:left="325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C22-C24 (+ wybrane rozszerzenia) – nowotwory wątroby, przewodów żółciowych, pęcherzyka żółciowego;</w:t>
            </w:r>
          </w:p>
          <w:p w14:paraId="33E21A59" w14:textId="77777777" w:rsidR="00146A54" w:rsidRPr="00880D84" w:rsidRDefault="00146A54" w:rsidP="0034231B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ind w:left="325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C.88.0 – makroglobulinemia Waldenströma;</w:t>
            </w:r>
          </w:p>
          <w:p w14:paraId="04199224" w14:textId="77777777" w:rsidR="00146A54" w:rsidRPr="00880D84" w:rsidRDefault="00146A54" w:rsidP="0034231B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ind w:left="325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C.88.4 – chłoniak typu MALT</w:t>
            </w:r>
          </w:p>
          <w:p w14:paraId="3879B5D2" w14:textId="64081F54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(Choroby rzadkie)</w:t>
            </w:r>
          </w:p>
        </w:tc>
      </w:tr>
      <w:tr w:rsidR="00146A54" w:rsidRPr="00880D84" w14:paraId="5036261B" w14:textId="77777777" w:rsidTr="00C64949">
        <w:trPr>
          <w:cantSplit/>
          <w:trHeight w:val="140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04BCA" w14:textId="4FF367EA" w:rsidR="00146A54" w:rsidRPr="00880D84" w:rsidRDefault="00986C4C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="004C305B" w:rsidRPr="00880D84"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859F4" w14:textId="1BC6D3A3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Vyxeos liposomal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FA9C0" w14:textId="35B1D135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daunorubicyna + cytarabina</w:t>
            </w:r>
          </w:p>
        </w:tc>
        <w:tc>
          <w:tcPr>
            <w:tcW w:w="71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008DC" w14:textId="01B3B28D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 xml:space="preserve">C.83. 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0BF29" w14:textId="65D58BF5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DAUNORUBICINUM + CYTARABINUM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733CF" w14:textId="72FFFB09" w:rsidR="00146A54" w:rsidRPr="00880D84" w:rsidRDefault="00146A54" w:rsidP="00146A54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dorosłych chorych na nowo rozpoznaną ostrą białaczkę szpikową zależną od terapii (t-AML) lub ostrą białaczkę szpikową z cechami zależnymi od mielodysplazji (AML-MRC)</w:t>
            </w:r>
          </w:p>
          <w:p w14:paraId="3C923633" w14:textId="2E3B7C12" w:rsidR="00146A54" w:rsidRPr="00880D84" w:rsidRDefault="00146A54" w:rsidP="00146A5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</w:tbl>
    <w:p w14:paraId="686D2E82" w14:textId="77777777" w:rsidR="00816802" w:rsidRPr="004D78D6" w:rsidRDefault="00816802" w:rsidP="00816802">
      <w:pPr>
        <w:rPr>
          <w:rFonts w:asciiTheme="majorHAnsi" w:hAnsiTheme="majorHAnsi" w:cstheme="majorHAnsi"/>
          <w:sz w:val="20"/>
          <w:szCs w:val="20"/>
        </w:rPr>
      </w:pPr>
    </w:p>
    <w:p w14:paraId="3F9E140F" w14:textId="77777777" w:rsidR="00816802" w:rsidRPr="004D78D6" w:rsidRDefault="00816802" w:rsidP="00816802">
      <w:pPr>
        <w:suppressAutoHyphens w:val="0"/>
        <w:rPr>
          <w:rFonts w:asciiTheme="majorHAnsi" w:hAnsiTheme="majorHAnsi" w:cstheme="majorHAnsi"/>
          <w:sz w:val="20"/>
          <w:szCs w:val="20"/>
        </w:rPr>
      </w:pPr>
      <w:r w:rsidRPr="004D78D6">
        <w:rPr>
          <w:rFonts w:asciiTheme="majorHAnsi" w:hAnsiTheme="majorHAnsi" w:cstheme="majorHAnsi"/>
          <w:sz w:val="20"/>
          <w:szCs w:val="20"/>
        </w:rPr>
        <w:br w:type="page"/>
      </w:r>
    </w:p>
    <w:p w14:paraId="2E744D54" w14:textId="77777777" w:rsidR="00816802" w:rsidRPr="004D78D6" w:rsidRDefault="00816802" w:rsidP="00816802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3"/>
        <w:gridCol w:w="1509"/>
        <w:gridCol w:w="1853"/>
        <w:gridCol w:w="1993"/>
        <w:gridCol w:w="3546"/>
        <w:gridCol w:w="4500"/>
      </w:tblGrid>
      <w:tr w:rsidR="00816802" w:rsidRPr="00880D84" w14:paraId="03B15345" w14:textId="77777777" w:rsidTr="00E23C62">
        <w:trPr>
          <w:cantSplit/>
          <w:trHeight w:val="20"/>
        </w:trPr>
        <w:tc>
          <w:tcPr>
            <w:tcW w:w="5000" w:type="pct"/>
            <w:gridSpan w:val="6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76D1A" w14:textId="692091DA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Nowe wskazania nieonkologiczne</w:t>
            </w:r>
          </w:p>
        </w:tc>
      </w:tr>
      <w:tr w:rsidR="00816802" w:rsidRPr="00880D84" w14:paraId="0B21BDF5" w14:textId="77777777" w:rsidTr="00986C4C">
        <w:trPr>
          <w:cantSplit/>
          <w:trHeight w:val="20"/>
        </w:trPr>
        <w:tc>
          <w:tcPr>
            <w:tcW w:w="21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422DB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39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A0C85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leku</w:t>
            </w:r>
          </w:p>
        </w:tc>
        <w:tc>
          <w:tcPr>
            <w:tcW w:w="66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EFF71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Substancja czynna</w:t>
            </w:r>
          </w:p>
        </w:tc>
        <w:tc>
          <w:tcPr>
            <w:tcW w:w="71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A6393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26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AC9DC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Nazwa programu lekowego / </w:t>
            </w:r>
          </w:p>
          <w:p w14:paraId="735EAD06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Załącznika chemioterapii</w:t>
            </w:r>
          </w:p>
        </w:tc>
        <w:tc>
          <w:tcPr>
            <w:tcW w:w="1608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0B08D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Doprecyzowanie wskazania</w:t>
            </w:r>
          </w:p>
        </w:tc>
      </w:tr>
      <w:tr w:rsidR="0039096A" w:rsidRPr="00880D84" w14:paraId="56FE626A" w14:textId="77777777" w:rsidTr="00D24198">
        <w:trPr>
          <w:cantSplit/>
          <w:trHeight w:val="147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2457" w14:textId="2407B956" w:rsidR="0039096A" w:rsidRPr="00880D84" w:rsidRDefault="00DA0796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BEA41" w14:textId="19203192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Nuwiq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6B8D9" w14:textId="031A748D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simoktokog alfa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E32C7" w14:textId="494A4605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B.15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EBCE2" w14:textId="7EE2A1BE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ZAPOBIEGANIE KRWAWIENIOM U DZIECI Z HEMOFILIĄ A I B (ICD-10 D 66, D 67)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3EDAF" w14:textId="77777777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Pierwotna i wtórna profilaktyka krwawień u dzieci od 1. dnia życia do ukończenia 18. roku życia, chorych na hemofilię z użyciem rekombinowanego czynnika krzepnięcia VIII</w:t>
            </w:r>
          </w:p>
          <w:p w14:paraId="1E30F39C" w14:textId="2FA22F90" w:rsidR="0039096A" w:rsidRPr="00880D84" w:rsidRDefault="0039096A" w:rsidP="003909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C24E46" w:rsidRPr="00880D84" w14:paraId="6101D43D" w14:textId="77777777" w:rsidTr="00D24198">
        <w:trPr>
          <w:cantSplit/>
          <w:trHeight w:val="134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EE62A" w14:textId="486AD4D4" w:rsidR="00C24E46" w:rsidRPr="00880D84" w:rsidRDefault="00D24198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0A0A9" w14:textId="732EBA33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Betaferon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07792" w14:textId="62AA3CF2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interferon beta-1b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7DF67" w14:textId="416D1B96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3135" w14:textId="3540A95E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E39DE" w14:textId="77777777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wtórnie postępującą postacią stwardnienia rozsianego (SPMS). </w:t>
            </w:r>
          </w:p>
          <w:p w14:paraId="6AC6A055" w14:textId="12EEAE67" w:rsidR="00C24E46" w:rsidRPr="00880D84" w:rsidRDefault="00C24E46" w:rsidP="00C24E4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populacja pacjentów do tej pory nieobjęta refundacją.</w:t>
            </w:r>
          </w:p>
        </w:tc>
      </w:tr>
      <w:tr w:rsidR="00433F1E" w:rsidRPr="00880D84" w14:paraId="0AE7FCCC" w14:textId="77777777" w:rsidTr="00D24198">
        <w:trPr>
          <w:cantSplit/>
          <w:trHeight w:val="146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23C18" w14:textId="016F0F66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854A9" w14:textId="255C36E0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Gilenya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4BF78" w14:textId="5DB1ECE4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fingolimod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243E6" w14:textId="11C8274E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39836" w14:textId="767C0962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F508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Złagodzenie kryteriów kwalifikacji w II linii leczenia pacjentów z rzutowo-remisyjną postacią stwardnienia rozsianego (RRMS) oraz szybko rozwijającą się, ciężką postacią (RES). </w:t>
            </w:r>
          </w:p>
          <w:p w14:paraId="0BA3184D" w14:textId="6144F44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Obniżenie wieku kwalifikacji pacjentów od 10 r.ż.</w:t>
            </w:r>
          </w:p>
        </w:tc>
      </w:tr>
      <w:tr w:rsidR="00433F1E" w:rsidRPr="00880D84" w14:paraId="5CEE5ECE" w14:textId="77777777" w:rsidTr="00D24198">
        <w:trPr>
          <w:cantSplit/>
          <w:trHeight w:val="108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69537" w14:textId="68110793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75E48" w14:textId="6289E679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Kesimpta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8E14B" w14:textId="5F5B951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ofatumumab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8053C" w14:textId="46989EB2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DCCE7" w14:textId="202BCF8A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59B34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w I linii pacjentów z rzutowo-remisyjną postacią stwardnienia rozsianego (RRMS). </w:t>
            </w:r>
          </w:p>
          <w:p w14:paraId="681A885E" w14:textId="76DFEAF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opcja terapeutyczna w I linii leczenia.</w:t>
            </w:r>
          </w:p>
        </w:tc>
      </w:tr>
      <w:tr w:rsidR="00433F1E" w:rsidRPr="00880D84" w14:paraId="5E6310AA" w14:textId="77777777" w:rsidTr="00D24198">
        <w:trPr>
          <w:cantSplit/>
          <w:trHeight w:val="129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8FC8D" w14:textId="2553C0DA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7BF9" w14:textId="768A55C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Mavenclad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9D59F" w14:textId="34097CC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kladrybina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5309E" w14:textId="175CF0A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700E8" w14:textId="4CF12A4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8026" w14:textId="5AEFAAF3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Złagodzenie kryteriów kwalifikacji w II linii leczenia pacjentów z rzutowo-remisyjną postacią stwardnienia rozsianego (RRMS) oraz szybko rozwijającą się, ciężką postacią (RES).</w:t>
            </w:r>
          </w:p>
        </w:tc>
      </w:tr>
      <w:tr w:rsidR="00433F1E" w:rsidRPr="00880D84" w14:paraId="05C85326" w14:textId="77777777" w:rsidTr="00D24198">
        <w:trPr>
          <w:cantSplit/>
          <w:trHeight w:val="134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CC920" w14:textId="1EDA4753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C8740" w14:textId="1FCC3CE4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Mayzent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D65AF" w14:textId="7948CB4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siponimod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2D6B2" w14:textId="6388F0B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3489F" w14:textId="54D5DA2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F1829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wtórnie postępującą postacią stwardnienia rozsianego (SPMS). </w:t>
            </w:r>
          </w:p>
          <w:p w14:paraId="5935F36C" w14:textId="62EE9863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populacja pacjentów do tej pory nieobjęta refundacją.</w:t>
            </w:r>
          </w:p>
        </w:tc>
      </w:tr>
      <w:tr w:rsidR="00433F1E" w:rsidRPr="00880D84" w14:paraId="0E58374A" w14:textId="77777777" w:rsidTr="00D24198">
        <w:trPr>
          <w:cantSplit/>
          <w:trHeight w:val="112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774FF" w14:textId="09CF0AF0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lastRenderedPageBreak/>
              <w:t>7.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018FA" w14:textId="100E9C1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Ocrevus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B0D75" w14:textId="1B870349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okrelizumab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004CB" w14:textId="178853B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49792" w14:textId="000D8DF4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77BE2" w14:textId="230B829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Złagodzenie kryteriów kwalifikacji w II linii leczenia pacjentów z rzutowo-remisyjną postacią stwardnienia rozsianego (RRMS).</w:t>
            </w:r>
          </w:p>
        </w:tc>
      </w:tr>
      <w:tr w:rsidR="00433F1E" w:rsidRPr="00880D84" w14:paraId="12C598CC" w14:textId="77777777" w:rsidTr="00D24198">
        <w:trPr>
          <w:cantSplit/>
          <w:trHeight w:val="1122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DED2A" w14:textId="37577A92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00C0B" w14:textId="584B9672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Ponvory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AED24" w14:textId="66D76D6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ponesimod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874B0" w14:textId="64011B4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7261" w14:textId="45AE25B1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8C65A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w I linii pacjentów z rzutowo-remisyjną postacią stwardnienia rozsianego (RRMS). </w:t>
            </w:r>
          </w:p>
          <w:p w14:paraId="4A0DE98D" w14:textId="310E3660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opcja terapeutyczna w I linii leczenia.</w:t>
            </w:r>
          </w:p>
        </w:tc>
      </w:tr>
      <w:tr w:rsidR="00433F1E" w:rsidRPr="00880D84" w14:paraId="30B0E2FF" w14:textId="77777777" w:rsidTr="00D24198">
        <w:trPr>
          <w:cantSplit/>
          <w:trHeight w:val="133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66701" w14:textId="2C822CEA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9.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A880D" w14:textId="55744334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Tysabri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229C6" w14:textId="684302FF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natalizumab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95C9B" w14:textId="1981482B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291AF" w14:textId="6678611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BA54B" w14:textId="3331A212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Złagodzenie kryteriów kwalifikacji w II linii leczenia pacjentów z rzutowo-remisyjną postacią stwardnienia rozsianego (RRMS) oraz szybko rozwijającą się, ciężką postacią (RES).</w:t>
            </w:r>
          </w:p>
        </w:tc>
      </w:tr>
      <w:tr w:rsidR="00433F1E" w:rsidRPr="00880D84" w14:paraId="69B43A60" w14:textId="77777777" w:rsidTr="00D24198">
        <w:trPr>
          <w:cantSplit/>
          <w:trHeight w:val="110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7A297" w14:textId="0AA28DFE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10.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52770" w14:textId="2CE5B74B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Zeposia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6D073" w14:textId="03B57A7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ozanimod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7A0AC" w14:textId="0FBA6261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BB89A" w14:textId="0804329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59629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w I linii pacjentów z rzutowo-remisyjną postacią stwardnienia rozsianego (RRMS). </w:t>
            </w:r>
          </w:p>
          <w:p w14:paraId="6705EF25" w14:textId="6B2E6B6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opcja terapeutyczna w I linii leczenia.</w:t>
            </w:r>
          </w:p>
        </w:tc>
      </w:tr>
      <w:tr w:rsidR="00433F1E" w:rsidRPr="00880D84" w14:paraId="28D56BDA" w14:textId="77777777" w:rsidTr="00D24198">
        <w:trPr>
          <w:cantSplit/>
          <w:trHeight w:val="105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F9BE" w14:textId="38A1E737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11.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4ADDC" w14:textId="4E22FD7F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Entyvio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EC7D4" w14:textId="2F63CC7A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wedolizumab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51A55" w14:textId="7C5CE50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B.32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014B5" w14:textId="280FC2FA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CHOROBĄ LEŚNIOWSKIEGO - CROHNA (ICD-10 K 50)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737D4" w14:textId="7FB7C689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Zniesienie ograniczenia czasu terapii pacjentów leczonych wedolizumabem w ramach programu lekowego B.32.</w:t>
            </w:r>
          </w:p>
        </w:tc>
      </w:tr>
      <w:tr w:rsidR="00433F1E" w:rsidRPr="00880D84" w14:paraId="27FFA94B" w14:textId="77777777" w:rsidTr="00D24198">
        <w:trPr>
          <w:cantSplit/>
          <w:trHeight w:val="103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6DEFF" w14:textId="02B43EAD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12.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58000" w14:textId="48486E2E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Entyvio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(forma podskórna)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C7605" w14:textId="1DB7B0A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wedolizumab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84527" w14:textId="2B00DD9F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B.32.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1D0DE" w14:textId="5B42E644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CHOROBĄ LEŚNIOWSKIEGO – CROHNA (ICD-10: K50)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6BD79" w14:textId="30889FD0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wedolizumabem pacjentów z chorobą Leśniowskiego-Crohna w formie podskórnej stosowanej w terapii podtrzymującej.</w:t>
            </w:r>
          </w:p>
        </w:tc>
      </w:tr>
      <w:tr w:rsidR="00433F1E" w:rsidRPr="00880D84" w14:paraId="0B6055C7" w14:textId="77777777" w:rsidTr="00D24198">
        <w:trPr>
          <w:cantSplit/>
          <w:trHeight w:val="175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720D2" w14:textId="1981A99C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13.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30AC7" w14:textId="75CBE77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Kineret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1631D" w14:textId="2A7B5FEE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anakinra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1BD0" w14:textId="5A1BF192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B.33.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BD0F5" w14:textId="7D0F4C2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AKTYWNĄ POSTACIĄ REUMATOIDALNEGO ZAPALENIA STAWÓW I MŁODZIEŃCZEGO IDIOPATYCZNEGO ZAPALENIA STAWÓW (ICD-10: M05, M06, M08)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C0B09" w14:textId="4EE92D0A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dzieci anakinrą (inhibitorem interleukiny-1)  z MIZS w wieku 8 miesiąca - 2 r.ż. oraz jako dodatkowa opcja terapeutyczna dla pacjentów po nieskutecznym leczeniu NLPZ, glikokortykosteroidami, lekami modyfikującymi przebieg choroby lub lekami biologicznymi.</w:t>
            </w:r>
          </w:p>
        </w:tc>
      </w:tr>
      <w:tr w:rsidR="00433F1E" w:rsidRPr="00880D84" w14:paraId="167E0AD7" w14:textId="77777777" w:rsidTr="00D24198">
        <w:trPr>
          <w:cantSplit/>
          <w:trHeight w:val="146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B7E53" w14:textId="6B5C9DB8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lastRenderedPageBreak/>
              <w:t>14.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A176A" w14:textId="3C1A149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Olumiant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E824" w14:textId="4F94EC53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barycytynib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6947A" w14:textId="12CB0374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B.33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AFFA2" w14:textId="38B7980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AKTYWNEJ POSTACI REUMATOIDALNEGO ZAPALENIA STAWÓW I MŁODZIEŃCZEGO IDIOPATYCZNEGO ZAPALENIA STAWÓW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DD8AD" w14:textId="7650D08F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wskazania refundacyjnego o II i kolejne linie terapii RZS</w:t>
            </w:r>
          </w:p>
        </w:tc>
      </w:tr>
      <w:tr w:rsidR="00433F1E" w:rsidRPr="00880D84" w14:paraId="5DC096E4" w14:textId="77777777" w:rsidTr="00D24198">
        <w:trPr>
          <w:cantSplit/>
          <w:trHeight w:val="1831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265EE" w14:textId="11FFE480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15</w:t>
            </w:r>
            <w:r w:rsidR="00433F1E"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D4B1A" w14:textId="155DF3B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Rinvoq 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71729" w14:textId="505C61D1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upadacytynib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05D55" w14:textId="032165B2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B.33.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94CC4" w14:textId="33471E2E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AKTYWNĄ POSTACIĄ REUMATOIDALNEGO ZAPALENIA STAWÓW I MŁODZIEŃCZEGO IDIOPATYCZNEGO ZAPALENIA STAWÓW (ICD-10: M05, M06, M08)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E602" w14:textId="4A5D8D40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Kolejna opcja terapeutyczna w leczeniu RZS upadacytynibem (wybiórczym i odwracalnym inhibitorem JAK). </w:t>
            </w:r>
          </w:p>
        </w:tc>
      </w:tr>
      <w:tr w:rsidR="00433F1E" w:rsidRPr="00880D84" w14:paraId="1D1522DA" w14:textId="77777777" w:rsidTr="00D24198">
        <w:trPr>
          <w:cantSplit/>
          <w:trHeight w:val="140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0C6BD" w14:textId="5102A4C7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16.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53747" w14:textId="18C61C0B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Rinvoq 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64083" w14:textId="032E87E0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upadacytynib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5B163" w14:textId="2B1F407E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B.35.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3196E" w14:textId="68F9EA61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AKTYWNĄ POSTACIĄ ŁUSZCZYCOWEGO ZAPALENIA STAWÓW (ŁZS) (ICD-10: L40.5, M07.1, M07.2, M07.3)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34B1A" w14:textId="56A17C74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Kolejna opcja terapeutyczna w leczeniu ŁZS upadacytynibem (wybiórczym i odwracalnym inhibitorem JAK).</w:t>
            </w:r>
          </w:p>
        </w:tc>
      </w:tr>
      <w:tr w:rsidR="00433F1E" w:rsidRPr="00880D84" w14:paraId="67B83EC0" w14:textId="77777777" w:rsidTr="00D24198">
        <w:trPr>
          <w:cantSplit/>
          <w:trHeight w:val="140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9A390" w14:textId="0C5A7178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17.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49305" w14:textId="0C30599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Rinvoq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8FA23" w14:textId="35E9BB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upadacytynib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0E9F4" w14:textId="62C99441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B.36.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C1C4B" w14:textId="6A495B2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AKTYWNĄ POSTACIĄ ZESZTYWNIAJĄCEGO ZAPALENIA STAWÓW KRĘGOSŁUPA (ZZSK) (ICD-10: M45)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63D3D" w14:textId="1B3AC35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Kolejna opcja terapeutyczna w leczeniu ZZSK upadacytynibem. (pierwszym lekiem anty-JAK oraz pierwszym lekiem stosowanym doustnie w terapii ZZSK).</w:t>
            </w:r>
          </w:p>
        </w:tc>
      </w:tr>
      <w:tr w:rsidR="00433F1E" w:rsidRPr="00880D84" w14:paraId="0D6C8549" w14:textId="77777777" w:rsidTr="00D24198">
        <w:trPr>
          <w:cantSplit/>
          <w:trHeight w:val="140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8C94C" w14:textId="0AF74A5D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18.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F2AC5" w14:textId="38645764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Taltz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8B051" w14:textId="7C79640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iksekizumab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101B9" w14:textId="580046E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B.36.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BD812" w14:textId="1DADC3D9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AKTYWNĄ POSTACIĄ ZESZTYWNIAJĄCEGO ZAPALENIA STAWÓW KRĘGOSŁUPA (ZZSK) (ICD-10: M45)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F76B" w14:textId="2E3F15D4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Kolejna opcja terapeutyczna w leczeniu ZZSK iksekizumabem (przeciwciałem monoklonalnym, inhibitorem interleukiny 17A).</w:t>
            </w:r>
            <w:r w:rsidRPr="00880D84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433F1E" w:rsidRPr="00880D84" w14:paraId="1F465A75" w14:textId="77777777" w:rsidTr="00D24198">
        <w:trPr>
          <w:cantSplit/>
          <w:trHeight w:val="1961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1DC32" w14:textId="6882073A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19.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93DF0" w14:textId="5A7E7F0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Dupixent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9D683" w14:textId="41DC239B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dupilumab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72D83" w14:textId="11503EC1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B.44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9F731" w14:textId="2CE80A8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CIĘŻKĄ POSTACIĄ ASTMY (ICD-10: J45, J82)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D15B3" w14:textId="5CE9A17B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dorosłych pacjentów z astmą z zapaleniem typu 2 charakteryzującym się liczbą eozynofili we krwi na poziomie ≥350 komórek/µl oraz pacjenci powyżej 12 roku z ciężką, niekontrolowaną astmą z zapaleniem typu 2 charakteryzującym się liczbą eozynofilii we krwi na poziomie ≥150 komórek/µl</w:t>
            </w:r>
          </w:p>
        </w:tc>
      </w:tr>
      <w:tr w:rsidR="00433F1E" w:rsidRPr="00880D84" w14:paraId="25A5367B" w14:textId="77777777" w:rsidTr="00D24198">
        <w:trPr>
          <w:cantSplit/>
          <w:trHeight w:val="85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B8841" w14:textId="5BC34FC5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lastRenderedPageBreak/>
              <w:t>20.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6D07A" w14:textId="09E4D8D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Fasenra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887E8" w14:textId="2B6015F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benralizumab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28081" w14:textId="4E841BC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B.44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8860E" w14:textId="2A509B8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CIĘŻKĄ POSTACIĄ ASTMY (ICD-10: J45, J82)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B9739" w14:textId="716B884B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Mniejszy poziom eozynofilii w kryteriach niż aktualnie w programie</w:t>
            </w:r>
          </w:p>
        </w:tc>
      </w:tr>
      <w:tr w:rsidR="00433F1E" w:rsidRPr="00880D84" w14:paraId="38FF3AC5" w14:textId="77777777" w:rsidTr="00D24198">
        <w:trPr>
          <w:cantSplit/>
          <w:trHeight w:val="1245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E1267" w14:textId="1A85C182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21.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4E1F1" w14:textId="41A9360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Entyvio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C34D" w14:textId="138B714F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wedolizumab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D3844" w14:textId="3D2A547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B.55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453A2" w14:textId="3228C219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WRZODZIEJĄCYM ZAPALENIEM JELITA GRUBEGO (WZJG) (ICD-10 K51)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939E7" w14:textId="60AB02A9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Zniesienie ograniczenia czasu terapii pacjentów leczonych wedolizumabem w ramach programu lekowego B.55.</w:t>
            </w:r>
          </w:p>
        </w:tc>
      </w:tr>
      <w:tr w:rsidR="00433F1E" w:rsidRPr="00880D84" w14:paraId="298451A5" w14:textId="77777777" w:rsidTr="00D24198">
        <w:trPr>
          <w:cantSplit/>
          <w:trHeight w:val="1288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A8EC4" w14:textId="376142E6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22.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1F579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Entyvio</w:t>
            </w:r>
          </w:p>
          <w:p w14:paraId="1713A636" w14:textId="4982E1E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(forma podskórna)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C1126" w14:textId="3D20FE3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wedolizumab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ACD1A" w14:textId="35C5264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B.55.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B204E" w14:textId="675B12CA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WRZODZIEJĄCYM ZAPALENIEM JELITA GRUBEGO (WZJG) (ICD-10: K51)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34394" w14:textId="2BECBFC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wedolizumabem pacjentów z wrzodziejącym zapaleniem jelita grubego w formie podskórnej stosowanej w terapii podtrzymującej.</w:t>
            </w:r>
          </w:p>
        </w:tc>
      </w:tr>
      <w:tr w:rsidR="00433F1E" w:rsidRPr="00880D84" w14:paraId="228060E7" w14:textId="77777777" w:rsidTr="00D24198">
        <w:trPr>
          <w:cantSplit/>
          <w:trHeight w:val="126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C33AD" w14:textId="49288B8F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23.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74B36" w14:textId="5A261952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Stelara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D4EE0" w14:textId="02A64E49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ustekinumab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7D5AB" w14:textId="1BF75BC2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B.55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CE959" w14:textId="04C26AB1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WRZODZIEJĄCYM ZAPALENIEM JELITA GRUBEGO (WZJG) (ICD-10 K51)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0C849" w14:textId="3183C059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Umożliwienie terapii ustekinumabem pacjentom z rozpoznaną ciężką lub umiarkowaną postacią wrzodziejącego zapalenia jelita grubego.</w:t>
            </w:r>
          </w:p>
        </w:tc>
      </w:tr>
      <w:tr w:rsidR="00433F1E" w:rsidRPr="00880D84" w14:paraId="40DB4308" w14:textId="77777777" w:rsidTr="00D24198">
        <w:trPr>
          <w:cantSplit/>
          <w:trHeight w:val="169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2433A" w14:textId="00325F64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24.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9E296" w14:textId="2C96400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Cystadrops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2C6DA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merkatamina </w:t>
            </w:r>
          </w:p>
          <w:p w14:paraId="6D665826" w14:textId="2033542B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(cysteamina)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0AAD6" w14:textId="6C30A739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B.61.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68A84" w14:textId="218C18F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bookmarkStart w:id="2" w:name="_Hlk80007338"/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CYSTYNOZĘ NEFROPATYCZNĄ (ICD-10: E72.0)</w:t>
            </w:r>
            <w:bookmarkEnd w:id="2"/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76F50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powikłań ocznych cystynozy nefropatycznej.</w:t>
            </w:r>
          </w:p>
          <w:p w14:paraId="30661BE4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Nowa forma leczenia cysteaminy w postaci kropli do oczu finansowana w ramach programu. </w:t>
            </w:r>
          </w:p>
          <w:p w14:paraId="1CECBB54" w14:textId="5848CCC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433F1E" w:rsidRPr="00880D84" w14:paraId="37FD29D4" w14:textId="77777777" w:rsidTr="00D24198">
        <w:trPr>
          <w:cantSplit/>
          <w:trHeight w:val="179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7689E" w14:textId="7891BB79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25.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53FA7" w14:textId="1FBD3B83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Cosentyx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7C3BB" w14:textId="39A0D719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sekukinumab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CC383" w14:textId="6A68B0FF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B.82.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545B2" w14:textId="4D5B1B73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PACJENTÓW Z AKTYWNĄ POSTACIĄ SPONDYLOARTROPATII (SpA) BEZ ZMIAN RADIOGRAFICZNYCH CHARAKTERYSTYCZNYCH DLA ZZSK (ICD-10: M46.8)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F6D9F" w14:textId="3B38EB6F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zarówno postaci osiowej, jak i obwodowej SpA. sekukinumabem (przeciwciałem monoklonalnym, inhibitorem interleukiny 17A).</w:t>
            </w:r>
          </w:p>
        </w:tc>
      </w:tr>
      <w:tr w:rsidR="00433F1E" w:rsidRPr="00880D84" w14:paraId="7E1768E8" w14:textId="77777777" w:rsidTr="00D24198">
        <w:trPr>
          <w:cantSplit/>
          <w:trHeight w:val="1788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A8548" w14:textId="5ED3AD4E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26.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7D7C7" w14:textId="536BCC2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 xml:space="preserve">Taltz 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D9EBF" w14:textId="69838ACB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iksekizumab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FDABB" w14:textId="7670886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B.82.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70D81" w14:textId="562DBE8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PACJENTÓW Z AKTYWNĄ POSTACIĄ SPONDYLOARTROPATII (SpA) BEZ ZMIAN RADIOGRAFICZNYCH CHARAKTERYSTYCZNYCH DLA ZZSK (ICD-10: M46.8)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D1B90" w14:textId="33F2CBC2" w:rsidR="00433F1E" w:rsidRPr="00880D84" w:rsidRDefault="00433F1E" w:rsidP="00433F1E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zarówno postaci osiowej, jak i obwodowej SpA iksekizumabem (przeciwciałem monoklonalnym, inhibitorem interleukiny 17A).</w:t>
            </w:r>
          </w:p>
        </w:tc>
      </w:tr>
      <w:tr w:rsidR="00433F1E" w:rsidRPr="00880D84" w14:paraId="1A8C8C87" w14:textId="77777777" w:rsidTr="00D24198">
        <w:trPr>
          <w:cantSplit/>
          <w:trHeight w:val="2902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41EC4" w14:textId="4FD2E30C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105C" w14:textId="05EE7A7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Soliris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95404" w14:textId="28DCA283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ekulizumab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8F8F2" w14:textId="7B87E4F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B.96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30713" w14:textId="1C74ABFE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LECZENIE NOCNEJ NAPADOWEJ HEMOGLOBINURII (PNH) (ICD-10 D59.5)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32F5B" w14:textId="42F6F110" w:rsidR="00433F1E" w:rsidRPr="00880D84" w:rsidRDefault="00433F1E" w:rsidP="00433F1E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 xml:space="preserve">Ponowne objęcie refundacją leku Soliris w populacji pacjentów z PNH zarówno nowo-zdiagnozowanych jak i kontynuujących dotychczasową terapię finansowaną od dnia 1 maja 2021 r. w oparciu o możliwości wskazane w art. 37b ustawy </w:t>
            </w: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 refundacji leków, środków spożywczych specjalnego przeznaczenia żywieniowego oraz wyrobów medycznych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. Program lekowy będzie miał tą samą treść jak obowiązująca do końca kwietnia 2021 r. (Choroba ultrarzadka)</w:t>
            </w:r>
          </w:p>
        </w:tc>
      </w:tr>
      <w:tr w:rsidR="00433F1E" w:rsidRPr="00880D84" w14:paraId="19462110" w14:textId="77777777" w:rsidTr="00D24198">
        <w:trPr>
          <w:cantSplit/>
          <w:trHeight w:val="254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7916B" w14:textId="15FC061A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26F56" w14:textId="3FD4168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Leqvio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642A9" w14:textId="4670DE22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inklisiran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81027" w14:textId="730694D1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B.101.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0A24E" w14:textId="5E88074A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PACJENTÓW Z ZABURZENIAMI LIPIDOWYMI (ICD-10 E78.01, I21, I22, I25)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F40D0" w14:textId="238C9B58" w:rsidR="00433F1E" w:rsidRPr="00880D84" w:rsidRDefault="00433F1E" w:rsidP="00433F1E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Leczenie dorosłych pacjentów z hipercholesterolemią rodzinną lub z bardzo wysokim ryzykiem chorób układu sercowo-naczyniowego </w:t>
            </w: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 jako uzupełnienie diety u pacjentów, u których nie można osiągnąć stężenia LDL-C będącego celem terapii w wyniku stosowania 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intensywnego leczenia statynami, w tym leczenia skojarzonego z ezetymibem, jak również</w:t>
            </w: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 u pacjentów nietolerujących statyn.</w:t>
            </w:r>
          </w:p>
        </w:tc>
      </w:tr>
      <w:tr w:rsidR="00433F1E" w:rsidRPr="00880D84" w14:paraId="3D62E5BB" w14:textId="77777777" w:rsidTr="00D24198">
        <w:trPr>
          <w:cantSplit/>
          <w:trHeight w:val="254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C58B4" w14:textId="5B58C4FB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29.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3CFF4" w14:textId="2B22082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Evrysdi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D7FF5" w14:textId="539F8B7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risdiplam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2BC50" w14:textId="2AB6697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B.102.FM.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F0886" w14:textId="32F9B3A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CHORYCH NA RDZENIOWY ZANIK MIĘŚNI (ICD-10: G12.0, G12.1)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E064E" w14:textId="77777777" w:rsidR="00433F1E" w:rsidRPr="00880D84" w:rsidRDefault="00433F1E" w:rsidP="00433F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Dodanie nowej terapii w leczeniu pacjentów z SMA u których stwierdzone zostały przeciwwskazania do leczenia nusinersenem. Do terapii kwalifikowani zostaną pacjenci w wieku 2 miesięcy i starsi: </w:t>
            </w: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  <w:t xml:space="preserve">z klinicznym rozpoznaniem SMA typu 1, typu 2 lub typu 3 lub posiadający od jednej do czterech kopii genu SMN2. </w:t>
            </w:r>
          </w:p>
          <w:p w14:paraId="41A6F71D" w14:textId="07F4A2C0" w:rsidR="00433F1E" w:rsidRPr="00880D84" w:rsidRDefault="00433F1E" w:rsidP="00433F1E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(Choroba rzadka)</w:t>
            </w:r>
          </w:p>
        </w:tc>
      </w:tr>
      <w:tr w:rsidR="00433F1E" w:rsidRPr="00880D84" w14:paraId="25038806" w14:textId="77777777" w:rsidTr="00D24198">
        <w:trPr>
          <w:cantSplit/>
          <w:trHeight w:val="338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D1CF7" w14:textId="2E8EFC0A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D1988" w14:textId="331A7FB4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Zolgensma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93C29" w14:textId="1AA1F2A3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onasemnogen abeparwowek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5F539" w14:textId="51E60D50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B.102.FM.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D36CB" w14:textId="01999573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CHORYCH NA RDZENIOWY ZANIK MIĘŚNI (ICD-10: G12.0, G12.1)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71904" w14:textId="77777777" w:rsidR="00433F1E" w:rsidRPr="00880D84" w:rsidRDefault="00433F1E" w:rsidP="00433F1E">
            <w:pPr>
              <w:spacing w:before="60"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Dodanie nowej terapii genowej w leczeniu pacjentów z SMA u których uprzednio nie zostało zastosowane jakiekolwiek leczenie. Do terapii kwalifikowani zostaną pacjenci przedobjawowi i objawowi z rozpoznaniem rdzeniowego zaniku mięśni (SMA) 5q z bialleliczną mutacją genu SMN1 i z nie więcej niż 3 kopiami genu SMN2 badani w ramach Narodowego Programu Badań Przesiewowych Noworodków w Polsce. </w:t>
            </w:r>
          </w:p>
          <w:p w14:paraId="3757B028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(Choroba rzadka)</w:t>
            </w:r>
          </w:p>
          <w:p w14:paraId="685BCE3A" w14:textId="3A0DBDBB" w:rsidR="00433F1E" w:rsidRPr="00880D84" w:rsidRDefault="00433F1E" w:rsidP="00433F1E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Technologia lekowa o wysokim poziomie innowacyjności (technologia finansowana z Funduszu Medycznego)</w:t>
            </w:r>
          </w:p>
        </w:tc>
      </w:tr>
      <w:tr w:rsidR="00433F1E" w:rsidRPr="00880D84" w14:paraId="392277B3" w14:textId="77777777" w:rsidTr="00D24198">
        <w:trPr>
          <w:cantSplit/>
          <w:trHeight w:val="212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08763" w14:textId="7F153C7D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6CB96" w14:textId="7B3C775F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eastAsia="Times New Roman" w:hAnsiTheme="majorHAnsi" w:cstheme="majorHAnsi"/>
                <w:sz w:val="20"/>
                <w:szCs w:val="20"/>
              </w:rPr>
              <w:t>Kaftrio i Kalydeco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D258A" w14:textId="59BC73F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iwakaftor + tezakaftor + eleksakaftor i iwakaftor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5F646" w14:textId="27688AA3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B.112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5BEC9" w14:textId="49FBD7E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LECZENIE CHORYCH NA MUKOWISCYDOZĘ (ICD-10: E84).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D592A" w14:textId="5D9649ED" w:rsidR="00433F1E" w:rsidRPr="00880D84" w:rsidRDefault="00433F1E" w:rsidP="00433F1E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 xml:space="preserve">Leczenie eleksakaftorem/ tezakaftorem /iwakaftorem w skojarzeniu z iwakaftorem chorych w wieku co najmniej 12 lat homozygotycznych pod względem mutacji F508del genu </w:t>
            </w: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CFTR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 xml:space="preserve"> lub heterozygotycznych pod względem mutacji F508del z mutacją o minimalnej wartości funkcji (MF) genu </w:t>
            </w: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CFTR.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(Choroba rzadka)</w:t>
            </w:r>
          </w:p>
        </w:tc>
      </w:tr>
      <w:tr w:rsidR="00433F1E" w:rsidRPr="00880D84" w14:paraId="1A63DC83" w14:textId="77777777" w:rsidTr="00D24198">
        <w:trPr>
          <w:cantSplit/>
          <w:trHeight w:val="140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AFB91" w14:textId="7175144B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199DC" w14:textId="70413CE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Orkambi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84F89" w14:textId="11CA218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lumakaftor + iwakaftor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0009B" w14:textId="709B690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B.112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3F8E0" w14:textId="1DBAB1E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80D84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LECZENIE CHORYCH NA MUKOWISCYDOZĘ (ICD-10: E84).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F768D" w14:textId="1E47C582" w:rsidR="00433F1E" w:rsidRPr="00880D84" w:rsidRDefault="00433F1E" w:rsidP="00433F1E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 xml:space="preserve">Leczenie lumakaftorem w skojarzeniu z iwakaftorem chorych w wieku co najmniej 2 lat z potwierdzonym 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br/>
              <w:t>wystąpieniem mutacji F508del genu CFTR na obu allelach.(Choroba rzadka)</w:t>
            </w:r>
          </w:p>
        </w:tc>
      </w:tr>
      <w:tr w:rsidR="00433F1E" w:rsidRPr="00880D84" w14:paraId="3768D4F7" w14:textId="77777777" w:rsidTr="00D24198">
        <w:trPr>
          <w:cantSplit/>
          <w:trHeight w:val="2965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2A201" w14:textId="22C7E613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33.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DEB10" w14:textId="56C5355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eastAsia="Times New Roman" w:hAnsiTheme="majorHAnsi" w:cstheme="majorHAnsi"/>
                <w:sz w:val="20"/>
                <w:szCs w:val="20"/>
              </w:rPr>
              <w:t>Symkevi i Kalydeco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F9177" w14:textId="669CFD0F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80D84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tezakaftor + iwakaftor i iwakaftor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C5519" w14:textId="151A0FC3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B.112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99C3D" w14:textId="6D912649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80D84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LECZENIE CHORYCH NA MUKOWISCYDOZĘ (ICD-10: E84).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4D202" w14:textId="77777777" w:rsidR="00D24198" w:rsidRPr="00880D84" w:rsidRDefault="00433F1E" w:rsidP="00433F1E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 xml:space="preserve">Leczenie tezakaftorem/iwakaftorem w skojarzeniu 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z iwakaftorem chorych w wieku co najmniej 6 lat homozygotycznych pod względem mutacji F508del lub heterozygotycznych pod względem mutacji F508del i mających jedną z następujących mutacji genu </w:t>
            </w: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CFTR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: P67L, R117C, L206W, R352Q, A455E, D579G, 711+3A→G, S945L, S977F, R1070W, D1152H, 2789+5G→A, 3272-26A→G i 3849+10kbC→T.</w:t>
            </w:r>
          </w:p>
          <w:p w14:paraId="010BA941" w14:textId="1E9346EE" w:rsidR="00433F1E" w:rsidRPr="00880D84" w:rsidRDefault="00433F1E" w:rsidP="00433F1E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(Choroba rzadka)</w:t>
            </w:r>
          </w:p>
        </w:tc>
      </w:tr>
      <w:tr w:rsidR="00433F1E" w:rsidRPr="00880D84" w14:paraId="669B143A" w14:textId="77777777" w:rsidTr="00D24198">
        <w:trPr>
          <w:cantSplit/>
          <w:trHeight w:val="117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0C868" w14:textId="52DDBAAD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4F620" w14:textId="6DB7284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Dupixent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31A3E" w14:textId="2690D35B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dupilumab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296AA" w14:textId="1D09204E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B.124.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ABEF0" w14:textId="02290670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CIĘŻKĄ POSTACIĄ ATOPOWEGO ZAPALENIA SKÓRY (ICD-10: L20)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BEC75" w14:textId="7AE8AFB4" w:rsidR="00433F1E" w:rsidRPr="00880D84" w:rsidRDefault="00433F1E" w:rsidP="00433F1E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ciężkiej postaci atopowego zapalenia skóry u pacjentów w wieku od 6 do 12 lat za pomocą dupilumabu (przeciwciała monoklonalnego) do podawania podskórnego.</w:t>
            </w:r>
          </w:p>
        </w:tc>
      </w:tr>
      <w:tr w:rsidR="00433F1E" w:rsidRPr="00880D84" w14:paraId="62E9727D" w14:textId="77777777" w:rsidTr="00D24198">
        <w:trPr>
          <w:cantSplit/>
          <w:trHeight w:val="1232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6E6E4" w14:textId="321B2726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4A300" w14:textId="4BA9955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Dupixent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E1FAD" w14:textId="43D3DCD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dupilumab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2003E" w14:textId="31CBE59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B.124.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046E7" w14:textId="7633C89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CIĘŻKĄ POSTACIĄ ATOPOWEGO ZAPALENIA SKÓRY (ICD-10: L20)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CF9D7" w14:textId="3BA42B6B" w:rsidR="00433F1E" w:rsidRPr="00880D84" w:rsidRDefault="00433F1E" w:rsidP="00433F1E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ciężkiej postaci atopowego zapalenia skóry u pacjentów w wieku od 12 do 18 lat za pomocą dupilumabu (przeciwciała monoklonalnego) do podawania podskórnego.</w:t>
            </w:r>
          </w:p>
        </w:tc>
      </w:tr>
      <w:tr w:rsidR="00433F1E" w:rsidRPr="00880D84" w14:paraId="37058540" w14:textId="77777777" w:rsidTr="00D24198">
        <w:trPr>
          <w:cantSplit/>
          <w:trHeight w:val="127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A06E5" w14:textId="1D3E40C5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73EBB" w14:textId="6E8635DA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Olumiant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E66F9" w14:textId="2DCCE4C2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baricytynib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12C88" w14:textId="2870A3FF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B.124.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64195" w14:textId="045025F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CIĘŻKĄ POSTACIĄ ATOPOWEGO ZAPALENIA SKÓRY (ICD-10: L20)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EEBB6" w14:textId="11CDFECE" w:rsidR="00433F1E" w:rsidRPr="00880D84" w:rsidRDefault="00433F1E" w:rsidP="00433F1E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ciężkiej postaci atopowego zapalenia skóry u pacjentów w wieku 18 lat i powyżej za pomocą baricytynibu (inhibitora JAK) do podawania doustnego.</w:t>
            </w:r>
          </w:p>
        </w:tc>
      </w:tr>
      <w:tr w:rsidR="00433F1E" w:rsidRPr="00880D84" w14:paraId="49ACDAFA" w14:textId="77777777" w:rsidTr="00D24198">
        <w:trPr>
          <w:cantSplit/>
          <w:trHeight w:val="1165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6BB85" w14:textId="44F6C946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4E23D" w14:textId="46649BF2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Rinvoq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820FF" w14:textId="1CBF75BF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upadacytynib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67A27" w14:textId="7814EA43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B.124.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907C1" w14:textId="556C104A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CIĘŻKĄ POSTACIĄ ATOPOWEGO ZAPALENIA SKÓRY (ICD-10: L20)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B4BEF" w14:textId="2DB9BBC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ciężkiej postaci atopowego zapalenia skóry u pacjentów w wieku 12 lat i powyżej za pomocą upadacytynibu (inhibitora JAK) do podawania doustnego.</w:t>
            </w:r>
          </w:p>
        </w:tc>
      </w:tr>
      <w:tr w:rsidR="00433F1E" w:rsidRPr="00880D84" w14:paraId="3081E134" w14:textId="77777777" w:rsidTr="00D24198">
        <w:trPr>
          <w:cantSplit/>
          <w:trHeight w:val="1648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B723" w14:textId="290EF713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88278" w14:textId="1825E91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Givlaari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21DBE" w14:textId="016CCC5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giwosyran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BEE73" w14:textId="45E8C28F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B.128.FM.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75EE2" w14:textId="0D7CB953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OSTRĄ PORFIRIĘ WĄTROBOWĄ (AHP) U DOROSŁYCH I MŁODZIEŻY W WIEKU OD 12 LAT (ICD-10: E80.2)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E6E23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Pierwsza technologia lekowa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o wysokim poziomie innowacyjności</w:t>
            </w:r>
          </w:p>
          <w:p w14:paraId="6433E50B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ultrarzadka)</w:t>
            </w:r>
          </w:p>
          <w:p w14:paraId="51CFEB47" w14:textId="35E6B6E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(technologia finansowana z Funduszu Medycznego)</w:t>
            </w:r>
          </w:p>
        </w:tc>
      </w:tr>
      <w:tr w:rsidR="00433F1E" w:rsidRPr="00880D84" w14:paraId="6733CFCA" w14:textId="77777777" w:rsidTr="00D24198">
        <w:trPr>
          <w:cantSplit/>
          <w:trHeight w:val="126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920A" w14:textId="62DC9329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38.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72C67" w14:textId="6F03A8F0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Oxlumo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F29AF" w14:textId="7A74E40A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lumazyran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EF63D" w14:textId="715D405A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B.129.FM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96FEE" w14:textId="217AAC1E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80D84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LECZENIE CHORYCH NA PIERWOTNĄ HIPEROKSALURIĘ TYPU 1 (ICD-10: E74.8)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9B244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Druga technologia lekowa o wysokim poziomie innowacyjności finansowana w ramach Funduszu Medycznego</w:t>
            </w:r>
          </w:p>
          <w:p w14:paraId="2DC7DB46" w14:textId="2CA8E3D3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ultrarzadka)</w:t>
            </w:r>
          </w:p>
        </w:tc>
      </w:tr>
      <w:tr w:rsidR="00433F1E" w:rsidRPr="00880D84" w14:paraId="6B9F7903" w14:textId="77777777" w:rsidTr="00D24198">
        <w:trPr>
          <w:cantSplit/>
          <w:trHeight w:val="2115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0A62" w14:textId="630BD2FF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40.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AF710" w14:textId="6638D8B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Translarna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51A1F" w14:textId="2DDEADC3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ataluren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7F407" w14:textId="23DB5F0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B.130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95F13" w14:textId="329F1B6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DYSTROFIĄ MIĘŚNIOWĄ DUCHENNE’A SPOWODOWANĄ MUTACJĄ NONSENSOWNĄ W GENIE DYSTROFINY (ICD-10: G71.0)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BC665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Chodzący pacjenci w wieku od 2 lat i z masą ciała powyżej 12 kg z dystrofią mięśniową Duchenne’a spowodowaną przez mutację nonsensowną w genie dystrofiny (nmDMD). Pacjenci z DMD bez mutacji nonsensownej nie powinni otrzymywać atalurenu.</w:t>
            </w:r>
          </w:p>
          <w:p w14:paraId="5B912E06" w14:textId="1C26C119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ultrarzadka)</w:t>
            </w:r>
          </w:p>
        </w:tc>
      </w:tr>
      <w:tr w:rsidR="00433F1E" w:rsidRPr="00880D84" w14:paraId="318404C9" w14:textId="77777777" w:rsidTr="00D24198">
        <w:trPr>
          <w:cantSplit/>
          <w:trHeight w:val="1658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3FDF7" w14:textId="79A89D02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41.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2CEE3" w14:textId="4887CB6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Aimovig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7B25A" w14:textId="1C93C4EE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erenumab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2295F" w14:textId="31D8F89E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B.133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9F2F5" w14:textId="705A328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PROFILAKTYCZNE LECZENIE CHORYCH NA MIGRENĘ PRZEWLEKŁĄ (ICD-10: G43)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A8BDA" w14:textId="4F523E89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profilaktyczne chorych na migrenę przewlekłą mających co najmniej 15 dni z bólem głowy w miesiącu przez co najmniej 3 kolejne miesiące jako kolejna linia leczenia po niepowodzeniu profilaktyki terapiami doustnymi oraz toksyną botulinową typu A.</w:t>
            </w:r>
          </w:p>
        </w:tc>
      </w:tr>
      <w:tr w:rsidR="00433F1E" w:rsidRPr="00880D84" w14:paraId="53EB37F7" w14:textId="77777777" w:rsidTr="00986C4C">
        <w:trPr>
          <w:cantSplit/>
          <w:trHeight w:val="179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989C8" w14:textId="656B5B24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42.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772C9" w14:textId="5B3069E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Ajovy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B342D" w14:textId="6B5C801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fremanezumab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D942A" w14:textId="6BC688E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B.133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E5BA" w14:textId="70BED3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PROFILAKTYCZNE LECZENIE CHORYCH NA MIGRENĘ PRZEWLEKŁĄ (ICD-10: G43)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A696C" w14:textId="63C3629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profilaktyczne chorych na migrenę przewlekłą mających co najmniej 15 dni z bólem głowy w miesiącu przez co najmniej 3 kolejne miesiące jako kolejna linia leczenia po niepowodzeniu profilaktyki terapiami doustnymi oraz toksyną botulinową typu A.</w:t>
            </w:r>
          </w:p>
        </w:tc>
      </w:tr>
      <w:tr w:rsidR="00433F1E" w:rsidRPr="00880D84" w14:paraId="0FD87A45" w14:textId="77777777" w:rsidTr="00986C4C">
        <w:trPr>
          <w:cantSplit/>
          <w:trHeight w:val="149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ECF82" w14:textId="3D971FBD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43.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B5A5B" w14:textId="69D815A5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Botox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654BD" w14:textId="21C33B9A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toksyna botulinowa typu A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DB4FF" w14:textId="3A7F1F5F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B.133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5686A" w14:textId="725049F4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PROFILAKTYCZNE LECZENIE CHORYCH NA MIGRENĘ PRZEWLEKŁĄ (ICD-10: G43)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372D1" w14:textId="0D3205F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profilaktyczne chorych na migrenę przewlekłą mających co najmniej 15 dni z bólem głowy w miesiącu przez co najmniej 3 kolejne miesiące po niepowodzeniu profilaktyki terapiami doustnymi.</w:t>
            </w:r>
          </w:p>
        </w:tc>
      </w:tr>
      <w:tr w:rsidR="00433F1E" w:rsidRPr="00880D84" w14:paraId="4E3C0903" w14:textId="77777777" w:rsidTr="00986C4C">
        <w:trPr>
          <w:cantSplit/>
          <w:trHeight w:val="12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BF16D" w14:textId="17F8D4EF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44.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9B35F" w14:textId="360FEA34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Ofev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31602" w14:textId="1B9899D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nintedanib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0240B" w14:textId="39E3595A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B.135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38141" w14:textId="28FD5F81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bookmarkStart w:id="3" w:name="_Hlk106024854"/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NINTEDANIBEM CHOROBY ŚRÓDMIĄŻSZOWEJ PŁUC ZWIĄZANEJ Z TWARDZINĄ UKŁADOWĄ (ICD-10: M34, J.99.1)</w:t>
            </w:r>
            <w:bookmarkEnd w:id="3"/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26A7D" w14:textId="1B45B261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Pierwsza celowana terapia dla pacjentów z chorobą śródmiąższową płuc związaną z twardziną układową</w:t>
            </w:r>
          </w:p>
        </w:tc>
      </w:tr>
      <w:tr w:rsidR="00433F1E" w:rsidRPr="00880D84" w14:paraId="7EACB039" w14:textId="77777777" w:rsidTr="00986C4C">
        <w:trPr>
          <w:cantSplit/>
          <w:trHeight w:val="225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240AF" w14:textId="3B010C18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45.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82CE7" w14:textId="2C1E965B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Dovprela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F5DA7" w14:textId="2C7AEA91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pretomanid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8B14D" w14:textId="0285776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B.136.FM.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A474" w14:textId="55432D4B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GRUŹLICĘ LEKOOPORNĄ (MDR/XDR) (ICD-10: A15)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D85E5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Terapia gruźlicy płuc wielolekoopornej (MDR-TB) lub gruźlicy płuc o rozszerzonej oporności (XDR-TB) pretomanidem w skojarzeniu z bedakiliną i linezolidem.</w:t>
            </w:r>
          </w:p>
          <w:p w14:paraId="26765F09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  <w:p w14:paraId="5E1FA292" w14:textId="2628A2A1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Technologia lekowa o wysokim poziomie innowacyjności (technologia finansowana </w:t>
            </w: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  <w:t>z Funduszu Medycznego)</w:t>
            </w:r>
          </w:p>
        </w:tc>
      </w:tr>
      <w:tr w:rsidR="00433F1E" w:rsidRPr="00880D84" w14:paraId="03D67883" w14:textId="77777777" w:rsidTr="00986C4C">
        <w:trPr>
          <w:cantSplit/>
          <w:trHeight w:val="1122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30AD4" w14:textId="36F521EF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46.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35C5A" w14:textId="1BAF3CE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Sirturo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AD3C4" w14:textId="2CC0FA22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bedakilina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AF5C5" w14:textId="0248C060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B.136.FM.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3723D" w14:textId="3C08C412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GRUŹLICĘ LEKOOPORNĄ (MDR/XDR) (ICD-10: A15)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6ABED" w14:textId="77777777" w:rsidR="00433F1E" w:rsidRPr="00880D84" w:rsidRDefault="00433F1E" w:rsidP="00433F1E">
            <w:pPr>
              <w:spacing w:before="6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Terapia bedakiliną gruźlicy płuc wielolekoopornej (MDR-TB).</w:t>
            </w:r>
          </w:p>
          <w:p w14:paraId="37E268AD" w14:textId="130E7539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433F1E" w:rsidRPr="00880D84" w14:paraId="392D0B9C" w14:textId="77777777" w:rsidTr="00986C4C">
        <w:trPr>
          <w:cantSplit/>
          <w:trHeight w:val="218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ADCF7" w14:textId="03D62340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47.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BD6D5" w14:textId="4E38D83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Idefirix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D80D2" w14:textId="75CC7AB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imlifidaza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3D127" w14:textId="408CC78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B.137.FM.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BAF57" w14:textId="73CF420F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 xml:space="preserve">ODCZULANIE WYSOKO IMMUNIZOWANYCH DOROSŁYCH BIORCÓW PRZESZCZEPU NERKI </w:t>
            </w:r>
            <w:r w:rsidRPr="00880D84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br/>
              <w:t>(ICD-10: N18)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6263E" w14:textId="77777777" w:rsidR="00433F1E" w:rsidRPr="00880D84" w:rsidRDefault="00433F1E" w:rsidP="00433F1E">
            <w:pPr>
              <w:spacing w:before="60" w:after="0" w:line="240" w:lineRule="auto"/>
              <w:jc w:val="center"/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Leczenie desensytyzacyjne (odczulanie) u wysoko immunizowanych biorców przeszczepu nerki.</w:t>
            </w:r>
          </w:p>
          <w:p w14:paraId="5F960ED5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  <w:p w14:paraId="7C328534" w14:textId="1AC3FA64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Technologia lekowa o wysokim poziomie innowacyjności (technologia finansowana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z Funduszu Medycznego)</w:t>
            </w:r>
          </w:p>
        </w:tc>
      </w:tr>
      <w:tr w:rsidR="00433F1E" w:rsidRPr="00880D84" w14:paraId="486348B6" w14:textId="77777777" w:rsidTr="00986C4C">
        <w:trPr>
          <w:cantSplit/>
          <w:trHeight w:val="310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77D1D" w14:textId="59646D28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48.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7B141" w14:textId="3BCCAB21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Enspryng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7DDDB" w14:textId="35CDEF66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satralizumab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71332" w14:textId="3865F0CD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B.138.FM.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829B9" w14:textId="39D3ACA8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ZE SPEKTRUM ZAPALENIA NERWÓW WZROKOWYCH I RDZENIA KRĘGOWEGO (NMOSD) (ICD-10: G36.0)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38E1D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Leczenie w monoterapii lub w skojarzeniu z terapią immunosupresyjną w leczeniu chorób ze spektrum zapalenia nerwów wzrokowych oraz rdzenia kręgowego (NMOSD, choroba Devica) u pacjentów dorosłych i młodzieży w wieku powyżej 12 lat, u których występują przeciwciała IgG przeciwko akwaporynie-4 (AQP4-IgG).</w:t>
            </w:r>
          </w:p>
          <w:p w14:paraId="1FBFA349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(Choroba rzadka)</w:t>
            </w:r>
          </w:p>
          <w:p w14:paraId="5DE57FC3" w14:textId="15E7FC91" w:rsidR="00433F1E" w:rsidRPr="00880D84" w:rsidRDefault="00433F1E" w:rsidP="00433F1E">
            <w:pPr>
              <w:spacing w:before="60" w:after="0" w:line="240" w:lineRule="auto"/>
              <w:jc w:val="center"/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Technologia lekowa o wysokim poziomie innowacyjności (technologia finansowana </w:t>
            </w: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  <w:t>z Funduszu Medycznego)</w:t>
            </w:r>
          </w:p>
        </w:tc>
      </w:tr>
      <w:tr w:rsidR="00433F1E" w:rsidRPr="00880D84" w14:paraId="065E1D6A" w14:textId="77777777" w:rsidTr="00986C4C">
        <w:trPr>
          <w:cantSplit/>
          <w:trHeight w:val="338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8430B" w14:textId="079D9090" w:rsidR="00433F1E" w:rsidRPr="00880D84" w:rsidRDefault="00D24198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49.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0A7B6" w14:textId="7FD1005E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Ravicti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EA9C1" w14:textId="1008111C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fenylomaślan glicerolu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327FF" w14:textId="61E7A35E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B.140</w:t>
            </w:r>
            <w:r w:rsidR="00C23F56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21963" w14:textId="2C967710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WSPOMAGAJĄCE ZABURZEŃ CYKLU MOCZNIKOWEGO (ICD-10: E72.2)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2770F" w14:textId="77777777" w:rsidR="00433F1E" w:rsidRPr="00880D84" w:rsidRDefault="00433F1E" w:rsidP="00433F1E">
            <w:pPr>
              <w:spacing w:before="60" w:after="60" w:line="240" w:lineRule="auto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Leczenie zaburzeń cyklu mocznikowego obejmujące niedobór: syntetazy karbamoilofosforanowej I lub karbamoilotransferazy ornitynowej lub syntetazy argininobursztynianow lub liazy argininobursztynianowej lub arginazy lub translokazy ornitynowej (tzw. zespół HHH tj. hiperamonemia-hiperornitynemia-homocytrulinuria), w przypadku gdy ograniczenie spożycia białka bądź suplementacja aminokwasów nie są skuteczne.</w:t>
            </w:r>
          </w:p>
          <w:p w14:paraId="6994A3D5" w14:textId="137E308D" w:rsidR="00433F1E" w:rsidRPr="00880D84" w:rsidRDefault="00433F1E" w:rsidP="00433F1E">
            <w:pPr>
              <w:spacing w:before="60" w:after="0" w:line="240" w:lineRule="auto"/>
              <w:jc w:val="center"/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(Choroba rzadka)</w:t>
            </w:r>
          </w:p>
        </w:tc>
      </w:tr>
    </w:tbl>
    <w:p w14:paraId="45E40E76" w14:textId="77777777" w:rsidR="00816802" w:rsidRPr="004D78D6" w:rsidRDefault="00816802" w:rsidP="00816802">
      <w:pPr>
        <w:rPr>
          <w:rFonts w:asciiTheme="majorHAnsi" w:hAnsiTheme="majorHAnsi" w:cstheme="majorHAnsi"/>
          <w:sz w:val="20"/>
          <w:szCs w:val="20"/>
        </w:rPr>
      </w:pPr>
    </w:p>
    <w:p w14:paraId="590BA29A" w14:textId="77777777" w:rsidR="00816802" w:rsidRPr="004D78D6" w:rsidRDefault="00816802" w:rsidP="00816802">
      <w:pPr>
        <w:suppressAutoHyphens w:val="0"/>
        <w:rPr>
          <w:rFonts w:asciiTheme="majorHAnsi" w:hAnsiTheme="majorHAnsi" w:cstheme="majorHAnsi"/>
          <w:sz w:val="20"/>
          <w:szCs w:val="20"/>
        </w:rPr>
      </w:pPr>
      <w:r w:rsidRPr="004D78D6">
        <w:rPr>
          <w:rFonts w:asciiTheme="majorHAnsi" w:hAnsiTheme="majorHAnsi" w:cstheme="majorHAnsi"/>
          <w:sz w:val="20"/>
          <w:szCs w:val="20"/>
        </w:rPr>
        <w:br w:type="page"/>
      </w:r>
    </w:p>
    <w:p w14:paraId="2E69D0B4" w14:textId="77777777" w:rsidR="00816802" w:rsidRPr="004D78D6" w:rsidRDefault="00816802" w:rsidP="00816802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1509"/>
        <w:gridCol w:w="3846"/>
        <w:gridCol w:w="8049"/>
      </w:tblGrid>
      <w:tr w:rsidR="00816802" w:rsidRPr="004D78D6" w14:paraId="1E1407AE" w14:textId="77777777" w:rsidTr="00E23C62">
        <w:trPr>
          <w:cantSplit/>
          <w:trHeight w:val="20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84C4E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Zmiany w programach lekowych i chemioterapii</w:t>
            </w:r>
          </w:p>
        </w:tc>
      </w:tr>
      <w:tr w:rsidR="00816802" w:rsidRPr="004D78D6" w14:paraId="48C5C608" w14:textId="77777777" w:rsidTr="00DA0796">
        <w:trPr>
          <w:cantSplit/>
          <w:trHeight w:val="20"/>
        </w:trPr>
        <w:tc>
          <w:tcPr>
            <w:tcW w:w="21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772A9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39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665B4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Numer programu lekowego lub numeru załącznika</w:t>
            </w:r>
          </w:p>
        </w:tc>
        <w:tc>
          <w:tcPr>
            <w:tcW w:w="1374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89FF3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programu lekowego lub załącznika chemioterapii</w:t>
            </w:r>
          </w:p>
        </w:tc>
        <w:tc>
          <w:tcPr>
            <w:tcW w:w="2876" w:type="pct"/>
            <w:shd w:val="clear" w:color="auto" w:fill="A7E8FF"/>
            <w:vAlign w:val="center"/>
          </w:tcPr>
          <w:p w14:paraId="548D38B8" w14:textId="77777777" w:rsidR="00816802" w:rsidRPr="00880D84" w:rsidRDefault="00816802" w:rsidP="00C61F3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Krótki opis zmian dokonanych w obrębie programu lekowego / załącznika chemioterapii</w:t>
            </w:r>
          </w:p>
        </w:tc>
      </w:tr>
      <w:tr w:rsidR="00351237" w:rsidRPr="004D78D6" w14:paraId="7F757960" w14:textId="77777777" w:rsidTr="00433F1E">
        <w:trPr>
          <w:cantSplit/>
          <w:trHeight w:val="573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AFCEB" w14:textId="6B2A7F8B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59F4E" w14:textId="24ED7860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D6EAB" w14:textId="4BCE5F47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PRZEWLEKŁE WIRUSOWE ZAPALENIA WĄTROBY TYPU B (ICD-10: B18.1)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151F01E" w14:textId="545420EE" w:rsidR="00351237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 z treści programu lekowego zapisów dotyczących adefowiru i możliwości jego stosowania w ramach programu lekowego B.1. Decyzją podmiotu odpowiedzialnego, lek Hepsera nie przedłużył decyzji refundacyjnej. Ponadto, dokonano porządkowej zmiany nazwy programu lekowego zgodnie z wewnętrznymi wytycznymi.</w:t>
            </w:r>
          </w:p>
        </w:tc>
      </w:tr>
      <w:tr w:rsidR="00351237" w:rsidRPr="004D78D6" w14:paraId="26E1F0B8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9EF7B" w14:textId="3CAF11F4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52904" w14:textId="27D0F054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B.4</w:t>
            </w:r>
            <w:r w:rsidR="00433F1E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1E13" w14:textId="180C804C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bookmarkStart w:id="4" w:name="_Hlk98837831"/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ZAAWANSOWANEGO RAKA JELITA GRUBEGO (ICD-10: C18 – C20)</w:t>
            </w:r>
            <w:bookmarkEnd w:id="4"/>
          </w:p>
        </w:tc>
        <w:tc>
          <w:tcPr>
            <w:tcW w:w="2876" w:type="pct"/>
            <w:shd w:val="clear" w:color="auto" w:fill="auto"/>
            <w:vAlign w:val="center"/>
          </w:tcPr>
          <w:p w14:paraId="61A58B68" w14:textId="32A2A180" w:rsidR="00351237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Zmiany zapisów w kryteriach kwalifikacji doprecyzowujące okres od zakończenia uzupełniającej chemioterapii pooperacyjnej z udziałem oksaliplatyny.</w:t>
            </w:r>
          </w:p>
        </w:tc>
      </w:tr>
      <w:tr w:rsidR="00351237" w:rsidRPr="004D78D6" w14:paraId="3A9AEA69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E46D8" w14:textId="64F2C550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0A6C3" w14:textId="54D73EA7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A3599" w14:textId="608B73C5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WĄTROBOWOKOMÓRKOWEGO (ICD-10: C22.0)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475145D" w14:textId="60E52402" w:rsidR="00351237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Kompleksowa zmiana budowy programu lekowego wynikająca z wprowadzeniem terapii skojarzonej w I linii leczenia – zmiany w kryteriach kwalifikacji, kryteriach wyłączenia oraz badaniach diagnostycznych stosowanych podczas kwalifikacji oraz monitorowania leczenia. Ujednolicono populację kwalifikującą się do programu poprzez udostępnienie leczenia I linii niezależnie od obecności przerzutów pozawątrobowych. Rozszerzenie wskazania technologii II linii leczenia w programie (off-label).</w:t>
            </w:r>
          </w:p>
        </w:tc>
      </w:tr>
      <w:tr w:rsidR="00351237" w:rsidRPr="004D78D6" w14:paraId="4855223D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7E4C8" w14:textId="1D852964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09FE7" w14:textId="51A33997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33330" w14:textId="7DE54007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RAKIEM NERKI (ICD-10 C64)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4EFA337" w14:textId="5ED63524" w:rsidR="00351237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Liczne zmiany w zakresie kryteriów kwalifikacji w tym brak obowiązku wykonania nefrektomii częściowej/całkowitej podczas kwalifikacji, wprowadzenie możliwości ponownej oceny progresji choroby w przypadku immunoterapii, umożliwienie terapii innych typów histologicznych raka nerkowokomórkowego, możliwość wzajemnej zamiany (w przypadku nietolerancji, a nie progresji choroby) inhibitorów kinaz tyrozynowych w I linii terapii, ujednolicenie skali rokowniczych</w:t>
            </w:r>
          </w:p>
        </w:tc>
      </w:tr>
      <w:tr w:rsidR="00351237" w:rsidRPr="004D78D6" w14:paraId="540A9979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C0E1" w14:textId="280E6615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67F6F" w14:textId="15A09B6A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B.19</w:t>
            </w:r>
            <w:r w:rsidR="00433F1E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39D5E" w14:textId="3B8A4B9A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NISKOROSŁYCH DZIECI Z SOMATOTROPINOWĄ NIEWYDOLNOŚCIĄ PRZYSADKI (ICD-10: E23)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413568A" w14:textId="6522C9DA" w:rsidR="00433F1E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Wprowadzenie szeregu zmian, które umożliwią objęcie leczeniem: </w:t>
            </w:r>
          </w:p>
          <w:p w14:paraId="74644FA2" w14:textId="7BA91EF5" w:rsidR="00433F1E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1) </w:t>
            </w:r>
            <w:r w:rsidR="00433F1E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dzieci z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wielohormonalną niedoczynnością przysadki, </w:t>
            </w:r>
          </w:p>
          <w:p w14:paraId="62BA16F0" w14:textId="77777777" w:rsidR="00433F1E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2) dzieci z udokumentowanymi mutacjami związanymi z niedoborem hormonu wzrostu, </w:t>
            </w:r>
          </w:p>
          <w:p w14:paraId="0C0C2700" w14:textId="77777777" w:rsidR="00433F1E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3) dzieci u których rozpoczęto terapie w okresie niemowlęcym lub poniemowlęcym, </w:t>
            </w:r>
          </w:p>
          <w:p w14:paraId="1358E309" w14:textId="180ED4F3" w:rsidR="00351237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4) dzieci po terapii chorób rozrostowych.</w:t>
            </w:r>
          </w:p>
        </w:tc>
      </w:tr>
      <w:tr w:rsidR="00B9028B" w:rsidRPr="004D78D6" w14:paraId="34FB6E0A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7AB24" w14:textId="7B148C6A" w:rsidR="00B9028B" w:rsidRPr="00880D84" w:rsidRDefault="00C87906" w:rsidP="00B90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59CC" w14:textId="2F64C1E8" w:rsidR="00B9028B" w:rsidRPr="00880D84" w:rsidRDefault="00B9028B" w:rsidP="00B90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  <w:r w:rsidR="00237F9E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AB929" w14:textId="21CFBCFB" w:rsidR="00B9028B" w:rsidRPr="00880D84" w:rsidRDefault="00B9028B" w:rsidP="00B90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991B8E8" w14:textId="14E87E1E" w:rsidR="00B9028B" w:rsidRPr="00880D84" w:rsidRDefault="00B9028B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Program B.29 oraz B.46 połączono w jeden kompleksowy program leczenia SM. Program będzie realizowany w ośrodkach posiadających kontrakt na realizację programu B.29, aby nie ograniczać dostępu wyłącznie do ośrodków wysokospecjalistycznych.</w:t>
            </w:r>
          </w:p>
          <w:p w14:paraId="266F8050" w14:textId="77777777" w:rsidR="00B9028B" w:rsidRPr="00880D84" w:rsidRDefault="00B9028B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Oprócz wskazanych powyżej zmian w zakresie dodania nowej populacji chorych na wtórnie postępującą postać SM oraz nowych opcji terapeutycznych w I linii leczenia RRMS złagodzone zostały kryteria kwalifikacji do II linii leczenia w rzutowo-remisyjnej postaci SM w tym również w przypadku szybko rozwijającej się, ciężkiej postaci RES (dla dotychczas stosowanych leków)</w:t>
            </w:r>
          </w:p>
          <w:p w14:paraId="1E9A4359" w14:textId="77777777" w:rsidR="00B9028B" w:rsidRPr="00880D84" w:rsidRDefault="00B9028B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 leczenia teriflunomidem i fingolimodem będzie możliwość kwalifikacji pacjentów od 10 r.ż. - leki mają postać doustną (tabletki, kapsułki) co ma szczególne znaczenie dla populacji pediatrycznej.</w:t>
            </w:r>
          </w:p>
          <w:p w14:paraId="1F166F59" w14:textId="77777777" w:rsidR="00B9028B" w:rsidRPr="00880D84" w:rsidRDefault="00B9028B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Zarówno w I jak i w II linii leczenia RRMS dopuszczono zmianę leku na inny tak aby dobrać najbardziej optymalną terapię do pacjenta.</w:t>
            </w:r>
          </w:p>
          <w:p w14:paraId="3ABA5DC8" w14:textId="77777777" w:rsidR="00B9028B" w:rsidRPr="00880D84" w:rsidRDefault="00B9028B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Pacjentom leczonym preparatami II linii umożliwiono deeskalację terapii na preparaty I linii leczenia.</w:t>
            </w:r>
          </w:p>
          <w:p w14:paraId="263E0967" w14:textId="1AACA131" w:rsidR="00B9028B" w:rsidRPr="00880D84" w:rsidRDefault="00B9028B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Czasową zmianę terapii umożliwiono też dla kobiet planujących ciążę, w ciąży oraz w okresie karmienia piersią oraz dopuszczono odstąpienie od wykonania badania MRI w trakcie monitorowania programu w przypadku kobiet w ciąży</w:t>
            </w:r>
          </w:p>
        </w:tc>
      </w:tr>
      <w:tr w:rsidR="00351237" w:rsidRPr="004D78D6" w14:paraId="1946A417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F4CEA" w14:textId="7ED5D346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65CD0" w14:textId="476FB1D4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B.32</w:t>
            </w:r>
            <w:r w:rsidR="00237F9E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36D0F" w14:textId="46629AE3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CHOROBĄ LEŚNIOWSKIEGO - CROHNA (ICD-10 K 50)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FDCCEBB" w14:textId="77777777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Zniesienie ograniczenia czasu leczenia dla wszystkich leków biologicznych dostępnych w ramach programu lekowego B.32.</w:t>
            </w:r>
          </w:p>
          <w:p w14:paraId="64F3B4B9" w14:textId="77777777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Doprecyzowanie kryteriów wyłączenia z programu.</w:t>
            </w:r>
          </w:p>
          <w:p w14:paraId="0C1B9598" w14:textId="74690069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Modyfikacja badań diagnostycznych wymaganych podczas kwalifikacji do programu, a także stosowanych w celu optymalizacji leczenia i oceny zasadności kontynuowania terapii.</w:t>
            </w:r>
          </w:p>
        </w:tc>
      </w:tr>
      <w:tr w:rsidR="00351237" w:rsidRPr="004D78D6" w14:paraId="7665124A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55D8C" w14:textId="4F5547A1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2B335" w14:textId="2305F5F9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B.39</w:t>
            </w:r>
            <w:r w:rsidR="00237F9E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1A895" w14:textId="72976EB1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B.39 LECZENIE WTÓRNEJ NADCZYNNOŚCI PRZYTARCZYC U PACJENTÓW LECZONYCH NERKOZASTĘPCZO DIALIZAMI (ICD-10: N25.8)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8EA5D40" w14:textId="363B038A" w:rsidR="00351237" w:rsidRPr="00880D84" w:rsidRDefault="00351237" w:rsidP="00433F1E">
            <w:pPr>
              <w:suppressAutoHyphens w:val="0"/>
              <w:autoSpaceDE w:val="0"/>
              <w:adjustRightInd w:val="0"/>
              <w:spacing w:before="120" w:after="120" w:line="240" w:lineRule="auto"/>
              <w:ind w:left="142" w:right="97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Umożliwienie terapii za pomocą cynakalcetu pacjentom dializowanym otrzewnowo.</w:t>
            </w:r>
          </w:p>
          <w:p w14:paraId="242D3C0A" w14:textId="42082D5A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Połączenie programu lekowego B.39 wraz z programem lekowym B.69, obejmującym terapię parykalcytolem.</w:t>
            </w:r>
          </w:p>
        </w:tc>
      </w:tr>
      <w:tr w:rsidR="00351237" w:rsidRPr="004D78D6" w14:paraId="2A1116ED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2638B" w14:textId="2DF56E53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9.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1B166" w14:textId="6C617E21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B.44.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F7117" w14:textId="7330A29C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CIĘŻKĄ POSTACIĄ ASTMY (ICD-10: J45, J82)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5B273CC" w14:textId="2BDB26CC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Ujednolicenie kryteriów włączenia do terapii biologicznej dla wszystkich trzech leków, stosowanych w programie, mniejszy poziom eozynofilii w kryteriach niż aktualnie w programie, usunięcia przeciwwskazań do leczenia biologicznego dla osób stosujących jednoczesną terapię lekami immunosupresyjnymi, przeciwnowotworowymi, wlewami z immunoglobulin lub innymi lekami biologicznymi</w:t>
            </w:r>
          </w:p>
        </w:tc>
      </w:tr>
      <w:tr w:rsidR="008A241B" w:rsidRPr="004D78D6" w14:paraId="179584D1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2AD1" w14:textId="7F99DF45" w:rsidR="008A241B" w:rsidRPr="00880D84" w:rsidRDefault="00C87906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812B" w14:textId="0FD0FA88" w:rsidR="008A241B" w:rsidRPr="00880D84" w:rsidRDefault="008A241B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B.44.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14862" w14:textId="5F27DD70" w:rsidR="008A241B" w:rsidRPr="00880D84" w:rsidRDefault="008A241B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chorych z ciężką postacią astmy (ICD-10: J45, J82)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2029185" w14:textId="2BA285C2" w:rsidR="008A241B" w:rsidRPr="00880D84" w:rsidRDefault="008A241B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Rozszerzenia wskazania dla dupilumabu u osób powyżej 18. roku życia z ciężką, oporną na leczenie astmą z zapaleniem typu 2 o liczbę eozynofilii we krwi obwodowej od ≥ 150 do &lt; 350 komórek/μl stosujący glikokortykosteroidy</w:t>
            </w:r>
          </w:p>
        </w:tc>
      </w:tr>
      <w:tr w:rsidR="00351237" w:rsidRPr="004D78D6" w14:paraId="6E7A0125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3A2C5" w14:textId="43ECC694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82B66" w14:textId="14F22198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B.50</w:t>
            </w:r>
            <w:r w:rsidR="0022056F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5ABA4" w14:textId="03CCFAF3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CHORYCH NA RAKA JAJNIKA, RAKA JAJOWODU LUB RAKA OTRZEWNEJ (ICD-10: C56, C57, C48)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BA68645" w14:textId="69C3F8BE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Zdefiniowano okno czasowe terapii, w którym leczenie inhibitorami PARP powinno rozpocząć się najpóźniej w 12 tygodniu od zakończenia chemioterapii. Dodatkowo ujednolicono zapisy określające czas leczenia w programie dla niraparybu.  W części dotyczącej monitorowania skuteczności leczenia zmieniono oznaczenie stężenia CA125 co 1 miesiąc lub w przypadku podejrzenia progresji choroby nowotworowej, jak również dokonano doprecyzowania częstości wykonywania badania tomografii komputerowej lub rezonansu magnetycznego oraz zmieniono szyk zdania ułatwiający zrozumienie zapisu.</w:t>
            </w:r>
          </w:p>
        </w:tc>
      </w:tr>
      <w:tr w:rsidR="00351237" w:rsidRPr="004D78D6" w14:paraId="6C728706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9810" w14:textId="058ED98C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28CDC" w14:textId="27FF8DF3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B.50</w:t>
            </w:r>
            <w:r w:rsidR="0022056F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28EE3" w14:textId="09E14DD0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CHORYCH NA RAKA JAJNIKA, RAKA JAJOWODU LUB RAKA OTRZEWNEJ (ICD-10: C56, C57, C48)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C8098CA" w14:textId="0A57CC78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uwagi na zaprzestanie wprowadzania do obrotu na rynek europejski leku Lynparza (olaparyb) w postaci kapsułek, usunięto zapisy odnoszące się do możliwości stosowania tej postaci leku. Pacjentki, które do tej pory stosowały olaparyb w postaci kapsułek, mają kontynuowaną terapię przy wykorzystaniu olaparybu w postaci tabletek.</w:t>
            </w:r>
          </w:p>
        </w:tc>
      </w:tr>
      <w:tr w:rsidR="00351237" w:rsidRPr="004D78D6" w14:paraId="16C6EDEE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1BEDA" w14:textId="20192F33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38963" w14:textId="11F572EE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B.52</w:t>
            </w:r>
            <w:r w:rsidR="0022056F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A6CCA" w14:textId="156C8B40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LECZENIE PŁASKONABŁONKOWEGO RAKA NARZĄDÓW GŁOWY I SZYI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FCA1650" w14:textId="0026E108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Umożliwiono podawanie cetuksymabu dożylnie w dawce 500 mg/m2, co 2 tygodnie</w:t>
            </w:r>
          </w:p>
        </w:tc>
      </w:tr>
      <w:tr w:rsidR="008A241B" w:rsidRPr="004D78D6" w14:paraId="206004F7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3A0DA" w14:textId="1A3E4D9C" w:rsidR="008A241B" w:rsidRPr="00880D84" w:rsidRDefault="00C87906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EBFB6" w14:textId="5FF3654B" w:rsidR="008A241B" w:rsidRPr="00880D84" w:rsidRDefault="008A241B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 52.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D6DE7" w14:textId="1781DDBE" w:rsidR="008A241B" w:rsidRPr="00880D84" w:rsidRDefault="008A241B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płaskonabłonkowego raka narządów głowy i szyi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4FE0705" w14:textId="6C248049" w:rsidR="008A241B" w:rsidRPr="00880D84" w:rsidRDefault="008A241B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Dodanie nowego schematu chemioterapii w przypadku terapii łączonej z </w:t>
            </w:r>
            <w:r w:rsidRPr="00880D8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cetuksymabem</w:t>
            </w: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(TPEx)</w:t>
            </w:r>
          </w:p>
        </w:tc>
      </w:tr>
      <w:tr w:rsidR="00351237" w:rsidRPr="004D78D6" w14:paraId="4935FD9C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28865" w14:textId="151C899F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768BA" w14:textId="36BA10C6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B.55</w:t>
            </w:r>
            <w:r w:rsidR="00237F9E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97FD6" w14:textId="50C50E5E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WRZODZIEJĄCYM ZAPALENIEM JELITA GRUBEGO (WZJG) (ICD-10 K51)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2C515E0" w14:textId="77777777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Zniesienie ograniczenia czasu leczenia dla wszystkich leków biologicznych dostępnych w ramach programu lekowego B.55.</w:t>
            </w:r>
          </w:p>
          <w:p w14:paraId="4DE4F12A" w14:textId="77777777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Dodanie zapisów związanych z udostępnieniem nowej terapii ustekinumabem w ramach programu lekowego B.55.</w:t>
            </w:r>
          </w:p>
          <w:p w14:paraId="6304BA56" w14:textId="77777777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Doprecyzowanie kryteriów wyłączenia z programu</w:t>
            </w:r>
          </w:p>
          <w:p w14:paraId="168A0D89" w14:textId="476D6C87" w:rsidR="00351237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Modyfikacja badań diagnostycznych wymaganych podczas kwalifikacji do programu, a także stosowanych w celu optymalizacji leczenia i oceny zasadności kontynuowania terapii.</w:t>
            </w:r>
          </w:p>
        </w:tc>
      </w:tr>
      <w:tr w:rsidR="008A241B" w:rsidRPr="004D78D6" w14:paraId="0FF2127D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4FF70" w14:textId="71976043" w:rsidR="008A241B" w:rsidRPr="00880D84" w:rsidRDefault="00C87906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846BA" w14:textId="1DCAFDFE" w:rsidR="008A241B" w:rsidRPr="00880D84" w:rsidRDefault="008A241B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B.59.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1BA6" w14:textId="63FD633F" w:rsidR="008A241B" w:rsidRPr="00880D84" w:rsidRDefault="0022056F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PACJENTÓW Z CZERNIAKIEM SKÓRY LUB BŁON ŚLUZOWYCH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8076D1F" w14:textId="1046CB29" w:rsidR="008A241B" w:rsidRPr="00880D84" w:rsidRDefault="008A241B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Zmiana częstotliwości badań obrazowych wykonywanych w trakcie monitorowania terapii w przypadku pacjentów leczonych przez co najmniej 24 miesiące w programie</w:t>
            </w:r>
          </w:p>
        </w:tc>
      </w:tr>
      <w:tr w:rsidR="00B9028B" w:rsidRPr="004D78D6" w14:paraId="2E30209F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543B" w14:textId="3266428A" w:rsidR="00B9028B" w:rsidRPr="00880D84" w:rsidRDefault="00C87906" w:rsidP="00B90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C2D7A" w14:textId="43E14850" w:rsidR="00B9028B" w:rsidRPr="00880D84" w:rsidRDefault="00B9028B" w:rsidP="00B90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B.61.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9D8D" w14:textId="34A00AE4" w:rsidR="00B9028B" w:rsidRPr="00880D84" w:rsidRDefault="00B9028B" w:rsidP="00B90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CYSTYNOZĘ NEFROPATYCZNĄ (ICD-10: E72.0)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28E0A5B" w14:textId="7ACEA0E5" w:rsidR="00B9028B" w:rsidRPr="00880D84" w:rsidRDefault="00B9028B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Doprecyzowanie zapisów w kryteriach kwalifikacji do leczenia cysteaminą w postaci doustnej oraz modyfikacje w zakresie badań laboratoryjnych wykonywanych przy kwalifikacji oraz badań wykonywanych podczas monitorowania leczenia.</w:t>
            </w:r>
          </w:p>
        </w:tc>
      </w:tr>
      <w:tr w:rsidR="00351237" w:rsidRPr="004D78D6" w14:paraId="679CE748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2B1EC" w14:textId="4F10EC1E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09522" w14:textId="57F16371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B.70. 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6107E" w14:textId="332E3382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CHOROBAMI SIATKÓWKI (ICD-10: H35.3, H36.0)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DA39520" w14:textId="014E33FE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Połączenie programów lekowych dotyczących terapii obrzęku plamki zawiązanego z wiekiem (AMD) i cukrzycowego obrzęku plamki (DME) w jedno świadczenie.</w:t>
            </w:r>
          </w:p>
        </w:tc>
      </w:tr>
      <w:tr w:rsidR="00351237" w:rsidRPr="004D78D6" w14:paraId="3DD913F0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8D6C1" w14:textId="1E750DFA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19.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35079" w14:textId="302D5B29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B.71.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33229" w14:textId="1693754E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TERAPIĄ BEZINTERFERONOWĄ CHORYCH NA PRZEWLEKŁE WIRUSOWE ZAPALENIE WĄTROBY TYPU C (ICD-10: B 18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.2)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70820A4" w14:textId="75109F2D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 z treści programu lekowego zapisów dotyczących rybawiryny i możliwości jej stosowania w ramach programu lekowego B.1. Decyzją podmiotu odpowiedzialnego, lek Rebetol nie przedłużył decyzji refundacyjnej. Ponadto, dokonano porządkowej zmiany nazwy programu lekowego zgodnie z wewnętrznymi wytycznymi.</w:t>
            </w:r>
          </w:p>
        </w:tc>
      </w:tr>
      <w:tr w:rsidR="00351237" w:rsidRPr="004D78D6" w14:paraId="2C20D762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C3F85" w14:textId="7BD67102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D9AE6" w14:textId="06ECAE4D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B.75</w:t>
            </w:r>
            <w:r w:rsidR="0022056F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C2B45" w14:textId="50B22398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AKTYWNĄ POSTAĆ ZIARNINIAKOWATOŚCI Z ZAPALENIEM NACZYŃ (GPA) LUB MIKROSKOPOWE ZAPALENIE NACZYŃ (MPA) (ICD-10: M31.3, M31.8)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684B503" w14:textId="3B4F0730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 indukcji remisji umożliwiono stosowanie rytuksymabu w leczeniu podtrzymującym do maksymalnie 5 lat.</w:t>
            </w:r>
          </w:p>
        </w:tc>
      </w:tr>
      <w:tr w:rsidR="008A241B" w:rsidRPr="004D78D6" w14:paraId="556020D4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ADD86" w14:textId="0CD36AE2" w:rsidR="008A241B" w:rsidRPr="00880D84" w:rsidRDefault="00C87906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10B03" w14:textId="2F362203" w:rsidR="008A241B" w:rsidRPr="00880D84" w:rsidRDefault="008A241B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B.82.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047CE" w14:textId="4410D986" w:rsidR="008A241B" w:rsidRPr="00880D84" w:rsidRDefault="0022056F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LECZENIE PACJENTÓW Z AKTYWNĄ POSTACIĄ SPONDYLOARTROPATII (SpA) BEZ ZMIAN RADIOGRAFICZNYCH CHARAKTERYSTYCZNYCH DLA </w:t>
            </w:r>
            <w:r w:rsidR="008A241B"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ZZSK (ICD-10: M46.8)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3DFA23F" w14:textId="5575D01B" w:rsidR="008A241B" w:rsidRPr="00880D84" w:rsidRDefault="008A241B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Refundacja leków zawierających substancję czynną etanercept w zakresie wskazań do odmiennych niż określone w Charakterystyce Produktu Leczniczego, tj. leczenie obwodowej postaci SpA</w:t>
            </w:r>
          </w:p>
        </w:tc>
      </w:tr>
      <w:tr w:rsidR="00351237" w:rsidRPr="004D78D6" w14:paraId="734A6BC2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7A3AB" w14:textId="02C15FD0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22.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EB528" w14:textId="23798B6B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B.86</w:t>
            </w:r>
            <w:r w:rsidR="0022056F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897CC" w14:textId="1F20ED88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WRODZONYMI ZESPOŁAMI AUTOZAPALNYMI (ICD-10: E85, R50.9, D89.8, D89.9)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09445E7" w14:textId="3BD121E5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Zmiany dotyczące nazewnictwa Zespołu Koordynacyjnego i sekcji monitorowania leczenia.</w:t>
            </w:r>
          </w:p>
        </w:tc>
      </w:tr>
      <w:tr w:rsidR="00351237" w:rsidRPr="004D78D6" w14:paraId="1F70E282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3665" w14:textId="2E31995A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689AB" w14:textId="422029BD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B.92.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C622D" w14:textId="4BD0C745" w:rsidR="00351237" w:rsidRPr="00880D84" w:rsidRDefault="0022056F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PRZEWLEKŁĄ BIAŁACZKĘ LIMFOCYTOWĄ IBRUTYNIBEM </w:t>
            </w:r>
            <w:r w:rsidR="00351237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(ICD 10: C91.1)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68F3854" w14:textId="54EE9B02" w:rsidR="00351237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Zmiana w kryteriach kwalifikacji w części II programu lekowego w punkcie dotyczącym przeciwwskazań medycznych do zastosowania schematu zawierającego wenetoklaks w skojarzeniu z rytuksymabem</w:t>
            </w:r>
          </w:p>
        </w:tc>
      </w:tr>
      <w:tr w:rsidR="00351237" w:rsidRPr="004D78D6" w14:paraId="268EC2CD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C6D7F" w14:textId="2E003EBF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19E91" w14:textId="0BAFDF76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B.98.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CFD0F" w14:textId="751C7BAB" w:rsidR="00351237" w:rsidRPr="00880D84" w:rsidRDefault="00351237" w:rsidP="00351237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PEDIATRYCZNYCH CHORYCH NA PIERWOTNĄ MAŁOPŁYTKOWOŚĆ IMMUNOLOGICZNĄ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015273A" w14:textId="60C14C1A" w:rsidR="00351237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Rozszerzenie kwalifikacji o postać przetrwałą choroby (rozumianej jako trwającej powyżej 6 miesięcy) dla eltrombopagu oraz romiplostymu (off-label) odstąpienie od wymogu trepanobiopsji przy kwalifikacji do programu lekowego</w:t>
            </w:r>
          </w:p>
        </w:tc>
      </w:tr>
      <w:tr w:rsidR="00351237" w:rsidRPr="004D78D6" w14:paraId="4ABD07AC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E4F98" w14:textId="01134DED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A19C4" w14:textId="047EFDC7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B.100.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64FE7" w14:textId="16DA70B8" w:rsidR="00351237" w:rsidRPr="00880D84" w:rsidRDefault="00351237" w:rsidP="00351237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CHORYCH NA OPORNĄ I NAWROTOWĄ POSTAĆ KLASYCZNEGO CHŁONIAKA HODGKINA Z ZASTOSOWANIEM NIWOLUMABU (ICD-10: C81)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841433C" w14:textId="552309E0" w:rsidR="00351237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Zmiana w kryteriach kwalifikacji do programu lekowego, tj. rozszerzenie limitu wiekowego z „18 lat i powyżej” na „12 lat i powyżej”</w:t>
            </w:r>
          </w:p>
        </w:tc>
      </w:tr>
      <w:tr w:rsidR="00B9028B" w:rsidRPr="004D78D6" w14:paraId="16876A7E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605B8" w14:textId="49486A4B" w:rsidR="00B9028B" w:rsidRPr="00880D84" w:rsidRDefault="00C87906" w:rsidP="00B90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64A6B" w14:textId="7415DD94" w:rsidR="00B9028B" w:rsidRPr="00880D84" w:rsidRDefault="00B9028B" w:rsidP="00B90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B.101.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1DE43" w14:textId="05E2722D" w:rsidR="00B9028B" w:rsidRPr="00880D84" w:rsidRDefault="00B9028B" w:rsidP="00B9028B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PACJENTÓW Z ZABURZENIAMI LIPIDOWYMI (ICD-10 E78.01, I21, I22, I25)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4387FB0" w14:textId="2884A500" w:rsidR="00B9028B" w:rsidRPr="00880D84" w:rsidRDefault="00B9028B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Dostosowanie zapisów programu lekowego do aktualnych  wytycznych klinicznych. Przykładowo rozszerzono wskazania dla 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alirokumabu i ewolokumabu o pacjentów z nietolerancją statyn, wydłużono czas od ostatniego zawału z obecnych 12 miesięcy do 24 miesięcy, jak również dodano sekcję umożliwiającą zamianę leków wg określonych zasad.</w:t>
            </w:r>
          </w:p>
        </w:tc>
      </w:tr>
      <w:tr w:rsidR="008A241B" w:rsidRPr="004D78D6" w14:paraId="0919912F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6077" w14:textId="0B519B9B" w:rsidR="008A241B" w:rsidRPr="00880D84" w:rsidRDefault="00C87906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E6F60" w14:textId="08AF6CD0" w:rsidR="008A241B" w:rsidRPr="00880D84" w:rsidRDefault="008A241B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B.107.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DEA" w14:textId="7F77442F" w:rsidR="008A241B" w:rsidRPr="00880D84" w:rsidRDefault="0022056F" w:rsidP="008A241B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PRZEWLEKŁĄ POKRZYWKĄ SPONTANICZNĄ (ICD-10: L50.1)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B983442" w14:textId="03BAC825" w:rsidR="008A241B" w:rsidRPr="00880D84" w:rsidRDefault="008A241B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Zmiany mają głównie charakter administracyjny i będą ułatwieniem dla pacjentów oraz realizatorów programu. Przykładem zmiany jest zniesienie wymogu co najmniej sześciomiesięcznego udokumentowania historii przewlekłej pokrzywki spontanicznej</w:t>
            </w:r>
          </w:p>
        </w:tc>
      </w:tr>
      <w:tr w:rsidR="008A241B" w:rsidRPr="004D78D6" w14:paraId="116F4B27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3B92" w14:textId="4FDF25DD" w:rsidR="008A241B" w:rsidRPr="00880D84" w:rsidRDefault="00C87906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A02C3" w14:textId="6EF4D842" w:rsidR="008A241B" w:rsidRPr="00880D84" w:rsidRDefault="008A241B" w:rsidP="008A24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B.110.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8F1EB" w14:textId="2F068763" w:rsidR="008A241B" w:rsidRPr="00880D84" w:rsidRDefault="0022056F" w:rsidP="008A241B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DINUTUKSYMABEM BETA PACJENTÓW Z NERWIAKIEM ZARODKOWYM WSPÓŁCZULNYM (ICD-10: C47)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085A09C" w14:textId="5D437876" w:rsidR="008A241B" w:rsidRPr="00880D84" w:rsidRDefault="008A241B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Zmiany mają charakter porządkujący oraz dostosowują zapisy programu lekowego do aktualnych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wytycznych klinicznych. Główna zmiana to rezygnacja z części badań kontrolnych wymaganych w związku ze stosowaniem interleukiny 2 (IL-2).</w:t>
            </w:r>
          </w:p>
        </w:tc>
      </w:tr>
      <w:tr w:rsidR="00B9028B" w:rsidRPr="004D78D6" w14:paraId="743D38E2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85F7D" w14:textId="5DBFFCD0" w:rsidR="00B9028B" w:rsidRPr="00880D84" w:rsidRDefault="00C87906" w:rsidP="00B90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29.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413D5" w14:textId="6D22E9BB" w:rsidR="00B9028B" w:rsidRPr="00880D84" w:rsidRDefault="00B9028B" w:rsidP="00B90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B.118.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888D" w14:textId="6F6DA776" w:rsidR="00B9028B" w:rsidRPr="00880D84" w:rsidRDefault="00B9028B" w:rsidP="00B9028B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LECZENIE PACJENTÓW Z CHOROBĄ CUSHINGA (ICD-10: E24.0)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D86F92" w14:textId="5CBE55DF" w:rsidR="00B9028B" w:rsidRPr="00880D84" w:rsidRDefault="00B9028B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Zmiany mają charakter porządkujący oraz dostosowują zapisy programu lekowego do aktualnych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wytycznych klinicznych.</w:t>
            </w:r>
          </w:p>
        </w:tc>
      </w:tr>
      <w:tr w:rsidR="00351237" w:rsidRPr="004D78D6" w14:paraId="2CFE0A2D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39B13" w14:textId="0ABA01C3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30.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0E650" w14:textId="32C0A69F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B.123</w:t>
            </w:r>
            <w:r w:rsidR="0022056F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09706" w14:textId="60225818" w:rsidR="00351237" w:rsidRPr="00880D84" w:rsidRDefault="00351237" w:rsidP="00351237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CHOROBĄ WILSONA (ICD-10: E83.0)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0AECD12" w14:textId="33472287" w:rsidR="00351237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Zmiana w zapisie badań przy kwalifikacji i monitorowania leczenia dotycząca pomiaru stężenia ceruloplazminy.</w:t>
            </w:r>
          </w:p>
        </w:tc>
      </w:tr>
      <w:tr w:rsidR="00351237" w:rsidRPr="004D78D6" w14:paraId="01DA3A51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9AE7D" w14:textId="2E9DD582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7B179" w14:textId="23C4E280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B.128.FM</w:t>
            </w:r>
            <w:r w:rsidR="0022056F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0546A" w14:textId="6A711B2D" w:rsidR="00351237" w:rsidRPr="00880D84" w:rsidRDefault="00351237" w:rsidP="00351237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OSTRĄ PORFIRIĘ WĄTROBOWĄ (AHP) U DOROSŁYCH I MŁODZIEŻY W WIEKU OD 12 LAT (ICD-10: E80.2)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02C853C" w14:textId="77777777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contextualSpacing w:val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Dodanie zapisu o możliwości kwalifikacji do programu lekowego pacjentów, którzy rozpoczęli leczenie giwosyranem sodowym w ramach innego sposobu finansowania, pod warunkiem, że w chwili rozpoczęcia leczenia spełniali kryteria kwalifikacji do programu lekowego.</w:t>
            </w:r>
          </w:p>
          <w:p w14:paraId="61332333" w14:textId="17001A41" w:rsidR="00351237" w:rsidRPr="00880D84" w:rsidRDefault="00351237" w:rsidP="00433F1E">
            <w:pPr>
              <w:spacing w:before="60" w:after="60" w:line="240" w:lineRule="auto"/>
              <w:ind w:left="142" w:right="9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Doprecyzowanie kryteriów wyłączenia z programu.</w:t>
            </w:r>
          </w:p>
        </w:tc>
      </w:tr>
      <w:tr w:rsidR="00351237" w:rsidRPr="004D78D6" w14:paraId="5B9AA9A2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215E3" w14:textId="5F80BF65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E5C63" w14:textId="44D03076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C.0.05.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B2146" w14:textId="01DFF304" w:rsidR="00351237" w:rsidRPr="00880D84" w:rsidRDefault="00351237" w:rsidP="00351237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EPOETINUM BETA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7C85610" w14:textId="077A9342" w:rsidR="00351237" w:rsidRPr="00880D84" w:rsidRDefault="00351237" w:rsidP="00433F1E">
            <w:pPr>
              <w:pStyle w:val="Akapitzlist"/>
              <w:spacing w:before="60" w:after="60" w:line="240" w:lineRule="auto"/>
              <w:ind w:left="142" w:right="97"/>
              <w:contextualSpacing w:val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 całego załącznika nr C.0.05. z katalogu chemioterapii. Decyzją podmiotu odpowiedzialnego, lek NeoRecormon będący jedyną refundowaną epoetyną beta, nie przedłużył decyzji refundacyjnej.</w:t>
            </w:r>
          </w:p>
        </w:tc>
      </w:tr>
      <w:tr w:rsidR="00351237" w:rsidRPr="004D78D6" w14:paraId="649E0B82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79D48" w14:textId="236E23FE" w:rsidR="00351237" w:rsidRPr="00880D84" w:rsidRDefault="00C87906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8D404" w14:textId="53321FF1" w:rsidR="00351237" w:rsidRPr="00880D84" w:rsidRDefault="00351237" w:rsidP="0035123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C.82.a</w:t>
            </w:r>
            <w:r w:rsidR="0022056F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1B5A6B4E" w14:textId="4500396A" w:rsidR="00351237" w:rsidRPr="00880D84" w:rsidRDefault="00351237" w:rsidP="0035123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C.82.b</w:t>
            </w:r>
            <w:r w:rsidR="0022056F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3BB97A58" w14:textId="34A781AF" w:rsidR="00351237" w:rsidRPr="00880D84" w:rsidRDefault="00351237" w:rsidP="0035123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C.82.c</w:t>
            </w:r>
            <w:r w:rsidR="0022056F" w:rsidRPr="00880D8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75BBB" w14:textId="25E16742" w:rsidR="00351237" w:rsidRPr="00880D84" w:rsidRDefault="00351237" w:rsidP="00351237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BEVACIZUMABUM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34307B2" w14:textId="77777777" w:rsidR="00351237" w:rsidRPr="00880D84" w:rsidRDefault="00351237" w:rsidP="00433F1E">
            <w:pPr>
              <w:suppressAutoHyphens w:val="0"/>
              <w:spacing w:before="60" w:after="60" w:line="240" w:lineRule="auto"/>
              <w:ind w:left="142" w:right="97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Zmiana kategorii dostępności dla bewacyzumabu:</w:t>
            </w:r>
          </w:p>
          <w:p w14:paraId="4D8B24C2" w14:textId="77777777" w:rsidR="00351237" w:rsidRPr="00880D84" w:rsidRDefault="00351237" w:rsidP="0022056F">
            <w:pPr>
              <w:pStyle w:val="Akapitzlist"/>
              <w:numPr>
                <w:ilvl w:val="0"/>
                <w:numId w:val="7"/>
              </w:numPr>
              <w:suppressAutoHyphens w:val="0"/>
              <w:spacing w:before="60" w:after="60" w:line="240" w:lineRule="auto"/>
              <w:ind w:left="567" w:right="97" w:firstLine="0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z programu lekowego B.50 do katalogu chemioterapii C.82.a</w:t>
            </w:r>
          </w:p>
          <w:p w14:paraId="6E0E124C" w14:textId="77777777" w:rsidR="00351237" w:rsidRPr="00880D84" w:rsidRDefault="00351237" w:rsidP="0022056F">
            <w:pPr>
              <w:pStyle w:val="Akapitzlist"/>
              <w:numPr>
                <w:ilvl w:val="0"/>
                <w:numId w:val="7"/>
              </w:numPr>
              <w:suppressAutoHyphens w:val="0"/>
              <w:spacing w:before="60" w:after="60" w:line="240" w:lineRule="auto"/>
              <w:ind w:left="567" w:right="97" w:firstLine="0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z programu lekowego B.116 do katalogu chemioterapii C.82.b</w:t>
            </w:r>
          </w:p>
          <w:p w14:paraId="2AA70601" w14:textId="2CE0D610" w:rsidR="00351237" w:rsidRPr="00880D84" w:rsidRDefault="00351237" w:rsidP="0022056F">
            <w:pPr>
              <w:pStyle w:val="Akapitzlist"/>
              <w:numPr>
                <w:ilvl w:val="0"/>
                <w:numId w:val="7"/>
              </w:numPr>
              <w:suppressAutoHyphens w:val="0"/>
              <w:spacing w:before="60" w:after="60" w:line="240" w:lineRule="auto"/>
              <w:ind w:left="567" w:right="97" w:firstLine="0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z programu lekowego B.4 do katalogu chemioterapii C.82.c</w:t>
            </w:r>
          </w:p>
        </w:tc>
      </w:tr>
      <w:tr w:rsidR="00B9028B" w:rsidRPr="004D78D6" w14:paraId="1CABE4BC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C446" w14:textId="4D6AAB3A" w:rsidR="00B9028B" w:rsidRPr="00880D84" w:rsidRDefault="00C87906" w:rsidP="00B90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34.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EAE55" w14:textId="734436C5" w:rsidR="00B9028B" w:rsidRPr="00880D84" w:rsidRDefault="00B9028B" w:rsidP="00B9028B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C.82.a.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2EB4A" w14:textId="1AF623FF" w:rsidR="00B9028B" w:rsidRPr="00880D84" w:rsidRDefault="00B9028B" w:rsidP="00B9028B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Cs/>
                <w:sz w:val="20"/>
                <w:szCs w:val="20"/>
              </w:rPr>
              <w:t>BEVACIZUMABUM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1094BC0" w14:textId="6FCFADFF" w:rsidR="00B9028B" w:rsidRPr="00880D84" w:rsidRDefault="00B9028B" w:rsidP="00433F1E">
            <w:pPr>
              <w:suppressAutoHyphens w:val="0"/>
              <w:spacing w:before="60" w:after="60" w:line="240" w:lineRule="auto"/>
              <w:ind w:left="142" w:right="97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Rozszerzenie wskazań dla bewacyzumabu stosowanego w skojarzeniu z olaparybem u pacjentek 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 xml:space="preserve">z zawansowanym rakiem jajnika (stopień zaawansowania FIGO IV lub III) z obecnością mutacji w genach </w:t>
            </w: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BRCA1/2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 xml:space="preserve"> lub potwierdzonym niedoborem homologicznej rekombinacji (HRD) bez względu na obecność choroby resztkowej</w:t>
            </w:r>
          </w:p>
        </w:tc>
      </w:tr>
    </w:tbl>
    <w:p w14:paraId="50DC3823" w14:textId="77777777" w:rsidR="00816802" w:rsidRPr="004D78D6" w:rsidRDefault="00816802" w:rsidP="00816802">
      <w:pPr>
        <w:rPr>
          <w:rFonts w:asciiTheme="majorHAnsi" w:hAnsiTheme="majorHAnsi" w:cstheme="majorHAnsi"/>
          <w:b/>
          <w:bCs/>
          <w:color w:val="00B0F0"/>
          <w:sz w:val="20"/>
          <w:szCs w:val="20"/>
        </w:rPr>
      </w:pPr>
    </w:p>
    <w:p w14:paraId="2B626AB6" w14:textId="77777777" w:rsidR="00816802" w:rsidRPr="004D78D6" w:rsidRDefault="00816802" w:rsidP="00816802">
      <w:pPr>
        <w:suppressAutoHyphens w:val="0"/>
        <w:rPr>
          <w:rFonts w:asciiTheme="majorHAnsi" w:hAnsiTheme="majorHAnsi" w:cstheme="majorHAnsi"/>
          <w:b/>
          <w:bCs/>
          <w:color w:val="00B0F0"/>
          <w:sz w:val="20"/>
          <w:szCs w:val="20"/>
        </w:rPr>
      </w:pPr>
      <w:r w:rsidRPr="004D78D6">
        <w:rPr>
          <w:rFonts w:asciiTheme="majorHAnsi" w:hAnsiTheme="majorHAnsi" w:cstheme="majorHAnsi"/>
          <w:b/>
          <w:bCs/>
          <w:color w:val="00B0F0"/>
          <w:sz w:val="20"/>
          <w:szCs w:val="20"/>
        </w:rPr>
        <w:br w:type="page"/>
      </w:r>
    </w:p>
    <w:p w14:paraId="79A49358" w14:textId="77777777" w:rsidR="00816802" w:rsidRPr="00880D84" w:rsidRDefault="00816802" w:rsidP="00816802">
      <w:pPr>
        <w:jc w:val="center"/>
        <w:rPr>
          <w:rFonts w:asciiTheme="majorHAnsi" w:hAnsiTheme="majorHAnsi" w:cstheme="majorHAnsi"/>
          <w:b/>
          <w:bCs/>
          <w:color w:val="00B0F0"/>
          <w:sz w:val="28"/>
          <w:szCs w:val="28"/>
        </w:rPr>
      </w:pPr>
      <w:r w:rsidRPr="00880D84">
        <w:rPr>
          <w:rFonts w:asciiTheme="majorHAnsi" w:hAnsiTheme="majorHAnsi" w:cstheme="majorHAnsi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891"/>
        <w:gridCol w:w="2249"/>
        <w:gridCol w:w="16"/>
        <w:gridCol w:w="2224"/>
        <w:gridCol w:w="4524"/>
        <w:gridCol w:w="4084"/>
      </w:tblGrid>
      <w:tr w:rsidR="00816802" w:rsidRPr="00880D84" w14:paraId="02D1EEA3" w14:textId="77777777" w:rsidTr="00C87906">
        <w:trPr>
          <w:trHeight w:val="458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57EE5" w14:textId="77777777" w:rsidR="00816802" w:rsidRPr="00880D84" w:rsidRDefault="00816802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bookmarkStart w:id="5" w:name="_Hlk121899750"/>
            <w:r w:rsidRPr="00880D84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Apteka</w:t>
            </w:r>
          </w:p>
        </w:tc>
      </w:tr>
      <w:tr w:rsidR="00816802" w:rsidRPr="00880D84" w14:paraId="3FC877A8" w14:textId="77777777" w:rsidTr="00C87906">
        <w:trPr>
          <w:trHeight w:val="46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C95B7" w14:textId="77777777" w:rsidR="00816802" w:rsidRPr="00880D84" w:rsidRDefault="00816802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Nowe wskazania refundacyjne</w:t>
            </w:r>
          </w:p>
        </w:tc>
      </w:tr>
      <w:tr w:rsidR="00C87906" w:rsidRPr="00880D84" w14:paraId="50860718" w14:textId="77777777" w:rsidTr="009B4965"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34146" w14:textId="77777777" w:rsidR="00816802" w:rsidRPr="00880D84" w:rsidRDefault="00816802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BDAB7" w14:textId="77777777" w:rsidR="00816802" w:rsidRPr="00880D84" w:rsidRDefault="00816802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Nazwa leku, środka spożywczego specjalnego przeznaczenia lub wyrobu </w:t>
            </w:r>
            <w:r w:rsidRPr="00880D8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medycznego</w:t>
            </w:r>
          </w:p>
        </w:tc>
        <w:tc>
          <w:tcPr>
            <w:tcW w:w="80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298D7" w14:textId="77777777" w:rsidR="00816802" w:rsidRPr="00880D84" w:rsidRDefault="00816802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1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E3B69" w14:textId="77777777" w:rsidR="00816802" w:rsidRPr="00880D84" w:rsidRDefault="00816802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9F3AD" w14:textId="77777777" w:rsidR="00816802" w:rsidRPr="00880D84" w:rsidRDefault="00816802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bookmarkEnd w:id="5"/>
      <w:tr w:rsidR="00EC2373" w:rsidRPr="00880D84" w14:paraId="015750D8" w14:textId="77777777" w:rsidTr="009B4965">
        <w:trPr>
          <w:trHeight w:val="1416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F5FE" w14:textId="6B6A9347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BD5AF" w14:textId="31C21B52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Atectura Breezhaler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16E33" w14:textId="7E9EE609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indakaterol + </w:t>
            </w:r>
            <w:r w:rsidRPr="00880D84">
              <w:rPr>
                <w:rFonts w:asciiTheme="majorHAnsi" w:hAnsiTheme="majorHAnsi" w:cstheme="majorHAnsi"/>
                <w:i/>
                <w:iCs/>
                <w:color w:val="242424"/>
                <w:sz w:val="20"/>
                <w:szCs w:val="20"/>
                <w:shd w:val="clear" w:color="auto" w:fill="FFFFFF"/>
              </w:rPr>
              <w:t>m</w:t>
            </w: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ometazonu furoinian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D42EB" w14:textId="30EBF1E3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Podtrzymujące leczenie astmy u osób dorosłych i młodzieży w wieku od 12 lat z niewystarczającą kontrolą astmy za pomocą wziewnych kortykosteroidów oraz wziewnych krótko działających beta-2- mimetyków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CE12C" w14:textId="66AB6CCD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Wziewna terapia dwuskładnikowa stanowiąca połączenie glikokortykosteroidu (wGKS) oraz długo działającego beta-</w:t>
            </w:r>
            <w:r w:rsidRPr="00880D84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 xml:space="preserve">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β-2-agonisty (LABA) pozwalająca na poprawę compliance i skuteczności leczenia astmy.</w:t>
            </w:r>
          </w:p>
        </w:tc>
      </w:tr>
      <w:tr w:rsidR="00EC2373" w:rsidRPr="00880D84" w14:paraId="0C710DF3" w14:textId="77777777" w:rsidTr="009B4965">
        <w:trPr>
          <w:trHeight w:val="983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032A5" w14:textId="2435ECBB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3E2F1" w14:textId="49F75C19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lang w:val="en-GB" w:eastAsia="pl-PL"/>
              </w:rPr>
              <w:t>BD Micro-Fine Plus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63341" w14:textId="3195011A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>Igły do penów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9408B" w14:textId="3C580A01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Cukrzyca wymagająca podawania insuliny, z ograniczeniem do 4 opakowań igieł na rok dla jednego pacjenta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DFF1E" w14:textId="77777777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22056F" w:rsidRPr="00880D84" w14:paraId="53CB523D" w14:textId="77777777" w:rsidTr="009B4965">
        <w:trPr>
          <w:trHeight w:val="1976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0FB73" w14:textId="5AA75880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B5720" w14:textId="3F174F78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Briviact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A3347" w14:textId="10336B94" w:rsidR="0022056F" w:rsidRPr="00880D84" w:rsidRDefault="000D0826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</w:t>
            </w:r>
            <w:r w:rsidR="0022056F"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rivaracetamum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DFDAA" w14:textId="35923E66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Terapia dodana po co najmniej trzech nieudanych próbach leczenia u dzieci powyżej 4 r.ż. i młodzieży poniżej 16. roku życia z encefalopatiami padaczkowymi pod postacią zespołu Lennoxa-Gastauta, Zespołu Dravet, zespołu Westa i innych rzadkich genetycznie uwarunkowanych encefalopatii padaczkowych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388D" w14:textId="4670981C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aktualnego wskazania o populację dzieci od 4 roku życia z encefalopatiami padaczkowymi</w:t>
            </w:r>
          </w:p>
        </w:tc>
      </w:tr>
      <w:tr w:rsidR="0022056F" w:rsidRPr="00880D84" w14:paraId="699C3699" w14:textId="77777777" w:rsidTr="009B4965">
        <w:trPr>
          <w:trHeight w:val="126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394A" w14:textId="178B23D1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FA8F2" w14:textId="2FF83C2F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Buccolam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11652" w14:textId="6129AB84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midazolam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096D" w14:textId="16A5DBFE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Przedłużone, ostre napady drgawkowe u niemowląt, dzieci i młodzieży (od 6 miesięcy do 18 lat)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078F0" w14:textId="73F56E78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Podanie podpoliczkowe - alternatywa dla refundowanego diazepamu podawanego doodbytniczo w celu przerwania napadów drgawkowych.</w:t>
            </w:r>
          </w:p>
        </w:tc>
      </w:tr>
      <w:tr w:rsidR="00EC2373" w:rsidRPr="00880D84" w14:paraId="1BC77B89" w14:textId="77777777" w:rsidTr="009B4965"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DEC6F" w14:textId="556087EA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4AAC" w14:textId="6727128E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Enerzair Breezhaler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17523" w14:textId="60FFB2D7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indakaterol + glikopyronium bromek + </w:t>
            </w:r>
            <w:r w:rsidRPr="00880D84">
              <w:rPr>
                <w:rFonts w:asciiTheme="majorHAnsi" w:hAnsiTheme="majorHAnsi" w:cstheme="majorHAnsi"/>
                <w:i/>
                <w:iCs/>
                <w:color w:val="242424"/>
                <w:sz w:val="20"/>
                <w:szCs w:val="20"/>
                <w:shd w:val="clear" w:color="auto" w:fill="FFFFFF"/>
              </w:rPr>
              <w:t>m</w:t>
            </w: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ometazonu furoinian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79297" w14:textId="4C7CD977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Podtrzymujące leczenie astmy u dorosłych pacjentów, u których nie uzyskano odpowiedniej kontroli choroby w wyniku podtrzymującego leczenia skojarzonego długo działającym beta2- mimetykiem i kortykosteroidem wziewnym podawanym w dużych dawkach, u których wystąpiło co najmniej jedno zaostrzenie astmy w poprzednim roku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5A49" w14:textId="6CAF91A1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Wziewna terapia trójskładnikowa stanowiąca połączenie glikokortykosteroidu (wGKS), długo  długodziałającego antagonisty receptorów muskarynowych (LAMA) oraz długo działającego beta- β-2-agonisty (LABA) pozwalająca na poprawę compliance i skuteczności leczenia astmy.</w:t>
            </w:r>
          </w:p>
        </w:tc>
      </w:tr>
      <w:tr w:rsidR="00EC2373" w:rsidRPr="00880D84" w14:paraId="58283EBD" w14:textId="77777777" w:rsidTr="009B4965">
        <w:trPr>
          <w:trHeight w:val="120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1D625" w14:textId="21BFE9BA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24B5" w14:textId="3BF13FED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Exufiber Ag+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A0760" w14:textId="312E4AD4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opatrunek specjalistyczny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9BCA0" w14:textId="57F977CA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Rany przewlekłe z równoczesnym ubytkiem tkankowym (tj. rany głębokie) z cechami infekcji, ze średnim i dużym wysiękiem o różnej etiologii.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61C4C" w14:textId="187552E2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Terapia ran przewlekłych z równoczesnym ubytkiem tkankowym (tj. rany głębokie) z cechami infekcji, ze średnim i dużym wysiękiem o różnej etiologii.</w:t>
            </w:r>
          </w:p>
        </w:tc>
      </w:tr>
      <w:tr w:rsidR="0022056F" w:rsidRPr="00880D84" w14:paraId="116CECF8" w14:textId="77777777" w:rsidTr="009B4965">
        <w:trPr>
          <w:trHeight w:val="226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8903" w14:textId="0417789F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F2329" w14:textId="28595641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Forxiga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4CB77" w14:textId="064ECB6A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dapagliflozyna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598B" w14:textId="17DE6625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Przewlekła niewydolność serca u dorosłych pacjentów z obniżoną frakcją wyrzutową lewej komory serca (LVEF≤40%) oraz utrzymującymi się objawami choroby w klasie II-IV NYHA pomimo zastosowania terapii opartej na ACEi (lub ARB/ARNi) i lekach z grupy betaadrenolityków oraz jeśli wskazane antagonistach receptora mineralokortykoidów;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DDDA5" w14:textId="4A015B9A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aktualnego wskazania refundacyjnego dla flozyn w zakresie niewydolności serca obok leczenia cukrzycy</w:t>
            </w:r>
          </w:p>
        </w:tc>
      </w:tr>
      <w:tr w:rsidR="00EC2373" w:rsidRPr="00880D84" w14:paraId="1B995FF4" w14:textId="77777777" w:rsidTr="009B4965">
        <w:trPr>
          <w:trHeight w:val="1412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52BB0" w14:textId="76336FC7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9C1C6" w14:textId="31240BB2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Forxiga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BAF2B" w14:textId="4EE182F4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dapagliflozyna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BEBE0" w14:textId="3C69BBEF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Przewlekła choroba nerek u dorosłych pacjentów z eGFR&lt;60 ml/min/1.73m2, </w:t>
            </w: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 xml:space="preserve">albuminurią </w:t>
            </w:r>
            <w:r w:rsidRPr="00880D8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≥200mg/g oraz leczonych terapią opartą na ACE-i /ARB nie krócej niż 4 tygodnie lub z przeciwskazaniami do tych terapii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4AF65" w14:textId="3B64CF21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aktualnie obowiązujących wskazań obok leczenia niewydolności serca oraz cukrzycy.</w:t>
            </w:r>
          </w:p>
        </w:tc>
      </w:tr>
      <w:tr w:rsidR="00EC2373" w:rsidRPr="00880D84" w14:paraId="1D5C0231" w14:textId="77777777" w:rsidTr="009B4965"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187CE" w14:textId="6A216E0F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9.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3ADCB" w14:textId="506E8E24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Forxiga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F3B49" w14:textId="3C4FE1BB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dapagliflozyna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220A2" w14:textId="5F9396ED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Cukrzyca typu 2 u pacjentów leczonych co najmniej dwoma lekami hipoglikemizującymi, z HbA1c ≥ 7,5% oraz bardzo wysokim ryzykiem sercowo-naczyniowym rozumianym jako: 1) potwierdzona choroba sercowo-naczyniowa, lub 2) uszkodzenie innych narządów objawiające się poprzez: białkomocz lub przerost lewej komory lub retinopatię, lub 3) obecność 3 lub więcej głównych czynników ryzyka spośród wymienionych poniżej: -wiek ≥ 55 lat dla mężczyzn, ≥60 lat dla kobiet, -dyslipidemia, -nadciśnienie tętnicze, -palenie tytoniu, -otyłość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1F3B1" w14:textId="77777777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aktualnego wskazania refundacyjnego, tj.:</w:t>
            </w:r>
          </w:p>
          <w:p w14:paraId="17BE8EDE" w14:textId="77777777" w:rsidR="0022056F" w:rsidRPr="00880D84" w:rsidRDefault="0022056F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136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zmniejszenie wymogu z HbA1c ≥ 8,0% na HbA1c ≥ 7,5%</w:t>
            </w:r>
          </w:p>
          <w:p w14:paraId="047B8BA8" w14:textId="77777777" w:rsidR="0022056F" w:rsidRPr="00880D84" w:rsidRDefault="0022056F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136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 ograniczenia w zakresie braku stosowania insuliny przez pacjenta przed zastosowaniem leków flozynowych</w:t>
            </w:r>
          </w:p>
          <w:p w14:paraId="367ABAC6" w14:textId="12A95791" w:rsidR="0022056F" w:rsidRPr="00880D84" w:rsidRDefault="0022056F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136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 konieczności 6 miesięcznego okresu stosowania dwóch leków przed włączeniem do leczenia lekami flozynowymi</w:t>
            </w:r>
          </w:p>
        </w:tc>
      </w:tr>
      <w:tr w:rsidR="00EC2373" w:rsidRPr="00880D84" w14:paraId="59502DF1" w14:textId="77777777" w:rsidTr="009B4965">
        <w:trPr>
          <w:trHeight w:val="1689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9708F" w14:textId="1DE48038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01E60" w14:textId="05911D9C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Galvus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A2F9B" w14:textId="2B29AB89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widagliptyna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101FC" w14:textId="78A673A5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doustnej terapii, w skojarzeniu z metforminą: cukrzyca typu 2 u pacjentów u których zastosowanie metforminy w maksymalnie tolerowanej dawce w monoterapii nie pozwala osiągnąć dobrej kontroli glikemii, wartość HbA1c&gt;7% (przez co najmniej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3 miesiące)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5EE9F" w14:textId="24AF68B8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refundowana grupa leków przeciwcukrzycowych z grupy inhibitorów DPP-4</w:t>
            </w:r>
          </w:p>
        </w:tc>
      </w:tr>
      <w:tr w:rsidR="00DC2663" w:rsidRPr="00880D84" w14:paraId="7C6D8824" w14:textId="77777777" w:rsidTr="009B4965">
        <w:trPr>
          <w:trHeight w:val="1228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1D29C" w14:textId="6F5676E4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987A9" w14:textId="0273B124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Ikervis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621D4" w14:textId="2B5F555F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cyklosporyna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CAE24" w14:textId="035AE633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Ciężkie zapalenie rogówki u dorosłych pacjentów z zespołem suchego oka, u których nie nastąpiła poprawa pomimo stosowania preparatów sztucznych łez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152AD" w14:textId="513DDDFC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Krople do oczu z cyklosporyną we wskazaniu leczenia zapalenia rogówki</w:t>
            </w:r>
          </w:p>
        </w:tc>
      </w:tr>
      <w:tr w:rsidR="00DC2663" w:rsidRPr="00880D84" w14:paraId="18972112" w14:textId="77777777" w:rsidTr="009B4965">
        <w:trPr>
          <w:trHeight w:val="3276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797D2" w14:textId="467373BB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85A9B" w14:textId="4D79F3DF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Invokana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8EE4F" w14:textId="5A8D9E5B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kanagliflozyna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B2C3B" w14:textId="0600FBED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Cukrzyca typu 2 u pacjentów leczonych co najmniej dwoma lekami hipoglikemizującymi, z HbA1c ≥ 7,5% oraz bardzo wysokim ryzykiem sercowo-naczyniowym rozumianym jako: 1)potwierdzona choroba sercowo-naczyniowa, lub 2)uszkodzenie innych narządów objawiające się poprzez: białkomocz lub przerost lewej komory lub retinopatię, lub 3)obecność 3 lub więcej głównych czynników ryzyka spośród wymienionych poniżej: -wiek ≥ 55 lat dla mężczyzn, ≥60 lat dla kobiet, -dyslipidemia, -nadciśnienie tętnicze, -palenie tytoniu, -otyłość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D7807" w14:textId="77777777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aktualnego wskazania refundacyjnego, tj.:</w:t>
            </w:r>
          </w:p>
          <w:p w14:paraId="5B82A8F1" w14:textId="77777777" w:rsidR="0022056F" w:rsidRPr="00880D84" w:rsidRDefault="0022056F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63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zmniejszenie wymogu z HbA1c ≥ 8,0% na HbA1c ≥ 7,5%</w:t>
            </w:r>
          </w:p>
          <w:p w14:paraId="3E97FDE4" w14:textId="77777777" w:rsidR="0022056F" w:rsidRPr="00880D84" w:rsidRDefault="0022056F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63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 ograniczenia w zakresie braku stosowania insuliny przez pacjenta przed zastosowaniem leków flozynowych</w:t>
            </w:r>
          </w:p>
          <w:p w14:paraId="061CC3FB" w14:textId="67F3F396" w:rsidR="0022056F" w:rsidRPr="00880D84" w:rsidRDefault="0022056F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63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 konieczności 6 miesięcznego okresu stosowania dwóch leków przed włączeniem do leczenia lekami flozynowymi</w:t>
            </w:r>
          </w:p>
        </w:tc>
      </w:tr>
      <w:tr w:rsidR="00DC2663" w:rsidRPr="00880D84" w14:paraId="6803217E" w14:textId="77777777" w:rsidTr="009B4965">
        <w:trPr>
          <w:trHeight w:val="1788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3F062" w14:textId="7402DD2E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99FF7" w14:textId="400246C0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Janumet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AA1B1" w14:textId="3260F949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sitagliptyna+metformina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F0C6" w14:textId="4D482E93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W doustnej terapii, w skojarzeniu z metforminą: cukrzyca typu 2 u pacjentów u których zastosowanie metforminy w maksymalnie tolerowanej dawce w monoterapii nie pozwala osiągnąć dobrej kontroli glikemii, wartość HbA1c&gt;7% (przez co najmniej </w:t>
            </w: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  <w:t>3 miesiące)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69DDE" w14:textId="652F9B10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refundowana grupa leków przeciwcukrzycowych z grupy inhibitorów DPP-4</w:t>
            </w:r>
          </w:p>
        </w:tc>
      </w:tr>
      <w:tr w:rsidR="00DC2663" w:rsidRPr="00880D84" w14:paraId="6CCDE5FF" w14:textId="77777777" w:rsidTr="009B4965"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E7A26" w14:textId="2B972A82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0CE5D" w14:textId="6E2389F4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Januvia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6EFE" w14:textId="647037A5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sitagliptyna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402BA" w14:textId="4013A542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doustnej terapii, w skojarzeniu z metforminą: cukrzyca typu 2 u pacjentów u których zastosowanie metforminy w maksymalnie tolerowanej dawce w monoterapii nie pozwala osiągnąć dobrej kontroli glikemii, wartość HbA1c&gt;7% (przez co najmniej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3 miesiące)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98E88" w14:textId="4CB7B988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refundowana grupa leków przeciwcukrzycowych z grupy inhibitorów DPP-4</w:t>
            </w:r>
          </w:p>
        </w:tc>
      </w:tr>
      <w:tr w:rsidR="00EC2373" w:rsidRPr="00880D84" w14:paraId="1260893C" w14:textId="77777777" w:rsidTr="009B4965">
        <w:trPr>
          <w:trHeight w:val="4383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894F7" w14:textId="07DDC8D9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7B0F" w14:textId="20C274E3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Jardiance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8B22F" w14:textId="5F0AF929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empagliflozyna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58BC9" w14:textId="256AFC82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Cukrzyca typu 2 u pacjentów leczonych co najmniej dwoma lekami hipoglikemizującymi, z HbA1c ≥ 7,5% oraz bardzo wysokim ryzykiem sercowo-naczyniowym rozumianym jako:</w:t>
            </w:r>
          </w:p>
          <w:p w14:paraId="46D07B74" w14:textId="1465C0B3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1) potwierdzona choroba sercowo-naczyniowa, lub</w:t>
            </w:r>
          </w:p>
          <w:p w14:paraId="471CFE63" w14:textId="1E9E52B8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2) uszkodzenie innych narządów objawiające się poprzez: białkomocz lub przerost lewej komory lub retinopatię, lub</w:t>
            </w:r>
          </w:p>
          <w:p w14:paraId="3E57EF5C" w14:textId="3AD81F75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3) obecność 3 lub więcej głównych czynników ryzyka spośród wymienionych poniżej:</w:t>
            </w:r>
          </w:p>
          <w:p w14:paraId="4E867CA1" w14:textId="77777777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-wiek ≥ 55 lat dla mężczyzn, ≥60 lat dla kobiet,</w:t>
            </w:r>
          </w:p>
          <w:p w14:paraId="18680F06" w14:textId="5843752B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-dyslipidemia,</w:t>
            </w:r>
          </w:p>
          <w:p w14:paraId="6B15072F" w14:textId="2EF2E629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-nadciśnienie tętnicze,</w:t>
            </w:r>
          </w:p>
          <w:p w14:paraId="20C18425" w14:textId="3774902E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-palenie tytoniu,</w:t>
            </w:r>
          </w:p>
          <w:p w14:paraId="4C2896B5" w14:textId="3AF752D6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-otyłość;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1BBF3" w14:textId="77777777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aktualnego wskazania refundacyjnego, tj.:</w:t>
            </w:r>
          </w:p>
          <w:p w14:paraId="38043BCF" w14:textId="77777777" w:rsidR="0022056F" w:rsidRPr="00880D84" w:rsidRDefault="0022056F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63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zmniejszenie wymogu z HbA1c ≥ 8,0% na HbA1c ≥ 7,5%</w:t>
            </w:r>
          </w:p>
          <w:p w14:paraId="15774892" w14:textId="77777777" w:rsidR="0022056F" w:rsidRPr="00880D84" w:rsidRDefault="0022056F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63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 ograniczenia w zakresie braku stosowania insuliny przez pacjenta przed zastosowaniem leków flozynowych</w:t>
            </w:r>
          </w:p>
          <w:p w14:paraId="4C2A6B3B" w14:textId="1C27D0BF" w:rsidR="0022056F" w:rsidRPr="00880D84" w:rsidRDefault="0022056F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63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 konieczności 6 miesięcznego okresu stosowania dwóch leków przed włączeniem do leczenia lekami flozynowymi</w:t>
            </w:r>
          </w:p>
        </w:tc>
      </w:tr>
      <w:tr w:rsidR="00EC2373" w:rsidRPr="00880D84" w14:paraId="67DEAA32" w14:textId="77777777" w:rsidTr="009B4965">
        <w:trPr>
          <w:trHeight w:val="224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CA32F" w14:textId="65E46FE1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16.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CF0C1" w14:textId="6FA6699B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Jardiance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CFC2C" w14:textId="5E2E4150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empagliflozyna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2F895" w14:textId="2F8C8A62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Przewlekła niewydolność serca u dorosłych pacjentów z obniżoną frakcją wyrzutową lewej komory serca (LVEF≤40%) oraz utrzymującymi się objawami choroby w klasie II-IV NYHA pomimo zastosowania terapii opartej na ACEi (lub ARB/ARNi) i lekach z grupy betaadrenolityków oraz jeśli wskazane antagonistach receptora mineralokortykoidów;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72261" w14:textId="3DA58FCB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aktualnego wskazania refundacyjnego dla flozyn w zakresie niewydolności serca obok leczenia cukrzycy</w:t>
            </w:r>
          </w:p>
        </w:tc>
      </w:tr>
      <w:tr w:rsidR="00EC2373" w:rsidRPr="00880D84" w14:paraId="0E8E6432" w14:textId="77777777" w:rsidTr="009B4965">
        <w:trPr>
          <w:trHeight w:val="11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70D94" w14:textId="3E7FD5E0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0B43D" w14:textId="34741785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Latuda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F8151" w14:textId="64B7172A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lurazydon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F5B0" w14:textId="5F009BE5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Schizofrenia u pacjentów od 13-go roku życia po nieskuteczności lub w przypadku przeciwwskazań do terapii pozostałymi lekami przeciwpsychotycznymi 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II generacji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E451D" w14:textId="356980C6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Poszerzenie aktualnego wskazania o populację pacjentów od 13 r.ż.</w:t>
            </w:r>
          </w:p>
        </w:tc>
      </w:tr>
      <w:tr w:rsidR="00EC2373" w:rsidRPr="00880D84" w14:paraId="479FEA85" w14:textId="77777777" w:rsidTr="009B4965">
        <w:trPr>
          <w:trHeight w:val="762"/>
        </w:trPr>
        <w:tc>
          <w:tcPr>
            <w:tcW w:w="31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2D833" w14:textId="15DD21FE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CFE16" w14:textId="47196C8B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lang w:val="en-GB" w:eastAsia="pl-PL"/>
              </w:rPr>
              <w:t>Mevalia PKU Motion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C5880" w14:textId="2894100A" w:rsidR="0022056F" w:rsidRPr="00880D84" w:rsidRDefault="000D0826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>d</w:t>
            </w:r>
            <w:r w:rsidR="0022056F"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>ieta eliminacyjna w fenyloketonurii</w:t>
            </w:r>
          </w:p>
        </w:tc>
        <w:tc>
          <w:tcPr>
            <w:tcW w:w="16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BFD6A" w14:textId="19B7427B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Fenyloketonuria (PKU) u pacjentów powyżej 3 roku życia</w:t>
            </w:r>
          </w:p>
        </w:tc>
        <w:tc>
          <w:tcPr>
            <w:tcW w:w="1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814BC" w14:textId="77777777" w:rsidR="004D4365" w:rsidRPr="00880D84" w:rsidRDefault="004D4365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3 warianty smakowe: </w:t>
            </w:r>
          </w:p>
          <w:p w14:paraId="2F665465" w14:textId="6F48C26F" w:rsidR="004D4365" w:rsidRPr="00880D84" w:rsidRDefault="004D4365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Red Fruits, Tropical, Yellow Fruits</w:t>
            </w:r>
          </w:p>
          <w:p w14:paraId="30B5C053" w14:textId="2A523920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Choroba rzadka</w:t>
            </w:r>
          </w:p>
        </w:tc>
      </w:tr>
      <w:tr w:rsidR="0022056F" w:rsidRPr="00880D84" w14:paraId="11E5EED3" w14:textId="77777777" w:rsidTr="009B4965">
        <w:trPr>
          <w:trHeight w:val="1964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A00EE" w14:textId="45BA170A" w:rsidR="0022056F" w:rsidRPr="00880D84" w:rsidRDefault="004D4365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19</w:t>
            </w:r>
            <w:r w:rsidR="00DC2663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7323" w14:textId="25E2E68B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GB" w:eastAsia="pl-PL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Mizetam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80D42" w14:textId="0CB3232A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ezetymib + atorwastatyna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18D73" w14:textId="4F58AC5E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sz w:val="20"/>
                <w:szCs w:val="20"/>
                <w:lang w:eastAsia="pl-PL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Leczenie wspomagające do stosowania wraz z dietą u pacjentów dorosłych z pierwotną hipercholesterolemią (heterozygotyczną i homozygotyczną rodzinną i nierodzinną) lub mieszaną hiperlipidemią już kontrolowaną za pomocą atorwastatyny i ezetymibu, które są podawane w takich samych dawkach.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C1A9D" w14:textId="17D96F23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Doustna terapia stanowiąca nowe połączenie ezetymibu ze statyną w zakresie leczenia hipercholesterolemii lub hiperlipidemii</w:t>
            </w:r>
          </w:p>
        </w:tc>
      </w:tr>
      <w:tr w:rsidR="00EC2373" w:rsidRPr="00880D84" w14:paraId="63949F60" w14:textId="77777777" w:rsidTr="009B4965">
        <w:trPr>
          <w:trHeight w:val="3536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D2D96" w14:textId="5CB92B15" w:rsidR="00EC237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2</w:t>
            </w:r>
            <w:r w:rsidR="004D4365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ABE0B" w14:textId="0BE59BD8" w:rsidR="00EC2373" w:rsidRPr="00880D84" w:rsidRDefault="00EC237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Ozempic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96AB6" w14:textId="02987075" w:rsidR="00EC2373" w:rsidRPr="00880D84" w:rsidRDefault="00EC237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semaglutyd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FA33B" w14:textId="2D1EFAD1" w:rsidR="00EC2373" w:rsidRPr="00880D84" w:rsidRDefault="00EC2373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Cukrzyca typu 2 u pacjentów leczonych co najmniej dwoma lekami hipoglikemizującymi, z HbA1c ≥ 7,5%, z otyłością definiowaną jako BMI ≥30 kg/m2 oraz bardzo wysokim ryzykiem sercowo-naczyniowym rozumianym jako: 1) potwierdzona choroba sercowo-naczyniowa, lub 2) uszkodzenie innych narządów objawiające się poprzez: białkomocz lub przerost lewej komory lub retinopatię, lub 3) obecność 2 lub więcej głównych czynników ryzyka spośród wymienionych poniżej: -wiek ≥ 55 lat dla mężczyzn, ≥60 lat dla kobiet, -dyslipidemia, -nadciśnienie tętnicze, -palenie tytoniu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8F441" w14:textId="77777777" w:rsidR="00EC2373" w:rsidRPr="00880D84" w:rsidRDefault="00EC2373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aktualnego wskazania refundacyjnego, tj.:</w:t>
            </w:r>
          </w:p>
          <w:p w14:paraId="590F214D" w14:textId="77777777" w:rsidR="00EC2373" w:rsidRPr="00880D84" w:rsidRDefault="00EC2373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63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zmniejszenie wymogu z HbA1c ≥ 8,0% na HbA1c ≥ 7,5%</w:t>
            </w:r>
          </w:p>
          <w:p w14:paraId="347D6FF3" w14:textId="77777777" w:rsidR="00EC2373" w:rsidRPr="00880D84" w:rsidRDefault="00EC2373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63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zmniejszenie wymogu z BMI ≥35 kg/m2 na BMI ≥30 kg/m2</w:t>
            </w:r>
          </w:p>
          <w:p w14:paraId="4B3C831C" w14:textId="77777777" w:rsidR="00EC2373" w:rsidRPr="00880D84" w:rsidRDefault="00EC2373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63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 ograniczenia w zakresie braku stosowania insuliny przez pacjenta przed zastosowaniem analogów GLP-1</w:t>
            </w:r>
          </w:p>
          <w:p w14:paraId="5725E37A" w14:textId="6B7EAE19" w:rsidR="00EC2373" w:rsidRPr="00880D84" w:rsidRDefault="00EC2373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63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 konieczności 6 miesięcznego okresu stosowania dwóch leków przed włączeniem do leczenia analogami GLP-1</w:t>
            </w:r>
          </w:p>
        </w:tc>
      </w:tr>
      <w:tr w:rsidR="00C87906" w:rsidRPr="00880D84" w14:paraId="727470E0" w14:textId="77777777" w:rsidTr="009B4965">
        <w:trPr>
          <w:trHeight w:val="1316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B71EE" w14:textId="6A2EADA1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  <w:r w:rsidR="004D4365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E8ED4" w14:textId="706542BA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PKU Sphere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2CE9" w14:textId="39AE9357" w:rsidR="0022056F" w:rsidRPr="00880D84" w:rsidRDefault="000D0826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>d</w:t>
            </w:r>
            <w:r w:rsidR="0022056F"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>ieta eliminacyjna w fenyloketonurii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9D4F1" w14:textId="50432CF2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Fenyloketonuria (PKU) u pacjentów powyżej 4 roku życia, u których dobowa tolerancja fenyloalaniny pozwala na zastosowanie preparatów glikomakropeptydowych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47B29" w14:textId="77777777" w:rsidR="009E306A" w:rsidRPr="00880D84" w:rsidRDefault="00763DEC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PKU Sphare 15 </w:t>
            </w:r>
            <w:r w:rsidR="009E306A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 PKU Sphere 20</w:t>
            </w:r>
          </w:p>
          <w:p w14:paraId="71DF2DBE" w14:textId="2C3F0B9E" w:rsidR="004D4365" w:rsidRPr="00880D84" w:rsidRDefault="00763DEC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dwóch wariantach smakowych: waniliowy </w:t>
            </w:r>
            <w:r w:rsidR="009E306A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oraz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9E306A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 smaku czerwonych owoców</w:t>
            </w:r>
          </w:p>
          <w:p w14:paraId="4FD32663" w14:textId="04CF47E2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Choroba rzadka</w:t>
            </w:r>
          </w:p>
        </w:tc>
      </w:tr>
      <w:tr w:rsidR="00DC2663" w:rsidRPr="00880D84" w14:paraId="6F7223A3" w14:textId="77777777" w:rsidTr="009B4965">
        <w:trPr>
          <w:trHeight w:val="3381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1A7E" w14:textId="7AF30F16" w:rsidR="0022056F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  <w:r w:rsidR="009B4965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1A0F" w14:textId="1D41E919" w:rsidR="0022056F" w:rsidRPr="00880D84" w:rsidRDefault="0022056F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Prevenar 13</w:t>
            </w:r>
          </w:p>
        </w:tc>
        <w:tc>
          <w:tcPr>
            <w:tcW w:w="8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67376" w14:textId="34D3168A" w:rsidR="0022056F" w:rsidRPr="00880D84" w:rsidRDefault="000D0826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</w:t>
            </w:r>
            <w:r w:rsidR="0022056F"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zczepionka przeciw pneumokokom sacharydowa, skoniugowana, adsorbowana (13-walentna)</w:t>
            </w:r>
          </w:p>
        </w:tc>
        <w:tc>
          <w:tcPr>
            <w:tcW w:w="1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850AD" w14:textId="5EA382E1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Profilaktyka osób powyżej 65 r.ż. ze zwiększonym (umiarkowanym do wysokiego) ryzykiem choroby pneumokokowej tj. z: przewlekłą chorobą serca, przewlekłą chorobą wątroby, przewlekłą chorobą płuc, cukrzycą, implantem ślimakowym, wyciekiem płynu mózgowordzeniowego, wrodzoną lub nabytą asplenią, niedokrwistością sierpowatą i innymi hemoglobinopatiami, przewlekłą niewydolnością nerek, wrodzonym lub nabytym niedoborem odporności, uogólnioną choroba nowotworową, zakażeniem wirusem HIV, chorobą Hodgkina, jatrogenną immunosupresją, białaczką, szpiczakiem mnogim, przeszczepem narządu litego;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C02BE" w14:textId="13E80416" w:rsidR="0022056F" w:rsidRPr="00880D84" w:rsidRDefault="0022056F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EC2373" w:rsidRPr="00880D84" w14:paraId="1EF3ED7E" w14:textId="77777777" w:rsidTr="009B4965">
        <w:trPr>
          <w:trHeight w:val="1544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F7956" w14:textId="04D60E13" w:rsidR="00EC237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2</w:t>
            </w:r>
            <w:r w:rsidR="009B4965"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ECF74" w14:textId="00BC30E2" w:rsidR="00EC2373" w:rsidRPr="00880D84" w:rsidRDefault="00EC237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Ruconest</w:t>
            </w:r>
          </w:p>
        </w:tc>
        <w:tc>
          <w:tcPr>
            <w:tcW w:w="8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6E9B" w14:textId="4EAC03F9" w:rsidR="00EC2373" w:rsidRPr="00880D84" w:rsidRDefault="00EC237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konestat alfa</w:t>
            </w:r>
          </w:p>
        </w:tc>
        <w:tc>
          <w:tcPr>
            <w:tcW w:w="1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50581" w14:textId="3821584D" w:rsidR="00EC2373" w:rsidRPr="00880D84" w:rsidRDefault="00EC2373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ostrych, zagrażających życiu napadów obrzęku naczynioruchowego u dzieci (od 2 roku życia), młodzieży oraz dorosłych chorych na dziedziczny obrzęk naczynioruchowy wywołany niedoborem inhibitora esterazy C1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560A" w14:textId="77777777" w:rsidR="00EC2373" w:rsidRPr="00880D84" w:rsidRDefault="00EC2373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ostrych, zagrażających życiu napadów obrzęku naczynioruchowego rekombinowanym inhibitorem esterazy C1</w:t>
            </w:r>
          </w:p>
          <w:p w14:paraId="3C90ED7F" w14:textId="6902B631" w:rsidR="00EC2373" w:rsidRPr="00880D84" w:rsidRDefault="00EC2373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EC2373" w:rsidRPr="00880D84" w14:paraId="28750AD1" w14:textId="77777777" w:rsidTr="009B4965">
        <w:trPr>
          <w:trHeight w:val="2689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C3417" w14:textId="0360A6E4" w:rsidR="00EC237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  <w:r w:rsidR="009B4965"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3451" w14:textId="3AD5D849" w:rsidR="00EC2373" w:rsidRPr="00880D84" w:rsidRDefault="00EC237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Trelegy Ellipta</w:t>
            </w:r>
          </w:p>
        </w:tc>
        <w:tc>
          <w:tcPr>
            <w:tcW w:w="8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ED8B8" w14:textId="38D743A2" w:rsidR="00EC2373" w:rsidRPr="00880D84" w:rsidRDefault="00EC237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flutykazonu furoinian + umeklidynium bromek + wilanterol</w:t>
            </w:r>
          </w:p>
        </w:tc>
        <w:tc>
          <w:tcPr>
            <w:tcW w:w="1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D0E1E" w14:textId="354A72E5" w:rsidR="00EC2373" w:rsidRPr="00880D84" w:rsidRDefault="00EC2373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podtrzymujące u pacjentów dorosłych z umiarkowaną lub ciężką przewlekłą obturacyjną chorobą płuc (POChP), u których nie uzyskuje się odpowiedniego efektu leczenia podczas jednoczesnego stosowania kortykosteroidu wziewnego i długo działającego agonisty receptorów beta 2 lub jednoczesnego stosowania długo działającego agonisty receptorów beta 2 i długo działającego antagonisty receptorów muskarynowych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377BA" w14:textId="04269B41" w:rsidR="00EC2373" w:rsidRPr="00880D84" w:rsidRDefault="00EC2373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Wziewna terapia trójskładnikowa stanowiąca połączenie glikokortykosteroidu (wGKS), długo  długodziałającego antagonisty receptorów muskarynowych (LAMA) oraz długo działającego beta- β-2-agonisty (LABA) pozwalająca na poprawę compliance i skuteczności leczenia POChP.</w:t>
            </w:r>
          </w:p>
        </w:tc>
      </w:tr>
      <w:tr w:rsidR="00DC2663" w:rsidRPr="00880D84" w14:paraId="5822341C" w14:textId="77777777" w:rsidTr="009B4965">
        <w:trPr>
          <w:trHeight w:val="692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24B8" w14:textId="4B0DA34F" w:rsidR="00EC237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  <w:r w:rsidR="009B4965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</w:t>
            </w: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6E19" w14:textId="7E546997" w:rsidR="00EC2373" w:rsidRPr="00880D84" w:rsidRDefault="00EC237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Trimbow</w:t>
            </w:r>
          </w:p>
        </w:tc>
        <w:tc>
          <w:tcPr>
            <w:tcW w:w="8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3465" w14:textId="0763D2A6" w:rsidR="00EC2373" w:rsidRPr="00880D84" w:rsidRDefault="00EC237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beklametazonu dipropionian + formoterolu fumaran + glikopyronium bromek</w:t>
            </w:r>
          </w:p>
        </w:tc>
        <w:tc>
          <w:tcPr>
            <w:tcW w:w="1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C4CF" w14:textId="1B94E979" w:rsidR="00EC2373" w:rsidRPr="00880D84" w:rsidRDefault="00EC2373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eastAsia="pl-PL"/>
              </w:rPr>
              <w:t>Leczenie podtrzymujące astmy u pacjentów z niewystarczającą kontrolą objawów choroby po zastosowaniu produktu złożonego z długo działającego agonisty receptorów beta-2 i średnich dawek kortykosteroidu wziewnego, u których wystąpiło jedno lub więcej zaostrzeń astmy w ciągu poprzedniego roku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902ED" w14:textId="3ACD7F27" w:rsidR="00EC2373" w:rsidRPr="00880D84" w:rsidRDefault="00EC2373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Wziewna terapia trójskładnikowa stanowiąca połączenie glikokortykosteroidu (wGKS), długo  długodziałającego antagonisty receptorów muskarynowych (LAMA) oraz długo działającego beta- β-2-agonisty (LABA) pozwalająca na poprawę compliance i skuteczności leczenia astmy.</w:t>
            </w:r>
          </w:p>
        </w:tc>
      </w:tr>
      <w:tr w:rsidR="00DC2663" w:rsidRPr="00880D84" w14:paraId="6A5E23AD" w14:textId="77777777" w:rsidTr="009B4965">
        <w:trPr>
          <w:trHeight w:val="3523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CAC05" w14:textId="4C685E40" w:rsidR="00EC2373" w:rsidRPr="00880D84" w:rsidRDefault="009B4965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26</w:t>
            </w:r>
            <w:r w:rsidR="00DC2663"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02132" w14:textId="401E707D" w:rsidR="00EC2373" w:rsidRPr="00880D84" w:rsidRDefault="00EC237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Trulicity</w:t>
            </w:r>
          </w:p>
        </w:tc>
        <w:tc>
          <w:tcPr>
            <w:tcW w:w="8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64BCA" w14:textId="6ACE3B48" w:rsidR="00EC2373" w:rsidRPr="00880D84" w:rsidRDefault="00EC237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dulaglutyd</w:t>
            </w:r>
          </w:p>
        </w:tc>
        <w:tc>
          <w:tcPr>
            <w:tcW w:w="1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648F2" w14:textId="04C52B20" w:rsidR="00EC2373" w:rsidRPr="00880D84" w:rsidRDefault="00EC2373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Cukrzyca typu 2 u pacjentów leczonych co najmniej dwoma lekami hipoglikemizującymi, z HbA1c ≥ 7,5%, z otyłością definiowaną jako BMI ≥30 kg/m2 oraz bardzo wysokim ryzykiem sercowo-naczyniowym rozumianym jako: 1) potwierdzona choroba sercowo-naczyniowa, lub 2) uszkodzenie innych narządów objawiające się poprzez: białkomocz lub przerost lewej komory lub retinopatię, lub 3) obecność 2 lub więcej głównych czynników ryzyka spośród wymienionych poniżej: -wiek ≥ 55 lat dla mężczyzn, ≥60 lat dla kobiet, -dyslipidemia, -nadciśnienie tętnicze, -palenie tytoniu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28BE" w14:textId="77777777" w:rsidR="00EC2373" w:rsidRPr="00880D84" w:rsidRDefault="00EC2373" w:rsidP="00DC2663">
            <w:pPr>
              <w:keepLines/>
              <w:spacing w:before="60" w:after="60" w:line="240" w:lineRule="auto"/>
              <w:ind w:left="6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aktualnego wskazania refundacyjnego, tj.:</w:t>
            </w:r>
          </w:p>
          <w:p w14:paraId="6F6BCAC0" w14:textId="77777777" w:rsidR="00EC2373" w:rsidRPr="00880D84" w:rsidRDefault="00EC2373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63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zmniejszenie wymogu z HbA1c ≥ 8,0% na HbA1c ≥ 7,5%</w:t>
            </w:r>
          </w:p>
          <w:p w14:paraId="154E1DC4" w14:textId="77777777" w:rsidR="00EC2373" w:rsidRPr="00880D84" w:rsidRDefault="00EC2373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63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zmniejszenie wymogu z BMI ≥35 kg/m2 na BMI ≥30 kg/m2</w:t>
            </w:r>
          </w:p>
          <w:p w14:paraId="70D89EF9" w14:textId="77777777" w:rsidR="00EC2373" w:rsidRPr="00880D84" w:rsidRDefault="00EC2373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63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 ograniczenia w zakresie braku stosowania insuliny przez pacjenta przed zastosowaniem analogów GLP-1</w:t>
            </w:r>
          </w:p>
          <w:p w14:paraId="4DF9271B" w14:textId="4157AE31" w:rsidR="00EC2373" w:rsidRPr="00880D84" w:rsidRDefault="00EC2373" w:rsidP="00DC2663">
            <w:pPr>
              <w:keepLines/>
              <w:numPr>
                <w:ilvl w:val="0"/>
                <w:numId w:val="10"/>
              </w:numPr>
              <w:spacing w:before="60" w:after="60" w:line="240" w:lineRule="auto"/>
              <w:ind w:left="63" w:firstLine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 konieczności 6 miesięcznego okresu stosowania dwóch leków przed włączeniem do leczenia analogami GLP-1</w:t>
            </w:r>
          </w:p>
        </w:tc>
      </w:tr>
      <w:tr w:rsidR="00EC2373" w:rsidRPr="00880D84" w14:paraId="16F89402" w14:textId="77777777" w:rsidTr="00C61F38">
        <w:trPr>
          <w:trHeight w:val="328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D224" w14:textId="4C45CB36" w:rsidR="00EC2373" w:rsidRPr="00880D84" w:rsidRDefault="00EC237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lastRenderedPageBreak/>
              <w:t>Zmiany na liście 75+</w:t>
            </w:r>
          </w:p>
        </w:tc>
      </w:tr>
      <w:tr w:rsidR="00DC2663" w:rsidRPr="00880D84" w14:paraId="4278D016" w14:textId="77777777" w:rsidTr="004D4365"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2DDFA" w14:textId="77777777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AA413" w14:textId="77777777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38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765E" w14:textId="02BCF1E9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</w:tr>
      <w:tr w:rsidR="00DC2663" w:rsidRPr="00880D84" w14:paraId="489DC59C" w14:textId="77777777" w:rsidTr="004D4365"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3B0F6" w14:textId="6FD71E42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8A674" w14:textId="2AB0CB28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ezetymib + atorwastatyna</w:t>
            </w:r>
          </w:p>
        </w:tc>
        <w:tc>
          <w:tcPr>
            <w:tcW w:w="38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CD395" w14:textId="3FCE85C9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Leczenie wspomagające do stosowania wraz z dietą u pacjentów dorosłych z pierwotną hipercholesterolemią (heterozygotyczną i homozygotyczną rodzinną i nierodzinną) lub mieszaną hiperlipidemią już kontrolowaną za pomocą atorwastatyny i ezetymibu, które są podawane w takich samych dawkach.</w:t>
            </w:r>
          </w:p>
        </w:tc>
      </w:tr>
      <w:tr w:rsidR="00DC2663" w:rsidRPr="00880D84" w14:paraId="08BFAA78" w14:textId="77777777" w:rsidTr="004D4365"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CBF10" w14:textId="37CCA192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A7CD0" w14:textId="405F3123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indakaterol + </w:t>
            </w:r>
            <w:r w:rsidRPr="00880D84">
              <w:rPr>
                <w:rFonts w:asciiTheme="majorHAnsi" w:hAnsiTheme="majorHAnsi" w:cstheme="majorHAnsi"/>
                <w:i/>
                <w:iCs/>
                <w:color w:val="242424"/>
                <w:sz w:val="20"/>
                <w:szCs w:val="20"/>
                <w:shd w:val="clear" w:color="auto" w:fill="FFFFFF"/>
              </w:rPr>
              <w:t>m</w:t>
            </w: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ometazonu furoinian</w:t>
            </w:r>
          </w:p>
        </w:tc>
        <w:tc>
          <w:tcPr>
            <w:tcW w:w="38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AA35" w14:textId="37913FB7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sz w:val="20"/>
                <w:szCs w:val="20"/>
              </w:rPr>
              <w:t>Podtrzymujące leczenie astmy u osób dorosłych i młodzieży w wieku od 12 lat z niewystarczającą kontrolą astmy za pomocą wziewnych kortykosteroidów oraz wziewnych krótko działających beta2-mimetyków</w:t>
            </w:r>
          </w:p>
        </w:tc>
      </w:tr>
      <w:tr w:rsidR="00DC2663" w:rsidRPr="00880D84" w14:paraId="634356FB" w14:textId="77777777" w:rsidTr="004D4365"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9BD1C" w14:textId="7DF64F5F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8B2E9" w14:textId="6D4FE8BE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indakaterol + glikopyronium bromek + </w:t>
            </w:r>
            <w:r w:rsidRPr="00880D84">
              <w:rPr>
                <w:rFonts w:asciiTheme="majorHAnsi" w:hAnsiTheme="majorHAnsi" w:cstheme="majorHAnsi"/>
                <w:i/>
                <w:iCs/>
                <w:color w:val="242424"/>
                <w:sz w:val="20"/>
                <w:szCs w:val="20"/>
                <w:shd w:val="clear" w:color="auto" w:fill="FFFFFF"/>
              </w:rPr>
              <w:t>m</w:t>
            </w: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ometazonu furoinian</w:t>
            </w:r>
          </w:p>
        </w:tc>
        <w:tc>
          <w:tcPr>
            <w:tcW w:w="38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74E4B" w14:textId="4FF140D0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Podtrzymujące leczenie astmy u dorosłych pacjentów, u których nie uzyskano odpowiedniej kontroli choroby w wyniku podtrzymującego leczenia skojarzonego długo działającym beta2- mimetykiem i kortykosteroidem wziewnym podawanym w dużych dawkach, u których wystąpiło co najmniej jedno zaostrzenie astmy w poprzednim roku</w:t>
            </w:r>
          </w:p>
        </w:tc>
      </w:tr>
      <w:tr w:rsidR="00DC2663" w:rsidRPr="00880D84" w14:paraId="46E49E0E" w14:textId="77777777" w:rsidTr="004D4365"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5A78B" w14:textId="0A8C268C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98C4A" w14:textId="3DAF72F8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beklametazonu dipropionian + formoterolu fumaran + glikopyronium bromek,</w:t>
            </w:r>
          </w:p>
        </w:tc>
        <w:tc>
          <w:tcPr>
            <w:tcW w:w="38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654EC" w14:textId="3850BA01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eastAsia="pl-PL"/>
              </w:rPr>
              <w:t>Leczenie podtrzymujące astmy u pacjentów z niewystarczającą kontrolą objawów choroby po zastosowaniu produktu złożonego z długo działającego agonisty receptorów beta-2 i średnich dawek kortykosteroidu wziewnego, u których wystąpiło jedno lub więcej zaostrzeń astmy w ciągu poprzedniego roku</w:t>
            </w:r>
          </w:p>
        </w:tc>
      </w:tr>
      <w:tr w:rsidR="00DC2663" w:rsidRPr="00880D84" w14:paraId="42F9082C" w14:textId="77777777" w:rsidTr="004D4365"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100FA" w14:textId="6D30F610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F21D5" w14:textId="0A5CAFF0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flutykazonu furoinian + umeklidynium bromek + wilanterol</w:t>
            </w:r>
          </w:p>
        </w:tc>
        <w:tc>
          <w:tcPr>
            <w:tcW w:w="38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620E7" w14:textId="60E2E4FA" w:rsidR="00DC2663" w:rsidRPr="00880D84" w:rsidRDefault="00DC2663" w:rsidP="00DC2663">
            <w:pPr>
              <w:keepLines/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80D8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podtrzymujące u pacjentów dorosłych z umiarkowaną lub ciężką przewlekłą obturacyjną chorobą płuc (POChP), u których nie uzyskuje się odpowiedniego efektu leczenia podczas jednoczesnego stosowania kortykosteroidu wziewnego i długo działającego agonisty receptorów beta 2 lub jednoczesnego stosowania długo działającego agonisty receptorów beta 2 i długo działającego antagonisty receptorów muskarynowych</w:t>
            </w:r>
          </w:p>
        </w:tc>
      </w:tr>
    </w:tbl>
    <w:p w14:paraId="5805F36A" w14:textId="301B79F8" w:rsidR="000B14BF" w:rsidRPr="00880D84" w:rsidRDefault="000B14BF">
      <w:pPr>
        <w:rPr>
          <w:rFonts w:asciiTheme="majorHAnsi" w:hAnsiTheme="majorHAnsi" w:cstheme="majorHAnsi"/>
        </w:rPr>
      </w:pPr>
    </w:p>
    <w:sectPr w:rsidR="000B14BF" w:rsidRPr="00880D84" w:rsidSect="00BA1ACD">
      <w:headerReference w:type="first" r:id="rId12"/>
      <w:pgSz w:w="16838" w:h="11906" w:orient="landscape"/>
      <w:pgMar w:top="1135" w:right="1417" w:bottom="993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BD7FB" w14:textId="77777777" w:rsidR="00D44863" w:rsidRDefault="00D44863">
      <w:pPr>
        <w:spacing w:after="0" w:line="240" w:lineRule="auto"/>
      </w:pPr>
      <w:r>
        <w:separator/>
      </w:r>
    </w:p>
  </w:endnote>
  <w:endnote w:type="continuationSeparator" w:id="0">
    <w:p w14:paraId="6D34E1DE" w14:textId="77777777" w:rsidR="00D44863" w:rsidRDefault="00D4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C0C9F" w14:textId="77777777" w:rsidR="00D44863" w:rsidRDefault="00D44863">
      <w:pPr>
        <w:spacing w:after="0" w:line="240" w:lineRule="auto"/>
      </w:pPr>
      <w:r>
        <w:separator/>
      </w:r>
    </w:p>
  </w:footnote>
  <w:footnote w:type="continuationSeparator" w:id="0">
    <w:p w14:paraId="409582BB" w14:textId="77777777" w:rsidR="00D44863" w:rsidRDefault="00D44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80756" w14:textId="6F0D6A95" w:rsidR="005058F2" w:rsidRDefault="008D3B01">
    <w:pPr>
      <w:pStyle w:val="Nagwek"/>
    </w:pPr>
    <w:bookmarkStart w:id="6" w:name="_Hlk74147372"/>
    <w:bookmarkEnd w:id="6"/>
    <w:r>
      <w:rPr>
        <w:noProof/>
        <w:lang w:eastAsia="pl-PL"/>
      </w:rPr>
      <w:drawing>
        <wp:inline distT="0" distB="0" distL="0" distR="0" wp14:anchorId="42AF5BC3" wp14:editId="5C602486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D3770"/>
    <w:multiLevelType w:val="hybridMultilevel"/>
    <w:tmpl w:val="29F4F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5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4D741F7C"/>
    <w:multiLevelType w:val="hybridMultilevel"/>
    <w:tmpl w:val="2FFE7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802"/>
    <w:rsid w:val="0006343F"/>
    <w:rsid w:val="00091CDE"/>
    <w:rsid w:val="00097FDB"/>
    <w:rsid w:val="000B14BF"/>
    <w:rsid w:val="000D0826"/>
    <w:rsid w:val="0010323F"/>
    <w:rsid w:val="001330D1"/>
    <w:rsid w:val="00146A54"/>
    <w:rsid w:val="00166A65"/>
    <w:rsid w:val="001D42A3"/>
    <w:rsid w:val="0022056F"/>
    <w:rsid w:val="00237F9E"/>
    <w:rsid w:val="0028574E"/>
    <w:rsid w:val="002B1197"/>
    <w:rsid w:val="002B1DA1"/>
    <w:rsid w:val="002F3CB0"/>
    <w:rsid w:val="0034231B"/>
    <w:rsid w:val="00351237"/>
    <w:rsid w:val="0039096A"/>
    <w:rsid w:val="003B16BD"/>
    <w:rsid w:val="003C2525"/>
    <w:rsid w:val="003C658E"/>
    <w:rsid w:val="00433F1E"/>
    <w:rsid w:val="004602B0"/>
    <w:rsid w:val="00483B69"/>
    <w:rsid w:val="00486D5B"/>
    <w:rsid w:val="004B709A"/>
    <w:rsid w:val="004C305B"/>
    <w:rsid w:val="004D4365"/>
    <w:rsid w:val="004D78D6"/>
    <w:rsid w:val="005041F2"/>
    <w:rsid w:val="0051089F"/>
    <w:rsid w:val="00536D0B"/>
    <w:rsid w:val="005E0AF0"/>
    <w:rsid w:val="006110C1"/>
    <w:rsid w:val="0062070A"/>
    <w:rsid w:val="00652447"/>
    <w:rsid w:val="006B140F"/>
    <w:rsid w:val="00700B89"/>
    <w:rsid w:val="007020B6"/>
    <w:rsid w:val="00703C04"/>
    <w:rsid w:val="00760E7F"/>
    <w:rsid w:val="00763DEC"/>
    <w:rsid w:val="007645CA"/>
    <w:rsid w:val="00804B8E"/>
    <w:rsid w:val="00816802"/>
    <w:rsid w:val="00816ED3"/>
    <w:rsid w:val="00866175"/>
    <w:rsid w:val="00880D84"/>
    <w:rsid w:val="00886A7F"/>
    <w:rsid w:val="008A241B"/>
    <w:rsid w:val="008A3002"/>
    <w:rsid w:val="008D3B01"/>
    <w:rsid w:val="008F02E9"/>
    <w:rsid w:val="00931E90"/>
    <w:rsid w:val="00951BFC"/>
    <w:rsid w:val="009534DF"/>
    <w:rsid w:val="00974E35"/>
    <w:rsid w:val="00986C4C"/>
    <w:rsid w:val="009B4965"/>
    <w:rsid w:val="009E306A"/>
    <w:rsid w:val="00A04370"/>
    <w:rsid w:val="00A541E2"/>
    <w:rsid w:val="00A715CC"/>
    <w:rsid w:val="00B25313"/>
    <w:rsid w:val="00B5310B"/>
    <w:rsid w:val="00B8735B"/>
    <w:rsid w:val="00B9028B"/>
    <w:rsid w:val="00BA1ACD"/>
    <w:rsid w:val="00BB115A"/>
    <w:rsid w:val="00BC5518"/>
    <w:rsid w:val="00BD625C"/>
    <w:rsid w:val="00C03781"/>
    <w:rsid w:val="00C23F56"/>
    <w:rsid w:val="00C24E46"/>
    <w:rsid w:val="00C64949"/>
    <w:rsid w:val="00C77C8F"/>
    <w:rsid w:val="00C87906"/>
    <w:rsid w:val="00CD04F5"/>
    <w:rsid w:val="00D24198"/>
    <w:rsid w:val="00D37E96"/>
    <w:rsid w:val="00D44863"/>
    <w:rsid w:val="00D71BA7"/>
    <w:rsid w:val="00DA0796"/>
    <w:rsid w:val="00DC2663"/>
    <w:rsid w:val="00E01DB2"/>
    <w:rsid w:val="00E105EB"/>
    <w:rsid w:val="00E23C62"/>
    <w:rsid w:val="00E25EC3"/>
    <w:rsid w:val="00E26A4D"/>
    <w:rsid w:val="00E26F6A"/>
    <w:rsid w:val="00EB544D"/>
    <w:rsid w:val="00EC2373"/>
    <w:rsid w:val="00F43B23"/>
    <w:rsid w:val="00F72C52"/>
    <w:rsid w:val="00FA08BE"/>
    <w:rsid w:val="00FD3BAC"/>
    <w:rsid w:val="00FD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34A9"/>
  <w15:chartTrackingRefBased/>
  <w15:docId w15:val="{0C29BA6F-0725-4ABA-BB66-925A9D5C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802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68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6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80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D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B01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B1197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6A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6A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6A4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6A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6A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2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2%20Wykresy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2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2%20Wykresy%20wskazania%20od%20201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 i="0" baseline="0">
                <a:solidFill>
                  <a:sysClr val="windowText" lastClr="000000"/>
                </a:solidFill>
                <a:effectLst/>
              </a:rPr>
              <a:t>Liczba nowych cząsteczko-wskazań </a:t>
            </a:r>
          </a:p>
          <a:p>
            <a:pPr>
              <a:defRPr sz="900">
                <a:solidFill>
                  <a:sysClr val="windowText" lastClr="000000"/>
                </a:solidFill>
              </a:defRPr>
            </a:pPr>
            <a:r>
              <a:rPr lang="pl-PL" sz="900" b="1" i="0" baseline="0">
                <a:solidFill>
                  <a:sysClr val="windowText" lastClr="000000"/>
                </a:solidFill>
                <a:effectLst/>
              </a:rPr>
              <a:t>- ONKO/NIEONKO</a:t>
            </a:r>
            <a:endParaRPr lang="pl-PL" sz="900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20106698970321021"/>
          <c:y val="1.66017852998761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97458676943090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ONKO_NIEONKO!$A$3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4.1025641025640271E-3"/>
                  <c:y val="7.88709007887089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7FE-43D9-9D9E-2ECBD919FB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ONKO_NIEONKO!$B$2</c:f>
              <c:numCache>
                <c:formatCode>General</c:formatCode>
                <c:ptCount val="1"/>
                <c:pt idx="0">
                  <c:v>2022</c:v>
                </c:pt>
              </c:numCache>
              <c:extLst/>
            </c:numRef>
          </c:cat>
          <c:val>
            <c:numRef>
              <c:f>ONKO_NIEONKO!$B$3</c:f>
              <c:numCache>
                <c:formatCode>General</c:formatCode>
                <c:ptCount val="1"/>
                <c:pt idx="0">
                  <c:v>40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C7FE-43D9-9D9E-2ECBD919FB3E}"/>
            </c:ext>
          </c:extLst>
        </c:ser>
        <c:ser>
          <c:idx val="1"/>
          <c:order val="1"/>
          <c:tx>
            <c:strRef>
              <c:f>ONKO_NIEONKO!$A$4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5D91D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7.0563834123022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7FE-43D9-9D9E-2ECBD919FB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ONKO_NIEONKO!$B$2</c:f>
              <c:numCache>
                <c:formatCode>General</c:formatCode>
                <c:ptCount val="1"/>
                <c:pt idx="0">
                  <c:v>2022</c:v>
                </c:pt>
              </c:numCache>
              <c:extLst/>
            </c:numRef>
          </c:cat>
          <c:val>
            <c:numRef>
              <c:f>ONKO_NIEONKO!$B$4</c:f>
              <c:numCache>
                <c:formatCode>General</c:formatCode>
                <c:ptCount val="1"/>
                <c:pt idx="0">
                  <c:v>75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C7FE-43D9-9D9E-2ECBD919FB3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3835919"/>
        <c:axId val="703834671"/>
        <c:axId val="0"/>
      </c:bar3D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 i="0" baseline="0">
                <a:solidFill>
                  <a:sysClr val="windowText" lastClr="000000"/>
                </a:solidFill>
                <a:effectLst/>
              </a:rPr>
              <a:t>Liczba nowych cząsteczko-wskazań </a:t>
            </a:r>
          </a:p>
          <a:p>
            <a:pPr>
              <a:defRPr sz="900">
                <a:solidFill>
                  <a:sysClr val="windowText" lastClr="000000"/>
                </a:solidFill>
              </a:defRPr>
            </a:pPr>
            <a:r>
              <a:rPr lang="pl-PL" sz="900" b="1" i="0" baseline="0">
                <a:solidFill>
                  <a:sysClr val="windowText" lastClr="000000"/>
                </a:solidFill>
                <a:effectLst/>
              </a:rPr>
              <a:t>- kategorie dostępności</a:t>
            </a:r>
            <a:endParaRPr lang="pl-PL" sz="9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589452607083908E-2"/>
          <c:y val="0.14957494407158836"/>
          <c:w val="0.90386492410098218"/>
          <c:h val="0.685847540085526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'Kategoria dostępności'!$A$3</c:f>
              <c:strCache>
                <c:ptCount val="1"/>
                <c:pt idx="0">
                  <c:v>Apteka</c:v>
                </c:pt>
              </c:strCache>
            </c:strRef>
          </c:tx>
          <c:spPr>
            <a:solidFill>
              <a:srgbClr val="519DF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5D91D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4-AADB-4B98-981F-9594FE8AE71E}"/>
              </c:ext>
            </c:extLst>
          </c:dPt>
          <c:dLbls>
            <c:dLbl>
              <c:idx val="0"/>
              <c:layout>
                <c:manualLayout>
                  <c:x val="4.5506257110352671E-3"/>
                  <c:y val="7.86749482401655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ADB-4B98-981F-9594FE8AE7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'Kategoria dostępności'!$B$2</c:f>
              <c:numCache>
                <c:formatCode>General</c:formatCode>
                <c:ptCount val="1"/>
                <c:pt idx="0">
                  <c:v>2022</c:v>
                </c:pt>
              </c:numCache>
              <c:extLst/>
            </c:numRef>
          </c:cat>
          <c:val>
            <c:numRef>
              <c:f>'Kategoria dostępności'!$B$3</c:f>
              <c:numCache>
                <c:formatCode>General</c:formatCode>
                <c:ptCount val="1"/>
                <c:pt idx="0">
                  <c:v>25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AADB-4B98-981F-9594FE8AE71E}"/>
            </c:ext>
          </c:extLst>
        </c:ser>
        <c:ser>
          <c:idx val="1"/>
          <c:order val="1"/>
          <c:tx>
            <c:strRef>
              <c:f>'Kategoria dostępności'!$A$4</c:f>
              <c:strCache>
                <c:ptCount val="1"/>
                <c:pt idx="0">
                  <c:v>Chemioterapia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651877133105719E-2"/>
                  <c:y val="1.2422360248447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ADB-4B98-981F-9594FE8AE7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'Kategoria dostępności'!$B$2</c:f>
              <c:numCache>
                <c:formatCode>General</c:formatCode>
                <c:ptCount val="1"/>
                <c:pt idx="0">
                  <c:v>2022</c:v>
                </c:pt>
              </c:numCache>
              <c:extLst/>
            </c:numRef>
          </c:cat>
          <c:val>
            <c:numRef>
              <c:f>'Kategoria dostępności'!$B$4</c:f>
              <c:numCache>
                <c:formatCode>General</c:formatCode>
                <c:ptCount val="1"/>
                <c:pt idx="0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AADB-4B98-981F-9594FE8AE71E}"/>
            </c:ext>
          </c:extLst>
        </c:ser>
        <c:ser>
          <c:idx val="2"/>
          <c:order val="2"/>
          <c:tx>
            <c:strRef>
              <c:f>'Kategoria dostępności'!$A$5</c:f>
              <c:strCache>
                <c:ptCount val="1"/>
                <c:pt idx="0">
                  <c:v>Program lekowy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8.342717427781019E-17"/>
                  <c:y val="7.0393374741200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ADB-4B98-981F-9594FE8AE7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'Kategoria dostępności'!$B$2</c:f>
              <c:numCache>
                <c:formatCode>General</c:formatCode>
                <c:ptCount val="1"/>
                <c:pt idx="0">
                  <c:v>2022</c:v>
                </c:pt>
              </c:numCache>
              <c:extLst/>
            </c:numRef>
          </c:cat>
          <c:val>
            <c:numRef>
              <c:f>'Kategoria dostępności'!$B$5</c:f>
              <c:numCache>
                <c:formatCode>General</c:formatCode>
                <c:ptCount val="1"/>
                <c:pt idx="0">
                  <c:v>88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AADB-4B98-981F-9594FE8AE71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88787007"/>
        <c:axId val="1288791583"/>
        <c:axId val="0"/>
      </c:bar3DChart>
      <c:catAx>
        <c:axId val="12887870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88791583"/>
        <c:crosses val="autoZero"/>
        <c:auto val="1"/>
        <c:lblAlgn val="ctr"/>
        <c:lblOffset val="100"/>
        <c:noMultiLvlLbl val="0"/>
      </c:catAx>
      <c:valAx>
        <c:axId val="12887915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88787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</a:rPr>
              <a:t>Liczba nowych cząsteczko-wskazań </a:t>
            </a:r>
          </a:p>
          <a:p>
            <a:pPr>
              <a:defRPr sz="900">
                <a:solidFill>
                  <a:sysClr val="windowText" lastClr="000000"/>
                </a:solidFill>
              </a:defRPr>
            </a:pPr>
            <a:r>
              <a:rPr lang="pl-PL" sz="900">
                <a:solidFill>
                  <a:sysClr val="windowText" lastClr="000000"/>
                </a:solidFill>
              </a:rPr>
              <a:t>- wskazania rzadkie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5281496004364293E-2"/>
          <c:y val="0.1510622060345618"/>
          <c:w val="0.91934852360152752"/>
          <c:h val="0.68578648446814361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'Wskazania rzadkie'!$A$4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5D91D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-2.1141406101096159E-17"/>
                  <c:y val="7.3310423825887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459-4E61-83FC-57A76B091F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'Wskazania rzadkie'!$B$2</c:f>
              <c:numCache>
                <c:formatCode>General</c:formatCode>
                <c:ptCount val="1"/>
                <c:pt idx="0">
                  <c:v>2022</c:v>
                </c:pt>
              </c:numCache>
              <c:extLst/>
            </c:numRef>
          </c:cat>
          <c:val>
            <c:numRef>
              <c:f>'Wskazania rzadkie'!$B$4</c:f>
              <c:numCache>
                <c:formatCode>General</c:formatCode>
                <c:ptCount val="1"/>
                <c:pt idx="0">
                  <c:v>78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0459-4E61-83FC-57A76B091F8D}"/>
            </c:ext>
          </c:extLst>
        </c:ser>
        <c:ser>
          <c:idx val="0"/>
          <c:order val="1"/>
          <c:tx>
            <c:strRef>
              <c:f>'Wskazania rzadkie'!$A$3</c:f>
              <c:strCache>
                <c:ptCount val="1"/>
                <c:pt idx="0">
                  <c:v>Wskazanie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7.33104238258876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459-4E61-83FC-57A76B091F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'Wskazania rzadkie'!$B$2</c:f>
              <c:numCache>
                <c:formatCode>General</c:formatCode>
                <c:ptCount val="1"/>
                <c:pt idx="0">
                  <c:v>2022</c:v>
                </c:pt>
              </c:numCache>
              <c:extLst/>
            </c:numRef>
          </c:cat>
          <c:val>
            <c:numRef>
              <c:f>'Wskazania rzadkie'!$B$3</c:f>
              <c:numCache>
                <c:formatCode>General</c:formatCode>
                <c:ptCount val="1"/>
                <c:pt idx="0">
                  <c:v>37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0459-4E61-83FC-57A76B091F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3837167"/>
        <c:axId val="703834255"/>
        <c:axId val="0"/>
      </c:bar3DChart>
      <c:catAx>
        <c:axId val="703837167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255"/>
        <c:crosses val="autoZero"/>
        <c:auto val="1"/>
        <c:lblAlgn val="ctr"/>
        <c:lblOffset val="100"/>
        <c:noMultiLvlLbl val="0"/>
      </c:catAx>
      <c:valAx>
        <c:axId val="7038342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71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9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</a:rPr>
              <a:t>Cząsteczko-wskazania onkologiczne w 2022 r.</a:t>
            </a:r>
          </a:p>
        </c:rich>
      </c:tx>
      <c:layout>
        <c:manualLayout>
          <c:xMode val="edge"/>
          <c:yMode val="edge"/>
          <c:x val="0.24815817293671624"/>
          <c:y val="1.3342615709621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9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127000400991543"/>
          <c:y val="8.706981890751736E-2"/>
          <c:w val="0.73101942986293378"/>
          <c:h val="0.82159634060798858"/>
        </c:manualLayout>
      </c:layout>
      <c:bar3DChart>
        <c:barDir val="bar"/>
        <c:grouping val="clustered"/>
        <c:varyColors val="0"/>
        <c:ser>
          <c:idx val="10"/>
          <c:order val="0"/>
          <c:tx>
            <c:strRef>
              <c:f>'onko_2012_-_2021_1'!$B$2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cat>
            <c:strRef>
              <c:f>('onko_2012_-_2021_1'!$A$3:$A$5,'onko_2012_-_2021_1'!$A$7,'onko_2012_-_2021_1'!$A$9:$A$12)</c:f>
              <c:strCache>
                <c:ptCount val="8"/>
                <c:pt idx="0">
                  <c:v>Inne</c:v>
                </c:pt>
                <c:pt idx="1">
                  <c:v>Nowotwory układu 
urologicznego</c:v>
                </c:pt>
                <c:pt idx="2">
                  <c:v>Nowotwory układu 
pokarmowego</c:v>
                </c:pt>
                <c:pt idx="3">
                  <c:v>Nowotwory układu 
endokrynnego</c:v>
                </c:pt>
                <c:pt idx="4">
                  <c:v>Nowotwory nerki</c:v>
                </c:pt>
                <c:pt idx="5">
                  <c:v>Nowotwory głowy 
i szyi</c:v>
                </c:pt>
                <c:pt idx="6">
                  <c:v>Nowotwory 
ginekologiczne</c:v>
                </c:pt>
                <c:pt idx="7">
                  <c:v>Hematoonkologia</c:v>
                </c:pt>
              </c:strCache>
              <c:extLst/>
            </c:strRef>
          </c:cat>
          <c:val>
            <c:numRef>
              <c:f>('onko_2012_-_2021_1'!$B$3:$B$5,'onko_2012_-_2021_1'!$B$7,'onko_2012_-_2021_1'!$B$9:$B$12)</c:f>
              <c:numCache>
                <c:formatCode>General</c:formatCode>
                <c:ptCount val="8"/>
                <c:pt idx="0">
                  <c:v>3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  <c:pt idx="4">
                  <c:v>5</c:v>
                </c:pt>
                <c:pt idx="5">
                  <c:v>1</c:v>
                </c:pt>
                <c:pt idx="6">
                  <c:v>7</c:v>
                </c:pt>
                <c:pt idx="7">
                  <c:v>14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8472-450C-9E4F-059C2E803C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1046271"/>
        <c:axId val="751054175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1"/>
                <c:tx>
                  <c:strRef>
                    <c:extLst>
                      <c:ext uri="{02D57815-91ED-43cb-92C2-25804820EDAC}">
                        <c15:formulaRef>
                          <c15:sqref>'onko_2012_-_2021_1'!$C$2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('onko_2012_-_2021_1'!$C$3:$C$5,'onko_2012_-_2021_1'!$C$7,'onko_2012_-_2021_1'!$C$9:$C$12)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</c:v>
                      </c:pt>
                      <c:pt idx="1">
                        <c:v>0</c:v>
                      </c:pt>
                      <c:pt idx="2">
                        <c:v>2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4</c:v>
                      </c:pt>
                      <c:pt idx="7">
                        <c:v>11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8472-450C-9E4F-059C2E803C9A}"/>
                  </c:ext>
                </c:extLst>
              </c15:ser>
            </c15:filteredBarSeries>
            <c15:filteredBarSeries>
              <c15:ser>
                <c:idx val="1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'onko_2012_-_2021_1'!$D$2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('onko_2012_-_2021_1'!$D$3:$D$5,'onko_2012_-_2021_1'!$D$7,'onko_2012_-_2021_1'!$D$9:$D$12)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2</c:v>
                      </c:pt>
                      <c:pt idx="1">
                        <c:v>0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6</c:v>
                      </c:pt>
                      <c:pt idx="7">
                        <c:v>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8472-450C-9E4F-059C2E803C9A}"/>
                  </c:ext>
                </c:extLst>
              </c15:ser>
            </c15:filteredBarSeries>
            <c15:filteredBarSeries>
              <c15:ser>
                <c:idx val="2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'onko_2012_-_2021_1'!$E$2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('onko_2012_-_2021_1'!$E$3:$E$5,'onko_2012_-_2021_1'!$E$7,'onko_2012_-_2021_1'!$E$9:$E$12)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4</c:v>
                      </c:pt>
                      <c:pt idx="7">
                        <c:v>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8472-450C-9E4F-059C2E803C9A}"/>
                  </c:ext>
                </c:extLst>
              </c15:ser>
            </c15:filteredBarSeries>
            <c15:filteredBarSeries>
              <c15:ser>
                <c:idx val="3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'onko_2012_-_2021_1'!$F$2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('onko_2012_-_2021_1'!$F$3:$F$5,'onko_2012_-_2021_1'!$F$7,'onko_2012_-_2021_1'!$F$9:$F$12)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2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8472-450C-9E4F-059C2E803C9A}"/>
                  </c:ext>
                </c:extLst>
              </c15:ser>
            </c15:filteredBarSeries>
            <c15:filteredBarSeries>
              <c15:ser>
                <c:idx val="4"/>
                <c:order val="5"/>
                <c:tx>
                  <c:v>2017</c:v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('onko_2012_-_2021_1'!$G$3:$G$5,'onko_2012_-_2021_1'!$G$7,'onko_2012_-_2021_1'!$G$9:$G$12)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</c:v>
                      </c:pt>
                      <c:pt idx="1">
                        <c:v>3</c:v>
                      </c:pt>
                      <c:pt idx="2">
                        <c:v>4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8472-450C-9E4F-059C2E803C9A}"/>
                  </c:ext>
                </c:extLst>
              </c15:ser>
            </c15:filteredBarSeries>
            <c15:filteredBarSeries>
              <c15:ser>
                <c:idx val="5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'onko_2012_-_2021_1'!$H$2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('onko_2012_-_2021_1'!$H$3:$H$5,'onko_2012_-_2021_1'!$H$7,'onko_2012_-_2021_1'!$H$9:$H$12)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2</c:v>
                      </c:pt>
                      <c:pt idx="7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8472-450C-9E4F-059C2E803C9A}"/>
                  </c:ext>
                </c:extLst>
              </c15:ser>
            </c15:filteredBarSeries>
            <c15:filteredBarSeries>
              <c15:ser>
                <c:idx val="6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'onko_2012_-_2021_1'!$I$2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('onko_2012_-_2021_1'!$I$3:$I$5,'onko_2012_-_2021_1'!$I$7,'onko_2012_-_2021_1'!$I$9:$I$12)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3</c:v>
                      </c:pt>
                      <c:pt idx="1">
                        <c:v>0</c:v>
                      </c:pt>
                      <c:pt idx="2">
                        <c:v>4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8472-450C-9E4F-059C2E803C9A}"/>
                  </c:ext>
                </c:extLst>
              </c15:ser>
            </c15:filteredBarSeries>
            <c15:filteredBarSeries>
              <c15:ser>
                <c:idx val="7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'onko_2012_-_2021_1'!$J$2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('onko_2012_-_2021_1'!$J$3:$J$5,'onko_2012_-_2021_1'!$J$7,'onko_2012_-_2021_1'!$J$9:$J$12)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10</c:v>
                      </c:pt>
                      <c:pt idx="1">
                        <c:v>1</c:v>
                      </c:pt>
                      <c:pt idx="2">
                        <c:v>6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8472-450C-9E4F-059C2E803C9A}"/>
                  </c:ext>
                </c:extLst>
              </c15:ser>
            </c15:filteredBarSeries>
            <c15:filteredBarSeries>
              <c15:ser>
                <c:idx val="8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'onko_2012_-_2021_1'!$K$2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('onko_2012_-_2021_1'!$K$3:$K$5,'onko_2012_-_2021_1'!$K$7,'onko_2012_-_2021_1'!$K$9:$K$12)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2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8472-450C-9E4F-059C2E803C9A}"/>
                  </c:ext>
                </c:extLst>
              </c15:ser>
            </c15:filteredBarSeries>
            <c15:filteredBarSeries>
              <c15:ser>
                <c:idx val="9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'onko_2012_-_2021_1'!$L$2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('onko_2012_-_2021_1'!$L$3:$L$5,'onko_2012_-_2021_1'!$L$7,'onko_2012_-_2021_1'!$L$9:$L$12)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3</c:v>
                      </c:pt>
                      <c:pt idx="1">
                        <c:v>1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2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8472-450C-9E4F-059C2E803C9A}"/>
                  </c:ext>
                </c:extLst>
              </c15:ser>
            </c15:filteredBarSeries>
          </c:ext>
        </c:extLst>
      </c:bar3DChart>
      <c:valAx>
        <c:axId val="751054175"/>
        <c:scaling>
          <c:orientation val="minMax"/>
          <c:max val="1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5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/>
              <a:t>Cząsteczko-wskazania nieonkologiczne w 2022 r.</a:t>
            </a:r>
          </a:p>
        </c:rich>
      </c:tx>
      <c:layout>
        <c:manualLayout>
          <c:xMode val="edge"/>
          <c:yMode val="edge"/>
          <c:x val="0.23048034934497816"/>
          <c:y val="1.73724212812160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8707091100791887"/>
          <c:y val="9.6642124661628942E-2"/>
          <c:w val="0.68284361890661105"/>
          <c:h val="0.79649508248920697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'nieonko_2016_-_2021'!$B$2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cat>
            <c:strRef>
              <c:f>('nieonko_2016_-_2021'!$A$4:$A$11,'nieonko_2016_-_2021'!$A$13,'nieonko_2016_-_2021'!$A$15,'nieonko_2016_-_2021'!$A$17:$A$19)</c:f>
              <c:strCache>
                <c:ptCount val="13"/>
                <c:pt idx="0">
                  <c:v>Reumatologia</c:v>
                </c:pt>
                <c:pt idx="1">
                  <c:v>Pulmonologia</c:v>
                </c:pt>
                <c:pt idx="2">
                  <c:v>Psychiatria</c:v>
                </c:pt>
                <c:pt idx="3">
                  <c:v>Okulistyka</c:v>
                </c:pt>
                <c:pt idx="4">
                  <c:v>Neurologia</c:v>
                </c:pt>
                <c:pt idx="5">
                  <c:v>Nefrologia </c:v>
                </c:pt>
                <c:pt idx="6">
                  <c:v>Kardiologia</c:v>
                </c:pt>
                <c:pt idx="7">
                  <c:v>Immunologia</c:v>
                </c:pt>
                <c:pt idx="8">
                  <c:v>Hematologia</c:v>
                </c:pt>
                <c:pt idx="9">
                  <c:v>Gastroenterologia</c:v>
                </c:pt>
                <c:pt idx="10">
                  <c:v>Diabetologia</c:v>
                </c:pt>
                <c:pt idx="11">
                  <c:v>Dermatologia</c:v>
                </c:pt>
                <c:pt idx="12">
                  <c:v>Choroby metaboliczne</c:v>
                </c:pt>
              </c:strCache>
              <c:extLst/>
            </c:strRef>
          </c:cat>
          <c:val>
            <c:numRef>
              <c:f>('nieonko_2016_-_2021'!$B$4:$B$11,'nieonko_2016_-_2021'!$B$13,'nieonko_2016_-_2021'!$B$15,'nieonko_2016_-_2021'!$B$17:$B$19)</c:f>
              <c:numCache>
                <c:formatCode>General</c:formatCode>
                <c:ptCount val="13"/>
                <c:pt idx="0">
                  <c:v>9</c:v>
                </c:pt>
                <c:pt idx="1">
                  <c:v>11</c:v>
                </c:pt>
                <c:pt idx="2">
                  <c:v>1</c:v>
                </c:pt>
                <c:pt idx="3">
                  <c:v>1</c:v>
                </c:pt>
                <c:pt idx="4">
                  <c:v>18</c:v>
                </c:pt>
                <c:pt idx="5">
                  <c:v>1</c:v>
                </c:pt>
                <c:pt idx="6">
                  <c:v>4</c:v>
                </c:pt>
                <c:pt idx="7">
                  <c:v>2</c:v>
                </c:pt>
                <c:pt idx="8">
                  <c:v>3</c:v>
                </c:pt>
                <c:pt idx="9">
                  <c:v>7</c:v>
                </c:pt>
                <c:pt idx="10">
                  <c:v>9</c:v>
                </c:pt>
                <c:pt idx="11">
                  <c:v>5</c:v>
                </c:pt>
                <c:pt idx="12">
                  <c:v>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4D9F-4B53-B96B-73231A0277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1296495"/>
        <c:axId val="241294831"/>
        <c:axId val="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'nieonko_2016_-_2021'!$C$2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('nieonko_2016_-_2021'!$C$4:$C$11,'nieonko_2016_-_2021'!$C$13,'nieonko_2016_-_2021'!$C$15,'nieonko_2016_-_2021'!$C$17:$C$19)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1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7</c:v>
                      </c:pt>
                      <c:pt idx="4">
                        <c:v>2</c:v>
                      </c:pt>
                      <c:pt idx="5">
                        <c:v>2</c:v>
                      </c:pt>
                      <c:pt idx="6">
                        <c:v>1</c:v>
                      </c:pt>
                      <c:pt idx="7">
                        <c:v>2</c:v>
                      </c:pt>
                      <c:pt idx="8">
                        <c:v>6</c:v>
                      </c:pt>
                      <c:pt idx="9">
                        <c:v>2</c:v>
                      </c:pt>
                      <c:pt idx="10">
                        <c:v>1</c:v>
                      </c:pt>
                      <c:pt idx="11">
                        <c:v>3</c:v>
                      </c:pt>
                      <c:pt idx="12">
                        <c:v>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4D9F-4B53-B96B-73231A02772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'nieonko_2016_-_2021'!$D$2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('nieonko_2016_-_2021'!$D$4:$D$11,'nieonko_2016_-_2021'!$D$13,'nieonko_2016_-_2021'!$D$15,'nieonko_2016_-_2021'!$D$17:$D$19)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1</c:v>
                      </c:pt>
                      <c:pt idx="1">
                        <c:v>2</c:v>
                      </c:pt>
                      <c:pt idx="2">
                        <c:v>4</c:v>
                      </c:pt>
                      <c:pt idx="3">
                        <c:v>0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2</c:v>
                      </c:pt>
                      <c:pt idx="7">
                        <c:v>1</c:v>
                      </c:pt>
                      <c:pt idx="8">
                        <c:v>3</c:v>
                      </c:pt>
                      <c:pt idx="9">
                        <c:v>2</c:v>
                      </c:pt>
                      <c:pt idx="10">
                        <c:v>3</c:v>
                      </c:pt>
                      <c:pt idx="11">
                        <c:v>3</c:v>
                      </c:pt>
                      <c:pt idx="12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4D9F-4B53-B96B-73231A027727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'nieonko_2016_-_2021'!$E$2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('nieonko_2016_-_2021'!$E$4:$E$11,'nieonko_2016_-_2021'!$E$13,'nieonko_2016_-_2021'!$E$15,'nieonko_2016_-_2021'!$E$17:$E$19)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3</c:v>
                      </c:pt>
                      <c:pt idx="1">
                        <c:v>3</c:v>
                      </c:pt>
                      <c:pt idx="2">
                        <c:v>0</c:v>
                      </c:pt>
                      <c:pt idx="3">
                        <c:v>1</c:v>
                      </c:pt>
                      <c:pt idx="4">
                        <c:v>3</c:v>
                      </c:pt>
                      <c:pt idx="5">
                        <c:v>0</c:v>
                      </c:pt>
                      <c:pt idx="6">
                        <c:v>3</c:v>
                      </c:pt>
                      <c:pt idx="7">
                        <c:v>1</c:v>
                      </c:pt>
                      <c:pt idx="8">
                        <c:v>1</c:v>
                      </c:pt>
                      <c:pt idx="9">
                        <c:v>3</c:v>
                      </c:pt>
                      <c:pt idx="10">
                        <c:v>5</c:v>
                      </c:pt>
                      <c:pt idx="11">
                        <c:v>1</c:v>
                      </c:pt>
                      <c:pt idx="12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4D9F-4B53-B96B-73231A027727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'nieonko_2016_-_2021'!$F$2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('nieonko_2016_-_2021'!$F$4:$F$11,'nieonko_2016_-_2021'!$F$13,'nieonko_2016_-_2021'!$F$15,'nieonko_2016_-_2021'!$F$17:$F$19)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1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4</c:v>
                      </c:pt>
                      <c:pt idx="5">
                        <c:v>0</c:v>
                      </c:pt>
                      <c:pt idx="6">
                        <c:v>2</c:v>
                      </c:pt>
                      <c:pt idx="7">
                        <c:v>3</c:v>
                      </c:pt>
                      <c:pt idx="8">
                        <c:v>4</c:v>
                      </c:pt>
                      <c:pt idx="9">
                        <c:v>1</c:v>
                      </c:pt>
                      <c:pt idx="10">
                        <c:v>0</c:v>
                      </c:pt>
                      <c:pt idx="11">
                        <c:v>3</c:v>
                      </c:pt>
                      <c:pt idx="12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4D9F-4B53-B96B-73231A027727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'nieonko_2016_-_2021'!$G$2</c15:sqref>
                        </c15:formulaRef>
                      </c:ext>
                    </c:extLst>
                    <c:strCache>
                      <c:ptCount val="1"/>
                      <c:pt idx="0">
                        <c:v>2017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('nieonko_2016_-_2021'!$G$4:$G$11,'nieonko_2016_-_2021'!$G$13,'nieonko_2016_-_2021'!$G$15,'nieonko_2016_-_2021'!$G$17:$G$19)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</c:v>
                      </c:pt>
                      <c:pt idx="1">
                        <c:v>5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3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1</c:v>
                      </c:pt>
                      <c:pt idx="8">
                        <c:v>2</c:v>
                      </c:pt>
                      <c:pt idx="9">
                        <c:v>2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4D9F-4B53-B96B-73231A027727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'nieonko_2016_-_2021'!$H$2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('nieonko_2016_-_2021'!$H$4:$H$11,'nieonko_2016_-_2021'!$H$13,'nieonko_2016_-_2021'!$H$15,'nieonko_2016_-_2021'!$H$17:$H$19)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0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3</c:v>
                      </c:pt>
                      <c:pt idx="5">
                        <c:v>1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1</c:v>
                      </c:pt>
                      <c:pt idx="9">
                        <c:v>1</c:v>
                      </c:pt>
                      <c:pt idx="10">
                        <c:v>0</c:v>
                      </c:pt>
                      <c:pt idx="11">
                        <c:v>1</c:v>
                      </c:pt>
                      <c:pt idx="12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4D9F-4B53-B96B-73231A027727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'nieonko_2016_-_2021'!$I$2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('nieonko_2016_-_2021'!$I$4:$I$11,'nieonko_2016_-_2021'!$I$13,'nieonko_2016_-_2021'!$I$15,'nieonko_2016_-_2021'!$I$17:$I$19)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0</c:v>
                      </c:pt>
                      <c:pt idx="1">
                        <c:v>1</c:v>
                      </c:pt>
                      <c:pt idx="2">
                        <c:v>0</c:v>
                      </c:pt>
                      <c:pt idx="3">
                        <c:v>2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5</c:v>
                      </c:pt>
                      <c:pt idx="7">
                        <c:v>2</c:v>
                      </c:pt>
                      <c:pt idx="8">
                        <c:v>1</c:v>
                      </c:pt>
                      <c:pt idx="9">
                        <c:v>1</c:v>
                      </c:pt>
                      <c:pt idx="10">
                        <c:v>0</c:v>
                      </c:pt>
                      <c:pt idx="11">
                        <c:v>1</c:v>
                      </c:pt>
                      <c:pt idx="12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4D9F-4B53-B96B-73231A027727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'nieonko_2016_-_2021'!$J$2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('nieonko_2016_-_2021'!$J$4:$J$11,'nieonko_2016_-_2021'!$J$13,'nieonko_2016_-_2021'!$J$15,'nieonko_2016_-_2021'!$J$17:$J$19)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4</c:v>
                      </c:pt>
                      <c:pt idx="1">
                        <c:v>3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6</c:v>
                      </c:pt>
                      <c:pt idx="5">
                        <c:v>0</c:v>
                      </c:pt>
                      <c:pt idx="6">
                        <c:v>3</c:v>
                      </c:pt>
                      <c:pt idx="7">
                        <c:v>1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1</c:v>
                      </c:pt>
                      <c:pt idx="12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4D9F-4B53-B96B-73231A027727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'nieonko_2016_-_2021'!$K$2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('nieonko_2016_-_2021'!$K$4:$K$11,'nieonko_2016_-_2021'!$K$13,'nieonko_2016_-_2021'!$K$15,'nieonko_2016_-_2021'!$K$17:$K$19)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7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1</c:v>
                      </c:pt>
                      <c:pt idx="10">
                        <c:v>3</c:v>
                      </c:pt>
                      <c:pt idx="11">
                        <c:v>2</c:v>
                      </c:pt>
                      <c:pt idx="12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4D9F-4B53-B96B-73231A027727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'nieonko_2016_-_2021'!$L$2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('nieonko_2016_-_2021'!$L$4:$L$11,'nieonko_2016_-_2021'!$L$13,'nieonko_2016_-_2021'!$L$15,'nieonko_2016_-_2021'!$L$17:$L$19)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1</c:v>
                      </c:pt>
                      <c:pt idx="1">
                        <c:v>2</c:v>
                      </c:pt>
                      <c:pt idx="2">
                        <c:v>0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2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4D9F-4B53-B96B-73231A027727}"/>
                  </c:ext>
                </c:extLst>
              </c15:ser>
            </c15:filteredBarSeries>
          </c:ext>
        </c:extLst>
      </c:bar3DChart>
      <c:valAx>
        <c:axId val="241294831"/>
        <c:scaling>
          <c:orientation val="minMax"/>
          <c:max val="2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8121</Words>
  <Characters>48732</Characters>
  <Application>Microsoft Office Word</Application>
  <DocSecurity>0</DocSecurity>
  <Lines>406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 Aleksandra</dc:creator>
  <cp:keywords/>
  <dc:description/>
  <cp:lastModifiedBy>Tobiaszewski Paweł</cp:lastModifiedBy>
  <cp:revision>3</cp:revision>
  <dcterms:created xsi:type="dcterms:W3CDTF">2022-12-21T09:10:00Z</dcterms:created>
  <dcterms:modified xsi:type="dcterms:W3CDTF">2022-12-22T09:39:00Z</dcterms:modified>
</cp:coreProperties>
</file>