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DAAB" w14:textId="77777777" w:rsidR="000F5B45" w:rsidRPr="00B5742F" w:rsidRDefault="00000000" w:rsidP="00E93132">
      <w:pPr>
        <w:ind w:left="8324"/>
        <w:rPr>
          <w:rFonts w:ascii="Verdana" w:hAnsi="Verdana"/>
          <w:sz w:val="20"/>
        </w:rPr>
      </w:pPr>
      <w:r w:rsidRPr="00B5742F">
        <w:rPr>
          <w:rFonts w:ascii="Verdana" w:hAnsi="Verdana"/>
          <w:noProof/>
          <w:sz w:val="20"/>
        </w:rPr>
        <w:drawing>
          <wp:inline distT="0" distB="0" distL="0" distR="0" wp14:anchorId="3F8D378E" wp14:editId="2799190E">
            <wp:extent cx="1388876" cy="357282"/>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88876" cy="357282"/>
                    </a:xfrm>
                    <a:prstGeom prst="rect">
                      <a:avLst/>
                    </a:prstGeom>
                  </pic:spPr>
                </pic:pic>
              </a:graphicData>
            </a:graphic>
          </wp:inline>
        </w:drawing>
      </w:r>
    </w:p>
    <w:p w14:paraId="0721A42C" w14:textId="77777777" w:rsidR="000F5B45" w:rsidRPr="00B5742F" w:rsidRDefault="000F5B45" w:rsidP="00E93132">
      <w:pPr>
        <w:pStyle w:val="Tekstpodstawowy"/>
        <w:ind w:left="0" w:right="0"/>
        <w:jc w:val="left"/>
        <w:rPr>
          <w:rFonts w:ascii="Verdana" w:hAnsi="Verdana"/>
          <w:sz w:val="18"/>
        </w:rPr>
      </w:pPr>
    </w:p>
    <w:p w14:paraId="30A3DB7D" w14:textId="77777777" w:rsidR="000F5B45" w:rsidRPr="00B5742F" w:rsidRDefault="000F5B45" w:rsidP="00E93132">
      <w:pPr>
        <w:pStyle w:val="Tekstpodstawowy"/>
        <w:ind w:left="0" w:right="0"/>
        <w:jc w:val="left"/>
        <w:rPr>
          <w:rFonts w:ascii="Verdana" w:hAnsi="Verdana"/>
          <w:sz w:val="18"/>
        </w:rPr>
      </w:pPr>
    </w:p>
    <w:p w14:paraId="19282A65" w14:textId="77777777" w:rsidR="000F5B45" w:rsidRPr="00B5742F" w:rsidRDefault="000F5B45" w:rsidP="00E93132">
      <w:pPr>
        <w:pStyle w:val="Tekstpodstawowy"/>
        <w:ind w:left="0" w:right="0"/>
        <w:jc w:val="left"/>
        <w:rPr>
          <w:rFonts w:ascii="Verdana" w:hAnsi="Verdana"/>
          <w:sz w:val="18"/>
        </w:rPr>
      </w:pPr>
    </w:p>
    <w:p w14:paraId="34EF3251" w14:textId="77777777" w:rsidR="000F5B45" w:rsidRPr="00B5742F" w:rsidRDefault="000F5B45" w:rsidP="00E93132">
      <w:pPr>
        <w:pStyle w:val="Tekstpodstawowy"/>
        <w:spacing w:before="65"/>
        <w:ind w:left="0" w:right="0"/>
        <w:jc w:val="left"/>
        <w:rPr>
          <w:rFonts w:ascii="Verdana" w:hAnsi="Verdana"/>
          <w:sz w:val="18"/>
        </w:rPr>
      </w:pPr>
    </w:p>
    <w:p w14:paraId="576A2E28" w14:textId="77777777" w:rsidR="000F5B45" w:rsidRPr="00B5742F" w:rsidRDefault="00000000" w:rsidP="00E93132">
      <w:pPr>
        <w:ind w:right="83"/>
        <w:jc w:val="right"/>
        <w:rPr>
          <w:rFonts w:ascii="Verdana" w:hAnsi="Verdana"/>
          <w:sz w:val="18"/>
        </w:rPr>
      </w:pPr>
      <w:r w:rsidRPr="00B5742F">
        <w:rPr>
          <w:rFonts w:ascii="Verdana" w:hAnsi="Verdana"/>
          <w:noProof/>
          <w:sz w:val="18"/>
        </w:rPr>
        <mc:AlternateContent>
          <mc:Choice Requires="wps">
            <w:drawing>
              <wp:anchor distT="0" distB="0" distL="0" distR="0" simplePos="0" relativeHeight="251659264" behindDoc="1" locked="0" layoutInCell="1" allowOverlap="1" wp14:anchorId="3762F917" wp14:editId="6AFABA60">
                <wp:simplePos x="0" y="0"/>
                <wp:positionH relativeFrom="page">
                  <wp:posOffset>465455</wp:posOffset>
                </wp:positionH>
                <wp:positionV relativeFrom="paragraph">
                  <wp:posOffset>175050</wp:posOffset>
                </wp:positionV>
                <wp:extent cx="662940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6629400" cy="1270"/>
                        </a:xfrm>
                        <a:custGeom>
                          <a:avLst/>
                          <a:gdLst/>
                          <a:ahLst/>
                          <a:cxnLst/>
                          <a:rect l="l" t="t" r="r" b="b"/>
                          <a:pathLst>
                            <a:path w="6629400">
                              <a:moveTo>
                                <a:pt x="0" y="0"/>
                              </a:moveTo>
                              <a:lnTo>
                                <a:pt x="6629400" y="0"/>
                              </a:lnTo>
                            </a:path>
                          </a:pathLst>
                        </a:custGeom>
                        <a:ln w="9525">
                          <a:solidFill>
                            <a:srgbClr val="808080"/>
                          </a:solidFill>
                          <a:prstDash val="solid"/>
                        </a:ln>
                      </wps:spPr>
                      <wps:bodyPr wrap="square" lIns="0" tIns="0" rIns="0" bIns="0" rtlCol="0">
                        <a:prstTxWarp prst="textNoShape">
                          <a:avLst/>
                        </a:prstTxWarp>
                      </wps:bodyPr>
                    </wps:wsp>
                  </a:graphicData>
                </a:graphic>
              </wp:anchor>
            </w:drawing>
          </mc:Choice>
          <mc:Fallback>
            <w:pict>
              <v:shape w14:anchorId="0D67F7AE" id="Graphic 2" o:spid="_x0000_s1026" style="position:absolute;margin-left:36.65pt;margin-top:13.8pt;width:52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" path="m,l6629400,e" filled="f" strokecolor="gray">
                <v:path arrowok="t"/>
                <w10:wrap type="topAndBottom" anchorx="page"/>
              </v:shape>
            </w:pict>
          </mc:Fallback>
        </mc:AlternateContent>
      </w:r>
      <w:r w:rsidRPr="00B5742F">
        <w:rPr>
          <w:rFonts w:ascii="Verdana" w:hAnsi="Verdana"/>
          <w:noProof/>
          <w:sz w:val="18"/>
        </w:rPr>
        <w:drawing>
          <wp:anchor distT="0" distB="0" distL="0" distR="0" simplePos="0" relativeHeight="251658240" behindDoc="0" locked="0" layoutInCell="1" allowOverlap="1" wp14:anchorId="2FCCD89B" wp14:editId="609E8328">
            <wp:simplePos x="0" y="0"/>
            <wp:positionH relativeFrom="page">
              <wp:posOffset>441959</wp:posOffset>
            </wp:positionH>
            <wp:positionV relativeFrom="paragraph">
              <wp:posOffset>-814279</wp:posOffset>
            </wp:positionV>
            <wp:extent cx="2391409" cy="885189"/>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391409" cy="885189"/>
                    </a:xfrm>
                    <a:prstGeom prst="rect">
                      <a:avLst/>
                    </a:prstGeom>
                  </pic:spPr>
                </pic:pic>
              </a:graphicData>
            </a:graphic>
          </wp:anchor>
        </w:drawing>
      </w:r>
      <w:r w:rsidRPr="00B5742F">
        <w:rPr>
          <w:rFonts w:ascii="Verdana" w:hAnsi="Verdana"/>
          <w:sz w:val="17"/>
        </w:rPr>
        <w:t>Arkusz informacyjny – Prawa dziecka</w:t>
      </w:r>
    </w:p>
    <w:p w14:paraId="1F79A17B" w14:textId="77777777" w:rsidR="000F5B45" w:rsidRPr="00B5742F" w:rsidRDefault="000F5B45" w:rsidP="00E93132">
      <w:pPr>
        <w:pStyle w:val="Tekstpodstawowy"/>
        <w:spacing w:before="18"/>
        <w:ind w:left="0" w:right="0"/>
        <w:jc w:val="left"/>
        <w:rPr>
          <w:rFonts w:ascii="Verdana" w:hAnsi="Verdana"/>
          <w:sz w:val="18"/>
        </w:rPr>
      </w:pPr>
    </w:p>
    <w:p w14:paraId="1834A335" w14:textId="0985B7A0" w:rsidR="000F5B45" w:rsidRPr="00B5742F" w:rsidRDefault="00000000" w:rsidP="00AD610A">
      <w:pPr>
        <w:ind w:left="4426" w:right="146" w:firstLine="4543"/>
        <w:jc w:val="right"/>
        <w:rPr>
          <w:rFonts w:ascii="Verdana" w:hAnsi="Verdana"/>
          <w:sz w:val="16"/>
          <w:szCs w:val="20"/>
        </w:rPr>
      </w:pPr>
      <w:r w:rsidRPr="00B5742F">
        <w:rPr>
          <w:rFonts w:ascii="Verdana" w:hAnsi="Verdana"/>
          <w:color w:val="EB7E12"/>
          <w:sz w:val="16"/>
          <w:szCs w:val="20"/>
        </w:rPr>
        <w:t>Kwiecień 2023</w:t>
      </w:r>
      <w:r w:rsidR="00B2420C">
        <w:rPr>
          <w:rFonts w:ascii="Verdana" w:hAnsi="Verdana"/>
          <w:color w:val="EB7E12"/>
          <w:sz w:val="16"/>
          <w:szCs w:val="20"/>
        </w:rPr>
        <w:t xml:space="preserve"> r.</w:t>
      </w:r>
      <w:r w:rsidRPr="00B5742F">
        <w:rPr>
          <w:rFonts w:ascii="Verdana" w:hAnsi="Verdana"/>
          <w:color w:val="EB7E12"/>
          <w:sz w:val="16"/>
          <w:szCs w:val="20"/>
        </w:rPr>
        <w:t xml:space="preserve"> Niniejsza nota informacyjna nie jest wiążąca dla Trybunału i nie ma charakteru</w:t>
      </w:r>
      <w:r w:rsidR="00AD610A" w:rsidRPr="00B5742F">
        <w:rPr>
          <w:rFonts w:ascii="Verdana" w:hAnsi="Verdana"/>
          <w:color w:val="EB7E12"/>
          <w:sz w:val="16"/>
          <w:szCs w:val="20"/>
        </w:rPr>
        <w:t> </w:t>
      </w:r>
      <w:r w:rsidRPr="00B5742F">
        <w:rPr>
          <w:rFonts w:ascii="Verdana" w:hAnsi="Verdana"/>
          <w:color w:val="EB7E12"/>
          <w:sz w:val="16"/>
          <w:szCs w:val="20"/>
        </w:rPr>
        <w:t>wyczerpującego.</w:t>
      </w:r>
    </w:p>
    <w:p w14:paraId="3665F295" w14:textId="77777777" w:rsidR="000F5B45" w:rsidRPr="00B5742F" w:rsidRDefault="000F5B45" w:rsidP="00E93132">
      <w:pPr>
        <w:pStyle w:val="Tekstpodstawowy"/>
        <w:spacing w:before="37"/>
        <w:ind w:left="0" w:right="0"/>
        <w:jc w:val="left"/>
        <w:rPr>
          <w:rFonts w:ascii="Verdana" w:hAnsi="Verdana"/>
          <w:sz w:val="18"/>
        </w:rPr>
      </w:pPr>
    </w:p>
    <w:p w14:paraId="00181F2A" w14:textId="77777777" w:rsidR="000F5B45" w:rsidRPr="00B5742F" w:rsidRDefault="00000000" w:rsidP="00E93132">
      <w:pPr>
        <w:pStyle w:val="Tytu"/>
        <w:rPr>
          <w:rFonts w:ascii="Verdana" w:hAnsi="Verdana"/>
          <w:sz w:val="52"/>
          <w:szCs w:val="52"/>
        </w:rPr>
      </w:pPr>
      <w:r w:rsidRPr="00B5742F">
        <w:rPr>
          <w:rFonts w:ascii="Verdana" w:hAnsi="Verdana"/>
          <w:color w:val="0071BB"/>
          <w:szCs w:val="52"/>
        </w:rPr>
        <w:t>Prawa dzi</w:t>
      </w:r>
      <w:r w:rsidRPr="00B5742F">
        <w:rPr>
          <w:rFonts w:ascii="Verdana" w:hAnsi="Verdana"/>
          <w:color w:val="0070C0"/>
          <w:szCs w:val="52"/>
        </w:rPr>
        <w:t>ec</w:t>
      </w:r>
      <w:r w:rsidRPr="00B5742F">
        <w:rPr>
          <w:rFonts w:ascii="Verdana" w:hAnsi="Verdana"/>
          <w:color w:val="0071BB"/>
          <w:szCs w:val="52"/>
        </w:rPr>
        <w:t>ka</w:t>
      </w:r>
    </w:p>
    <w:p w14:paraId="38704A5A" w14:textId="77777777" w:rsidR="000F5B45" w:rsidRPr="00B5742F" w:rsidRDefault="00000000" w:rsidP="00E93132">
      <w:pPr>
        <w:ind w:left="845"/>
        <w:rPr>
          <w:rFonts w:ascii="Verdana" w:hAnsi="Verdana"/>
          <w:sz w:val="6"/>
        </w:rPr>
      </w:pPr>
      <w:r w:rsidRPr="00B5742F">
        <w:rPr>
          <w:rFonts w:ascii="Verdana" w:hAnsi="Verdana"/>
          <w:noProof/>
          <w:sz w:val="6"/>
        </w:rPr>
        <mc:AlternateContent>
          <mc:Choice Requires="wpg">
            <w:drawing>
              <wp:inline distT="0" distB="0" distL="0" distR="0" wp14:anchorId="3C1A6EFF" wp14:editId="5D2101D4">
                <wp:extent cx="5768340" cy="38100"/>
                <wp:effectExtent l="0" t="0" r="0" b="0"/>
                <wp:docPr id="4" name="Group 4"/>
                <wp:cNvGraphicFramePr/>
                <a:graphic xmlns:a="http://schemas.openxmlformats.org/drawingml/2006/main">
                  <a:graphicData uri="http://schemas.microsoft.com/office/word/2010/wordprocessingGroup">
                    <wpg:wgp>
                      <wpg:cNvGrpSpPr/>
                      <wpg:grpSpPr>
                        <a:xfrm>
                          <a:off x="0" y="0"/>
                          <a:ext cx="5768340" cy="38100"/>
                          <a:chOff x="0" y="0"/>
                          <a:chExt cx="5768340" cy="38100"/>
                        </a:xfrm>
                      </wpg:grpSpPr>
                      <wps:wsp>
                        <wps:cNvPr id="5" name="Graphic 5"/>
                        <wps:cNvSpPr/>
                        <wps:spPr>
                          <a:xfrm>
                            <a:off x="0" y="0"/>
                            <a:ext cx="5768340" cy="38100"/>
                          </a:xfrm>
                          <a:custGeom>
                            <a:avLst/>
                            <a:gdLst/>
                            <a:ahLst/>
                            <a:cxnLst/>
                            <a:rect l="l" t="t" r="r" b="b"/>
                            <a:pathLst>
                              <a:path w="5768340" h="38100">
                                <a:moveTo>
                                  <a:pt x="5768340" y="0"/>
                                </a:moveTo>
                                <a:lnTo>
                                  <a:pt x="0" y="0"/>
                                </a:lnTo>
                                <a:lnTo>
                                  <a:pt x="0" y="38100"/>
                                </a:lnTo>
                                <a:lnTo>
                                  <a:pt x="5768340" y="38100"/>
                                </a:lnTo>
                                <a:lnTo>
                                  <a:pt x="5768340" y="0"/>
                                </a:lnTo>
                                <a:close/>
                              </a:path>
                            </a:pathLst>
                          </a:custGeom>
                          <a:solidFill>
                            <a:srgbClr val="EAEAEA"/>
                          </a:solidFill>
                        </wps:spPr>
                        <wps:bodyPr wrap="square" lIns="0" tIns="0" rIns="0" bIns="0" rtlCol="0">
                          <a:prstTxWarp prst="textNoShape">
                            <a:avLst/>
                          </a:prstTxWarp>
                        </wps:bodyPr>
                      </wps:wsp>
                    </wpg:wgp>
                  </a:graphicData>
                </a:graphic>
              </wp:inline>
            </w:drawing>
          </mc:Choice>
          <mc:Fallback>
            <w:pict>
              <v:group w14:anchorId="338A3D9D" id="Group 4" o:spid="_x0000_s1026" style="width:454.2pt;height:3pt;mso-position-horizontal-relative:char;mso-position-vertical-relative:line" coordsize="5768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">
                <v:shape id="Graphic 5" o:spid="_x0000_s1027" style="position:absolute;width:57683;height:381;visibility:visible;mso-wrap-style:square;v-text-anchor:top" coordsize="5768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" path="m5768340,l,,,38100r5768340,l5768340,xe" fillcolor="#eaeaea" stroked="f">
                  <v:path arrowok="t"/>
                </v:shape>
                <w10:anchorlock/>
              </v:group>
            </w:pict>
          </mc:Fallback>
        </mc:AlternateContent>
      </w:r>
    </w:p>
    <w:p w14:paraId="46E12C19" w14:textId="143B3D3F" w:rsidR="000F5B45" w:rsidRPr="00B5742F" w:rsidRDefault="00450C9D" w:rsidP="00E93132">
      <w:pPr>
        <w:pStyle w:val="Tekstpodstawowy"/>
        <w:spacing w:before="125"/>
        <w:ind w:left="874" w:right="730"/>
        <w:rPr>
          <w:rFonts w:ascii="Verdana" w:hAnsi="Verdana"/>
          <w:sz w:val="22"/>
          <w:szCs w:val="22"/>
        </w:rPr>
      </w:pPr>
      <w:r w:rsidRPr="00B5742F">
        <w:rPr>
          <w:rFonts w:ascii="Verdana" w:hAnsi="Verdana"/>
          <w:noProof/>
          <w:sz w:val="18"/>
          <w:szCs w:val="18"/>
        </w:rPr>
        <mc:AlternateContent>
          <mc:Choice Requires="wps">
            <w:drawing>
              <wp:anchor distT="0" distB="0" distL="0" distR="0" simplePos="0" relativeHeight="251661312" behindDoc="1" locked="0" layoutInCell="1" allowOverlap="1" wp14:anchorId="56501002" wp14:editId="02181C5C">
                <wp:simplePos x="0" y="0"/>
                <wp:positionH relativeFrom="page">
                  <wp:posOffset>903605</wp:posOffset>
                </wp:positionH>
                <wp:positionV relativeFrom="paragraph">
                  <wp:posOffset>732427</wp:posOffset>
                </wp:positionV>
                <wp:extent cx="5826125" cy="696595"/>
                <wp:effectExtent l="0" t="0" r="22225" b="27305"/>
                <wp:wrapTopAndBottom/>
                <wp:docPr id="6" name="Textbox 6"/>
                <wp:cNvGraphicFramePr/>
                <a:graphic xmlns:a="http://schemas.openxmlformats.org/drawingml/2006/main">
                  <a:graphicData uri="http://schemas.microsoft.com/office/word/2010/wordprocessingShape">
                    <wps:wsp>
                      <wps:cNvSpPr txBox="1"/>
                      <wps:spPr>
                        <a:xfrm>
                          <a:off x="0" y="0"/>
                          <a:ext cx="5826125" cy="696595"/>
                        </a:xfrm>
                        <a:prstGeom prst="rect">
                          <a:avLst/>
                        </a:prstGeom>
                        <a:solidFill>
                          <a:srgbClr val="F3F3F3"/>
                        </a:solidFill>
                        <a:ln w="6096">
                          <a:solidFill>
                            <a:schemeClr val="tx1"/>
                          </a:solidFill>
                          <a:prstDash val="dot"/>
                        </a:ln>
                      </wps:spPr>
                      <wps:txbx>
                        <w:txbxContent>
                          <w:p w14:paraId="1AE4C5E7" w14:textId="63E514F0" w:rsidR="00406B83" w:rsidRPr="00406B83" w:rsidRDefault="00406B83" w:rsidP="00406B83">
                            <w:pPr>
                              <w:pStyle w:val="Tekstpodstawowy"/>
                              <w:spacing w:before="78"/>
                              <w:ind w:left="107" w:right="355"/>
                              <w:rPr>
                                <w:rFonts w:ascii="Verdana" w:hAnsi="Verdana" w:cstheme="minorHAnsi"/>
                                <w:b/>
                                <w:color w:val="404040"/>
                                <w:spacing w:val="2"/>
                                <w:sz w:val="19"/>
                                <w:szCs w:val="19"/>
                              </w:rPr>
                            </w:pPr>
                            <w:r w:rsidRPr="00406B83">
                              <w:rPr>
                                <w:rFonts w:ascii="Verdana" w:hAnsi="Verdana" w:cstheme="minorHAnsi"/>
                                <w:b/>
                                <w:bCs/>
                                <w:color w:val="404040"/>
                                <w:spacing w:val="2"/>
                                <w:sz w:val="19"/>
                                <w:szCs w:val="19"/>
                              </w:rPr>
                              <w:t>Art</w:t>
                            </w:r>
                            <w:r w:rsidR="00450C9D">
                              <w:rPr>
                                <w:rFonts w:ascii="Verdana" w:hAnsi="Verdana" w:cstheme="minorHAnsi"/>
                                <w:b/>
                                <w:bCs/>
                                <w:color w:val="404040"/>
                                <w:spacing w:val="2"/>
                                <w:sz w:val="19"/>
                                <w:szCs w:val="19"/>
                              </w:rPr>
                              <w:t>.</w:t>
                            </w:r>
                            <w:r w:rsidRPr="00406B83">
                              <w:rPr>
                                <w:rFonts w:ascii="Verdana" w:hAnsi="Verdana" w:cstheme="minorHAnsi"/>
                                <w:b/>
                                <w:bCs/>
                                <w:color w:val="404040"/>
                                <w:spacing w:val="2"/>
                                <w:sz w:val="19"/>
                                <w:szCs w:val="19"/>
                              </w:rPr>
                              <w:t>1 (obowiązek poszanowania praw człowieka)</w:t>
                            </w:r>
                            <w:r w:rsidRPr="00406B83">
                              <w:rPr>
                                <w:rFonts w:ascii="Verdana" w:hAnsi="Verdana" w:cstheme="minorHAnsi"/>
                                <w:b/>
                                <w:color w:val="404040"/>
                                <w:spacing w:val="2"/>
                                <w:sz w:val="19"/>
                                <w:szCs w:val="19"/>
                              </w:rPr>
                              <w:t xml:space="preserve"> </w:t>
                            </w:r>
                            <w:hyperlink r:id="rId10" w:history="1">
                              <w:r w:rsidRPr="00406B83">
                                <w:rPr>
                                  <w:rStyle w:val="Hipercze"/>
                                  <w:rFonts w:ascii="Verdana" w:hAnsi="Verdana" w:cstheme="minorHAnsi"/>
                                  <w:b/>
                                  <w:bCs/>
                                  <w:color w:val="0070C0"/>
                                  <w:spacing w:val="2"/>
                                  <w:sz w:val="19"/>
                                  <w:szCs w:val="19"/>
                                </w:rPr>
                                <w:t>Europejskiej Konwencji Praw Człowieka</w:t>
                              </w:r>
                            </w:hyperlink>
                            <w:r w:rsidRPr="00406B83">
                              <w:rPr>
                                <w:rFonts w:ascii="Verdana" w:hAnsi="Verdana" w:cstheme="minorHAnsi"/>
                                <w:b/>
                                <w:color w:val="404040"/>
                                <w:spacing w:val="2"/>
                                <w:sz w:val="19"/>
                                <w:szCs w:val="19"/>
                              </w:rPr>
                              <w:t xml:space="preserve"> </w:t>
                            </w:r>
                            <w:r w:rsidRPr="00406B83">
                              <w:rPr>
                                <w:rFonts w:ascii="Verdana" w:hAnsi="Verdana" w:cstheme="minorHAnsi"/>
                                <w:b/>
                                <w:bCs/>
                                <w:color w:val="404040"/>
                                <w:spacing w:val="2"/>
                                <w:sz w:val="19"/>
                                <w:szCs w:val="19"/>
                              </w:rPr>
                              <w:t>(„konwencja”):</w:t>
                            </w:r>
                          </w:p>
                          <w:p w14:paraId="5588FF9D" w14:textId="3EB0F295" w:rsidR="00406B83" w:rsidRPr="00406B83" w:rsidRDefault="00406B83" w:rsidP="00406B83">
                            <w:pPr>
                              <w:pStyle w:val="Tekstpodstawowy"/>
                              <w:spacing w:before="78"/>
                              <w:ind w:left="107" w:right="355"/>
                              <w:rPr>
                                <w:rFonts w:ascii="Verdana" w:hAnsi="Verdana" w:cstheme="minorHAnsi"/>
                                <w:b/>
                                <w:color w:val="404040"/>
                                <w:spacing w:val="2"/>
                                <w:sz w:val="19"/>
                                <w:szCs w:val="19"/>
                              </w:rPr>
                            </w:pPr>
                            <w:r w:rsidRPr="00406B83">
                              <w:rPr>
                                <w:rFonts w:ascii="Verdana" w:hAnsi="Verdana" w:cstheme="minorHAnsi"/>
                                <w:b/>
                                <w:color w:val="404040"/>
                                <w:spacing w:val="2"/>
                                <w:sz w:val="19"/>
                                <w:szCs w:val="19"/>
                              </w:rPr>
                              <w:t>„</w:t>
                            </w:r>
                            <w:r w:rsidRPr="004A3380">
                              <w:rPr>
                                <w:rFonts w:ascii="Verdana" w:hAnsi="Verdana" w:cstheme="minorHAnsi"/>
                                <w:bCs/>
                                <w:color w:val="404040"/>
                                <w:spacing w:val="2"/>
                                <w:sz w:val="19"/>
                                <w:szCs w:val="19"/>
                              </w:rPr>
                              <w:t xml:space="preserve">Wysokie </w:t>
                            </w:r>
                            <w:r w:rsidR="00450C9D" w:rsidRPr="004A3380">
                              <w:rPr>
                                <w:rFonts w:ascii="Verdana" w:hAnsi="Verdana" w:cstheme="minorHAnsi"/>
                                <w:bCs/>
                                <w:color w:val="404040"/>
                                <w:spacing w:val="2"/>
                                <w:sz w:val="19"/>
                                <w:szCs w:val="19"/>
                              </w:rPr>
                              <w:t>U</w:t>
                            </w:r>
                            <w:r w:rsidR="0047014E">
                              <w:rPr>
                                <w:rFonts w:ascii="Verdana" w:hAnsi="Verdana" w:cstheme="minorHAnsi"/>
                                <w:bCs/>
                                <w:color w:val="404040"/>
                                <w:spacing w:val="2"/>
                                <w:sz w:val="19"/>
                                <w:szCs w:val="19"/>
                              </w:rPr>
                              <w:t>kładaj</w:t>
                            </w:r>
                            <w:r w:rsidR="004A3380">
                              <w:rPr>
                                <w:rFonts w:ascii="Verdana" w:hAnsi="Verdana" w:cstheme="minorHAnsi"/>
                                <w:bCs/>
                                <w:color w:val="404040"/>
                                <w:spacing w:val="2"/>
                                <w:sz w:val="19"/>
                                <w:szCs w:val="19"/>
                              </w:rPr>
                              <w:t>ą</w:t>
                            </w:r>
                            <w:r w:rsidR="0047014E">
                              <w:rPr>
                                <w:rFonts w:ascii="Verdana" w:hAnsi="Verdana" w:cstheme="minorHAnsi"/>
                                <w:bCs/>
                                <w:color w:val="404040"/>
                                <w:spacing w:val="2"/>
                                <w:sz w:val="19"/>
                                <w:szCs w:val="19"/>
                              </w:rPr>
                              <w:t>ce</w:t>
                            </w:r>
                            <w:r w:rsidR="004A3380">
                              <w:rPr>
                                <w:rFonts w:ascii="Verdana" w:hAnsi="Verdana" w:cstheme="minorHAnsi"/>
                                <w:bCs/>
                                <w:color w:val="404040"/>
                                <w:spacing w:val="2"/>
                                <w:sz w:val="19"/>
                                <w:szCs w:val="19"/>
                              </w:rPr>
                              <w:t xml:space="preserve"> </w:t>
                            </w:r>
                            <w:r w:rsidRPr="004A3380">
                              <w:rPr>
                                <w:rFonts w:ascii="Verdana" w:hAnsi="Verdana" w:cstheme="minorHAnsi"/>
                                <w:bCs/>
                                <w:color w:val="404040"/>
                                <w:spacing w:val="2"/>
                                <w:sz w:val="19"/>
                                <w:szCs w:val="19"/>
                              </w:rPr>
                              <w:t>się Strony</w:t>
                            </w:r>
                            <w:r w:rsidRPr="00406B83">
                              <w:rPr>
                                <w:rFonts w:ascii="Verdana" w:hAnsi="Verdana" w:cstheme="minorHAnsi"/>
                                <w:bCs/>
                                <w:color w:val="404040"/>
                                <w:spacing w:val="2"/>
                                <w:sz w:val="19"/>
                                <w:szCs w:val="19"/>
                              </w:rPr>
                              <w:t xml:space="preserve"> zapewniają </w:t>
                            </w:r>
                            <w:r w:rsidRPr="00406B83">
                              <w:rPr>
                                <w:rFonts w:ascii="Verdana" w:hAnsi="Verdana" w:cstheme="minorHAnsi"/>
                                <w:b/>
                                <w:i/>
                                <w:iCs/>
                                <w:color w:val="404040"/>
                                <w:spacing w:val="2"/>
                                <w:sz w:val="19"/>
                                <w:szCs w:val="19"/>
                              </w:rPr>
                              <w:t>wszystkim osobom</w:t>
                            </w:r>
                            <w:r w:rsidRPr="00406B83">
                              <w:rPr>
                                <w:rFonts w:ascii="Verdana" w:hAnsi="Verdana" w:cstheme="minorHAnsi"/>
                                <w:bCs/>
                                <w:color w:val="404040"/>
                                <w:spacing w:val="2"/>
                                <w:sz w:val="19"/>
                                <w:szCs w:val="19"/>
                              </w:rPr>
                              <w:t xml:space="preserve"> podlegającym ich jurysdykcji prawa i wolności określone w niniejszej Konwencji”.</w:t>
                            </w:r>
                          </w:p>
                          <w:p w14:paraId="2E937325" w14:textId="7E338E3D" w:rsidR="000F5B45" w:rsidRPr="00406B83" w:rsidRDefault="000F5B45" w:rsidP="00406B83">
                            <w:pPr>
                              <w:pStyle w:val="Tekstpodstawowy"/>
                              <w:spacing w:before="78"/>
                              <w:ind w:left="107" w:right="355"/>
                              <w:rPr>
                                <w:rFonts w:asciiTheme="minorHAnsi" w:hAnsiTheme="minorHAnsi" w:cstheme="minorHAnsi"/>
                                <w:color w:val="000000"/>
                                <w:spacing w:val="2"/>
                              </w:rPr>
                            </w:pPr>
                          </w:p>
                        </w:txbxContent>
                      </wps:txbx>
                      <wps:bodyPr wrap="square" lIns="0" tIns="0" rIns="0" bIns="0" rtlCol="0"/>
                    </wps:wsp>
                  </a:graphicData>
                </a:graphic>
                <wp14:sizeRelH relativeFrom="margin">
                  <wp14:pctWidth>0</wp14:pctWidth>
                </wp14:sizeRelH>
              </wp:anchor>
            </w:drawing>
          </mc:Choice>
          <mc:Fallback>
            <w:pict>
              <v:shapetype w14:anchorId="56501002" id="_x0000_t202" coordsize="21600,21600" o:spt="202" path="m,l,21600r21600,l21600,xe">
                <v:stroke joinstyle="miter"/>
                <v:path gradientshapeok="t" o:connecttype="rect"/>
              </v:shapetype>
              <v:shape id="Textbox 6" o:spid="_x0000_s1026" type="#_x0000_t202" style="position:absolute;left:0;text-align:left;margin-left:71.15pt;margin-top:57.65pt;width:458.75pt;height:54.85pt;z-index:-2516551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" fillcolor="#f3f3f3" strokecolor="black [3213]" strokeweight=".48pt">
                <v:stroke dashstyle="dot"/>
                <v:textbox inset="0,0,0,0">
                  <w:txbxContent>
                    <w:p w14:paraId="1AE4C5E7" w14:textId="63E514F0" w:rsidR="00406B83" w:rsidRPr="00406B83" w:rsidRDefault="00406B83" w:rsidP="00406B83">
                      <w:pPr>
                        <w:pStyle w:val="Tekstpodstawowy"/>
                        <w:spacing w:before="78"/>
                        <w:ind w:left="107" w:right="355"/>
                        <w:rPr>
                          <w:rFonts w:ascii="Verdana" w:hAnsi="Verdana" w:cstheme="minorHAnsi"/>
                          <w:b/>
                          <w:color w:val="404040"/>
                          <w:spacing w:val="2"/>
                          <w:sz w:val="19"/>
                          <w:szCs w:val="19"/>
                        </w:rPr>
                      </w:pPr>
                      <w:r w:rsidRPr="00406B83">
                        <w:rPr>
                          <w:rFonts w:ascii="Verdana" w:hAnsi="Verdana" w:cstheme="minorHAnsi"/>
                          <w:b/>
                          <w:bCs/>
                          <w:color w:val="404040"/>
                          <w:spacing w:val="2"/>
                          <w:sz w:val="19"/>
                          <w:szCs w:val="19"/>
                        </w:rPr>
                        <w:t>Art</w:t>
                      </w:r>
                      <w:r w:rsidR="00450C9D">
                        <w:rPr>
                          <w:rFonts w:ascii="Verdana" w:hAnsi="Verdana" w:cstheme="minorHAnsi"/>
                          <w:b/>
                          <w:bCs/>
                          <w:color w:val="404040"/>
                          <w:spacing w:val="2"/>
                          <w:sz w:val="19"/>
                          <w:szCs w:val="19"/>
                        </w:rPr>
                        <w:t>.</w:t>
                      </w:r>
                      <w:r w:rsidRPr="00406B83">
                        <w:rPr>
                          <w:rFonts w:ascii="Verdana" w:hAnsi="Verdana" w:cstheme="minorHAnsi"/>
                          <w:b/>
                          <w:bCs/>
                          <w:color w:val="404040"/>
                          <w:spacing w:val="2"/>
                          <w:sz w:val="19"/>
                          <w:szCs w:val="19"/>
                        </w:rPr>
                        <w:t>1 (obowiązek poszanowania praw człowieka)</w:t>
                      </w:r>
                      <w:r w:rsidRPr="00406B83">
                        <w:rPr>
                          <w:rFonts w:ascii="Verdana" w:hAnsi="Verdana" w:cstheme="minorHAnsi"/>
                          <w:b/>
                          <w:color w:val="404040"/>
                          <w:spacing w:val="2"/>
                          <w:sz w:val="19"/>
                          <w:szCs w:val="19"/>
                        </w:rPr>
                        <w:t xml:space="preserve"> </w:t>
                      </w:r>
                      <w:hyperlink r:id="rId11" w:history="1">
                        <w:r w:rsidRPr="00406B83">
                          <w:rPr>
                            <w:rStyle w:val="Hipercze"/>
                            <w:rFonts w:ascii="Verdana" w:hAnsi="Verdana" w:cstheme="minorHAnsi"/>
                            <w:b/>
                            <w:bCs/>
                            <w:color w:val="0070C0"/>
                            <w:spacing w:val="2"/>
                            <w:sz w:val="19"/>
                            <w:szCs w:val="19"/>
                          </w:rPr>
                          <w:t>Europejskiej Konwencji Praw Człowieka</w:t>
                        </w:r>
                      </w:hyperlink>
                      <w:r w:rsidRPr="00406B83">
                        <w:rPr>
                          <w:rFonts w:ascii="Verdana" w:hAnsi="Verdana" w:cstheme="minorHAnsi"/>
                          <w:b/>
                          <w:color w:val="404040"/>
                          <w:spacing w:val="2"/>
                          <w:sz w:val="19"/>
                          <w:szCs w:val="19"/>
                        </w:rPr>
                        <w:t xml:space="preserve"> </w:t>
                      </w:r>
                      <w:r w:rsidRPr="00406B83">
                        <w:rPr>
                          <w:rFonts w:ascii="Verdana" w:hAnsi="Verdana" w:cstheme="minorHAnsi"/>
                          <w:b/>
                          <w:bCs/>
                          <w:color w:val="404040"/>
                          <w:spacing w:val="2"/>
                          <w:sz w:val="19"/>
                          <w:szCs w:val="19"/>
                        </w:rPr>
                        <w:t>(„konwencja”):</w:t>
                      </w:r>
                    </w:p>
                    <w:p w14:paraId="5588FF9D" w14:textId="3EB0F295" w:rsidR="00406B83" w:rsidRPr="00406B83" w:rsidRDefault="00406B83" w:rsidP="00406B83">
                      <w:pPr>
                        <w:pStyle w:val="Tekstpodstawowy"/>
                        <w:spacing w:before="78"/>
                        <w:ind w:left="107" w:right="355"/>
                        <w:rPr>
                          <w:rFonts w:ascii="Verdana" w:hAnsi="Verdana" w:cstheme="minorHAnsi"/>
                          <w:b/>
                          <w:color w:val="404040"/>
                          <w:spacing w:val="2"/>
                          <w:sz w:val="19"/>
                          <w:szCs w:val="19"/>
                        </w:rPr>
                      </w:pPr>
                      <w:r w:rsidRPr="00406B83">
                        <w:rPr>
                          <w:rFonts w:ascii="Verdana" w:hAnsi="Verdana" w:cstheme="minorHAnsi"/>
                          <w:b/>
                          <w:color w:val="404040"/>
                          <w:spacing w:val="2"/>
                          <w:sz w:val="19"/>
                          <w:szCs w:val="19"/>
                        </w:rPr>
                        <w:t>„</w:t>
                      </w:r>
                      <w:r w:rsidRPr="004A3380">
                        <w:rPr>
                          <w:rFonts w:ascii="Verdana" w:hAnsi="Verdana" w:cstheme="minorHAnsi"/>
                          <w:bCs/>
                          <w:color w:val="404040"/>
                          <w:spacing w:val="2"/>
                          <w:sz w:val="19"/>
                          <w:szCs w:val="19"/>
                        </w:rPr>
                        <w:t xml:space="preserve">Wysokie </w:t>
                      </w:r>
                      <w:r w:rsidR="00450C9D" w:rsidRPr="004A3380">
                        <w:rPr>
                          <w:rFonts w:ascii="Verdana" w:hAnsi="Verdana" w:cstheme="minorHAnsi"/>
                          <w:bCs/>
                          <w:color w:val="404040"/>
                          <w:spacing w:val="2"/>
                          <w:sz w:val="19"/>
                          <w:szCs w:val="19"/>
                        </w:rPr>
                        <w:t>U</w:t>
                      </w:r>
                      <w:r w:rsidR="0047014E">
                        <w:rPr>
                          <w:rFonts w:ascii="Verdana" w:hAnsi="Verdana" w:cstheme="minorHAnsi"/>
                          <w:bCs/>
                          <w:color w:val="404040"/>
                          <w:spacing w:val="2"/>
                          <w:sz w:val="19"/>
                          <w:szCs w:val="19"/>
                        </w:rPr>
                        <w:t>kładaj</w:t>
                      </w:r>
                      <w:r w:rsidR="004A3380">
                        <w:rPr>
                          <w:rFonts w:ascii="Verdana" w:hAnsi="Verdana" w:cstheme="minorHAnsi"/>
                          <w:bCs/>
                          <w:color w:val="404040"/>
                          <w:spacing w:val="2"/>
                          <w:sz w:val="19"/>
                          <w:szCs w:val="19"/>
                        </w:rPr>
                        <w:t>ą</w:t>
                      </w:r>
                      <w:r w:rsidR="0047014E">
                        <w:rPr>
                          <w:rFonts w:ascii="Verdana" w:hAnsi="Verdana" w:cstheme="minorHAnsi"/>
                          <w:bCs/>
                          <w:color w:val="404040"/>
                          <w:spacing w:val="2"/>
                          <w:sz w:val="19"/>
                          <w:szCs w:val="19"/>
                        </w:rPr>
                        <w:t>ce</w:t>
                      </w:r>
                      <w:r w:rsidR="004A3380">
                        <w:rPr>
                          <w:rFonts w:ascii="Verdana" w:hAnsi="Verdana" w:cstheme="minorHAnsi"/>
                          <w:bCs/>
                          <w:color w:val="404040"/>
                          <w:spacing w:val="2"/>
                          <w:sz w:val="19"/>
                          <w:szCs w:val="19"/>
                        </w:rPr>
                        <w:t xml:space="preserve"> </w:t>
                      </w:r>
                      <w:r w:rsidRPr="004A3380">
                        <w:rPr>
                          <w:rFonts w:ascii="Verdana" w:hAnsi="Verdana" w:cstheme="minorHAnsi"/>
                          <w:bCs/>
                          <w:color w:val="404040"/>
                          <w:spacing w:val="2"/>
                          <w:sz w:val="19"/>
                          <w:szCs w:val="19"/>
                        </w:rPr>
                        <w:t>się Strony</w:t>
                      </w:r>
                      <w:r w:rsidRPr="00406B83">
                        <w:rPr>
                          <w:rFonts w:ascii="Verdana" w:hAnsi="Verdana" w:cstheme="minorHAnsi"/>
                          <w:bCs/>
                          <w:color w:val="404040"/>
                          <w:spacing w:val="2"/>
                          <w:sz w:val="19"/>
                          <w:szCs w:val="19"/>
                        </w:rPr>
                        <w:t xml:space="preserve"> zapewniają </w:t>
                      </w:r>
                      <w:r w:rsidRPr="00406B83">
                        <w:rPr>
                          <w:rFonts w:ascii="Verdana" w:hAnsi="Verdana" w:cstheme="minorHAnsi"/>
                          <w:b/>
                          <w:i/>
                          <w:iCs/>
                          <w:color w:val="404040"/>
                          <w:spacing w:val="2"/>
                          <w:sz w:val="19"/>
                          <w:szCs w:val="19"/>
                        </w:rPr>
                        <w:t>wszystkim osobom</w:t>
                      </w:r>
                      <w:r w:rsidRPr="00406B83">
                        <w:rPr>
                          <w:rFonts w:ascii="Verdana" w:hAnsi="Verdana" w:cstheme="minorHAnsi"/>
                          <w:bCs/>
                          <w:color w:val="404040"/>
                          <w:spacing w:val="2"/>
                          <w:sz w:val="19"/>
                          <w:szCs w:val="19"/>
                        </w:rPr>
                        <w:t xml:space="preserve"> podlegającym ich jurysdykcji prawa i wolności określone w niniejszej Konwencji”.</w:t>
                      </w:r>
                    </w:p>
                    <w:p w14:paraId="2E937325" w14:textId="7E338E3D" w:rsidR="000F5B45" w:rsidRPr="00406B83" w:rsidRDefault="000F5B45" w:rsidP="00406B83">
                      <w:pPr>
                        <w:pStyle w:val="Tekstpodstawowy"/>
                        <w:spacing w:before="78"/>
                        <w:ind w:left="107" w:right="355"/>
                        <w:rPr>
                          <w:rFonts w:asciiTheme="minorHAnsi" w:hAnsiTheme="minorHAnsi" w:cstheme="minorHAnsi"/>
                          <w:color w:val="000000"/>
                          <w:spacing w:val="2"/>
                        </w:rPr>
                      </w:pPr>
                    </w:p>
                  </w:txbxContent>
                </v:textbox>
                <w10:wrap type="topAndBottom" anchorx="page"/>
              </v:shape>
            </w:pict>
          </mc:Fallback>
        </mc:AlternateContent>
      </w:r>
      <w:r w:rsidR="00AD610A" w:rsidRPr="00B5742F">
        <w:rPr>
          <w:rFonts w:ascii="Verdana" w:hAnsi="Verdana"/>
          <w:color w:val="E26C09"/>
          <w:sz w:val="18"/>
          <w:szCs w:val="18"/>
        </w:rPr>
        <w:t xml:space="preserve">Zobacz również karty informacyjne dotyczące </w:t>
      </w:r>
      <w:hyperlink r:id="rId12">
        <w:r w:rsidR="000F5B45" w:rsidRPr="00B5742F">
          <w:rPr>
            <w:rFonts w:ascii="Verdana" w:hAnsi="Verdana"/>
            <w:color w:val="0071BB"/>
            <w:sz w:val="18"/>
            <w:szCs w:val="18"/>
            <w:u w:val="single" w:color="0071BB"/>
          </w:rPr>
          <w:t>„Międzynarodowego uprowadzenia dziecka”</w:t>
        </w:r>
      </w:hyperlink>
      <w:r w:rsidR="00AD610A" w:rsidRPr="00B5742F">
        <w:rPr>
          <w:rFonts w:ascii="Verdana" w:hAnsi="Verdana"/>
          <w:color w:val="E26C09"/>
          <w:sz w:val="18"/>
          <w:szCs w:val="18"/>
        </w:rPr>
        <w:t xml:space="preserve">, </w:t>
      </w:r>
      <w:hyperlink r:id="rId13">
        <w:r w:rsidR="000F5B45" w:rsidRPr="00B5742F">
          <w:rPr>
            <w:rFonts w:ascii="Verdana" w:hAnsi="Verdana"/>
            <w:color w:val="0071BB"/>
            <w:sz w:val="18"/>
            <w:szCs w:val="18"/>
            <w:u w:val="single" w:color="0071BB"/>
          </w:rPr>
          <w:t>„Praw rodzicielskich”</w:t>
        </w:r>
      </w:hyperlink>
      <w:r w:rsidR="00AD610A" w:rsidRPr="00B5742F">
        <w:rPr>
          <w:rFonts w:ascii="Verdana" w:hAnsi="Verdana"/>
          <w:color w:val="E26C09"/>
          <w:sz w:val="18"/>
          <w:szCs w:val="18"/>
        </w:rPr>
        <w:t xml:space="preserve"> i </w:t>
      </w:r>
      <w:hyperlink r:id="rId14">
        <w:r w:rsidR="000F5B45" w:rsidRPr="00B5742F">
          <w:rPr>
            <w:rFonts w:ascii="Verdana" w:hAnsi="Verdana"/>
            <w:color w:val="0071BB"/>
            <w:sz w:val="18"/>
            <w:szCs w:val="18"/>
            <w:u w:val="single" w:color="0071BB"/>
          </w:rPr>
          <w:t>„Ochrony małoletnich”</w:t>
        </w:r>
      </w:hyperlink>
      <w:r w:rsidR="00AD610A" w:rsidRPr="00B5742F">
        <w:rPr>
          <w:rFonts w:ascii="Verdana" w:hAnsi="Verdana"/>
          <w:color w:val="E26C09"/>
          <w:sz w:val="18"/>
          <w:szCs w:val="18"/>
        </w:rPr>
        <w:t xml:space="preserve">, </w:t>
      </w:r>
      <w:hyperlink r:id="rId15">
        <w:r w:rsidR="000F5B45" w:rsidRPr="00B5742F">
          <w:rPr>
            <w:rFonts w:ascii="Verdana" w:hAnsi="Verdana"/>
            <w:color w:val="0071BB"/>
            <w:sz w:val="18"/>
            <w:szCs w:val="18"/>
            <w:u w:val="single" w:color="0071BB"/>
          </w:rPr>
          <w:t>„Małoletnich migrantów przebywających w ośrodkach detencyjnych”</w:t>
        </w:r>
      </w:hyperlink>
      <w:r w:rsidR="00AD610A" w:rsidRPr="00B5742F">
        <w:rPr>
          <w:rFonts w:ascii="Verdana" w:hAnsi="Verdana"/>
          <w:color w:val="E26C09"/>
          <w:sz w:val="18"/>
          <w:szCs w:val="18"/>
        </w:rPr>
        <w:t xml:space="preserve"> oraz </w:t>
      </w:r>
      <w:hyperlink r:id="rId16">
        <w:r w:rsidR="000F5B45" w:rsidRPr="00B5742F">
          <w:rPr>
            <w:rFonts w:ascii="Verdana" w:hAnsi="Verdana"/>
            <w:color w:val="0071BB"/>
            <w:sz w:val="18"/>
            <w:szCs w:val="18"/>
            <w:u w:val="single" w:color="0071BB"/>
          </w:rPr>
          <w:t>„Małoletnich migrantów przebywających w ośrodkach detencyjnych bez opieki</w:t>
        </w:r>
      </w:hyperlink>
      <w:r w:rsidR="00AD610A" w:rsidRPr="00B5742F">
        <w:rPr>
          <w:rFonts w:ascii="Verdana" w:hAnsi="Verdana"/>
          <w:color w:val="E26C09"/>
          <w:sz w:val="18"/>
        </w:rPr>
        <w:t>”.</w:t>
      </w:r>
    </w:p>
    <w:p w14:paraId="1F00940E" w14:textId="77777777" w:rsidR="000F5B45" w:rsidRPr="00B5742F" w:rsidRDefault="00000000" w:rsidP="00E93132">
      <w:pPr>
        <w:pStyle w:val="Nagwek1"/>
        <w:spacing w:before="263" w:after="62"/>
        <w:rPr>
          <w:rFonts w:ascii="Verdana" w:hAnsi="Verdana"/>
          <w:sz w:val="32"/>
          <w:szCs w:val="32"/>
        </w:rPr>
      </w:pPr>
      <w:r w:rsidRPr="00B5742F">
        <w:rPr>
          <w:rFonts w:ascii="Verdana" w:hAnsi="Verdana"/>
          <w:color w:val="0071BB"/>
          <w:szCs w:val="32"/>
        </w:rPr>
        <w:t>Prawo dostępu do sądu (art. 6 Konwencji)</w:t>
      </w:r>
    </w:p>
    <w:p w14:paraId="743CA4B7" w14:textId="77777777" w:rsidR="000F5B45" w:rsidRPr="00B5742F" w:rsidRDefault="00000000" w:rsidP="00E93132">
      <w:pPr>
        <w:ind w:left="845"/>
        <w:rPr>
          <w:rFonts w:ascii="Verdana" w:hAnsi="Verdana"/>
          <w:sz w:val="2"/>
        </w:rPr>
      </w:pPr>
      <w:r w:rsidRPr="00B5742F">
        <w:rPr>
          <w:rFonts w:ascii="Verdana" w:hAnsi="Verdana"/>
          <w:noProof/>
          <w:sz w:val="2"/>
        </w:rPr>
        <mc:AlternateContent>
          <mc:Choice Requires="wpg">
            <w:drawing>
              <wp:inline distT="0" distB="0" distL="0" distR="0" wp14:anchorId="36F43F6A" wp14:editId="5331856C">
                <wp:extent cx="5768340" cy="18415"/>
                <wp:effectExtent l="0" t="0" r="0" b="0"/>
                <wp:docPr id="7" name="Group 7"/>
                <wp:cNvGraphicFramePr/>
                <a:graphic xmlns:a="http://schemas.openxmlformats.org/drawingml/2006/main">
                  <a:graphicData uri="http://schemas.microsoft.com/office/word/2010/wordprocessingGroup">
                    <wpg:wgp>
                      <wpg:cNvGrpSpPr/>
                      <wpg:grpSpPr>
                        <a:xfrm>
                          <a:off x="0" y="0"/>
                          <a:ext cx="5768340" cy="18415"/>
                          <a:chOff x="0" y="0"/>
                          <a:chExt cx="5768340" cy="18415"/>
                        </a:xfrm>
                      </wpg:grpSpPr>
                      <wps:wsp>
                        <wps:cNvPr id="8" name="Graphic 8"/>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wpg:wgp>
                  </a:graphicData>
                </a:graphic>
              </wp:inline>
            </w:drawing>
          </mc:Choice>
          <mc:Fallback>
            <w:pict>
              <v:group w14:anchorId="2F0ACBB8" id="Group 7" o:spid="_x0000_s1026" style="width:454.2pt;height:1.45pt;mso-position-horizontal-relative:char;mso-position-vertical-relative:line" coordsize="5768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">
                <v:shape id="Graphic 8" o:spid="_x0000_s1027" style="position:absolute;width:57683;height:184;visibility:visible;mso-wrap-style:square;v-text-anchor:top" coordsize="57683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" path="m5768340,l,,,18287r5768340,l5768340,xe" fillcolor="#999" stroked="f">
                  <v:path arrowok="t"/>
                </v:shape>
                <w10:anchorlock/>
              </v:group>
            </w:pict>
          </mc:Fallback>
        </mc:AlternateContent>
      </w:r>
    </w:p>
    <w:p w14:paraId="5587F332" w14:textId="77777777" w:rsidR="000F5B45" w:rsidRPr="00B5742F" w:rsidRDefault="000F5B45" w:rsidP="00E93132">
      <w:pPr>
        <w:pStyle w:val="Nagwek2"/>
        <w:spacing w:before="134"/>
        <w:rPr>
          <w:rFonts w:ascii="Verdana" w:hAnsi="Verdana"/>
          <w:sz w:val="19"/>
          <w:szCs w:val="19"/>
        </w:rPr>
      </w:pPr>
      <w:hyperlink r:id="rId17">
        <w:r w:rsidRPr="00B5742F">
          <w:rPr>
            <w:rFonts w:ascii="Verdana" w:hAnsi="Verdana"/>
            <w:color w:val="0071BB"/>
            <w:sz w:val="19"/>
            <w:szCs w:val="19"/>
            <w:u w:color="0071BB"/>
          </w:rPr>
          <w:t>Stagno przeciwko Belgii</w:t>
        </w:r>
      </w:hyperlink>
    </w:p>
    <w:p w14:paraId="5B89A299" w14:textId="482773D6" w:rsidR="000F5B45" w:rsidRPr="00B5742F" w:rsidRDefault="00000000" w:rsidP="00E93132">
      <w:pPr>
        <w:spacing w:before="56"/>
        <w:ind w:left="874"/>
        <w:jc w:val="both"/>
        <w:rPr>
          <w:rFonts w:ascii="Verdana" w:hAnsi="Verdana"/>
          <w:sz w:val="17"/>
          <w:szCs w:val="17"/>
        </w:rPr>
      </w:pPr>
      <w:r w:rsidRPr="00B5742F">
        <w:rPr>
          <w:rFonts w:ascii="Verdana" w:hAnsi="Verdana"/>
          <w:color w:val="808080"/>
          <w:sz w:val="17"/>
          <w:szCs w:val="17"/>
        </w:rPr>
        <w:t>7 lipca 2009</w:t>
      </w:r>
      <w:r w:rsidR="008635C3" w:rsidRPr="00B5742F">
        <w:rPr>
          <w:rFonts w:ascii="Verdana" w:hAnsi="Verdana"/>
          <w:color w:val="808080"/>
          <w:sz w:val="17"/>
          <w:szCs w:val="17"/>
        </w:rPr>
        <w:t xml:space="preserve"> r.</w:t>
      </w:r>
    </w:p>
    <w:p w14:paraId="744CE80C" w14:textId="64B0FFFB" w:rsidR="002038A4" w:rsidRPr="002038A4" w:rsidRDefault="002038A4" w:rsidP="00B5742F">
      <w:pPr>
        <w:spacing w:before="56"/>
        <w:ind w:left="874" w:right="713"/>
        <w:jc w:val="both"/>
        <w:rPr>
          <w:rFonts w:ascii="Verdana" w:hAnsi="Verdana"/>
          <w:sz w:val="19"/>
          <w:szCs w:val="19"/>
        </w:rPr>
      </w:pPr>
      <w:r w:rsidRPr="002038A4">
        <w:rPr>
          <w:rFonts w:ascii="Verdana" w:hAnsi="Verdana"/>
          <w:sz w:val="19"/>
          <w:szCs w:val="19"/>
        </w:rPr>
        <w:t>Po śmierci ojca dwaj skarżący, którzy byli wówczas małoletni, oraz kilku innych potomków otrzymali od</w:t>
      </w:r>
      <w:r w:rsidRPr="00B5742F">
        <w:rPr>
          <w:rFonts w:ascii="Verdana" w:eastAsiaTheme="minorHAnsi" w:hAnsi="Verdana" w:cstheme="minorBidi"/>
          <w:kern w:val="2"/>
          <w:sz w:val="19"/>
          <w:szCs w:val="19"/>
          <w14:ligatures w14:val="standardContextual"/>
        </w:rPr>
        <w:t xml:space="preserve"> </w:t>
      </w:r>
      <w:r w:rsidRPr="009749D0">
        <w:rPr>
          <w:rFonts w:ascii="Verdana" w:hAnsi="Verdana"/>
          <w:sz w:val="19"/>
          <w:szCs w:val="19"/>
        </w:rPr>
        <w:t>zakładu ubezpieczeń świadczenie pieniężne z tytułu umowy ubezpieczenia na życie, w której występowali jako uprawnieni do otrzymania świadczenia po śmierci ojc</w:t>
      </w:r>
      <w:r w:rsidR="00CC1B27" w:rsidRPr="009749D0">
        <w:rPr>
          <w:rFonts w:ascii="Verdana" w:hAnsi="Verdana"/>
          <w:sz w:val="19"/>
          <w:szCs w:val="19"/>
        </w:rPr>
        <w:t>a</w:t>
      </w:r>
      <w:r w:rsidRPr="002038A4">
        <w:rPr>
          <w:rFonts w:ascii="Verdana" w:hAnsi="Verdana"/>
          <w:sz w:val="19"/>
          <w:szCs w:val="19"/>
        </w:rPr>
        <w:t>. Ich matka, będąca ustawowym zarządcą majątku swoich dzieci, zdeponowała pieniądze na rachunkach oszczędnościowych, które zostały opróżnione w ciągu niecałego roku. Po osiągnięciu pełnoletności skarżący wnieśli powództwo przeciwko matce i firmie ubezpieczeniowej. Później wycofali pozew przeciwko matce po zawarciu ugody. Przed Europejskim Trybunałem Praw Człowieka skarżący zarzucili naruszenie ich prawa dostępu do sądu, twierdząc, że sądy belgijskie pozbawiły ich skutecznej drogi prawnej przed sądem, odrzucając ich powództwo jako przedawnione, ponieważ termin przedawnienia nie został zawieszony w okresie, gdy byli małoletni, mimo że nie byli w stanie wszcząć postępowania sądowego w tym okresie.</w:t>
      </w:r>
    </w:p>
    <w:p w14:paraId="456F0DBE" w14:textId="77777777" w:rsidR="002038A4" w:rsidRPr="00B5742F" w:rsidRDefault="002038A4" w:rsidP="00B5742F">
      <w:pPr>
        <w:spacing w:before="56"/>
        <w:ind w:left="874" w:right="713"/>
        <w:jc w:val="both"/>
        <w:rPr>
          <w:rFonts w:ascii="Verdana" w:hAnsi="Verdana"/>
          <w:color w:val="0070C0"/>
          <w:sz w:val="19"/>
          <w:szCs w:val="19"/>
        </w:rPr>
      </w:pPr>
      <w:r w:rsidRPr="00B5742F">
        <w:rPr>
          <w:rFonts w:ascii="Verdana" w:hAnsi="Verdana"/>
          <w:color w:val="0070C0"/>
          <w:sz w:val="19"/>
          <w:szCs w:val="19"/>
        </w:rPr>
        <w:t xml:space="preserve">Europejski Trybunał Praw Człowieka orzekł, że </w:t>
      </w:r>
      <w:r w:rsidRPr="00B5742F">
        <w:rPr>
          <w:rFonts w:ascii="Verdana" w:hAnsi="Verdana"/>
          <w:b/>
          <w:bCs/>
          <w:color w:val="0070C0"/>
          <w:sz w:val="19"/>
          <w:szCs w:val="19"/>
        </w:rPr>
        <w:t>doszło do naruszenia art.6 § 1</w:t>
      </w:r>
      <w:r w:rsidRPr="00B5742F">
        <w:rPr>
          <w:rFonts w:ascii="Verdana" w:hAnsi="Verdana"/>
          <w:color w:val="0070C0"/>
          <w:sz w:val="19"/>
          <w:szCs w:val="19"/>
        </w:rPr>
        <w:t xml:space="preserve"> (prawo do rzetelnego procesu sądowego – dostęp do sądu) Europejskiej Konwencji Praw Człowieka, zwracając szczególną uwagę na to, że uznając, iż termin przedawnienia biegł również w stosunku do osób małoletnich, sądy belgijskie przedłożyły interesy towarzystw ubezpieczeniowych nad interesy skarżących. Jednakże skarżącym praktycznie nie było możliwe dochodzenie swoich praw majątkowych wobec spółki przed osiągnięciem pełnoletności, a gdy osiągnęli pełnoletność, ich roszczenie wobec spółki uległo przedawnieniu. Ścisłe stosowanie ustawowego terminu przedawnienia, bez uwzględnienia szczególnych okoliczności sprawy, uniemożliwiło zatem skarżącym skorzystanie ze środka odwoławczego, który w zasadzie był dla nich dostępny.</w:t>
      </w:r>
    </w:p>
    <w:p w14:paraId="7170E739" w14:textId="77777777" w:rsidR="000F5B45" w:rsidRPr="00B5742F" w:rsidRDefault="00000000" w:rsidP="00E93132">
      <w:pPr>
        <w:pStyle w:val="Nagwek1"/>
        <w:spacing w:before="234"/>
        <w:rPr>
          <w:rFonts w:ascii="Verdana" w:hAnsi="Verdana"/>
          <w:sz w:val="24"/>
          <w:szCs w:val="24"/>
        </w:rPr>
      </w:pPr>
      <w:r w:rsidRPr="00B5742F">
        <w:rPr>
          <w:rFonts w:ascii="Verdana" w:hAnsi="Verdana"/>
          <w:noProof/>
          <w:sz w:val="32"/>
          <w:szCs w:val="32"/>
        </w:rPr>
        <mc:AlternateContent>
          <mc:Choice Requires="wps">
            <w:drawing>
              <wp:anchor distT="0" distB="0" distL="0" distR="0" simplePos="0" relativeHeight="251663360" behindDoc="1" locked="0" layoutInCell="1" allowOverlap="1" wp14:anchorId="2DD857C1" wp14:editId="5FAB4095">
                <wp:simplePos x="0" y="0"/>
                <wp:positionH relativeFrom="page">
                  <wp:posOffset>896111</wp:posOffset>
                </wp:positionH>
                <wp:positionV relativeFrom="paragraph">
                  <wp:posOffset>404900</wp:posOffset>
                </wp:positionV>
                <wp:extent cx="5768340" cy="18415"/>
                <wp:effectExtent l="0" t="0" r="0" b="0"/>
                <wp:wrapTopAndBottom/>
                <wp:docPr id="9" name="Graphic 9"/>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198C0290" id="Graphic 9" o:spid="_x0000_s1026" style="position:absolute;margin-left:70.55pt;margin-top:31.9pt;width:454.2pt;height:1.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" path="m5768340,l,,,18288r5768340,l5768340,xe" fillcolor="#999" stroked="f">
                <v:path arrowok="t"/>
                <w10:wrap type="topAndBottom" anchorx="page"/>
              </v:shape>
            </w:pict>
          </mc:Fallback>
        </mc:AlternateContent>
      </w:r>
      <w:r w:rsidRPr="00B5742F">
        <w:rPr>
          <w:rFonts w:ascii="Verdana" w:hAnsi="Verdana"/>
          <w:color w:val="0071BB"/>
          <w:szCs w:val="32"/>
        </w:rPr>
        <w:t>Prawo do poszanowania życia prywatnego i rodzinnego (art. 8)</w:t>
      </w:r>
    </w:p>
    <w:p w14:paraId="13637071" w14:textId="77777777" w:rsidR="000F5B45" w:rsidRPr="00B5742F" w:rsidRDefault="00000000" w:rsidP="00E93132">
      <w:pPr>
        <w:spacing w:before="259"/>
        <w:ind w:left="874"/>
        <w:rPr>
          <w:rFonts w:ascii="Verdana" w:hAnsi="Verdana"/>
          <w:sz w:val="32"/>
          <w:szCs w:val="24"/>
        </w:rPr>
      </w:pPr>
      <w:r w:rsidRPr="00B5742F">
        <w:rPr>
          <w:rFonts w:ascii="Verdana" w:hAnsi="Verdana"/>
          <w:color w:val="808080"/>
          <w:sz w:val="28"/>
          <w:szCs w:val="24"/>
        </w:rPr>
        <w:t>Adopcja</w:t>
      </w:r>
    </w:p>
    <w:p w14:paraId="68DD66E8" w14:textId="44ECBA99" w:rsidR="000F5B45" w:rsidRPr="00B5742F" w:rsidRDefault="000F5B45" w:rsidP="00E93132">
      <w:pPr>
        <w:pStyle w:val="Nagwek2"/>
        <w:jc w:val="left"/>
        <w:rPr>
          <w:rFonts w:ascii="Verdana" w:hAnsi="Verdana"/>
          <w:sz w:val="19"/>
          <w:szCs w:val="19"/>
        </w:rPr>
      </w:pPr>
      <w:hyperlink r:id="rId18">
        <w:r w:rsidRPr="00B5742F">
          <w:rPr>
            <w:rFonts w:ascii="Verdana" w:hAnsi="Verdana"/>
            <w:color w:val="0071BB"/>
            <w:sz w:val="19"/>
            <w:szCs w:val="19"/>
            <w:u w:color="0071BB"/>
          </w:rPr>
          <w:t xml:space="preserve">Chbihi Loudoudi i </w:t>
        </w:r>
        <w:r w:rsidR="00E93132" w:rsidRPr="00B5742F">
          <w:rPr>
            <w:rFonts w:ascii="Verdana" w:hAnsi="Verdana"/>
            <w:color w:val="0071BB"/>
            <w:sz w:val="19"/>
            <w:szCs w:val="19"/>
            <w:u w:color="0071BB"/>
          </w:rPr>
          <w:t>I</w:t>
        </w:r>
        <w:r w:rsidRPr="00B5742F">
          <w:rPr>
            <w:rFonts w:ascii="Verdana" w:hAnsi="Verdana"/>
            <w:color w:val="0071BB"/>
            <w:sz w:val="19"/>
            <w:szCs w:val="19"/>
            <w:u w:color="0071BB"/>
          </w:rPr>
          <w:t>nni przeciwko Belgii</w:t>
        </w:r>
      </w:hyperlink>
    </w:p>
    <w:p w14:paraId="10C1B38B" w14:textId="56554E10" w:rsidR="000F5B45" w:rsidRPr="00B5742F" w:rsidRDefault="00000000" w:rsidP="00E93132">
      <w:pPr>
        <w:spacing w:before="56"/>
        <w:ind w:left="874"/>
        <w:rPr>
          <w:rFonts w:ascii="Verdana" w:hAnsi="Verdana"/>
          <w:sz w:val="17"/>
          <w:szCs w:val="17"/>
        </w:rPr>
      </w:pPr>
      <w:r w:rsidRPr="00B5742F">
        <w:rPr>
          <w:rFonts w:ascii="Verdana" w:hAnsi="Verdana"/>
          <w:color w:val="808080"/>
          <w:sz w:val="17"/>
          <w:szCs w:val="17"/>
        </w:rPr>
        <w:t>16 grudnia 2014</w:t>
      </w:r>
      <w:r w:rsidR="008635C3" w:rsidRPr="00B5742F">
        <w:rPr>
          <w:rFonts w:ascii="Verdana" w:hAnsi="Verdana"/>
          <w:color w:val="808080"/>
          <w:sz w:val="17"/>
          <w:szCs w:val="17"/>
        </w:rPr>
        <w:t xml:space="preserve"> r.</w:t>
      </w:r>
    </w:p>
    <w:p w14:paraId="72118621" w14:textId="274F18DD" w:rsidR="000F5B45" w:rsidRPr="00B5742F" w:rsidRDefault="00000000" w:rsidP="00B5742F">
      <w:pPr>
        <w:pStyle w:val="Tekstpodstawowy"/>
        <w:tabs>
          <w:tab w:val="left" w:pos="9923"/>
        </w:tabs>
        <w:spacing w:before="1"/>
        <w:ind w:left="874" w:right="713"/>
        <w:rPr>
          <w:rFonts w:ascii="Verdana" w:hAnsi="Verdana"/>
          <w:spacing w:val="-4"/>
          <w:sz w:val="19"/>
          <w:szCs w:val="19"/>
        </w:rPr>
      </w:pPr>
      <w:r w:rsidRPr="00B5742F">
        <w:rPr>
          <w:rFonts w:ascii="Verdana" w:hAnsi="Verdana"/>
          <w:spacing w:val="-4"/>
          <w:sz w:val="19"/>
          <w:szCs w:val="19"/>
        </w:rPr>
        <w:t xml:space="preserve">Sprawa dotyczyła procedury adopcyjnej w Belgii, w ramach której skarżący ubiegali się o adopcję </w:t>
      </w:r>
    </w:p>
    <w:p w14:paraId="107DD448" w14:textId="77777777" w:rsidR="000F5B45" w:rsidRPr="00B5742F" w:rsidRDefault="00000000" w:rsidP="00E93132">
      <w:pPr>
        <w:pStyle w:val="Tekstpodstawowy"/>
        <w:spacing w:before="113"/>
        <w:ind w:left="0" w:right="0"/>
        <w:jc w:val="left"/>
        <w:rPr>
          <w:rFonts w:ascii="Verdana" w:hAnsi="Verdana"/>
        </w:rPr>
      </w:pPr>
      <w:r w:rsidRPr="00B5742F">
        <w:rPr>
          <w:rFonts w:ascii="Verdana" w:hAnsi="Verdana"/>
          <w:noProof/>
        </w:rPr>
        <w:lastRenderedPageBreak/>
        <w:drawing>
          <wp:anchor distT="0" distB="0" distL="0" distR="0" simplePos="0" relativeHeight="251665408" behindDoc="1" locked="0" layoutInCell="1" allowOverlap="1" wp14:anchorId="47D97A2E" wp14:editId="7D73277A">
            <wp:simplePos x="0" y="0"/>
            <wp:positionH relativeFrom="page">
              <wp:posOffset>3439886</wp:posOffset>
            </wp:positionH>
            <wp:positionV relativeFrom="page">
              <wp:posOffset>9960429</wp:posOffset>
            </wp:positionV>
            <wp:extent cx="666750" cy="407035"/>
            <wp:effectExtent l="0" t="0" r="0" b="0"/>
            <wp:wrapTopAndBottom/>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666750" cy="407035"/>
                    </a:xfrm>
                    <a:prstGeom prst="rect">
                      <a:avLst/>
                    </a:prstGeom>
                  </pic:spPr>
                </pic:pic>
              </a:graphicData>
            </a:graphic>
          </wp:anchor>
        </w:drawing>
      </w:r>
    </w:p>
    <w:p w14:paraId="46459689" w14:textId="77777777" w:rsidR="000F5B45" w:rsidRPr="00B5742F" w:rsidRDefault="000F5B45" w:rsidP="00E93132">
      <w:pPr>
        <w:pStyle w:val="Tekstpodstawowy"/>
        <w:jc w:val="left"/>
        <w:rPr>
          <w:rFonts w:ascii="Verdana" w:hAnsi="Verdana"/>
          <w14:textOutline w14:w="9525" w14:cap="rnd" w14:cmpd="sng" w14:algn="ctr">
            <w14:solidFill>
              <w14:srgbClr w14:val="000000"/>
            </w14:solidFill>
            <w14:prstDash w14:val="solid"/>
            <w14:bevel/>
          </w14:textOutline>
        </w:rPr>
        <w:sectPr w:rsidR="000F5B45" w:rsidRPr="00B5742F">
          <w:headerReference w:type="even" r:id="rId20"/>
          <w:headerReference w:type="default" r:id="rId21"/>
          <w:footerReference w:type="even" r:id="rId22"/>
          <w:footerReference w:type="default" r:id="rId23"/>
          <w:headerReference w:type="first" r:id="rId24"/>
          <w:footerReference w:type="first" r:id="rId25"/>
          <w:type w:val="continuous"/>
          <w:pgSz w:w="11910" w:h="16840"/>
          <w:pgMar w:top="720" w:right="708" w:bottom="280" w:left="566" w:header="708" w:footer="708" w:gutter="0"/>
          <w:cols w:space="708"/>
        </w:sectPr>
      </w:pPr>
    </w:p>
    <w:p w14:paraId="76ACF170" w14:textId="73ABC805" w:rsidR="000F5B45" w:rsidRPr="00B5742F" w:rsidRDefault="004D3306" w:rsidP="005E5BC1">
      <w:pPr>
        <w:pStyle w:val="Tekstpodstawowy"/>
        <w:spacing w:before="237"/>
        <w:ind w:right="731"/>
        <w:rPr>
          <w:rFonts w:ascii="Verdana" w:hAnsi="Verdana"/>
          <w:sz w:val="19"/>
          <w:szCs w:val="19"/>
        </w:rPr>
      </w:pPr>
      <w:r w:rsidRPr="00B5742F">
        <w:rPr>
          <w:rFonts w:ascii="Verdana" w:hAnsi="Verdana"/>
          <w:sz w:val="19"/>
          <w:szCs w:val="19"/>
        </w:rPr>
        <w:lastRenderedPageBreak/>
        <w:t>swojej marokańskiej siostrzenicy, która została im powierzona na podstawie „</w:t>
      </w:r>
      <w:r w:rsidRPr="00B5742F">
        <w:rPr>
          <w:rFonts w:ascii="Verdana" w:hAnsi="Verdana"/>
          <w:i/>
          <w:iCs/>
          <w:sz w:val="19"/>
          <w:szCs w:val="19"/>
        </w:rPr>
        <w:t>kafala</w:t>
      </w:r>
      <w:r w:rsidRPr="00B5742F">
        <w:rPr>
          <w:rFonts w:ascii="Verdana" w:hAnsi="Verdana"/>
          <w:sz w:val="19"/>
          <w:szCs w:val="19"/>
        </w:rPr>
        <w:t>”</w:t>
      </w:r>
      <w:hyperlink w:anchor="_bookmark0" w:history="1">
        <w:r w:rsidR="000F5B45" w:rsidRPr="00B5742F">
          <w:rPr>
            <w:rFonts w:ascii="Verdana" w:hAnsi="Verdana"/>
            <w:position w:val="7"/>
            <w:sz w:val="19"/>
            <w:szCs w:val="19"/>
          </w:rPr>
          <w:t>1</w:t>
        </w:r>
      </w:hyperlink>
      <w:r w:rsidRPr="00B5742F">
        <w:rPr>
          <w:rFonts w:ascii="Verdana" w:hAnsi="Verdana"/>
          <w:sz w:val="19"/>
          <w:szCs w:val="19"/>
        </w:rPr>
        <w:t>. Skarżący zarzucali w szczególności</w:t>
      </w:r>
      <w:r w:rsidR="000D658E" w:rsidRPr="00B5742F">
        <w:rPr>
          <w:rFonts w:ascii="Verdana" w:hAnsi="Verdana"/>
          <w:sz w:val="19"/>
          <w:szCs w:val="19"/>
        </w:rPr>
        <w:t>, że władze belgijskie odmówiły uznania umowy „</w:t>
      </w:r>
      <w:r w:rsidR="000D658E" w:rsidRPr="00B5742F">
        <w:rPr>
          <w:rFonts w:ascii="Verdana" w:hAnsi="Verdana"/>
          <w:i/>
          <w:iCs/>
          <w:sz w:val="19"/>
          <w:szCs w:val="19"/>
        </w:rPr>
        <w:t>kafala</w:t>
      </w:r>
      <w:r w:rsidR="000D658E" w:rsidRPr="00B5742F">
        <w:rPr>
          <w:rFonts w:ascii="Verdana" w:hAnsi="Verdana"/>
          <w:sz w:val="19"/>
          <w:szCs w:val="19"/>
        </w:rPr>
        <w:t>” oraz zatwierdzenia adopcji ich siostrzenicy, co było sprzeczne z najlepszym interesem dziecka, a także wskazywali na niepewny charakter jej statusu prawnego</w:t>
      </w:r>
      <w:r w:rsidRPr="00B5742F">
        <w:rPr>
          <w:rFonts w:ascii="Verdana" w:hAnsi="Verdana"/>
          <w:sz w:val="19"/>
          <w:szCs w:val="19"/>
        </w:rPr>
        <w:t>.</w:t>
      </w:r>
    </w:p>
    <w:p w14:paraId="63B75690" w14:textId="662E0EA6" w:rsidR="000F5B45" w:rsidRPr="00B5742F" w:rsidRDefault="00000000" w:rsidP="00DA230C">
      <w:pPr>
        <w:pStyle w:val="Tekstpodstawowy"/>
        <w:ind w:right="727"/>
        <w:rPr>
          <w:rFonts w:ascii="Verdana" w:hAnsi="Verdana"/>
          <w:sz w:val="19"/>
          <w:szCs w:val="19"/>
        </w:rPr>
      </w:pPr>
      <w:r w:rsidRPr="00B5742F">
        <w:rPr>
          <w:rFonts w:ascii="Verdana" w:hAnsi="Verdana"/>
          <w:color w:val="0071BB"/>
          <w:sz w:val="19"/>
          <w:szCs w:val="19"/>
        </w:rPr>
        <w:t xml:space="preserve">Trybunał uznał, że odmowa adopcji </w:t>
      </w:r>
      <w:r w:rsidRPr="00B5742F">
        <w:rPr>
          <w:rFonts w:ascii="Verdana" w:hAnsi="Verdana"/>
          <w:b/>
          <w:color w:val="0071BB"/>
          <w:sz w:val="19"/>
          <w:szCs w:val="19"/>
        </w:rPr>
        <w:t xml:space="preserve">nie stanowiła naruszenia art. 8 </w:t>
      </w:r>
      <w:r w:rsidRPr="00B5742F">
        <w:rPr>
          <w:rFonts w:ascii="Verdana" w:hAnsi="Verdana"/>
          <w:color w:val="0071BB"/>
          <w:sz w:val="19"/>
          <w:szCs w:val="19"/>
        </w:rPr>
        <w:t xml:space="preserve">(prawo do poszanowania życia prywatnego i rodzinnego) Konwencji, ani też </w:t>
      </w:r>
      <w:r w:rsidRPr="00B5742F">
        <w:rPr>
          <w:rFonts w:ascii="Verdana" w:hAnsi="Verdana"/>
          <w:b/>
          <w:color w:val="0071BB"/>
          <w:sz w:val="19"/>
          <w:szCs w:val="19"/>
        </w:rPr>
        <w:t xml:space="preserve">nie stanowiła naruszenia art. 8 </w:t>
      </w:r>
      <w:r w:rsidRPr="00B5742F">
        <w:rPr>
          <w:rFonts w:ascii="Verdana" w:hAnsi="Verdana"/>
          <w:color w:val="0071BB"/>
          <w:sz w:val="19"/>
          <w:szCs w:val="19"/>
        </w:rPr>
        <w:t>(prawo do poszanowania życia prywatnego i rodzinnego) w odniesieniu do statusu pobytu dziecka. W szczególności stwierdził, że odmowa adopcji była oparta na przepisach, które miały na celu zapewnienie, zgodnie z konwencją haską z dnia 29 maja 1993 r. o ochronie dzieci i współpracy w zakresie adopcji międzynarodowej, aby adopcje międzynarodowe odbywały się w najlepszym interesie dziecka i z poszanowaniem jego życia prywatnego i rodzinnego</w:t>
      </w:r>
      <w:r w:rsidR="001A5F36" w:rsidRPr="00B5742F">
        <w:rPr>
          <w:rFonts w:ascii="Verdana" w:hAnsi="Verdana"/>
          <w:color w:val="0071BB"/>
          <w:sz w:val="19"/>
          <w:szCs w:val="19"/>
        </w:rPr>
        <w:t>.</w:t>
      </w:r>
      <w:r w:rsidR="005F331E">
        <w:rPr>
          <w:rFonts w:ascii="Verdana" w:hAnsi="Verdana"/>
          <w:color w:val="0071BB"/>
          <w:sz w:val="19"/>
          <w:szCs w:val="19"/>
        </w:rPr>
        <w:t xml:space="preserve"> </w:t>
      </w:r>
      <w:r w:rsidR="001A5F36" w:rsidRPr="00B5742F">
        <w:rPr>
          <w:rFonts w:ascii="Verdana" w:hAnsi="Verdana"/>
          <w:color w:val="0071BB"/>
          <w:sz w:val="19"/>
          <w:szCs w:val="19"/>
        </w:rPr>
        <w:t>W</w:t>
      </w:r>
      <w:r w:rsidRPr="00B5742F">
        <w:rPr>
          <w:rFonts w:ascii="Verdana" w:hAnsi="Verdana"/>
          <w:color w:val="0071BB"/>
          <w:sz w:val="19"/>
          <w:szCs w:val="19"/>
        </w:rPr>
        <w:t xml:space="preserve">ładze belgijskie mogły słusznie uznać, że taka odmowa leży w najlepszym interesie dziecka, zapewniając utrzymanie jedynej relacji rodzicielskiej zarówno w Maroku, jak i w Belgii (tj. </w:t>
      </w:r>
      <w:r w:rsidRPr="004A3380">
        <w:rPr>
          <w:rFonts w:ascii="Verdana" w:hAnsi="Verdana"/>
          <w:color w:val="0071BB"/>
          <w:sz w:val="19"/>
          <w:szCs w:val="19"/>
        </w:rPr>
        <w:t>prawnej relacji rodzicielskiej z rodzicami biologicznymi</w:t>
      </w:r>
      <w:r w:rsidRPr="00B5742F">
        <w:rPr>
          <w:rFonts w:ascii="Verdana" w:hAnsi="Verdana"/>
          <w:color w:val="0071BB"/>
          <w:sz w:val="19"/>
          <w:szCs w:val="19"/>
        </w:rPr>
        <w:t>). Ponadto, powtarzając, że konwencja nie gwarantuje prawa do określonego statusu pobytu, Trybunał zauważył, że jedyną rzeczywistą przeszkodą, jaką napotkała dziewczynka, była niemożność udziału w wycieczce szkolnej. Trudność ta, wynikająca z braku pozwolenia na pobyt w okresie od maja 2010 r. do lutego 2011 r., nie była wystarczająca, aby Belgia była zobowiązana do udzielenia jej bezterminowego zezwolenia na pobyt w celu ochrony jej życia prywatnego.</w:t>
      </w:r>
    </w:p>
    <w:p w14:paraId="0B80BC57" w14:textId="77777777" w:rsidR="000F5B45" w:rsidRPr="00B5742F" w:rsidRDefault="000F5B45" w:rsidP="005E5BC1">
      <w:pPr>
        <w:pStyle w:val="Nagwek2"/>
        <w:spacing w:before="100"/>
        <w:ind w:left="873"/>
        <w:rPr>
          <w:rFonts w:ascii="Verdana" w:hAnsi="Verdana"/>
          <w:sz w:val="19"/>
          <w:szCs w:val="19"/>
        </w:rPr>
      </w:pPr>
      <w:hyperlink r:id="rId26">
        <w:r w:rsidRPr="00B5742F">
          <w:rPr>
            <w:rFonts w:ascii="Verdana" w:hAnsi="Verdana"/>
            <w:color w:val="0071BB"/>
            <w:sz w:val="19"/>
            <w:szCs w:val="19"/>
            <w:u w:color="0071BB"/>
          </w:rPr>
          <w:t>Zaieţ przeciwko Rumunii</w:t>
        </w:r>
      </w:hyperlink>
    </w:p>
    <w:p w14:paraId="64C609E7" w14:textId="3BBFE22F" w:rsidR="000F5B45" w:rsidRPr="00B5742F" w:rsidRDefault="00000000" w:rsidP="00E93132">
      <w:pPr>
        <w:spacing w:before="55"/>
        <w:ind w:left="874"/>
        <w:jc w:val="both"/>
        <w:rPr>
          <w:rFonts w:ascii="Verdana" w:hAnsi="Verdana"/>
          <w:sz w:val="18"/>
        </w:rPr>
      </w:pPr>
      <w:r w:rsidRPr="00B5742F">
        <w:rPr>
          <w:rFonts w:ascii="Verdana" w:hAnsi="Verdana"/>
          <w:color w:val="808080"/>
          <w:sz w:val="17"/>
        </w:rPr>
        <w:t>24 marca 2015</w:t>
      </w:r>
      <w:r w:rsidR="008635C3" w:rsidRPr="00B5742F">
        <w:rPr>
          <w:rFonts w:ascii="Verdana" w:hAnsi="Verdana"/>
          <w:color w:val="808080"/>
          <w:sz w:val="17"/>
        </w:rPr>
        <w:t xml:space="preserve"> r.</w:t>
      </w:r>
    </w:p>
    <w:p w14:paraId="1C76DAE1" w14:textId="77777777" w:rsidR="000F5B45" w:rsidRPr="00B5742F" w:rsidRDefault="00000000" w:rsidP="00E93132">
      <w:pPr>
        <w:pStyle w:val="Tekstpodstawowy"/>
        <w:spacing w:before="1"/>
        <w:ind w:right="727"/>
        <w:rPr>
          <w:rFonts w:ascii="Verdana" w:hAnsi="Verdana"/>
        </w:rPr>
      </w:pPr>
      <w:r w:rsidRPr="00B5742F">
        <w:rPr>
          <w:rFonts w:ascii="Verdana" w:hAnsi="Verdana"/>
          <w:sz w:val="19"/>
        </w:rPr>
        <w:t>Sprawa dotyczyła unieważnienia adopcji kobiety na wniosek jej przyrodniej siostry, 31 lat po jej zatwierdzeniu i 18 lat po śmierci ich przybranej matki. Skarżąca twierdziła w szczególności, że unieważnienie jej adopcji stanowiło arbitralną i nieproporcjonalną ingerencję w jej życie rodzinne, argumentując, że mieszkała z matką adopcyjną od dziewiątego roku życia, a ich relacje opierały się na uczuciu, odpowiedzialności i wzajemnym wsparciu. Skarżąca zarzucała również, że po unieważnieniu adopcji utraciła prawo do pięciu hektarów lasu, który odziedziczyła po matce adopcyjnej.</w:t>
      </w:r>
    </w:p>
    <w:p w14:paraId="16B7BC2A" w14:textId="1CC197E5" w:rsidR="000F5B45" w:rsidRPr="00B5742F" w:rsidRDefault="00000000" w:rsidP="00E93132">
      <w:pPr>
        <w:pStyle w:val="Tekstpodstawowy"/>
        <w:ind w:right="726"/>
        <w:rPr>
          <w:rFonts w:ascii="Verdana" w:hAnsi="Verdana"/>
        </w:rPr>
      </w:pPr>
      <w:r w:rsidRPr="00B5742F">
        <w:rPr>
          <w:rFonts w:ascii="Verdana" w:hAnsi="Verdana"/>
          <w:color w:val="0071BB"/>
          <w:sz w:val="19"/>
        </w:rPr>
        <w:t xml:space="preserve">Była to pierwsza sprawa, w której Trybunał musiał rozpatrzyć wniosek o unieważnienie postanowienia o adopcji w sytuacji, gdy rodzic adopcyjny nie żył, a adoptowane dziecko już dawno osiągnęło pełnoletność. W sprawie </w:t>
      </w:r>
      <w:r w:rsidR="005F4F39">
        <w:rPr>
          <w:rFonts w:ascii="Verdana" w:hAnsi="Verdana"/>
          <w:color w:val="0071BB"/>
          <w:sz w:val="19"/>
        </w:rPr>
        <w:t xml:space="preserve">skarżącej </w:t>
      </w:r>
      <w:r w:rsidRPr="00B5742F">
        <w:rPr>
          <w:rFonts w:ascii="Verdana" w:hAnsi="Verdana"/>
          <w:color w:val="0071BB"/>
          <w:sz w:val="19"/>
        </w:rPr>
        <w:t xml:space="preserve">Trybunał, uznając, że decyzja o unieważnieniu była niejasna i nie zawierała uzasadnienia dla podjęcia tak radykalnego środka, stwierdził, że ingerencja w życie rodzinne skarżącej nie była poparta istotnymi i wystarczającymi powodami, </w:t>
      </w:r>
      <w:r w:rsidRPr="00B5742F">
        <w:rPr>
          <w:rFonts w:ascii="Verdana" w:hAnsi="Verdana"/>
          <w:b/>
          <w:color w:val="0071BB"/>
          <w:sz w:val="19"/>
        </w:rPr>
        <w:t>co stanowiło naruszenie art. 8 (</w:t>
      </w:r>
      <w:r w:rsidRPr="00B5742F">
        <w:rPr>
          <w:rFonts w:ascii="Verdana" w:hAnsi="Verdana"/>
          <w:color w:val="0071BB"/>
          <w:sz w:val="19"/>
        </w:rPr>
        <w:t xml:space="preserve">prawo do poszanowania życia prywatnego i rodzinnego) Konwencji. Trybunał zwrócił w szczególności uwagę, że w żadnym wypadku unieważnienie adopcji nie powinno być nawet rozważane jako środek wobec dziecka adoptowanego, i podkreślił, że w przepisach prawnych i orzeczeniach dotyczących adopcji interes dziecka musi pozostać nadrzędny. Trybunał uznał również, że doszło </w:t>
      </w:r>
      <w:r w:rsidRPr="00B5742F">
        <w:rPr>
          <w:rFonts w:ascii="Verdana" w:hAnsi="Verdana"/>
          <w:b/>
          <w:color w:val="0071BB"/>
          <w:sz w:val="19"/>
        </w:rPr>
        <w:t>do naruszenia art. 1 protokołu nr 1 (</w:t>
      </w:r>
      <w:r w:rsidRPr="00B5742F">
        <w:rPr>
          <w:rFonts w:ascii="Verdana" w:hAnsi="Verdana"/>
          <w:color w:val="0071BB"/>
          <w:sz w:val="19"/>
        </w:rPr>
        <w:t>ochrona własności) do Konwencji, ze względu na nieproporcjonalną ingerencję w prawo własności skarżącej do spornej nieruchomości.</w:t>
      </w:r>
    </w:p>
    <w:p w14:paraId="21BA433E" w14:textId="77777777" w:rsidR="000F5B45" w:rsidRPr="00B5742F" w:rsidRDefault="000F5B45" w:rsidP="00E93132">
      <w:pPr>
        <w:pStyle w:val="Nagwek2"/>
        <w:spacing w:before="95"/>
        <w:ind w:left="873"/>
        <w:jc w:val="left"/>
        <w:rPr>
          <w:rFonts w:ascii="Verdana" w:hAnsi="Verdana"/>
          <w:b w:val="0"/>
          <w:position w:val="7"/>
          <w:sz w:val="13"/>
          <w:u w:val="none"/>
        </w:rPr>
      </w:pPr>
      <w:hyperlink r:id="rId27">
        <w:r w:rsidRPr="00B5742F">
          <w:rPr>
            <w:rFonts w:ascii="Verdana" w:hAnsi="Verdana"/>
            <w:color w:val="0071BB"/>
            <w:sz w:val="19"/>
            <w:u w:color="0071BB"/>
          </w:rPr>
          <w:t xml:space="preserve">Bogonosovy przeciwko Rosji </w:t>
        </w:r>
      </w:hyperlink>
      <w:hyperlink w:anchor="_bookmark1" w:history="1">
        <w:r w:rsidRPr="00B5742F">
          <w:rPr>
            <w:rFonts w:ascii="Verdana" w:hAnsi="Verdana"/>
            <w:b w:val="0"/>
            <w:position w:val="7"/>
            <w:sz w:val="12"/>
            <w:u w:val="none"/>
          </w:rPr>
          <w:t>2</w:t>
        </w:r>
      </w:hyperlink>
    </w:p>
    <w:p w14:paraId="01B26CE8" w14:textId="34A95E4E" w:rsidR="000F5B45" w:rsidRPr="00B5742F" w:rsidRDefault="00000000" w:rsidP="0059287E">
      <w:pPr>
        <w:spacing w:before="58"/>
        <w:ind w:left="874"/>
        <w:rPr>
          <w:rFonts w:ascii="Verdana" w:hAnsi="Verdana"/>
          <w:sz w:val="17"/>
          <w:szCs w:val="17"/>
        </w:rPr>
      </w:pPr>
      <w:r w:rsidRPr="00B5742F">
        <w:rPr>
          <w:rFonts w:ascii="Verdana" w:hAnsi="Verdana"/>
          <w:color w:val="808080"/>
          <w:sz w:val="17"/>
          <w:szCs w:val="17"/>
        </w:rPr>
        <w:t>5 marca 2019</w:t>
      </w:r>
      <w:r w:rsidR="008635C3" w:rsidRPr="00B5742F">
        <w:rPr>
          <w:rFonts w:ascii="Verdana" w:hAnsi="Verdana"/>
          <w:color w:val="808080"/>
          <w:sz w:val="17"/>
          <w:szCs w:val="17"/>
        </w:rPr>
        <w:t xml:space="preserve"> r.</w:t>
      </w:r>
    </w:p>
    <w:p w14:paraId="3508A96B" w14:textId="25A4209E" w:rsidR="000F5B45" w:rsidRPr="00B5742F" w:rsidRDefault="00000000" w:rsidP="0059287E">
      <w:pPr>
        <w:pStyle w:val="Tekstpodstawowy"/>
        <w:spacing w:before="1"/>
        <w:ind w:left="874" w:right="713"/>
        <w:rPr>
          <w:rFonts w:ascii="Verdana" w:hAnsi="Verdana"/>
        </w:rPr>
      </w:pPr>
      <w:r w:rsidRPr="00B5742F">
        <w:rPr>
          <w:rFonts w:ascii="Verdana" w:hAnsi="Verdana"/>
          <w:sz w:val="19"/>
        </w:rPr>
        <w:t>Sprawa dotyczyła dziadka, który chciał utrzymać więzi z wnuczką po jej adopcji przez inną</w:t>
      </w:r>
      <w:r w:rsidR="00DC3634" w:rsidRPr="00B5742F">
        <w:rPr>
          <w:rFonts w:ascii="Verdana" w:hAnsi="Verdana"/>
          <w:sz w:val="19"/>
        </w:rPr>
        <w:t xml:space="preserve"> </w:t>
      </w:r>
      <w:r w:rsidRPr="00B5742F">
        <w:rPr>
          <w:rFonts w:ascii="Verdana" w:hAnsi="Verdana"/>
          <w:sz w:val="19"/>
        </w:rPr>
        <w:t>rodzinę.</w:t>
      </w:r>
    </w:p>
    <w:p w14:paraId="3A701EE4" w14:textId="07C01FD3" w:rsidR="00DC3634" w:rsidRPr="00B5742F" w:rsidRDefault="00000000" w:rsidP="0059287E">
      <w:pPr>
        <w:pStyle w:val="Tekstpodstawowy"/>
        <w:tabs>
          <w:tab w:val="left" w:pos="9923"/>
        </w:tabs>
        <w:ind w:left="874" w:right="713"/>
        <w:rPr>
          <w:rFonts w:ascii="Verdana" w:hAnsi="Verdana"/>
          <w:color w:val="0071BB"/>
          <w:sz w:val="19"/>
        </w:rPr>
      </w:pPr>
      <w:r w:rsidRPr="00B5742F">
        <w:rPr>
          <w:rFonts w:ascii="Verdana" w:hAnsi="Verdana"/>
          <w:color w:val="0071BB"/>
          <w:sz w:val="19"/>
        </w:rPr>
        <w:t xml:space="preserve">Trybunał uznał, że </w:t>
      </w:r>
      <w:r w:rsidR="00DC3634" w:rsidRPr="00B5742F">
        <w:rPr>
          <w:rFonts w:ascii="Verdana" w:hAnsi="Verdana"/>
          <w:color w:val="0071BB"/>
          <w:sz w:val="19"/>
        </w:rPr>
        <w:t>niezbadanie</w:t>
      </w:r>
      <w:r w:rsidRPr="00B5742F">
        <w:rPr>
          <w:rFonts w:ascii="Verdana" w:hAnsi="Verdana"/>
          <w:color w:val="0071BB"/>
          <w:sz w:val="19"/>
        </w:rPr>
        <w:t xml:space="preserve"> przez sąd krajowy kwestii powiązań skarżącego z wnuczką po adopcji doprowadziło do </w:t>
      </w:r>
      <w:r w:rsidRPr="00B5742F">
        <w:rPr>
          <w:rFonts w:ascii="Verdana" w:hAnsi="Verdana"/>
          <w:b/>
          <w:color w:val="0071BB"/>
          <w:sz w:val="19"/>
        </w:rPr>
        <w:t xml:space="preserve">naruszenia </w:t>
      </w:r>
      <w:r w:rsidRPr="00B5742F">
        <w:rPr>
          <w:rFonts w:ascii="Verdana" w:hAnsi="Verdana"/>
          <w:color w:val="0071BB"/>
          <w:sz w:val="19"/>
        </w:rPr>
        <w:t>jego prawa do</w:t>
      </w:r>
      <w:r w:rsidR="00DC3634" w:rsidRPr="00B5742F">
        <w:rPr>
          <w:rFonts w:ascii="Verdana" w:hAnsi="Verdana"/>
          <w:color w:val="0071BB"/>
          <w:sz w:val="19"/>
          <w:szCs w:val="22"/>
        </w:rPr>
        <w:t xml:space="preserve"> </w:t>
      </w:r>
      <w:r w:rsidR="00DC3634" w:rsidRPr="00B5742F">
        <w:rPr>
          <w:rFonts w:ascii="Verdana" w:hAnsi="Verdana"/>
          <w:color w:val="0071BB"/>
          <w:sz w:val="19"/>
        </w:rPr>
        <w:t>poszanowanie życia rodzinnego</w:t>
      </w:r>
      <w:r w:rsidR="00DC3634" w:rsidRPr="00B5742F">
        <w:rPr>
          <w:rFonts w:ascii="Verdana" w:hAnsi="Verdana"/>
          <w:color w:val="0071BB"/>
          <w:sz w:val="19"/>
          <w:szCs w:val="22"/>
        </w:rPr>
        <w:t xml:space="preserve"> </w:t>
      </w:r>
      <w:r w:rsidR="00DC3634" w:rsidRPr="00B5742F">
        <w:rPr>
          <w:rFonts w:ascii="Verdana" w:hAnsi="Verdana"/>
          <w:color w:val="0071BB"/>
          <w:sz w:val="19"/>
        </w:rPr>
        <w:t xml:space="preserve">zapewnione w </w:t>
      </w:r>
      <w:r w:rsidR="00DC3634" w:rsidRPr="00B5742F">
        <w:rPr>
          <w:rFonts w:ascii="Verdana" w:hAnsi="Verdana"/>
          <w:b/>
          <w:color w:val="0071BB"/>
          <w:sz w:val="19"/>
        </w:rPr>
        <w:t xml:space="preserve">art. 8 </w:t>
      </w:r>
      <w:r w:rsidR="00DC3634" w:rsidRPr="00B5742F">
        <w:rPr>
          <w:rFonts w:ascii="Verdana" w:hAnsi="Verdana"/>
          <w:color w:val="0071BB"/>
          <w:sz w:val="19"/>
        </w:rPr>
        <w:t>Konwencji. W szczególności uznał, że sądy krajowe powinny były rozpatrzyć wniosek skarżącego o utrzymanie relacji z wnuczką po adopcji,</w:t>
      </w:r>
      <w:r w:rsidR="00DC3634" w:rsidRPr="00B5742F">
        <w:rPr>
          <w:rFonts w:ascii="Verdana" w:hAnsi="Verdana"/>
          <w:color w:val="0071BB"/>
          <w:sz w:val="19"/>
          <w:szCs w:val="22"/>
        </w:rPr>
        <w:t xml:space="preserve"> </w:t>
      </w:r>
      <w:r w:rsidR="00DC3634" w:rsidRPr="00B5742F">
        <w:rPr>
          <w:rFonts w:ascii="Verdana" w:hAnsi="Verdana"/>
          <w:color w:val="0071BB"/>
          <w:sz w:val="19"/>
        </w:rPr>
        <w:t>ale zamiast</w:t>
      </w:r>
      <w:r w:rsidR="00DC3634" w:rsidRPr="00B5742F">
        <w:rPr>
          <w:rFonts w:ascii="Verdana" w:hAnsi="Verdana"/>
          <w:color w:val="0071BB"/>
          <w:sz w:val="19"/>
          <w:szCs w:val="22"/>
        </w:rPr>
        <w:t xml:space="preserve"> </w:t>
      </w:r>
      <w:r w:rsidR="00DC3634" w:rsidRPr="00B5742F">
        <w:rPr>
          <w:rFonts w:ascii="Verdana" w:hAnsi="Verdana"/>
          <w:color w:val="0071BB"/>
          <w:sz w:val="19"/>
        </w:rPr>
        <w:t>tego zinterpretowały i zastosowały prawo w sposób, który uniemożliwił mu takie rozpatrzenie. W ten sposób został on całkowicie i automatycznie wykluczony z życia swojej wnuczki.</w:t>
      </w:r>
    </w:p>
    <w:p w14:paraId="48D885FE" w14:textId="77777777" w:rsidR="00EF684A" w:rsidRPr="009749D0" w:rsidRDefault="00EF684A" w:rsidP="008635C3">
      <w:pPr>
        <w:pStyle w:val="Tekstpodstawowy"/>
        <w:tabs>
          <w:tab w:val="left" w:pos="9923"/>
        </w:tabs>
        <w:ind w:right="713"/>
        <w:rPr>
          <w:rFonts w:ascii="Verdana" w:hAnsi="Verdana"/>
          <w:color w:val="0071BB"/>
          <w:sz w:val="19"/>
        </w:rPr>
      </w:pPr>
    </w:p>
    <w:p w14:paraId="5C28EC49" w14:textId="77777777" w:rsidR="000F5B45" w:rsidRPr="00B5742F" w:rsidRDefault="00000000" w:rsidP="00E93132">
      <w:pPr>
        <w:pStyle w:val="Tekstpodstawowy"/>
        <w:spacing w:before="3"/>
        <w:ind w:left="0" w:right="0"/>
        <w:jc w:val="left"/>
        <w:rPr>
          <w:rFonts w:ascii="Verdana" w:hAnsi="Verdana"/>
          <w:sz w:val="12"/>
        </w:rPr>
      </w:pPr>
      <w:r w:rsidRPr="00B5742F">
        <w:rPr>
          <w:rFonts w:ascii="Verdana" w:hAnsi="Verdana"/>
          <w:noProof/>
          <w:sz w:val="12"/>
        </w:rPr>
        <mc:AlternateContent>
          <mc:Choice Requires="wps">
            <w:drawing>
              <wp:anchor distT="0" distB="0" distL="0" distR="0" simplePos="0" relativeHeight="251666432" behindDoc="1" locked="0" layoutInCell="1" allowOverlap="1" wp14:anchorId="609968C5" wp14:editId="7855327E">
                <wp:simplePos x="0" y="0"/>
                <wp:positionH relativeFrom="page">
                  <wp:posOffset>914400</wp:posOffset>
                </wp:positionH>
                <wp:positionV relativeFrom="paragraph">
                  <wp:posOffset>110717</wp:posOffset>
                </wp:positionV>
                <wp:extent cx="1828800" cy="762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FFE6544" id="Graphic 15" o:spid="_x0000_s1026" style="position:absolute;margin-left:1in;margin-top:8.7pt;width:2in;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" path="m1828800,l,,,7607r1828800,l1828800,xe" fillcolor="black" stroked="f">
                <v:path arrowok="t"/>
                <w10:wrap type="topAndBottom" anchorx="page"/>
              </v:shape>
            </w:pict>
          </mc:Fallback>
        </mc:AlternateContent>
      </w:r>
    </w:p>
    <w:p w14:paraId="28FD8AB5" w14:textId="3B348E81" w:rsidR="000F5B45" w:rsidRPr="00B5742F" w:rsidRDefault="00E207AF" w:rsidP="00E93132">
      <w:pPr>
        <w:spacing w:before="107"/>
        <w:ind w:left="873" w:right="727"/>
        <w:jc w:val="both"/>
        <w:rPr>
          <w:rFonts w:ascii="Verdana" w:hAnsi="Verdana"/>
          <w:sz w:val="16"/>
        </w:rPr>
      </w:pPr>
      <w:bookmarkStart w:id="0" w:name="_bookmark0"/>
      <w:bookmarkEnd w:id="0"/>
      <w:r w:rsidRPr="00B5742F">
        <w:rPr>
          <w:rFonts w:ascii="Verdana" w:hAnsi="Verdana"/>
          <w:sz w:val="15"/>
          <w:vertAlign w:val="superscript"/>
        </w:rPr>
        <w:t>1</w:t>
      </w:r>
      <w:r w:rsidR="00404DC1">
        <w:rPr>
          <w:rFonts w:ascii="Verdana" w:hAnsi="Verdana"/>
          <w:sz w:val="15"/>
        </w:rPr>
        <w:t xml:space="preserve"> </w:t>
      </w:r>
      <w:r w:rsidRPr="00B5742F">
        <w:rPr>
          <w:rFonts w:ascii="Verdana" w:hAnsi="Verdana"/>
          <w:sz w:val="15"/>
        </w:rPr>
        <w:t>W prawie islamskim adopcja, która tworzy więzi rodzinne porównywalne z więzami biologicznymi, jest zabroniona. Zamiast tego prawo islamskie przewiduje formę opieki zwaną „kafala”. W państwach muzułmańskich, z wyjątkiem Turcji, Indonezji i Tunezji, kafala jest definiowana jako dobrowolne zobowiązanie do zapewnienia dziecku utrzymania oraz opieki nad jego dobrostanem i edukacją.</w:t>
      </w:r>
    </w:p>
    <w:p w14:paraId="21BF0198" w14:textId="77777777" w:rsidR="000F5B45" w:rsidRPr="00B5742F" w:rsidRDefault="00000000" w:rsidP="00E93132">
      <w:pPr>
        <w:ind w:left="873" w:right="726"/>
        <w:jc w:val="both"/>
        <w:rPr>
          <w:rFonts w:ascii="Verdana" w:hAnsi="Verdana"/>
          <w:sz w:val="16"/>
        </w:rPr>
      </w:pPr>
      <w:bookmarkStart w:id="1" w:name="_bookmark1"/>
      <w:bookmarkEnd w:id="1"/>
      <w:r w:rsidRPr="00B5742F">
        <w:rPr>
          <w:rFonts w:ascii="Verdana" w:hAnsi="Verdana"/>
          <w:sz w:val="15"/>
        </w:rPr>
        <w:t>(</w:t>
      </w:r>
      <w:r w:rsidRPr="00B5742F">
        <w:rPr>
          <w:rFonts w:ascii="Verdana" w:hAnsi="Verdana"/>
          <w:sz w:val="15"/>
          <w:vertAlign w:val="superscript"/>
        </w:rPr>
        <w:t>2)</w:t>
      </w:r>
      <w:r w:rsidRPr="00B5742F">
        <w:rPr>
          <w:rFonts w:ascii="Verdana" w:hAnsi="Verdana"/>
          <w:sz w:val="15"/>
        </w:rPr>
        <w:t xml:space="preserve"> . W dniu 16 września 2022 r. Federacja Rosyjska przestała być stroną europejskiej konwencji praw człowieka („konwencji”).</w:t>
      </w:r>
    </w:p>
    <w:p w14:paraId="37ACF4C4" w14:textId="77777777" w:rsidR="000F5B45" w:rsidRPr="00B5742F" w:rsidRDefault="000F5B45" w:rsidP="00E93132">
      <w:pPr>
        <w:jc w:val="both"/>
        <w:rPr>
          <w:rFonts w:ascii="Verdana" w:hAnsi="Verdana"/>
          <w:sz w:val="16"/>
        </w:rPr>
        <w:sectPr w:rsidR="000F5B45" w:rsidRPr="00B5742F">
          <w:headerReference w:type="default" r:id="rId28"/>
          <w:footerReference w:type="default" r:id="rId29"/>
          <w:pgSz w:w="11910" w:h="16840"/>
          <w:pgMar w:top="1460" w:right="708" w:bottom="680" w:left="566" w:header="730" w:footer="497" w:gutter="0"/>
          <w:pgNumType w:start="2"/>
          <w:cols w:space="708"/>
        </w:sectPr>
      </w:pPr>
    </w:p>
    <w:p w14:paraId="403E8B3B" w14:textId="77777777" w:rsidR="00DC3634" w:rsidRPr="00B5742F" w:rsidRDefault="00DC3634" w:rsidP="00E93132">
      <w:pPr>
        <w:spacing w:before="116"/>
        <w:ind w:left="874" w:right="1110"/>
        <w:jc w:val="both"/>
        <w:rPr>
          <w:rFonts w:ascii="Verdana" w:hAnsi="Verdana"/>
          <w:i/>
          <w:color w:val="404040"/>
          <w:sz w:val="19"/>
        </w:rPr>
      </w:pPr>
    </w:p>
    <w:p w14:paraId="324ECF36" w14:textId="393CE6BE" w:rsidR="000F5B45" w:rsidRPr="00B5742F" w:rsidDel="008635C3" w:rsidRDefault="00000000" w:rsidP="00EF684A">
      <w:pPr>
        <w:spacing w:before="116"/>
        <w:ind w:left="874" w:right="855"/>
        <w:jc w:val="both"/>
        <w:rPr>
          <w:rFonts w:ascii="Verdana" w:hAnsi="Verdana"/>
          <w:sz w:val="20"/>
        </w:rPr>
      </w:pPr>
      <w:r w:rsidRPr="00B5742F" w:rsidDel="008635C3">
        <w:rPr>
          <w:rFonts w:ascii="Verdana" w:hAnsi="Verdana"/>
          <w:i/>
          <w:color w:val="404040"/>
          <w:sz w:val="19"/>
        </w:rPr>
        <w:t>Zob</w:t>
      </w:r>
      <w:r w:rsidRPr="00B5742F" w:rsidDel="008635C3">
        <w:rPr>
          <w:rFonts w:ascii="Verdana" w:hAnsi="Verdana"/>
          <w:color w:val="404040"/>
          <w:sz w:val="19"/>
        </w:rPr>
        <w:t xml:space="preserve">. </w:t>
      </w:r>
      <w:r w:rsidRPr="00B5742F" w:rsidDel="008635C3">
        <w:rPr>
          <w:rFonts w:ascii="Verdana" w:hAnsi="Verdana"/>
          <w:i/>
          <w:color w:val="404040"/>
          <w:sz w:val="19"/>
        </w:rPr>
        <w:t xml:space="preserve">również </w:t>
      </w:r>
      <w:r w:rsidRPr="00B5742F" w:rsidDel="008635C3">
        <w:rPr>
          <w:rFonts w:ascii="Verdana" w:hAnsi="Verdana"/>
          <w:color w:val="404040"/>
          <w:sz w:val="19"/>
        </w:rPr>
        <w:t xml:space="preserve">ostatnio: </w:t>
      </w:r>
      <w:r w:rsidRPr="00B5742F" w:rsidDel="008635C3">
        <w:rPr>
          <w:rFonts w:ascii="Verdana" w:hAnsi="Verdana"/>
          <w:b/>
          <w:color w:val="0071BB"/>
          <w:sz w:val="19"/>
          <w:u w:val="single" w:color="0071BB"/>
        </w:rPr>
        <w:t xml:space="preserve">T.A. i </w:t>
      </w:r>
      <w:r w:rsidR="00DC3634" w:rsidRPr="00B5742F" w:rsidDel="008635C3">
        <w:rPr>
          <w:rFonts w:ascii="Verdana" w:hAnsi="Verdana"/>
          <w:b/>
          <w:color w:val="0071BB"/>
          <w:sz w:val="19"/>
          <w:u w:val="single" w:color="0071BB"/>
        </w:rPr>
        <w:t>I</w:t>
      </w:r>
      <w:r w:rsidRPr="00B5742F" w:rsidDel="008635C3">
        <w:rPr>
          <w:rFonts w:ascii="Verdana" w:hAnsi="Verdana"/>
          <w:b/>
          <w:color w:val="0071BB"/>
          <w:sz w:val="19"/>
          <w:u w:val="single" w:color="0071BB"/>
        </w:rPr>
        <w:t>nni przeciwko Republice Mołdawii (nr 25450/20)</w:t>
      </w:r>
      <w:r w:rsidRPr="00B5742F" w:rsidDel="008635C3">
        <w:rPr>
          <w:rFonts w:ascii="Verdana" w:hAnsi="Verdana"/>
          <w:color w:val="404040"/>
          <w:sz w:val="19"/>
        </w:rPr>
        <w:t>,</w:t>
      </w:r>
      <w:r w:rsidR="00EF684A" w:rsidRPr="009749D0">
        <w:rPr>
          <w:rFonts w:ascii="Verdana" w:hAnsi="Verdana"/>
          <w:color w:val="404040"/>
          <w:sz w:val="19"/>
        </w:rPr>
        <w:t xml:space="preserve"> </w:t>
      </w:r>
      <w:r w:rsidRPr="00B5742F" w:rsidDel="008635C3">
        <w:rPr>
          <w:rFonts w:ascii="Verdana" w:hAnsi="Verdana"/>
          <w:color w:val="404040"/>
          <w:sz w:val="19"/>
        </w:rPr>
        <w:t>wyrok z dnia 30 listopada 2021</w:t>
      </w:r>
      <w:r w:rsidR="00EF684A" w:rsidRPr="009749D0">
        <w:rPr>
          <w:rFonts w:ascii="Verdana" w:hAnsi="Verdana"/>
          <w:color w:val="404040"/>
          <w:sz w:val="19"/>
        </w:rPr>
        <w:t> </w:t>
      </w:r>
      <w:r w:rsidRPr="00B5742F" w:rsidDel="008635C3">
        <w:rPr>
          <w:rFonts w:ascii="Verdana" w:hAnsi="Verdana"/>
          <w:color w:val="404040"/>
          <w:sz w:val="19"/>
        </w:rPr>
        <w:t>r.</w:t>
      </w:r>
    </w:p>
    <w:p w14:paraId="147010C1" w14:textId="7966CC4F" w:rsidR="000F5B45" w:rsidRPr="00B5742F" w:rsidRDefault="00000000" w:rsidP="00EF684A">
      <w:pPr>
        <w:pStyle w:val="Nagwek1"/>
        <w:tabs>
          <w:tab w:val="left" w:pos="9923"/>
          <w:tab w:val="left" w:pos="10065"/>
        </w:tabs>
        <w:spacing w:before="242"/>
        <w:rPr>
          <w:rFonts w:ascii="Verdana" w:hAnsi="Verdana"/>
        </w:rPr>
      </w:pPr>
      <w:r w:rsidRPr="004A3380">
        <w:rPr>
          <w:rFonts w:ascii="Verdana" w:hAnsi="Verdana"/>
          <w:color w:val="808080"/>
        </w:rPr>
        <w:t>Dzieci urodzone w wynik</w:t>
      </w:r>
      <w:r w:rsidR="00E207AF">
        <w:rPr>
          <w:rFonts w:ascii="Verdana" w:hAnsi="Verdana"/>
          <w:color w:val="808080"/>
        </w:rPr>
        <w:t>u macierzyństwa zastępczego/surogacji</w:t>
      </w:r>
    </w:p>
    <w:p w14:paraId="2A3F7BB1" w14:textId="169351C4" w:rsidR="000F5B45" w:rsidRPr="00B5742F" w:rsidRDefault="000F5B45" w:rsidP="00EF684A">
      <w:pPr>
        <w:pStyle w:val="Nagwek2"/>
        <w:tabs>
          <w:tab w:val="left" w:pos="9923"/>
          <w:tab w:val="left" w:pos="10065"/>
        </w:tabs>
        <w:spacing w:before="114"/>
        <w:rPr>
          <w:rFonts w:ascii="Verdana" w:hAnsi="Verdana"/>
          <w:u w:val="none"/>
        </w:rPr>
      </w:pPr>
      <w:hyperlink r:id="rId30">
        <w:r w:rsidRPr="00B5742F">
          <w:rPr>
            <w:rFonts w:ascii="Verdana" w:hAnsi="Verdana"/>
            <w:color w:val="0071BB"/>
            <w:sz w:val="19"/>
            <w:u w:color="0071BB"/>
          </w:rPr>
          <w:t xml:space="preserve">Mennesson i </w:t>
        </w:r>
        <w:r w:rsidR="001B3E1C" w:rsidRPr="00B5742F">
          <w:rPr>
            <w:rFonts w:ascii="Verdana" w:hAnsi="Verdana"/>
            <w:color w:val="0071BB"/>
            <w:sz w:val="19"/>
            <w:u w:color="0071BB"/>
          </w:rPr>
          <w:t>I</w:t>
        </w:r>
        <w:r w:rsidRPr="00B5742F">
          <w:rPr>
            <w:rFonts w:ascii="Verdana" w:hAnsi="Verdana"/>
            <w:color w:val="0071BB"/>
            <w:sz w:val="19"/>
            <w:u w:color="0071BB"/>
          </w:rPr>
          <w:t xml:space="preserve">nni przeciwko Francji </w:t>
        </w:r>
        <w:r w:rsidRPr="00B5742F">
          <w:rPr>
            <w:rFonts w:ascii="Verdana" w:hAnsi="Verdana"/>
            <w:color w:val="0071BB"/>
            <w:sz w:val="19"/>
            <w:u w:val="none"/>
          </w:rPr>
          <w:t xml:space="preserve">oraz </w:t>
        </w:r>
        <w:r w:rsidRPr="00B5742F">
          <w:rPr>
            <w:rFonts w:ascii="Verdana" w:hAnsi="Verdana"/>
            <w:color w:val="0071BB"/>
            <w:sz w:val="19"/>
            <w:u w:color="0071BB"/>
          </w:rPr>
          <w:t>Labassee przeciwko Francji</w:t>
        </w:r>
      </w:hyperlink>
    </w:p>
    <w:p w14:paraId="607900A4" w14:textId="77777777" w:rsidR="000F5B45" w:rsidRPr="00B5742F" w:rsidRDefault="00000000" w:rsidP="00EF684A">
      <w:pPr>
        <w:tabs>
          <w:tab w:val="left" w:pos="9923"/>
          <w:tab w:val="left" w:pos="10065"/>
        </w:tabs>
        <w:spacing w:before="55"/>
        <w:ind w:left="874"/>
        <w:jc w:val="both"/>
        <w:rPr>
          <w:rFonts w:ascii="Verdana" w:hAnsi="Verdana"/>
          <w:sz w:val="18"/>
        </w:rPr>
      </w:pPr>
      <w:r w:rsidRPr="00B5742F">
        <w:rPr>
          <w:rFonts w:ascii="Verdana" w:hAnsi="Verdana"/>
          <w:color w:val="808080"/>
          <w:sz w:val="17"/>
        </w:rPr>
        <w:t>26 czerwca 2014 r.</w:t>
      </w:r>
    </w:p>
    <w:p w14:paraId="1D1A72C7" w14:textId="0AB0EC72" w:rsidR="000F5B45" w:rsidRPr="00B5742F" w:rsidRDefault="00000000" w:rsidP="00EF684A">
      <w:pPr>
        <w:pStyle w:val="Tekstpodstawowy"/>
        <w:tabs>
          <w:tab w:val="left" w:pos="9923"/>
          <w:tab w:val="left" w:pos="10065"/>
        </w:tabs>
        <w:spacing w:before="4"/>
        <w:ind w:right="730"/>
        <w:rPr>
          <w:rFonts w:ascii="Verdana" w:hAnsi="Verdana"/>
        </w:rPr>
      </w:pPr>
      <w:r w:rsidRPr="00B5742F">
        <w:rPr>
          <w:rFonts w:ascii="Verdana" w:hAnsi="Verdana"/>
          <w:sz w:val="19"/>
        </w:rPr>
        <w:t>Sprawy te dotyczyły odmowy uznania we Francji stosunków rodzicielskich, które zostały prawnie ustanowione w Stanach Zjednoczonych między dziećmi urodzonymi w wyniku macierzyństwa zastępczego a parami, które</w:t>
      </w:r>
      <w:r w:rsidR="008635C3" w:rsidRPr="00B5742F">
        <w:rPr>
          <w:rFonts w:ascii="Verdana" w:hAnsi="Verdana"/>
          <w:sz w:val="19"/>
        </w:rPr>
        <w:t xml:space="preserve"> z tej procedury skorzystały</w:t>
      </w:r>
      <w:r w:rsidRPr="00B5742F">
        <w:rPr>
          <w:rFonts w:ascii="Verdana" w:hAnsi="Verdana"/>
          <w:sz w:val="19"/>
        </w:rPr>
        <w:t xml:space="preserve">. Skarżący zarzucali w szczególności, że ze szkodą dla </w:t>
      </w:r>
      <w:r w:rsidR="00B41FD7" w:rsidRPr="00B5742F">
        <w:rPr>
          <w:rFonts w:ascii="Verdana" w:hAnsi="Verdana"/>
          <w:sz w:val="19"/>
        </w:rPr>
        <w:t>najlepszego inter</w:t>
      </w:r>
      <w:r w:rsidR="00AB4434" w:rsidRPr="00B5742F">
        <w:rPr>
          <w:rFonts w:ascii="Verdana" w:hAnsi="Verdana"/>
          <w:sz w:val="19"/>
        </w:rPr>
        <w:t>esu</w:t>
      </w:r>
      <w:r w:rsidR="00B41FD7" w:rsidRPr="00B5742F">
        <w:rPr>
          <w:rFonts w:ascii="Verdana" w:hAnsi="Verdana"/>
          <w:sz w:val="19"/>
        </w:rPr>
        <w:t xml:space="preserve"> dzieci</w:t>
      </w:r>
      <w:r w:rsidRPr="00B5742F">
        <w:rPr>
          <w:rFonts w:ascii="Verdana" w:hAnsi="Verdana"/>
          <w:sz w:val="19"/>
        </w:rPr>
        <w:t xml:space="preserve"> nie mogli uzyskać we Francji uznania stosunków rodzicielskich, które zostały prawnie ustanowione za granicą.</w:t>
      </w:r>
    </w:p>
    <w:p w14:paraId="1AB1FA56" w14:textId="77B8DC58" w:rsidR="000F5B45" w:rsidRPr="00B5742F" w:rsidRDefault="00000000" w:rsidP="00EF684A">
      <w:pPr>
        <w:pStyle w:val="Tekstpodstawowy"/>
        <w:tabs>
          <w:tab w:val="left" w:pos="9923"/>
          <w:tab w:val="left" w:pos="10065"/>
        </w:tabs>
        <w:ind w:right="729"/>
        <w:rPr>
          <w:rFonts w:ascii="Verdana" w:hAnsi="Verdana"/>
        </w:rPr>
      </w:pPr>
      <w:r w:rsidRPr="00B5742F">
        <w:rPr>
          <w:rFonts w:ascii="Verdana" w:hAnsi="Verdana"/>
          <w:color w:val="0071BB"/>
          <w:sz w:val="19"/>
        </w:rPr>
        <w:t xml:space="preserve">W obu sprawach Trybunał uznał, że </w:t>
      </w:r>
      <w:r w:rsidRPr="00B5742F">
        <w:rPr>
          <w:rFonts w:ascii="Verdana" w:hAnsi="Verdana"/>
          <w:b/>
          <w:color w:val="0071BB"/>
          <w:sz w:val="19"/>
        </w:rPr>
        <w:t xml:space="preserve">nie </w:t>
      </w:r>
      <w:r w:rsidRPr="00B5742F">
        <w:rPr>
          <w:rFonts w:ascii="Verdana" w:hAnsi="Verdana"/>
          <w:b/>
          <w:bCs/>
          <w:color w:val="0071BB"/>
          <w:sz w:val="19"/>
        </w:rPr>
        <w:t>doszło</w:t>
      </w:r>
      <w:r w:rsidRPr="00B5742F">
        <w:rPr>
          <w:rFonts w:ascii="Verdana" w:hAnsi="Verdana"/>
          <w:color w:val="0071BB"/>
          <w:sz w:val="19"/>
        </w:rPr>
        <w:t xml:space="preserve"> </w:t>
      </w:r>
      <w:r w:rsidRPr="00B5742F">
        <w:rPr>
          <w:rFonts w:ascii="Verdana" w:hAnsi="Verdana"/>
          <w:b/>
          <w:color w:val="0071BB"/>
          <w:sz w:val="19"/>
        </w:rPr>
        <w:t xml:space="preserve">do naruszenia art. 8 </w:t>
      </w:r>
      <w:r w:rsidRPr="00B5742F">
        <w:rPr>
          <w:rFonts w:ascii="Verdana" w:hAnsi="Verdana"/>
          <w:color w:val="0071BB"/>
          <w:sz w:val="19"/>
        </w:rPr>
        <w:t xml:space="preserve">(prawo do poszanowania życia prywatnego i rodzinnego) Konwencji w odniesieniu do prawa skarżących do poszanowania ich życia rodzinnego. </w:t>
      </w:r>
      <w:r w:rsidR="00E754CB" w:rsidRPr="00B5742F">
        <w:rPr>
          <w:rFonts w:ascii="Verdana" w:hAnsi="Verdana"/>
          <w:color w:val="0071BB"/>
          <w:sz w:val="19"/>
        </w:rPr>
        <w:t xml:space="preserve">Jednocześnie </w:t>
      </w:r>
      <w:r w:rsidRPr="00B5742F">
        <w:rPr>
          <w:rFonts w:ascii="Verdana" w:hAnsi="Verdana"/>
          <w:color w:val="0071BB"/>
          <w:sz w:val="19"/>
        </w:rPr>
        <w:t xml:space="preserve">w obu sprawach Trybunał uznał, że doszło </w:t>
      </w:r>
      <w:r w:rsidRPr="00B5742F">
        <w:rPr>
          <w:rFonts w:ascii="Verdana" w:hAnsi="Verdana"/>
          <w:b/>
          <w:color w:val="0071BB"/>
          <w:sz w:val="19"/>
        </w:rPr>
        <w:t xml:space="preserve">do naruszenia art. 8 </w:t>
      </w:r>
      <w:r w:rsidRPr="00B5742F">
        <w:rPr>
          <w:rFonts w:ascii="Verdana" w:hAnsi="Verdana"/>
          <w:color w:val="0071BB"/>
          <w:sz w:val="19"/>
        </w:rPr>
        <w:t xml:space="preserve">w odniesieniu do prawa dzieci do poszanowania ich życia prywatnego. Trybunał zauważył, że władze francuskie, mimo świadomości, że dzieci zostały </w:t>
      </w:r>
      <w:r w:rsidR="00EA23CE" w:rsidRPr="00B5742F">
        <w:rPr>
          <w:rFonts w:ascii="Verdana" w:hAnsi="Verdana"/>
          <w:color w:val="0071BB"/>
          <w:sz w:val="19"/>
        </w:rPr>
        <w:t>uznane</w:t>
      </w:r>
      <w:r w:rsidR="00CE0F36">
        <w:rPr>
          <w:rFonts w:ascii="Verdana" w:hAnsi="Verdana"/>
          <w:color w:val="0071BB"/>
          <w:sz w:val="19"/>
        </w:rPr>
        <w:t xml:space="preserve"> </w:t>
      </w:r>
      <w:r w:rsidRPr="00B5742F">
        <w:rPr>
          <w:rFonts w:ascii="Verdana" w:hAnsi="Verdana"/>
          <w:color w:val="0071BB"/>
          <w:sz w:val="19"/>
        </w:rPr>
        <w:t xml:space="preserve">w Stanach Zjednoczonych </w:t>
      </w:r>
      <w:r w:rsidR="00EA23CE" w:rsidRPr="00B5742F">
        <w:rPr>
          <w:rFonts w:ascii="Verdana" w:hAnsi="Verdana"/>
          <w:color w:val="0071BB"/>
          <w:sz w:val="19"/>
        </w:rPr>
        <w:t xml:space="preserve">za </w:t>
      </w:r>
      <w:r w:rsidRPr="00B5742F">
        <w:rPr>
          <w:rFonts w:ascii="Verdana" w:hAnsi="Verdana"/>
          <w:color w:val="0071BB"/>
          <w:sz w:val="19"/>
        </w:rPr>
        <w:t xml:space="preserve">dzieci państwa Mennesson i państwa Labassee, odmówiły im tego statusu na mocy prawa francuskiego. Trybunał uznał, że ta sprzeczność podważa tożsamość dzieci w społeczeństwie francuskim. Trybunał zauważył ponadto, że orzecznictwo całkowicie </w:t>
      </w:r>
      <w:r w:rsidR="005D4A2F" w:rsidRPr="00B5742F">
        <w:rPr>
          <w:rFonts w:ascii="Verdana" w:hAnsi="Verdana"/>
          <w:color w:val="0071BB"/>
          <w:sz w:val="19"/>
        </w:rPr>
        <w:t xml:space="preserve">uniemożliwia </w:t>
      </w:r>
      <w:r w:rsidRPr="00B5742F">
        <w:rPr>
          <w:rFonts w:ascii="Verdana" w:hAnsi="Verdana"/>
          <w:color w:val="0071BB"/>
          <w:sz w:val="19"/>
        </w:rPr>
        <w:t>ustanowienie stosunku prawnego między dziećmi urodzonymi w wyniku – legalne</w:t>
      </w:r>
      <w:r w:rsidR="005D4A2F" w:rsidRPr="00B5742F">
        <w:rPr>
          <w:rFonts w:ascii="Verdana" w:hAnsi="Verdana"/>
          <w:color w:val="0071BB"/>
          <w:sz w:val="19"/>
        </w:rPr>
        <w:t>j</w:t>
      </w:r>
      <w:r w:rsidRPr="00B5742F">
        <w:rPr>
          <w:rFonts w:ascii="Verdana" w:hAnsi="Verdana"/>
          <w:color w:val="0071BB"/>
          <w:sz w:val="19"/>
        </w:rPr>
        <w:t xml:space="preserve"> –surogacji za granicą a ich biologicznym ojcem. Przekroczyło to szeroki margines </w:t>
      </w:r>
      <w:r w:rsidR="004F24BF">
        <w:rPr>
          <w:rFonts w:ascii="Verdana" w:hAnsi="Verdana"/>
          <w:color w:val="0071BB"/>
          <w:sz w:val="19"/>
        </w:rPr>
        <w:t>oceny</w:t>
      </w:r>
      <w:r w:rsidRPr="00B5742F">
        <w:rPr>
          <w:rFonts w:ascii="Verdana" w:hAnsi="Verdana"/>
          <w:color w:val="0071BB"/>
          <w:sz w:val="19"/>
        </w:rPr>
        <w:t xml:space="preserve"> pozostawiony państwom w zakresie decyzji dotyczących surogacji.</w:t>
      </w:r>
    </w:p>
    <w:p w14:paraId="38DD7801" w14:textId="77777777" w:rsidR="000F5B45" w:rsidRPr="00B5742F" w:rsidRDefault="00000000" w:rsidP="00EF684A">
      <w:pPr>
        <w:tabs>
          <w:tab w:val="left" w:pos="9923"/>
          <w:tab w:val="left" w:pos="10065"/>
        </w:tabs>
        <w:spacing w:before="43"/>
        <w:ind w:left="874" w:right="734"/>
        <w:jc w:val="both"/>
        <w:rPr>
          <w:rFonts w:ascii="Verdana" w:hAnsi="Verdana"/>
          <w:sz w:val="20"/>
        </w:rPr>
      </w:pPr>
      <w:r w:rsidRPr="00B5742F">
        <w:rPr>
          <w:rFonts w:ascii="Verdana" w:hAnsi="Verdana"/>
          <w:i/>
          <w:color w:val="404040"/>
          <w:sz w:val="19"/>
        </w:rPr>
        <w:t>Zob. również</w:t>
      </w:r>
      <w:r w:rsidRPr="00B5742F">
        <w:rPr>
          <w:rFonts w:ascii="Verdana" w:hAnsi="Verdana"/>
          <w:color w:val="404040"/>
          <w:sz w:val="19"/>
        </w:rPr>
        <w:t xml:space="preserve">: </w:t>
      </w:r>
      <w:hyperlink r:id="rId31">
        <w:r w:rsidR="000F5B45" w:rsidRPr="00B5742F">
          <w:rPr>
            <w:rFonts w:ascii="Verdana" w:hAnsi="Verdana"/>
            <w:b/>
            <w:color w:val="0071BB"/>
            <w:sz w:val="19"/>
            <w:u w:val="single" w:color="0071BB"/>
          </w:rPr>
          <w:t>Foulon i Bouvet przeciwko Francji</w:t>
        </w:r>
      </w:hyperlink>
      <w:r w:rsidRPr="00B5742F">
        <w:rPr>
          <w:rFonts w:ascii="Verdana" w:hAnsi="Verdana"/>
          <w:color w:val="404040"/>
          <w:sz w:val="19"/>
        </w:rPr>
        <w:t xml:space="preserve">, wyrok z dnia 21 lipca 2016 r.; </w:t>
      </w:r>
      <w:hyperlink r:id="rId32">
        <w:r w:rsidR="000F5B45" w:rsidRPr="00B5742F">
          <w:rPr>
            <w:rFonts w:ascii="Verdana" w:hAnsi="Verdana"/>
            <w:b/>
            <w:color w:val="0071BB"/>
            <w:sz w:val="19"/>
            <w:u w:val="single" w:color="0071BB"/>
          </w:rPr>
          <w:t xml:space="preserve">Laborie przeciwko </w:t>
        </w:r>
      </w:hyperlink>
      <w:hyperlink r:id="rId33">
        <w:r w:rsidR="000F5B45" w:rsidRPr="00B5742F">
          <w:rPr>
            <w:rFonts w:ascii="Verdana" w:hAnsi="Verdana"/>
            <w:b/>
            <w:color w:val="0071BB"/>
            <w:sz w:val="19"/>
            <w:u w:val="single" w:color="0071BB"/>
          </w:rPr>
          <w:t>Francji</w:t>
        </w:r>
      </w:hyperlink>
      <w:r w:rsidRPr="00B5742F">
        <w:rPr>
          <w:rFonts w:ascii="Verdana" w:hAnsi="Verdana"/>
          <w:color w:val="404040"/>
          <w:sz w:val="19"/>
        </w:rPr>
        <w:t>, wyrok z dnia 19 stycznia 2017 r.</w:t>
      </w:r>
    </w:p>
    <w:p w14:paraId="23519223" w14:textId="5FEF3C6A" w:rsidR="000F5B45" w:rsidRPr="00B5742F" w:rsidRDefault="000F5B45" w:rsidP="00EF684A">
      <w:pPr>
        <w:pStyle w:val="Nagwek2"/>
        <w:tabs>
          <w:tab w:val="left" w:pos="9923"/>
          <w:tab w:val="left" w:pos="10065"/>
        </w:tabs>
        <w:spacing w:before="119"/>
        <w:rPr>
          <w:rFonts w:ascii="Verdana" w:hAnsi="Verdana"/>
          <w:u w:val="none"/>
        </w:rPr>
      </w:pPr>
      <w:hyperlink r:id="rId34">
        <w:r w:rsidRPr="00B5742F">
          <w:rPr>
            <w:rFonts w:ascii="Verdana" w:hAnsi="Verdana"/>
            <w:color w:val="0071BB"/>
            <w:sz w:val="19"/>
            <w:u w:color="0071BB"/>
          </w:rPr>
          <w:t xml:space="preserve">D. i </w:t>
        </w:r>
        <w:r w:rsidR="005D4A2F" w:rsidRPr="00B5742F">
          <w:rPr>
            <w:rFonts w:ascii="Verdana" w:hAnsi="Verdana"/>
            <w:color w:val="0071BB"/>
            <w:sz w:val="19"/>
            <w:u w:color="0071BB"/>
          </w:rPr>
          <w:t>I</w:t>
        </w:r>
        <w:r w:rsidRPr="00B5742F">
          <w:rPr>
            <w:rFonts w:ascii="Verdana" w:hAnsi="Verdana"/>
            <w:color w:val="0071BB"/>
            <w:sz w:val="19"/>
            <w:u w:color="0071BB"/>
          </w:rPr>
          <w:t>nni przeciwko Belgii (nr 29176/13)</w:t>
        </w:r>
      </w:hyperlink>
    </w:p>
    <w:p w14:paraId="0B5FFF0B" w14:textId="77777777" w:rsidR="000F5B45" w:rsidRPr="00B5742F" w:rsidRDefault="00000000" w:rsidP="00EF684A">
      <w:pPr>
        <w:tabs>
          <w:tab w:val="left" w:pos="9923"/>
          <w:tab w:val="left" w:pos="10065"/>
        </w:tabs>
        <w:spacing w:before="56"/>
        <w:ind w:left="874"/>
        <w:jc w:val="both"/>
        <w:rPr>
          <w:rFonts w:ascii="Verdana" w:hAnsi="Verdana"/>
          <w:sz w:val="18"/>
        </w:rPr>
      </w:pPr>
      <w:r w:rsidRPr="00B5742F">
        <w:rPr>
          <w:rFonts w:ascii="Verdana" w:hAnsi="Verdana"/>
          <w:color w:val="808080"/>
          <w:sz w:val="17"/>
        </w:rPr>
        <w:t>8 lipca 2014 r. (postanowienie – częściowo wykreślone z wykazu spraw; częściowo niedopuszczalne)</w:t>
      </w:r>
    </w:p>
    <w:p w14:paraId="7CC7F08E" w14:textId="75F4D3CA" w:rsidR="000F5B45" w:rsidRPr="00B5742F" w:rsidRDefault="00000000" w:rsidP="00EF684A">
      <w:pPr>
        <w:pStyle w:val="Tekstpodstawowy"/>
        <w:tabs>
          <w:tab w:val="left" w:pos="9923"/>
          <w:tab w:val="left" w:pos="10065"/>
        </w:tabs>
        <w:spacing w:before="4"/>
        <w:ind w:left="874"/>
        <w:rPr>
          <w:rFonts w:ascii="Verdana" w:hAnsi="Verdana"/>
        </w:rPr>
      </w:pPr>
      <w:r w:rsidRPr="00B5742F">
        <w:rPr>
          <w:rFonts w:ascii="Verdana" w:hAnsi="Verdana"/>
          <w:sz w:val="19"/>
        </w:rPr>
        <w:t xml:space="preserve">Sprawa dotyczyła początkowej odmowy przez władze belgijskie zezwolenia na wjazd na terytorium kraju dziecka urodzonego </w:t>
      </w:r>
      <w:r w:rsidR="005D4A2F" w:rsidRPr="00B5742F">
        <w:rPr>
          <w:rFonts w:ascii="Verdana" w:hAnsi="Verdana"/>
          <w:sz w:val="19"/>
        </w:rPr>
        <w:t xml:space="preserve">w </w:t>
      </w:r>
      <w:r w:rsidRPr="00B5742F">
        <w:rPr>
          <w:rFonts w:ascii="Verdana" w:hAnsi="Verdana"/>
          <w:sz w:val="19"/>
        </w:rPr>
        <w:t xml:space="preserve">Ukrainie w wyniku ciąży zastępczej, </w:t>
      </w:r>
      <w:r w:rsidR="00CE0F36">
        <w:rPr>
          <w:rFonts w:ascii="Verdana" w:hAnsi="Verdana"/>
          <w:sz w:val="19"/>
        </w:rPr>
        <w:t xml:space="preserve">na </w:t>
      </w:r>
      <w:r w:rsidRPr="00B5742F">
        <w:rPr>
          <w:rFonts w:ascii="Verdana" w:hAnsi="Verdana"/>
          <w:sz w:val="19"/>
        </w:rPr>
        <w:t>któr</w:t>
      </w:r>
      <w:r w:rsidR="00CE0F36">
        <w:rPr>
          <w:rFonts w:ascii="Verdana" w:hAnsi="Verdana"/>
          <w:sz w:val="19"/>
        </w:rPr>
        <w:t>ą</w:t>
      </w:r>
      <w:r w:rsidR="004A3380">
        <w:rPr>
          <w:rFonts w:ascii="Verdana" w:hAnsi="Verdana"/>
          <w:sz w:val="19"/>
        </w:rPr>
        <w:t xml:space="preserve"> </w:t>
      </w:r>
      <w:r w:rsidRPr="00B5742F">
        <w:rPr>
          <w:rFonts w:ascii="Verdana" w:hAnsi="Verdana"/>
          <w:sz w:val="19"/>
        </w:rPr>
        <w:t>zdecydowa</w:t>
      </w:r>
      <w:r w:rsidR="008911AA">
        <w:rPr>
          <w:rFonts w:ascii="Verdana" w:hAnsi="Verdana"/>
          <w:sz w:val="19"/>
        </w:rPr>
        <w:t>li</w:t>
      </w:r>
      <w:r w:rsidRPr="00B5742F">
        <w:rPr>
          <w:rFonts w:ascii="Verdana" w:hAnsi="Verdana"/>
          <w:sz w:val="19"/>
        </w:rPr>
        <w:t xml:space="preserve"> się skarżąc</w:t>
      </w:r>
      <w:r w:rsidR="008911AA">
        <w:rPr>
          <w:rFonts w:ascii="Verdana" w:hAnsi="Verdana"/>
          <w:sz w:val="19"/>
        </w:rPr>
        <w:t>y</w:t>
      </w:r>
      <w:r w:rsidR="004A3380">
        <w:rPr>
          <w:rFonts w:ascii="Verdana" w:hAnsi="Verdana"/>
          <w:sz w:val="19"/>
        </w:rPr>
        <w:t xml:space="preserve"> </w:t>
      </w:r>
      <w:r w:rsidR="008911AA">
        <w:rPr>
          <w:rFonts w:ascii="Verdana" w:hAnsi="Verdana"/>
          <w:sz w:val="19"/>
        </w:rPr>
        <w:t>obywatelstwa belgijskiego.</w:t>
      </w:r>
      <w:r w:rsidRPr="00B5742F">
        <w:rPr>
          <w:rFonts w:ascii="Verdana" w:hAnsi="Verdana"/>
          <w:sz w:val="19"/>
        </w:rPr>
        <w:t xml:space="preserve"> Skarżąc</w:t>
      </w:r>
      <w:r w:rsidR="000A5172">
        <w:rPr>
          <w:rFonts w:ascii="Verdana" w:hAnsi="Verdana"/>
          <w:sz w:val="19"/>
        </w:rPr>
        <w:t>y</w:t>
      </w:r>
      <w:r w:rsidRPr="00B5742F">
        <w:rPr>
          <w:rFonts w:ascii="Verdana" w:hAnsi="Verdana"/>
          <w:sz w:val="19"/>
        </w:rPr>
        <w:t xml:space="preserve"> powoła</w:t>
      </w:r>
      <w:r w:rsidR="000A5172">
        <w:rPr>
          <w:rFonts w:ascii="Verdana" w:hAnsi="Verdana"/>
          <w:sz w:val="19"/>
        </w:rPr>
        <w:t>li</w:t>
      </w:r>
      <w:r w:rsidRPr="00B5742F">
        <w:rPr>
          <w:rFonts w:ascii="Verdana" w:hAnsi="Verdana"/>
          <w:sz w:val="19"/>
        </w:rPr>
        <w:t xml:space="preserve"> się w szczególności na art. 3 (zakaz nieludzkiego lub poniżającego traktowania) i art. 8 (prawo do poszanowania życia prywatnego i rodzinnego) Konwencji.</w:t>
      </w:r>
    </w:p>
    <w:p w14:paraId="1D647432" w14:textId="62F9AAB3" w:rsidR="000F5B45" w:rsidRPr="009749D0" w:rsidRDefault="00000000" w:rsidP="00EF684A">
      <w:pPr>
        <w:pStyle w:val="Tekstpodstawowy"/>
        <w:tabs>
          <w:tab w:val="left" w:pos="9923"/>
          <w:tab w:val="left" w:pos="10065"/>
        </w:tabs>
        <w:ind w:right="726"/>
        <w:rPr>
          <w:rFonts w:ascii="Verdana" w:hAnsi="Verdana"/>
          <w:color w:val="0071BB"/>
          <w:sz w:val="19"/>
        </w:rPr>
      </w:pPr>
      <w:r w:rsidRPr="00B5742F">
        <w:rPr>
          <w:rFonts w:ascii="Verdana" w:hAnsi="Verdana"/>
          <w:color w:val="0071BB"/>
          <w:sz w:val="19"/>
        </w:rPr>
        <w:t xml:space="preserve">W świetle rozwoju sprawy od momentu złożenia skargi, a mianowicie wydania dziecku laissez-passer i jego przybycia do Belgii, gdzie od tego czasu mieszka wraz ze skarżącymi, Trybunał uznał tę część sporu za rozstrzygniętą i wykreślił z listy skargę dotyczącą odmowy wydania dziecku dokumentów podróży przez władze belgijskie. Trybunał uznał ponadto pozostałą część skargi </w:t>
      </w:r>
      <w:r w:rsidRPr="00B5742F">
        <w:rPr>
          <w:rFonts w:ascii="Verdana" w:hAnsi="Verdana"/>
          <w:b/>
          <w:color w:val="0071BB"/>
          <w:sz w:val="19"/>
        </w:rPr>
        <w:t>za niedopuszczalną</w:t>
      </w:r>
      <w:r w:rsidRPr="00B5742F">
        <w:rPr>
          <w:rFonts w:ascii="Verdana" w:hAnsi="Verdana"/>
          <w:color w:val="0071BB"/>
          <w:sz w:val="19"/>
        </w:rPr>
        <w:t>. Chociaż odmowa władz, utrzymana do momentu przedłożenia przez skarżąc</w:t>
      </w:r>
      <w:r w:rsidR="00CE0F36">
        <w:rPr>
          <w:rFonts w:ascii="Verdana" w:hAnsi="Verdana"/>
          <w:color w:val="0071BB"/>
          <w:sz w:val="19"/>
        </w:rPr>
        <w:t>e</w:t>
      </w:r>
      <w:r w:rsidRPr="00B5742F">
        <w:rPr>
          <w:rFonts w:ascii="Verdana" w:hAnsi="Verdana"/>
          <w:color w:val="0071BB"/>
          <w:sz w:val="19"/>
        </w:rPr>
        <w:t xml:space="preserve"> wystarczających dowodów potwierdzających pokrewieństwo z dzieckiem, spowodowała faktyczne oddzielenie dziecka od skarżących i stanowiła ingerencję w ich prawo do poszanowania życia rodzinnego, Belgia działała jednak w ramach szerokiego zakresu swobody decyzyjnej („szerokiego marginesu oceny”) przysługującego jej w takich sprawach. Trybunał uznał również, że nie ma podstaw do stwierdzenia, iż w okresie separacji od skarżących dziecko było poddane traktowaniu sprzecznemu z art. 3 Konwencji.</w:t>
      </w:r>
    </w:p>
    <w:p w14:paraId="78AA08C8" w14:textId="77777777" w:rsidR="000F5B45" w:rsidRPr="009749D0" w:rsidRDefault="000F5B45" w:rsidP="00E93132">
      <w:pPr>
        <w:pStyle w:val="Tekstpodstawowy"/>
        <w:rPr>
          <w:rFonts w:ascii="Verdana" w:hAnsi="Verdana"/>
        </w:rPr>
      </w:pPr>
    </w:p>
    <w:p w14:paraId="31CA5857" w14:textId="77777777" w:rsidR="00D21148" w:rsidRPr="00B5742F" w:rsidRDefault="00D21148" w:rsidP="00E93132">
      <w:pPr>
        <w:pStyle w:val="Tekstpodstawowy"/>
        <w:rPr>
          <w:rFonts w:ascii="Verdana" w:hAnsi="Verdana"/>
        </w:rPr>
        <w:sectPr w:rsidR="00D21148" w:rsidRPr="00B5742F">
          <w:pgSz w:w="11910" w:h="16840"/>
          <w:pgMar w:top="1460" w:right="708" w:bottom="680" w:left="566" w:header="730" w:footer="497" w:gutter="0"/>
          <w:cols w:space="708"/>
        </w:sectPr>
      </w:pPr>
    </w:p>
    <w:p w14:paraId="3AABC198" w14:textId="77777777" w:rsidR="000F5B45" w:rsidRPr="00B5742F" w:rsidRDefault="000F5B45" w:rsidP="00E93132">
      <w:pPr>
        <w:pStyle w:val="Nagwek2"/>
        <w:spacing w:before="240"/>
        <w:rPr>
          <w:rFonts w:ascii="Verdana" w:hAnsi="Verdana"/>
          <w:spacing w:val="4"/>
          <w:u w:val="none"/>
        </w:rPr>
      </w:pPr>
      <w:hyperlink r:id="rId35">
        <w:r w:rsidRPr="00B5742F">
          <w:rPr>
            <w:rFonts w:ascii="Verdana" w:hAnsi="Verdana"/>
            <w:color w:val="0071BB"/>
            <w:spacing w:val="4"/>
            <w:sz w:val="19"/>
            <w:u w:color="0071BB"/>
          </w:rPr>
          <w:t>Paradiso i Campanelli przeciwko Włochom</w:t>
        </w:r>
      </w:hyperlink>
    </w:p>
    <w:p w14:paraId="6A2EC2B3" w14:textId="6B3800AB" w:rsidR="000F5B45" w:rsidRPr="00B5742F" w:rsidRDefault="00000000" w:rsidP="00E93132">
      <w:pPr>
        <w:spacing w:before="58"/>
        <w:ind w:left="874"/>
        <w:jc w:val="both"/>
        <w:rPr>
          <w:rFonts w:ascii="Verdana" w:hAnsi="Verdana"/>
          <w:spacing w:val="4"/>
          <w:sz w:val="18"/>
        </w:rPr>
      </w:pPr>
      <w:r w:rsidRPr="00B5742F">
        <w:rPr>
          <w:rFonts w:ascii="Verdana" w:hAnsi="Verdana"/>
          <w:color w:val="808080"/>
          <w:spacing w:val="4"/>
          <w:sz w:val="17"/>
        </w:rPr>
        <w:t>24 stycznia 2017 r. (</w:t>
      </w:r>
      <w:r w:rsidR="0050578C" w:rsidRPr="00B5742F">
        <w:rPr>
          <w:rFonts w:ascii="Verdana" w:hAnsi="Verdana"/>
          <w:color w:val="808080"/>
          <w:spacing w:val="4"/>
          <w:sz w:val="17"/>
        </w:rPr>
        <w:t>W</w:t>
      </w:r>
      <w:r w:rsidRPr="00B5742F">
        <w:rPr>
          <w:rFonts w:ascii="Verdana" w:hAnsi="Verdana"/>
          <w:color w:val="808080"/>
          <w:spacing w:val="4"/>
          <w:sz w:val="17"/>
        </w:rPr>
        <w:t xml:space="preserve">ielka </w:t>
      </w:r>
      <w:r w:rsidR="0050578C" w:rsidRPr="00B5742F">
        <w:rPr>
          <w:rFonts w:ascii="Verdana" w:hAnsi="Verdana"/>
          <w:color w:val="808080"/>
          <w:spacing w:val="4"/>
          <w:sz w:val="17"/>
        </w:rPr>
        <w:t>I</w:t>
      </w:r>
      <w:r w:rsidRPr="00B5742F">
        <w:rPr>
          <w:rFonts w:ascii="Verdana" w:hAnsi="Verdana"/>
          <w:color w:val="808080"/>
          <w:spacing w:val="4"/>
          <w:sz w:val="17"/>
        </w:rPr>
        <w:t>zba)</w:t>
      </w:r>
    </w:p>
    <w:p w14:paraId="1EF04F1B" w14:textId="3E8A9F93" w:rsidR="000F5B45" w:rsidRPr="00B5742F" w:rsidRDefault="00000000" w:rsidP="00E93132">
      <w:pPr>
        <w:pStyle w:val="Tekstpodstawowy"/>
        <w:spacing w:before="2"/>
        <w:ind w:left="874" w:right="727" w:hanging="1"/>
        <w:rPr>
          <w:rFonts w:ascii="Verdana" w:hAnsi="Verdana"/>
          <w:spacing w:val="4"/>
        </w:rPr>
      </w:pPr>
      <w:r w:rsidRPr="00B5742F">
        <w:rPr>
          <w:rFonts w:ascii="Verdana" w:hAnsi="Verdana"/>
          <w:spacing w:val="4"/>
          <w:sz w:val="19"/>
        </w:rPr>
        <w:t xml:space="preserve">Sprawa dotyczyła umieszczenia w placówce opieki społecznej dziewięciomiesięcznego dziecka, które urodziło się w Rosji w wyniku umowy o </w:t>
      </w:r>
      <w:r w:rsidRPr="004A3380">
        <w:rPr>
          <w:rFonts w:ascii="Verdana" w:hAnsi="Verdana"/>
          <w:spacing w:val="4"/>
          <w:sz w:val="19"/>
        </w:rPr>
        <w:t>macierzyństw</w:t>
      </w:r>
      <w:r w:rsidR="00041A5E">
        <w:rPr>
          <w:rFonts w:ascii="Verdana" w:hAnsi="Verdana"/>
          <w:spacing w:val="4"/>
          <w:sz w:val="19"/>
        </w:rPr>
        <w:t>ie</w:t>
      </w:r>
      <w:r w:rsidRPr="004A3380">
        <w:rPr>
          <w:rFonts w:ascii="Verdana" w:hAnsi="Verdana"/>
          <w:spacing w:val="4"/>
          <w:sz w:val="19"/>
        </w:rPr>
        <w:t xml:space="preserve"> zastępcz</w:t>
      </w:r>
      <w:r w:rsidR="00041A5E">
        <w:rPr>
          <w:rFonts w:ascii="Verdana" w:hAnsi="Verdana"/>
          <w:spacing w:val="4"/>
          <w:sz w:val="19"/>
        </w:rPr>
        <w:t>ym</w:t>
      </w:r>
      <w:r w:rsidRPr="00B5742F">
        <w:rPr>
          <w:rFonts w:ascii="Verdana" w:hAnsi="Verdana"/>
          <w:spacing w:val="4"/>
          <w:sz w:val="19"/>
        </w:rPr>
        <w:t xml:space="preserve"> zawartej przez włoską parę (skarżących) z Rosjanką; później okazało się, że skarżący nie mieli żadnego biologicznego związku z dzieckiem</w:t>
      </w:r>
      <w:r w:rsidR="00323A1B" w:rsidRPr="00B5742F">
        <w:rPr>
          <w:rFonts w:ascii="Verdana" w:hAnsi="Verdana"/>
          <w:spacing w:val="4"/>
          <w:sz w:val="19"/>
        </w:rPr>
        <w:t>.</w:t>
      </w:r>
      <w:r w:rsidRPr="00B5742F">
        <w:rPr>
          <w:rFonts w:ascii="Verdana" w:hAnsi="Verdana"/>
          <w:spacing w:val="4"/>
          <w:sz w:val="19"/>
        </w:rPr>
        <w:t xml:space="preserve"> </w:t>
      </w:r>
      <w:r w:rsidR="00323A1B" w:rsidRPr="00B5742F">
        <w:rPr>
          <w:rFonts w:ascii="Verdana" w:hAnsi="Verdana"/>
          <w:spacing w:val="4"/>
          <w:sz w:val="19"/>
        </w:rPr>
        <w:t>Skarżący,</w:t>
      </w:r>
      <w:r w:rsidRPr="00B5742F">
        <w:rPr>
          <w:rFonts w:ascii="Verdana" w:hAnsi="Verdana"/>
          <w:spacing w:val="4"/>
          <w:sz w:val="19"/>
        </w:rPr>
        <w:t xml:space="preserve"> zarzucali w szczególności odebranie im dziecka oraz odmowę uznania związku rodzicielskiego ustalonego za granicą poprzez rejestrację aktu urodzenia dziecka we Włoszech.</w:t>
      </w:r>
    </w:p>
    <w:p w14:paraId="04177EE0" w14:textId="67189D59" w:rsidR="000F5B45" w:rsidRPr="00B5742F" w:rsidRDefault="00000000" w:rsidP="00E93132">
      <w:pPr>
        <w:pStyle w:val="Tekstpodstawowy"/>
        <w:ind w:left="874" w:right="727"/>
        <w:rPr>
          <w:rFonts w:ascii="Verdana" w:hAnsi="Verdana"/>
          <w:spacing w:val="4"/>
        </w:rPr>
      </w:pPr>
      <w:r w:rsidRPr="00B5742F">
        <w:rPr>
          <w:rFonts w:ascii="Verdana" w:hAnsi="Verdana"/>
          <w:color w:val="0071BB"/>
          <w:spacing w:val="4"/>
          <w:sz w:val="19"/>
        </w:rPr>
        <w:t xml:space="preserve">Wielka Izba stwierdziła stosunkiem głosów 11 do 6, że w sprawie skarżących </w:t>
      </w:r>
      <w:r w:rsidRPr="00B5742F">
        <w:rPr>
          <w:rFonts w:ascii="Verdana" w:hAnsi="Verdana"/>
          <w:b/>
          <w:color w:val="0071BB"/>
          <w:spacing w:val="4"/>
          <w:sz w:val="19"/>
        </w:rPr>
        <w:t xml:space="preserve">nie </w:t>
      </w:r>
      <w:r w:rsidRPr="00B5742F">
        <w:rPr>
          <w:rFonts w:ascii="Verdana" w:hAnsi="Verdana"/>
          <w:b/>
          <w:bCs/>
          <w:color w:val="0071BB"/>
          <w:spacing w:val="4"/>
          <w:sz w:val="19"/>
        </w:rPr>
        <w:t>doszło</w:t>
      </w:r>
      <w:r w:rsidRPr="00B5742F">
        <w:rPr>
          <w:rFonts w:ascii="Verdana" w:hAnsi="Verdana"/>
          <w:color w:val="0071BB"/>
          <w:spacing w:val="4"/>
          <w:sz w:val="19"/>
        </w:rPr>
        <w:t xml:space="preserve"> </w:t>
      </w:r>
      <w:r w:rsidRPr="00B5742F">
        <w:rPr>
          <w:rFonts w:ascii="Verdana" w:hAnsi="Verdana"/>
          <w:b/>
          <w:color w:val="0071BB"/>
          <w:spacing w:val="4"/>
          <w:sz w:val="19"/>
        </w:rPr>
        <w:t xml:space="preserve">do naruszenia art. 8 </w:t>
      </w:r>
      <w:r w:rsidRPr="00B5742F">
        <w:rPr>
          <w:rFonts w:ascii="Verdana" w:hAnsi="Verdana"/>
          <w:color w:val="0071BB"/>
          <w:spacing w:val="4"/>
          <w:sz w:val="19"/>
        </w:rPr>
        <w:t xml:space="preserve">(prawo do poszanowania życia prywatnego i rodzinnego) Konwencji. Biorąc pod uwagę brak jakiegokolwiek biologicznego </w:t>
      </w:r>
      <w:r w:rsidR="00041A5E">
        <w:rPr>
          <w:rFonts w:ascii="Verdana" w:hAnsi="Verdana"/>
          <w:color w:val="0071BB"/>
          <w:spacing w:val="4"/>
          <w:sz w:val="19"/>
        </w:rPr>
        <w:t xml:space="preserve">pokrewieństwa </w:t>
      </w:r>
      <w:r w:rsidRPr="00B5742F">
        <w:rPr>
          <w:rFonts w:ascii="Verdana" w:hAnsi="Verdana"/>
          <w:color w:val="0071BB"/>
          <w:spacing w:val="4"/>
          <w:sz w:val="19"/>
        </w:rPr>
        <w:t xml:space="preserve">między dzieckiem a skarżącymi, krótki czas trwania ich relacji z dzieckiem oraz niepewność więzi między nimi z prawnego punktu widzenia, a także pomimo </w:t>
      </w:r>
      <w:r w:rsidRPr="004A3380">
        <w:rPr>
          <w:rFonts w:ascii="Verdana" w:hAnsi="Verdana"/>
          <w:color w:val="0071BB"/>
          <w:spacing w:val="4"/>
          <w:sz w:val="19"/>
        </w:rPr>
        <w:t>istnienia projektu rodzicielskiego</w:t>
      </w:r>
      <w:r w:rsidRPr="00B5742F">
        <w:rPr>
          <w:rFonts w:ascii="Verdana" w:hAnsi="Verdana"/>
          <w:color w:val="0071BB"/>
          <w:spacing w:val="4"/>
          <w:sz w:val="19"/>
        </w:rPr>
        <w:t xml:space="preserve"> i jakości więzi emocjonalnych, Wielka Izba uznała, że między skarżącymi a dzieckiem nie istniało życie rodzinne. Stwierdziła jednak, że zaskarżone środki wchodziły w zakres życia prywatnego skarżących. Wielka Izba uznała ponadto, że zaskarżone środki miały na celu osiągnięcie uzasadnionych celów, jakim jest zapobieganie zakłóceniom porządku publicznego oraz ochrona praw i wolności innych osób. W odniesieniu do tej ostatniej kwestii uznała za uzasadnione dążenie władz włoskich do potwierdzenia wyłącznej kompetencji państwa w zakresie uznawania prawnych stosunków rodzicielskich – wyłącznie w przypadku więzi biologicznej lub legalnej adopcji – w celu ochrony dzieci. Wielka Izba uznała również, że sądy włoskie, stwierdzając w szczególności, że dziecko nie poniesie poważnej lub nieodwracalnej szkody w wyniku separacji, zachowały właściwą równowagę między różnymi interesami, pozostając w granicach przysługującej im swobody uznania („marginesu oceny”).</w:t>
      </w:r>
    </w:p>
    <w:p w14:paraId="146B1678" w14:textId="31A60E28" w:rsidR="000F5B45" w:rsidRPr="00B5742F" w:rsidRDefault="000F5B45" w:rsidP="00E93132">
      <w:pPr>
        <w:pStyle w:val="Nagwek2"/>
        <w:spacing w:before="97"/>
        <w:ind w:right="731"/>
        <w:rPr>
          <w:rFonts w:ascii="Verdana" w:hAnsi="Verdana"/>
          <w:spacing w:val="4"/>
          <w:sz w:val="19"/>
          <w:szCs w:val="19"/>
          <w:u w:val="none"/>
        </w:rPr>
      </w:pPr>
      <w:hyperlink r:id="rId36">
        <w:r w:rsidRPr="00B5742F">
          <w:rPr>
            <w:rFonts w:ascii="Verdana" w:hAnsi="Verdana"/>
            <w:color w:val="0071BB"/>
            <w:spacing w:val="4"/>
            <w:sz w:val="19"/>
            <w:szCs w:val="19"/>
            <w:u w:color="0071BB"/>
          </w:rPr>
          <w:t xml:space="preserve">Opinia doradcza dotycząca uznania w prawie krajowym </w:t>
        </w:r>
      </w:hyperlink>
      <w:hyperlink r:id="rId37">
        <w:r w:rsidRPr="00B5742F">
          <w:rPr>
            <w:rFonts w:ascii="Verdana" w:hAnsi="Verdana"/>
            <w:color w:val="0071BB"/>
            <w:spacing w:val="4"/>
            <w:sz w:val="19"/>
            <w:szCs w:val="19"/>
            <w:u w:color="0071BB"/>
          </w:rPr>
          <w:t xml:space="preserve">stosunku praw rodzicielskich między dzieckiem urodzonym w wyniku </w:t>
        </w:r>
      </w:hyperlink>
      <w:r w:rsidRPr="00B5742F">
        <w:rPr>
          <w:rFonts w:ascii="Verdana" w:hAnsi="Verdana"/>
          <w:color w:val="0071BB"/>
          <w:spacing w:val="4"/>
          <w:sz w:val="19"/>
          <w:szCs w:val="19"/>
          <w:u w:color="0071BB"/>
        </w:rPr>
        <w:t>umow</w:t>
      </w:r>
      <w:r w:rsidR="008525B6" w:rsidRPr="00B5742F">
        <w:rPr>
          <w:rFonts w:ascii="Verdana" w:hAnsi="Verdana"/>
          <w:color w:val="0071BB"/>
          <w:spacing w:val="4"/>
          <w:sz w:val="19"/>
          <w:szCs w:val="19"/>
          <w:u w:color="0071BB"/>
        </w:rPr>
        <w:t>y o macierzyństwo zastępcze</w:t>
      </w:r>
      <w:r w:rsidR="000C105D" w:rsidRPr="00B5742F">
        <w:rPr>
          <w:rFonts w:ascii="Verdana" w:hAnsi="Verdana"/>
          <w:color w:val="0071BB"/>
          <w:spacing w:val="4"/>
          <w:sz w:val="19"/>
          <w:szCs w:val="19"/>
          <w:u w:color="0071BB"/>
        </w:rPr>
        <w:t xml:space="preserve"> </w:t>
      </w:r>
      <w:hyperlink r:id="rId38">
        <w:r w:rsidRPr="00B5742F">
          <w:rPr>
            <w:rFonts w:ascii="Verdana" w:hAnsi="Verdana"/>
            <w:color w:val="0071BB"/>
            <w:spacing w:val="4"/>
            <w:sz w:val="19"/>
            <w:szCs w:val="19"/>
            <w:u w:color="0071BB"/>
          </w:rPr>
          <w:t xml:space="preserve">zawartej za granicą a </w:t>
        </w:r>
        <w:r w:rsidR="0074016D" w:rsidRPr="004A3380">
          <w:rPr>
            <w:rFonts w:ascii="Verdana" w:hAnsi="Verdana"/>
            <w:color w:val="0071BB"/>
            <w:spacing w:val="4"/>
            <w:sz w:val="19"/>
            <w:szCs w:val="19"/>
            <w:u w:color="0071BB"/>
          </w:rPr>
          <w:t>docelową</w:t>
        </w:r>
        <w:r w:rsidRPr="004A3380">
          <w:rPr>
            <w:rFonts w:ascii="Verdana" w:hAnsi="Verdana"/>
            <w:color w:val="0071BB"/>
            <w:spacing w:val="4"/>
            <w:sz w:val="19"/>
            <w:szCs w:val="19"/>
            <w:u w:color="0071BB"/>
          </w:rPr>
          <w:t xml:space="preserve"> matką</w:t>
        </w:r>
        <w:r w:rsidRPr="00B5742F">
          <w:rPr>
            <w:rFonts w:ascii="Verdana" w:hAnsi="Verdana"/>
            <w:color w:val="0071BB"/>
            <w:spacing w:val="4"/>
            <w:sz w:val="19"/>
            <w:szCs w:val="19"/>
            <w:u w:color="0071BB"/>
          </w:rPr>
          <w:t xml:space="preserve">, </w:t>
        </w:r>
        <w:r w:rsidR="0074016D">
          <w:rPr>
            <w:rFonts w:ascii="Verdana" w:hAnsi="Verdana"/>
            <w:color w:val="0071BB"/>
            <w:spacing w:val="4"/>
            <w:sz w:val="19"/>
            <w:szCs w:val="19"/>
            <w:u w:color="0071BB"/>
          </w:rPr>
          <w:t>wydana na wniosek</w:t>
        </w:r>
        <w:r w:rsidRPr="00B5742F">
          <w:rPr>
            <w:rFonts w:ascii="Verdana" w:hAnsi="Verdana"/>
            <w:color w:val="0071BB"/>
            <w:spacing w:val="4"/>
            <w:sz w:val="19"/>
            <w:szCs w:val="19"/>
            <w:u w:color="0071BB"/>
          </w:rPr>
          <w:t xml:space="preserve"> francuski</w:t>
        </w:r>
        <w:r w:rsidR="0074016D">
          <w:rPr>
            <w:rFonts w:ascii="Verdana" w:hAnsi="Verdana"/>
            <w:color w:val="0071BB"/>
            <w:spacing w:val="4"/>
            <w:sz w:val="19"/>
            <w:szCs w:val="19"/>
            <w:u w:color="0071BB"/>
          </w:rPr>
          <w:t>ego</w:t>
        </w:r>
        <w:r w:rsidRPr="00B5742F">
          <w:rPr>
            <w:rFonts w:ascii="Verdana" w:hAnsi="Verdana"/>
            <w:color w:val="0071BB"/>
            <w:spacing w:val="4"/>
            <w:sz w:val="19"/>
            <w:szCs w:val="19"/>
            <w:u w:color="0071BB"/>
          </w:rPr>
          <w:t xml:space="preserve"> Sąd</w:t>
        </w:r>
        <w:r w:rsidR="0074016D">
          <w:rPr>
            <w:rFonts w:ascii="Verdana" w:hAnsi="Verdana"/>
            <w:color w:val="0071BB"/>
            <w:spacing w:val="4"/>
            <w:sz w:val="19"/>
            <w:szCs w:val="19"/>
            <w:u w:color="0071BB"/>
          </w:rPr>
          <w:t>u</w:t>
        </w:r>
        <w:r w:rsidRPr="00B5742F">
          <w:rPr>
            <w:rFonts w:ascii="Verdana" w:hAnsi="Verdana"/>
            <w:color w:val="0071BB"/>
            <w:spacing w:val="4"/>
            <w:sz w:val="19"/>
            <w:szCs w:val="19"/>
            <w:u w:color="0071BB"/>
          </w:rPr>
          <w:t xml:space="preserve"> </w:t>
        </w:r>
      </w:hyperlink>
      <w:hyperlink r:id="rId39">
        <w:r w:rsidRPr="00B5742F">
          <w:rPr>
            <w:rFonts w:ascii="Verdana" w:hAnsi="Verdana"/>
            <w:color w:val="0071BB"/>
            <w:spacing w:val="4"/>
            <w:sz w:val="19"/>
            <w:szCs w:val="19"/>
            <w:u w:color="0071BB"/>
          </w:rPr>
          <w:t>Kasacyjn</w:t>
        </w:r>
        <w:r w:rsidR="0074016D">
          <w:rPr>
            <w:rFonts w:ascii="Verdana" w:hAnsi="Verdana"/>
            <w:color w:val="0071BB"/>
            <w:spacing w:val="4"/>
            <w:sz w:val="19"/>
            <w:szCs w:val="19"/>
            <w:u w:color="0071BB"/>
          </w:rPr>
          <w:t>ego</w:t>
        </w:r>
        <w:r w:rsidRPr="00B5742F">
          <w:rPr>
            <w:rFonts w:ascii="Verdana" w:hAnsi="Verdana"/>
            <w:color w:val="0071BB"/>
            <w:spacing w:val="4"/>
            <w:sz w:val="19"/>
            <w:szCs w:val="19"/>
            <w:u w:color="0071BB"/>
          </w:rPr>
          <w:t xml:space="preserve"> (wniosek nr P16-2018-001)</w:t>
        </w:r>
      </w:hyperlink>
    </w:p>
    <w:p w14:paraId="6B49AAD2" w14:textId="0F23DAA7" w:rsidR="000F5B45" w:rsidRPr="00B5742F" w:rsidRDefault="00000000" w:rsidP="00E93132">
      <w:pPr>
        <w:spacing w:before="60"/>
        <w:ind w:left="874"/>
        <w:jc w:val="both"/>
        <w:rPr>
          <w:rFonts w:ascii="Verdana" w:hAnsi="Verdana"/>
          <w:spacing w:val="4"/>
          <w:sz w:val="18"/>
        </w:rPr>
      </w:pPr>
      <w:r w:rsidRPr="00B5742F">
        <w:rPr>
          <w:rFonts w:ascii="Verdana" w:hAnsi="Verdana"/>
          <w:color w:val="808080"/>
          <w:spacing w:val="4"/>
          <w:sz w:val="17"/>
        </w:rPr>
        <w:t>10 kwietnia 2019 r. (</w:t>
      </w:r>
      <w:r w:rsidR="000C105D" w:rsidRPr="00B5742F">
        <w:rPr>
          <w:rFonts w:ascii="Verdana" w:hAnsi="Verdana"/>
          <w:color w:val="808080"/>
          <w:spacing w:val="4"/>
          <w:sz w:val="17"/>
        </w:rPr>
        <w:t>W</w:t>
      </w:r>
      <w:r w:rsidRPr="00B5742F">
        <w:rPr>
          <w:rFonts w:ascii="Verdana" w:hAnsi="Verdana"/>
          <w:color w:val="808080"/>
          <w:spacing w:val="4"/>
          <w:sz w:val="17"/>
        </w:rPr>
        <w:t xml:space="preserve">ielka </w:t>
      </w:r>
      <w:r w:rsidR="000C105D" w:rsidRPr="00B5742F">
        <w:rPr>
          <w:rFonts w:ascii="Verdana" w:hAnsi="Verdana"/>
          <w:color w:val="808080"/>
          <w:spacing w:val="4"/>
          <w:sz w:val="17"/>
        </w:rPr>
        <w:t>I</w:t>
      </w:r>
      <w:r w:rsidRPr="00B5742F">
        <w:rPr>
          <w:rFonts w:ascii="Verdana" w:hAnsi="Verdana"/>
          <w:color w:val="808080"/>
          <w:spacing w:val="4"/>
          <w:sz w:val="17"/>
        </w:rPr>
        <w:t>zba)</w:t>
      </w:r>
    </w:p>
    <w:p w14:paraId="042B2118" w14:textId="7D02A390" w:rsidR="000F5B45" w:rsidRPr="00B5742F" w:rsidRDefault="00000000" w:rsidP="00E93132">
      <w:pPr>
        <w:pStyle w:val="Tekstpodstawowy"/>
        <w:spacing w:before="1"/>
        <w:ind w:right="729"/>
        <w:rPr>
          <w:rFonts w:ascii="Verdana" w:hAnsi="Verdana"/>
          <w:spacing w:val="4"/>
        </w:rPr>
      </w:pPr>
      <w:r w:rsidRPr="00B5742F">
        <w:rPr>
          <w:rFonts w:ascii="Verdana" w:hAnsi="Verdana"/>
          <w:spacing w:val="4"/>
          <w:sz w:val="19"/>
        </w:rPr>
        <w:t xml:space="preserve">Sprawa dotyczyła możliwości uznania w prawie krajowym prawnego stosunku rodzicielskiego między dzieckiem urodzonym za granicą w wyniku umowy o </w:t>
      </w:r>
      <w:r w:rsidR="0028076B">
        <w:rPr>
          <w:rFonts w:ascii="Verdana" w:hAnsi="Verdana"/>
          <w:spacing w:val="4"/>
          <w:sz w:val="19"/>
        </w:rPr>
        <w:t xml:space="preserve">macierzyństwo zastępcze </w:t>
      </w:r>
      <w:r w:rsidRPr="004A3380">
        <w:rPr>
          <w:rFonts w:ascii="Verdana" w:hAnsi="Verdana"/>
          <w:spacing w:val="4"/>
          <w:sz w:val="19"/>
        </w:rPr>
        <w:t xml:space="preserve">a </w:t>
      </w:r>
      <w:r w:rsidR="0074016D" w:rsidRPr="004A3380">
        <w:rPr>
          <w:rFonts w:ascii="Verdana" w:hAnsi="Verdana"/>
          <w:spacing w:val="4"/>
          <w:sz w:val="19"/>
        </w:rPr>
        <w:t xml:space="preserve">docelową </w:t>
      </w:r>
      <w:r w:rsidRPr="004A3380">
        <w:rPr>
          <w:rFonts w:ascii="Verdana" w:hAnsi="Verdana"/>
          <w:spacing w:val="4"/>
          <w:sz w:val="19"/>
        </w:rPr>
        <w:t>matką</w:t>
      </w:r>
      <w:r w:rsidRPr="00B5742F">
        <w:rPr>
          <w:rFonts w:ascii="Verdana" w:hAnsi="Verdana"/>
          <w:spacing w:val="4"/>
          <w:sz w:val="19"/>
        </w:rPr>
        <w:t>, wskazaną w akcie urodzenia sporządzonym zgodnie z prawem zagranicznym jako „</w:t>
      </w:r>
      <w:r w:rsidRPr="004A3380">
        <w:rPr>
          <w:rFonts w:ascii="Verdana" w:hAnsi="Verdana"/>
          <w:spacing w:val="4"/>
          <w:sz w:val="19"/>
        </w:rPr>
        <w:t>matka prawna</w:t>
      </w:r>
      <w:r w:rsidRPr="00B5742F">
        <w:rPr>
          <w:rFonts w:ascii="Verdana" w:hAnsi="Verdana"/>
          <w:spacing w:val="4"/>
          <w:sz w:val="19"/>
        </w:rPr>
        <w:t>”, w sytuacji, gdy dziecko zostało poczęte z wykorzystaniem komórek jajowych dawczyni będącej osobą trzecią, a prawny stosunek rodzicielski z</w:t>
      </w:r>
      <w:r w:rsidR="00882F89">
        <w:rPr>
          <w:rFonts w:ascii="Verdana" w:hAnsi="Verdana"/>
          <w:spacing w:val="4"/>
          <w:sz w:val="19"/>
        </w:rPr>
        <w:t xml:space="preserve"> docelowym</w:t>
      </w:r>
      <w:r w:rsidRPr="00B5742F">
        <w:rPr>
          <w:rFonts w:ascii="Verdana" w:hAnsi="Verdana"/>
          <w:spacing w:val="4"/>
          <w:sz w:val="19"/>
        </w:rPr>
        <w:t xml:space="preserve"> ojcem został uznany w prawie krajowym.</w:t>
      </w:r>
    </w:p>
    <w:p w14:paraId="05A1514A" w14:textId="4C6DF487" w:rsidR="000F5B45" w:rsidRPr="00B5742F" w:rsidRDefault="00000000" w:rsidP="00E93132">
      <w:pPr>
        <w:pStyle w:val="Tekstpodstawowy"/>
        <w:ind w:right="731" w:hanging="1"/>
        <w:rPr>
          <w:rFonts w:ascii="Verdana" w:hAnsi="Verdana"/>
          <w:spacing w:val="4"/>
        </w:rPr>
      </w:pPr>
      <w:r w:rsidRPr="00B5742F">
        <w:rPr>
          <w:rFonts w:ascii="Verdana" w:hAnsi="Verdana"/>
          <w:color w:val="0071BB"/>
          <w:spacing w:val="4"/>
          <w:sz w:val="19"/>
        </w:rPr>
        <w:t xml:space="preserve">Sąd uznał, że państwa nie mają obowiązku rejestrowania szczegółowych danych z aktu urodzenia dziecka urodzonego w wyniku </w:t>
      </w:r>
      <w:r w:rsidR="0028076B">
        <w:rPr>
          <w:rFonts w:ascii="Verdana" w:hAnsi="Verdana"/>
          <w:color w:val="0071BB"/>
          <w:spacing w:val="4"/>
          <w:sz w:val="19"/>
        </w:rPr>
        <w:t>macierzyństwa zastępczego</w:t>
      </w:r>
      <w:r w:rsidR="004A3380">
        <w:rPr>
          <w:rFonts w:ascii="Verdana" w:hAnsi="Verdana"/>
          <w:color w:val="0071BB"/>
          <w:spacing w:val="4"/>
          <w:sz w:val="19"/>
        </w:rPr>
        <w:t xml:space="preserve"> </w:t>
      </w:r>
      <w:r w:rsidRPr="00B5742F">
        <w:rPr>
          <w:rFonts w:ascii="Verdana" w:hAnsi="Verdana"/>
          <w:color w:val="0071BB"/>
          <w:spacing w:val="4"/>
          <w:sz w:val="19"/>
        </w:rPr>
        <w:t>za granicą w celu ustalenia prawnego stosunku rodzicielskiego z matką zamierzającą urodzić dziecko, ponieważ adopcja może również służyć jako środek uznania tego stosunku.</w:t>
      </w:r>
    </w:p>
    <w:p w14:paraId="18B846DF" w14:textId="25B97B04" w:rsidR="000F5B45" w:rsidRPr="00B5742F" w:rsidRDefault="00000000" w:rsidP="00E93132">
      <w:pPr>
        <w:pStyle w:val="Tekstpodstawowy"/>
        <w:ind w:right="730"/>
        <w:rPr>
          <w:rFonts w:ascii="Verdana" w:hAnsi="Verdana"/>
          <w:spacing w:val="4"/>
        </w:rPr>
      </w:pPr>
      <w:r w:rsidRPr="00B5742F">
        <w:rPr>
          <w:rFonts w:ascii="Verdana" w:hAnsi="Verdana"/>
          <w:color w:val="0071BB"/>
          <w:spacing w:val="4"/>
          <w:sz w:val="19"/>
        </w:rPr>
        <w:t xml:space="preserve">W szczególności stwierdził, że w sytuacji, gdy dziecko urodziło się za granicą w wyniku umowy o macierzyństwo zastępcze i zostało poczęte przy użyciu gamet </w:t>
      </w:r>
      <w:r w:rsidR="00882F89">
        <w:rPr>
          <w:rFonts w:ascii="Verdana" w:hAnsi="Verdana"/>
          <w:color w:val="0071BB"/>
          <w:spacing w:val="4"/>
          <w:sz w:val="19"/>
        </w:rPr>
        <w:t xml:space="preserve">docelowego </w:t>
      </w:r>
      <w:r w:rsidRPr="00B5742F">
        <w:rPr>
          <w:rFonts w:ascii="Verdana" w:hAnsi="Verdana"/>
          <w:color w:val="0071BB"/>
          <w:spacing w:val="4"/>
          <w:sz w:val="19"/>
        </w:rPr>
        <w:t xml:space="preserve">ojca i </w:t>
      </w:r>
      <w:r w:rsidRPr="004A3380">
        <w:rPr>
          <w:rFonts w:ascii="Verdana" w:hAnsi="Verdana"/>
          <w:color w:val="0071BB"/>
          <w:spacing w:val="4"/>
          <w:sz w:val="19"/>
        </w:rPr>
        <w:t>dawcy będącego osobą trzecią</w:t>
      </w:r>
      <w:r w:rsidRPr="00B5742F">
        <w:rPr>
          <w:rFonts w:ascii="Verdana" w:hAnsi="Verdana"/>
          <w:color w:val="0071BB"/>
          <w:spacing w:val="4"/>
          <w:sz w:val="19"/>
        </w:rPr>
        <w:t xml:space="preserve">, a prawny związek rodzicielski z </w:t>
      </w:r>
      <w:r w:rsidR="00882F89">
        <w:rPr>
          <w:rFonts w:ascii="Verdana" w:hAnsi="Verdana"/>
          <w:color w:val="0071BB"/>
          <w:spacing w:val="4"/>
          <w:sz w:val="19"/>
        </w:rPr>
        <w:t xml:space="preserve">docelowym </w:t>
      </w:r>
      <w:r w:rsidRPr="00B5742F">
        <w:rPr>
          <w:rFonts w:ascii="Verdana" w:hAnsi="Verdana"/>
          <w:color w:val="0071BB"/>
          <w:spacing w:val="4"/>
          <w:sz w:val="19"/>
        </w:rPr>
        <w:t>ojcem został uznany w prawie krajowym,</w:t>
      </w:r>
    </w:p>
    <w:p w14:paraId="70839B52" w14:textId="57B10E49" w:rsidR="000F5B45" w:rsidRPr="00B5742F" w:rsidRDefault="00000000" w:rsidP="00E93132">
      <w:pPr>
        <w:pStyle w:val="Akapitzlist"/>
        <w:numPr>
          <w:ilvl w:val="0"/>
          <w:numId w:val="2"/>
        </w:numPr>
        <w:tabs>
          <w:tab w:val="left" w:pos="874"/>
          <w:tab w:val="left" w:pos="1190"/>
        </w:tabs>
        <w:ind w:right="727" w:hanging="1"/>
        <w:jc w:val="both"/>
        <w:rPr>
          <w:rFonts w:ascii="Verdana" w:hAnsi="Verdana"/>
          <w:spacing w:val="4"/>
          <w:sz w:val="20"/>
        </w:rPr>
      </w:pPr>
      <w:r w:rsidRPr="00B5742F">
        <w:rPr>
          <w:rFonts w:ascii="Verdana" w:hAnsi="Verdana"/>
          <w:color w:val="0071BB"/>
          <w:spacing w:val="4"/>
          <w:sz w:val="19"/>
        </w:rPr>
        <w:t>prawo dziecka do poszanowania życia prywatnego w rozumieniu art. 8 Konwencji wymaga, aby prawo krajowe przewidywało możliwość uznania prawnego stosunku rodzicielskiego z matką</w:t>
      </w:r>
      <w:r w:rsidR="00882F89">
        <w:rPr>
          <w:rFonts w:ascii="Verdana" w:hAnsi="Verdana"/>
          <w:color w:val="0071BB"/>
          <w:spacing w:val="4"/>
          <w:sz w:val="19"/>
        </w:rPr>
        <w:t xml:space="preserve"> docelową</w:t>
      </w:r>
      <w:r w:rsidRPr="00B5742F">
        <w:rPr>
          <w:rFonts w:ascii="Verdana" w:hAnsi="Verdana"/>
          <w:color w:val="0071BB"/>
          <w:spacing w:val="4"/>
          <w:sz w:val="19"/>
        </w:rPr>
        <w:t>, wskazaną w akcie urodzenia sporządzonym zgodnie z prawem za granicą jako „matka prawna”;</w:t>
      </w:r>
    </w:p>
    <w:p w14:paraId="03EA8F7B" w14:textId="3E7DEB73" w:rsidR="000F5B45" w:rsidRPr="00B5742F" w:rsidRDefault="00000000" w:rsidP="00E93132">
      <w:pPr>
        <w:pStyle w:val="Akapitzlist"/>
        <w:numPr>
          <w:ilvl w:val="0"/>
          <w:numId w:val="2"/>
        </w:numPr>
        <w:tabs>
          <w:tab w:val="left" w:pos="1140"/>
        </w:tabs>
        <w:ind w:left="873" w:right="726" w:firstLine="0"/>
        <w:jc w:val="both"/>
        <w:rPr>
          <w:rFonts w:ascii="Verdana" w:hAnsi="Verdana"/>
          <w:spacing w:val="4"/>
          <w:sz w:val="20"/>
        </w:rPr>
      </w:pPr>
      <w:r w:rsidRPr="00B5742F">
        <w:rPr>
          <w:rFonts w:ascii="Verdana" w:hAnsi="Verdana"/>
          <w:color w:val="0071BB"/>
          <w:spacing w:val="4"/>
          <w:sz w:val="19"/>
        </w:rPr>
        <w:t xml:space="preserve">prawo dziecka do poszanowania życia prywatnego nie wymaga, aby takie uznanie miało formę wpisu do rejestru urodzeń, małżeństw i zgonów danych zawartych w akcie urodzenia sporządzonym zgodnie z prawem za granicą; można zastosować inne środki, takie jak adopcja dziecka przez </w:t>
      </w:r>
      <w:r w:rsidR="00D6663B">
        <w:rPr>
          <w:rFonts w:ascii="Verdana" w:hAnsi="Verdana"/>
          <w:color w:val="0071BB"/>
          <w:spacing w:val="4"/>
          <w:sz w:val="19"/>
        </w:rPr>
        <w:t xml:space="preserve">docelową </w:t>
      </w:r>
      <w:r w:rsidRPr="00B5742F">
        <w:rPr>
          <w:rFonts w:ascii="Verdana" w:hAnsi="Verdana"/>
          <w:color w:val="0071BB"/>
          <w:spacing w:val="4"/>
          <w:sz w:val="19"/>
        </w:rPr>
        <w:t>matkę.</w:t>
      </w:r>
    </w:p>
    <w:p w14:paraId="497235CD" w14:textId="77777777" w:rsidR="00D21148" w:rsidRPr="00B5742F" w:rsidRDefault="00D21148" w:rsidP="00D21148">
      <w:pPr>
        <w:pStyle w:val="Akapitzlist"/>
        <w:tabs>
          <w:tab w:val="left" w:pos="1140"/>
        </w:tabs>
        <w:ind w:right="726" w:firstLine="0"/>
        <w:rPr>
          <w:rFonts w:ascii="Verdana" w:hAnsi="Verdana"/>
          <w:spacing w:val="4"/>
          <w:sz w:val="20"/>
        </w:rPr>
      </w:pPr>
    </w:p>
    <w:p w14:paraId="588F0A5E" w14:textId="77777777" w:rsidR="000F5B45" w:rsidRPr="00B5742F" w:rsidRDefault="000F5B45" w:rsidP="00E93132">
      <w:pPr>
        <w:pStyle w:val="Akapitzlist"/>
        <w:jc w:val="both"/>
        <w:rPr>
          <w:rFonts w:ascii="Verdana" w:hAnsi="Verdana"/>
          <w:sz w:val="20"/>
        </w:rPr>
        <w:sectPr w:rsidR="000F5B45" w:rsidRPr="00B5742F">
          <w:pgSz w:w="11910" w:h="16840"/>
          <w:pgMar w:top="1460" w:right="708" w:bottom="680" w:left="566" w:header="730" w:footer="497" w:gutter="0"/>
          <w:cols w:space="708"/>
        </w:sectPr>
      </w:pPr>
    </w:p>
    <w:p w14:paraId="028DAA32" w14:textId="77777777" w:rsidR="000F5B45" w:rsidRPr="00B5742F" w:rsidRDefault="000F5B45" w:rsidP="00E93132">
      <w:pPr>
        <w:pStyle w:val="Nagwek2"/>
        <w:spacing w:before="240"/>
        <w:rPr>
          <w:rFonts w:ascii="Verdana" w:hAnsi="Verdana"/>
          <w:u w:val="none"/>
        </w:rPr>
      </w:pPr>
      <w:hyperlink r:id="rId40">
        <w:r w:rsidRPr="00B5742F">
          <w:rPr>
            <w:rFonts w:ascii="Verdana" w:hAnsi="Verdana"/>
            <w:color w:val="0071BB"/>
            <w:sz w:val="19"/>
            <w:u w:color="0071BB"/>
          </w:rPr>
          <w:t>C i E przeciwko Francji (nr 1462/18 i 17348/18)</w:t>
        </w:r>
      </w:hyperlink>
    </w:p>
    <w:p w14:paraId="0FC6DED0" w14:textId="77777777" w:rsidR="000F5B45" w:rsidRPr="00B5742F" w:rsidRDefault="00000000" w:rsidP="00E93132">
      <w:pPr>
        <w:spacing w:before="58"/>
        <w:ind w:left="874"/>
        <w:jc w:val="both"/>
        <w:rPr>
          <w:rFonts w:ascii="Verdana" w:hAnsi="Verdana"/>
          <w:sz w:val="18"/>
        </w:rPr>
      </w:pPr>
      <w:r w:rsidRPr="00B5742F">
        <w:rPr>
          <w:rFonts w:ascii="Verdana" w:hAnsi="Verdana"/>
          <w:color w:val="808080"/>
          <w:sz w:val="17"/>
        </w:rPr>
        <w:t>19 listopada 2019 r. (decyzja komitetu w sprawie dopuszczalności)</w:t>
      </w:r>
    </w:p>
    <w:p w14:paraId="5B5E9034" w14:textId="46A6D8ED" w:rsidR="000F5B45" w:rsidRPr="00B5742F" w:rsidRDefault="00000000" w:rsidP="00E93132">
      <w:pPr>
        <w:pStyle w:val="Tekstpodstawowy"/>
        <w:spacing w:before="2"/>
        <w:ind w:left="874" w:right="731"/>
        <w:rPr>
          <w:rFonts w:ascii="Verdana" w:hAnsi="Verdana"/>
        </w:rPr>
      </w:pPr>
      <w:r w:rsidRPr="00B5742F">
        <w:rPr>
          <w:rFonts w:ascii="Verdana" w:hAnsi="Verdana"/>
          <w:sz w:val="19"/>
        </w:rPr>
        <w:t>Sprawa dotyczyła odmowy przez władze francuskie wpisania do francuskiego rejestru urodzeń, małżeństw i zgonów pełnych danych z aktów urodzenia dzieci urodzonych za granicą w wyniku umowy o macierzyństwo zastępcze i poczętych z wykorzystaniem gamet</w:t>
      </w:r>
      <w:r w:rsidR="00D6663B">
        <w:rPr>
          <w:rFonts w:ascii="Verdana" w:hAnsi="Verdana"/>
          <w:sz w:val="19"/>
        </w:rPr>
        <w:t xml:space="preserve"> docelowego</w:t>
      </w:r>
      <w:r w:rsidRPr="00B5742F">
        <w:rPr>
          <w:rFonts w:ascii="Verdana" w:hAnsi="Verdana"/>
          <w:sz w:val="19"/>
        </w:rPr>
        <w:t xml:space="preserve"> ojca i dawcy będącego osobą trzecią, w zakresie, w jakim akty urodzenia wskazywały </w:t>
      </w:r>
      <w:r w:rsidR="00D6663B">
        <w:rPr>
          <w:rFonts w:ascii="Verdana" w:hAnsi="Verdana"/>
          <w:sz w:val="19"/>
        </w:rPr>
        <w:t xml:space="preserve">docelową </w:t>
      </w:r>
      <w:r w:rsidRPr="00B5742F">
        <w:rPr>
          <w:rFonts w:ascii="Verdana" w:hAnsi="Verdana"/>
          <w:sz w:val="19"/>
        </w:rPr>
        <w:t>matkę jako matkę prawną.</w:t>
      </w:r>
    </w:p>
    <w:p w14:paraId="55CF0609" w14:textId="3EC7D849" w:rsidR="000F5B45" w:rsidRPr="00B5742F" w:rsidRDefault="00000000" w:rsidP="00E93132">
      <w:pPr>
        <w:pStyle w:val="Tekstpodstawowy"/>
        <w:rPr>
          <w:rFonts w:ascii="Verdana" w:hAnsi="Verdana"/>
        </w:rPr>
      </w:pPr>
      <w:r w:rsidRPr="00B5742F">
        <w:rPr>
          <w:rFonts w:ascii="Verdana" w:hAnsi="Verdana"/>
          <w:color w:val="0071BB"/>
          <w:sz w:val="19"/>
        </w:rPr>
        <w:t xml:space="preserve">Trybunał uznał </w:t>
      </w:r>
      <w:r w:rsidR="002624C0">
        <w:rPr>
          <w:rFonts w:ascii="Verdana" w:hAnsi="Verdana"/>
          <w:color w:val="0071BB"/>
          <w:sz w:val="19"/>
        </w:rPr>
        <w:t>obie skargi</w:t>
      </w:r>
      <w:r w:rsidRPr="00B5742F">
        <w:rPr>
          <w:rFonts w:ascii="Verdana" w:hAnsi="Verdana"/>
          <w:color w:val="0071BB"/>
          <w:sz w:val="19"/>
        </w:rPr>
        <w:t xml:space="preserve"> za</w:t>
      </w:r>
      <w:r w:rsidRPr="00B5742F">
        <w:rPr>
          <w:rFonts w:ascii="Verdana" w:hAnsi="Verdana"/>
          <w:b/>
          <w:color w:val="0071BB"/>
          <w:sz w:val="19"/>
        </w:rPr>
        <w:t xml:space="preserve"> niedopuszczalne </w:t>
      </w:r>
      <w:r w:rsidRPr="00B5742F">
        <w:rPr>
          <w:rFonts w:ascii="Verdana" w:hAnsi="Verdana"/>
          <w:color w:val="0071BB"/>
          <w:sz w:val="19"/>
        </w:rPr>
        <w:t>jako</w:t>
      </w:r>
      <w:r w:rsidR="004A3380">
        <w:rPr>
          <w:rFonts w:ascii="Verdana" w:hAnsi="Verdana"/>
          <w:color w:val="0071BB"/>
          <w:sz w:val="19"/>
        </w:rPr>
        <w:t xml:space="preserve"> </w:t>
      </w:r>
      <w:r w:rsidR="00D71BCE">
        <w:rPr>
          <w:rFonts w:ascii="Verdana" w:hAnsi="Verdana"/>
          <w:color w:val="0071BB"/>
          <w:sz w:val="19"/>
        </w:rPr>
        <w:t>w sposób oczywisty nieuzasadnione</w:t>
      </w:r>
      <w:r w:rsidRPr="00B5742F">
        <w:rPr>
          <w:rFonts w:ascii="Verdana" w:hAnsi="Verdana"/>
          <w:color w:val="0071BB"/>
          <w:sz w:val="19"/>
        </w:rPr>
        <w:t xml:space="preserve">. W szczególności uznał, że odmowa władz francuskich nie była nieproporcjonalna, ponieważ prawo krajowe przewidywało możliwość uznania stosunku rodzicielskiego między dziećmi </w:t>
      </w:r>
      <w:r w:rsidR="00E04440">
        <w:rPr>
          <w:rFonts w:ascii="Verdana" w:hAnsi="Verdana"/>
          <w:color w:val="0071BB"/>
          <w:sz w:val="19"/>
        </w:rPr>
        <w:t>skarżących</w:t>
      </w:r>
      <w:r w:rsidRPr="00B5742F">
        <w:rPr>
          <w:rFonts w:ascii="Verdana" w:hAnsi="Verdana"/>
          <w:color w:val="0071BB"/>
          <w:sz w:val="19"/>
        </w:rPr>
        <w:t xml:space="preserve"> a ich przyszłą matką poprzez adopcję dziecka drugiego małżonka. Trybunał zauważył również, że średni czas oczekiwania na decyzję wynosił jedynie 4,1 miesiąca w przypadku pełnej adopcji i 4,7 miesiąca w przypadku adopcji zwykłej.</w:t>
      </w:r>
    </w:p>
    <w:p w14:paraId="02277DBC" w14:textId="77777777" w:rsidR="000F5B45" w:rsidRPr="00B5742F" w:rsidRDefault="000F5B45" w:rsidP="00E93132">
      <w:pPr>
        <w:spacing w:before="106"/>
        <w:ind w:left="873"/>
        <w:jc w:val="both"/>
        <w:rPr>
          <w:rFonts w:ascii="Verdana" w:hAnsi="Verdana"/>
          <w:b/>
          <w:sz w:val="20"/>
        </w:rPr>
      </w:pPr>
      <w:hyperlink r:id="rId41">
        <w:r w:rsidRPr="00B5742F">
          <w:rPr>
            <w:rFonts w:ascii="Verdana" w:hAnsi="Verdana"/>
            <w:b/>
            <w:color w:val="0071BB"/>
            <w:sz w:val="19"/>
            <w:u w:val="single" w:color="0071BB"/>
          </w:rPr>
          <w:t>D przeciwko Francji (nr 11288/18)</w:t>
        </w:r>
      </w:hyperlink>
    </w:p>
    <w:p w14:paraId="400F4F71" w14:textId="77777777"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16 lipca 2020 r.</w:t>
      </w:r>
    </w:p>
    <w:p w14:paraId="26677A19" w14:textId="75CEAB75" w:rsidR="000F5B45" w:rsidRPr="00B5742F" w:rsidRDefault="007955BD" w:rsidP="00E93132">
      <w:pPr>
        <w:pStyle w:val="Tekstpodstawowy"/>
        <w:spacing w:before="3"/>
        <w:ind w:right="727"/>
        <w:rPr>
          <w:rFonts w:ascii="Verdana" w:hAnsi="Verdana"/>
        </w:rPr>
      </w:pPr>
      <w:r w:rsidRPr="007955BD">
        <w:rPr>
          <w:rFonts w:ascii="Verdana" w:hAnsi="Verdana"/>
          <w:sz w:val="19"/>
        </w:rPr>
        <w:t xml:space="preserve">Sprawa dotyczyła odmowy dokonania we francuskim </w:t>
      </w:r>
      <w:r>
        <w:rPr>
          <w:rFonts w:ascii="Verdana" w:hAnsi="Verdana"/>
          <w:sz w:val="19"/>
        </w:rPr>
        <w:t xml:space="preserve">rejestrze urodzeń, małżeństw oraz zgonów części wpisu </w:t>
      </w:r>
      <w:r w:rsidRPr="007955BD">
        <w:rPr>
          <w:rFonts w:ascii="Verdana" w:hAnsi="Verdana"/>
          <w:sz w:val="19"/>
        </w:rPr>
        <w:t>zagranicznego aktu urodzenia dziecka urodzonego w wyniku macierzyństwa zastępczego</w:t>
      </w:r>
      <w:r>
        <w:rPr>
          <w:rFonts w:ascii="Verdana" w:hAnsi="Verdana"/>
          <w:sz w:val="19"/>
        </w:rPr>
        <w:t xml:space="preserve">, </w:t>
      </w:r>
      <w:r w:rsidRPr="007955BD">
        <w:rPr>
          <w:rFonts w:ascii="Verdana" w:hAnsi="Verdana"/>
          <w:sz w:val="19"/>
        </w:rPr>
        <w:t xml:space="preserve">w jakiej jako matkę wskazywano kobietę będącą </w:t>
      </w:r>
      <w:r>
        <w:rPr>
          <w:rFonts w:ascii="Verdana" w:hAnsi="Verdana"/>
          <w:sz w:val="19"/>
        </w:rPr>
        <w:t xml:space="preserve">docelową </w:t>
      </w:r>
      <w:r w:rsidRPr="007955BD">
        <w:rPr>
          <w:rFonts w:ascii="Verdana" w:hAnsi="Verdana"/>
          <w:sz w:val="19"/>
        </w:rPr>
        <w:t>i genetyczną matką dziecka, a nie kobietę, która dziecko urodziła (</w:t>
      </w:r>
      <w:r>
        <w:rPr>
          <w:rFonts w:ascii="Verdana" w:hAnsi="Verdana"/>
          <w:sz w:val="19"/>
        </w:rPr>
        <w:t xml:space="preserve">matkę </w:t>
      </w:r>
      <w:r w:rsidRPr="007955BD">
        <w:rPr>
          <w:rFonts w:ascii="Verdana" w:hAnsi="Verdana"/>
          <w:sz w:val="19"/>
        </w:rPr>
        <w:t>surogatkę</w:t>
      </w:r>
      <w:r w:rsidR="004A3380" w:rsidRPr="007955BD">
        <w:rPr>
          <w:rFonts w:ascii="Verdana" w:hAnsi="Verdana"/>
          <w:sz w:val="19"/>
        </w:rPr>
        <w:t>)</w:t>
      </w:r>
      <w:r w:rsidR="004A3380">
        <w:rPr>
          <w:rFonts w:ascii="Verdana" w:hAnsi="Verdana"/>
          <w:sz w:val="19"/>
        </w:rPr>
        <w:t>.</w:t>
      </w:r>
      <w:r w:rsidR="004A3380" w:rsidRPr="00B5742F">
        <w:rPr>
          <w:rFonts w:ascii="Verdana" w:hAnsi="Verdana"/>
          <w:sz w:val="19"/>
        </w:rPr>
        <w:t xml:space="preserve"> Trzeci</w:t>
      </w:r>
      <w:r w:rsidR="00F52DD1" w:rsidRPr="00B5742F">
        <w:rPr>
          <w:rFonts w:ascii="Verdana" w:hAnsi="Verdana"/>
          <w:sz w:val="19"/>
        </w:rPr>
        <w:t xml:space="preserve"> skarżący w spr</w:t>
      </w:r>
      <w:r w:rsidR="00F90287">
        <w:rPr>
          <w:rFonts w:ascii="Verdana" w:hAnsi="Verdana"/>
          <w:sz w:val="19"/>
        </w:rPr>
        <w:t>a</w:t>
      </w:r>
      <w:r w:rsidR="00F52DD1" w:rsidRPr="00B5742F">
        <w:rPr>
          <w:rFonts w:ascii="Verdana" w:hAnsi="Verdana"/>
          <w:sz w:val="19"/>
        </w:rPr>
        <w:t xml:space="preserve">wie- dziecko- </w:t>
      </w:r>
      <w:r w:rsidRPr="00B5742F">
        <w:rPr>
          <w:rFonts w:ascii="Verdana" w:hAnsi="Verdana"/>
          <w:sz w:val="19"/>
        </w:rPr>
        <w:t xml:space="preserve">urodziło się </w:t>
      </w:r>
      <w:r w:rsidR="00F90287">
        <w:rPr>
          <w:rFonts w:ascii="Verdana" w:hAnsi="Verdana"/>
          <w:sz w:val="19"/>
        </w:rPr>
        <w:t>w</w:t>
      </w:r>
      <w:r w:rsidR="00F90287" w:rsidRPr="00B5742F">
        <w:rPr>
          <w:rFonts w:ascii="Verdana" w:hAnsi="Verdana"/>
          <w:sz w:val="19"/>
        </w:rPr>
        <w:t xml:space="preserve"> </w:t>
      </w:r>
      <w:r w:rsidRPr="00B5742F">
        <w:rPr>
          <w:rFonts w:ascii="Verdana" w:hAnsi="Verdana"/>
          <w:sz w:val="19"/>
        </w:rPr>
        <w:t xml:space="preserve">Ukrainie w 2012 r. W akcie urodzenia wydanym w Kijowie jako matka została wskazana pierwsza skarżąca, a jako ojciec – drugi skarżący, bez wymienienia kobiety, która urodziła dziecko. </w:t>
      </w:r>
      <w:r>
        <w:rPr>
          <w:rFonts w:ascii="Verdana" w:hAnsi="Verdana"/>
          <w:sz w:val="19"/>
        </w:rPr>
        <w:t>Dwoje pierwszych</w:t>
      </w:r>
      <w:r w:rsidR="004A3380">
        <w:rPr>
          <w:rFonts w:ascii="Verdana" w:hAnsi="Verdana"/>
          <w:sz w:val="19"/>
        </w:rPr>
        <w:t xml:space="preserve"> </w:t>
      </w:r>
      <w:r w:rsidRPr="00B5742F">
        <w:rPr>
          <w:rFonts w:ascii="Verdana" w:hAnsi="Verdana"/>
          <w:sz w:val="19"/>
        </w:rPr>
        <w:t xml:space="preserve">skarżących, </w:t>
      </w:r>
      <w:r w:rsidR="00F52DD1" w:rsidRPr="00B5742F">
        <w:rPr>
          <w:rFonts w:ascii="Verdana" w:hAnsi="Verdana"/>
          <w:sz w:val="19"/>
        </w:rPr>
        <w:t>małżeństwo</w:t>
      </w:r>
      <w:r w:rsidRPr="00B5742F">
        <w:rPr>
          <w:rFonts w:ascii="Verdana" w:hAnsi="Verdana"/>
          <w:sz w:val="19"/>
        </w:rPr>
        <w:t xml:space="preserve"> oraz dziecko zarzucili naruszenie prawa dziecka do poszanowania życia prywatnego oraz dyskryminację ze względu na „pochodzenie” w zakresie korzystania z tego prawa.</w:t>
      </w:r>
    </w:p>
    <w:p w14:paraId="6AC3C59B" w14:textId="2004A6B6" w:rsidR="000F5B45" w:rsidRPr="00B5742F" w:rsidRDefault="00000000" w:rsidP="00E93132">
      <w:pPr>
        <w:pStyle w:val="Tekstpodstawowy"/>
        <w:ind w:right="729"/>
        <w:rPr>
          <w:rFonts w:ascii="Verdana" w:hAnsi="Verdana"/>
        </w:rPr>
      </w:pPr>
      <w:r w:rsidRPr="00B5742F">
        <w:rPr>
          <w:rFonts w:ascii="Verdana" w:hAnsi="Verdana"/>
          <w:color w:val="0071BB"/>
          <w:sz w:val="19"/>
        </w:rPr>
        <w:t xml:space="preserve">Trybunał uznał, że </w:t>
      </w:r>
      <w:r w:rsidRPr="00B5742F">
        <w:rPr>
          <w:rFonts w:ascii="Verdana" w:hAnsi="Verdana"/>
          <w:b/>
          <w:color w:val="0071BB"/>
          <w:sz w:val="19"/>
        </w:rPr>
        <w:t xml:space="preserve">nie </w:t>
      </w:r>
      <w:r w:rsidRPr="00B5742F">
        <w:rPr>
          <w:rFonts w:ascii="Verdana" w:hAnsi="Verdana"/>
          <w:b/>
          <w:bCs/>
          <w:color w:val="0071BB"/>
          <w:sz w:val="19"/>
        </w:rPr>
        <w:t>doszło</w:t>
      </w:r>
      <w:r w:rsidRPr="00B5742F">
        <w:rPr>
          <w:rFonts w:ascii="Verdana" w:hAnsi="Verdana"/>
          <w:color w:val="0071BB"/>
          <w:sz w:val="19"/>
        </w:rPr>
        <w:t xml:space="preserve"> </w:t>
      </w:r>
      <w:r w:rsidRPr="00B5742F">
        <w:rPr>
          <w:rFonts w:ascii="Verdana" w:hAnsi="Verdana"/>
          <w:b/>
          <w:color w:val="0071BB"/>
          <w:sz w:val="19"/>
        </w:rPr>
        <w:t xml:space="preserve">do naruszenia art. 8 </w:t>
      </w:r>
      <w:r w:rsidRPr="00B5742F">
        <w:rPr>
          <w:rFonts w:ascii="Verdana" w:hAnsi="Verdana"/>
          <w:color w:val="0071BB"/>
          <w:sz w:val="19"/>
        </w:rPr>
        <w:t xml:space="preserve">(prawo do poszanowania życia rodzinnego) Konwencji, stwierdzając, że odmawiając wpisania danych z ukraińskiego aktu urodzenia trzeciego skarżącego do francuskiego rejestru urodzeń w zakresie, w jakim wskazywały one pierwszą skarżącą jako matkę dziecka, Francja nie przekroczyła marginesu </w:t>
      </w:r>
      <w:r w:rsidR="004F24BF">
        <w:rPr>
          <w:rFonts w:ascii="Verdana" w:hAnsi="Verdana"/>
          <w:color w:val="0071BB"/>
          <w:sz w:val="19"/>
        </w:rPr>
        <w:t>oceny</w:t>
      </w:r>
      <w:r w:rsidRPr="00B5742F">
        <w:rPr>
          <w:rFonts w:ascii="Verdana" w:hAnsi="Verdana"/>
          <w:color w:val="0071BB"/>
          <w:sz w:val="19"/>
        </w:rPr>
        <w:t xml:space="preserve"> w okolicznościach niniejszej sprawy. Stwierdził również, że </w:t>
      </w:r>
      <w:r w:rsidRPr="00B5742F">
        <w:rPr>
          <w:rFonts w:ascii="Verdana" w:hAnsi="Verdana"/>
          <w:b/>
          <w:color w:val="0071BB"/>
          <w:sz w:val="19"/>
        </w:rPr>
        <w:t>nie doszło</w:t>
      </w:r>
      <w:r w:rsidRPr="00B5742F">
        <w:rPr>
          <w:rFonts w:ascii="Verdana" w:hAnsi="Verdana"/>
          <w:color w:val="0071BB"/>
          <w:sz w:val="19"/>
        </w:rPr>
        <w:t xml:space="preserve"> </w:t>
      </w:r>
      <w:r w:rsidRPr="00B5742F">
        <w:rPr>
          <w:rFonts w:ascii="Verdana" w:hAnsi="Verdana"/>
          <w:b/>
          <w:color w:val="0071BB"/>
          <w:sz w:val="19"/>
        </w:rPr>
        <w:t>do naruszenia art. 14</w:t>
      </w:r>
      <w:r w:rsidRPr="004A3380">
        <w:rPr>
          <w:rFonts w:ascii="Verdana" w:hAnsi="Verdana"/>
          <w:bCs/>
          <w:color w:val="0071BB"/>
          <w:sz w:val="19"/>
        </w:rPr>
        <w:t xml:space="preserve"> (</w:t>
      </w:r>
      <w:r w:rsidRPr="00B5742F">
        <w:rPr>
          <w:rFonts w:ascii="Verdana" w:hAnsi="Verdana"/>
          <w:color w:val="0071BB"/>
          <w:sz w:val="19"/>
        </w:rPr>
        <w:t xml:space="preserve">zakaz dyskryminacji) Konwencji </w:t>
      </w:r>
      <w:r w:rsidRPr="00B5742F">
        <w:rPr>
          <w:rFonts w:ascii="Verdana" w:hAnsi="Verdana"/>
          <w:b/>
          <w:color w:val="0071BB"/>
          <w:sz w:val="19"/>
        </w:rPr>
        <w:t xml:space="preserve">w związku z art. 8, </w:t>
      </w:r>
      <w:r w:rsidRPr="00B5742F">
        <w:rPr>
          <w:rFonts w:ascii="Verdana" w:hAnsi="Verdana"/>
          <w:color w:val="0071BB"/>
          <w:sz w:val="19"/>
        </w:rPr>
        <w:t xml:space="preserve">uznając, że różnica w traktowaniu skarżących w odniesieniu do sposobu uznania stosunku prawnego między tymi dziećmi a ich genetyczną matką miała obiektywne i uzasadnione uzasadnienie. W wyroku Trybunał zwrócił w szczególności uwagę, że w sprawach </w:t>
      </w:r>
      <w:r w:rsidRPr="00B5742F">
        <w:rPr>
          <w:rFonts w:ascii="Verdana" w:hAnsi="Verdana"/>
          <w:i/>
          <w:color w:val="0071BB"/>
          <w:sz w:val="19"/>
        </w:rPr>
        <w:t xml:space="preserve">Mennesson </w:t>
      </w:r>
      <w:r w:rsidRPr="00B5742F">
        <w:rPr>
          <w:rFonts w:ascii="Verdana" w:hAnsi="Verdana"/>
          <w:color w:val="0071BB"/>
          <w:sz w:val="19"/>
        </w:rPr>
        <w:t xml:space="preserve">i </w:t>
      </w:r>
      <w:r w:rsidRPr="00B5742F">
        <w:rPr>
          <w:rFonts w:ascii="Verdana" w:hAnsi="Verdana"/>
          <w:i/>
          <w:color w:val="0071BB"/>
          <w:sz w:val="19"/>
        </w:rPr>
        <w:t>Labassee (</w:t>
      </w:r>
      <w:r w:rsidRPr="00B5742F">
        <w:rPr>
          <w:rFonts w:ascii="Verdana" w:hAnsi="Verdana"/>
          <w:color w:val="0071BB"/>
          <w:sz w:val="19"/>
        </w:rPr>
        <w:t xml:space="preserve">zob. powyżej) rozstrzygał już wcześniej kwestię prawnego stosunku rodzicielskiego między dzieckiem a jego </w:t>
      </w:r>
      <w:r w:rsidR="00AE5FBD">
        <w:rPr>
          <w:rFonts w:ascii="Verdana" w:hAnsi="Verdana"/>
          <w:color w:val="0071BB"/>
          <w:sz w:val="19"/>
        </w:rPr>
        <w:t xml:space="preserve">docelowym </w:t>
      </w:r>
      <w:r w:rsidRPr="00B5742F">
        <w:rPr>
          <w:rFonts w:ascii="Verdana" w:hAnsi="Verdana"/>
          <w:color w:val="0071BB"/>
          <w:sz w:val="19"/>
        </w:rPr>
        <w:t xml:space="preserve">ojcem, który był ojcem biologicznym. Zgodnie z utrwalonym orzecznictwem istnienie więzi genetycznej nie oznacza, że prawo dziecka do poszanowania życia prywatnego wymaga, aby stosunek prawny z </w:t>
      </w:r>
      <w:r w:rsidR="00AE5FBD">
        <w:rPr>
          <w:rFonts w:ascii="Verdana" w:hAnsi="Verdana"/>
          <w:color w:val="0071BB"/>
          <w:sz w:val="19"/>
        </w:rPr>
        <w:t>docelowym</w:t>
      </w:r>
      <w:r w:rsidRPr="00B5742F">
        <w:rPr>
          <w:rFonts w:ascii="Verdana" w:hAnsi="Verdana"/>
          <w:color w:val="0071BB"/>
          <w:sz w:val="19"/>
        </w:rPr>
        <w:t xml:space="preserve"> ojcem został wyraźnie ustanowiony poprzez wpisanie szczegółowych danych zagranicznego aktu urodzenia. W okolicznościach niniejszej sprawy Trybunał nie widział powodu, aby podjąć inną decyzję w sprawie uznania stosunku prawnego z</w:t>
      </w:r>
      <w:r w:rsidR="00AE5FBD">
        <w:rPr>
          <w:rFonts w:ascii="Verdana" w:hAnsi="Verdana"/>
          <w:color w:val="0071BB"/>
          <w:sz w:val="19"/>
        </w:rPr>
        <w:t xml:space="preserve"> docelową</w:t>
      </w:r>
      <w:r w:rsidRPr="00B5742F">
        <w:rPr>
          <w:rFonts w:ascii="Verdana" w:hAnsi="Verdana"/>
          <w:color w:val="0071BB"/>
          <w:sz w:val="19"/>
        </w:rPr>
        <w:t xml:space="preserve"> matką, która była genetyczną matką dziecka. Trybunał zwrócił również uwagę na swoje stwierdzenie zawarte w opinii doradczej nr P16-2018-001 (zob. powyżej), że adopcja wywołuje skutki podobne do rejestracji danych dotyczących zagranicznego aktu urodzenia, jeśli chodzi o uznanie stosunku prawnego między dzieckiem a </w:t>
      </w:r>
      <w:r w:rsidR="00AE5FBD">
        <w:rPr>
          <w:rFonts w:ascii="Verdana" w:hAnsi="Verdana"/>
          <w:color w:val="0071BB"/>
          <w:sz w:val="19"/>
        </w:rPr>
        <w:t xml:space="preserve">docelową </w:t>
      </w:r>
      <w:r w:rsidRPr="00B5742F">
        <w:rPr>
          <w:rFonts w:ascii="Verdana" w:hAnsi="Verdana"/>
          <w:color w:val="0071BB"/>
          <w:sz w:val="19"/>
        </w:rPr>
        <w:t xml:space="preserve"> matką.</w:t>
      </w:r>
    </w:p>
    <w:p w14:paraId="7380B1CF" w14:textId="12252A6C" w:rsidR="000F5B45" w:rsidRPr="00B5742F" w:rsidRDefault="000F5B45" w:rsidP="00E93132">
      <w:pPr>
        <w:pStyle w:val="Nagwek2"/>
        <w:spacing w:before="88"/>
        <w:ind w:left="873"/>
        <w:rPr>
          <w:rFonts w:ascii="Verdana" w:hAnsi="Verdana"/>
          <w:u w:val="none"/>
        </w:rPr>
      </w:pPr>
      <w:hyperlink r:id="rId42">
        <w:r w:rsidRPr="00B5742F">
          <w:rPr>
            <w:rFonts w:ascii="Verdana" w:hAnsi="Verdana"/>
            <w:color w:val="0071BB"/>
            <w:sz w:val="19"/>
            <w:u w:color="0071BB"/>
          </w:rPr>
          <w:t xml:space="preserve">Valdís Fjölnisdóttir i </w:t>
        </w:r>
        <w:r w:rsidR="00857A56" w:rsidRPr="00B5742F">
          <w:rPr>
            <w:rFonts w:ascii="Verdana" w:hAnsi="Verdana"/>
            <w:color w:val="0071BB"/>
            <w:sz w:val="19"/>
            <w:u w:color="0071BB"/>
          </w:rPr>
          <w:t>I</w:t>
        </w:r>
        <w:r w:rsidRPr="00B5742F">
          <w:rPr>
            <w:rFonts w:ascii="Verdana" w:hAnsi="Verdana"/>
            <w:color w:val="0071BB"/>
            <w:sz w:val="19"/>
            <w:u w:color="0071BB"/>
          </w:rPr>
          <w:t>nni przeciwko Islandii</w:t>
        </w:r>
      </w:hyperlink>
    </w:p>
    <w:p w14:paraId="2B323E9F" w14:textId="1F4BACF2" w:rsidR="000F5B45" w:rsidRPr="00B5742F" w:rsidRDefault="00000000" w:rsidP="00E93132">
      <w:pPr>
        <w:spacing w:before="55"/>
        <w:ind w:left="874"/>
        <w:jc w:val="both"/>
        <w:rPr>
          <w:rFonts w:ascii="Verdana" w:hAnsi="Verdana"/>
          <w:sz w:val="18"/>
        </w:rPr>
      </w:pPr>
      <w:r w:rsidRPr="00B5742F">
        <w:rPr>
          <w:rFonts w:ascii="Verdana" w:hAnsi="Verdana"/>
          <w:color w:val="808080"/>
          <w:sz w:val="17"/>
        </w:rPr>
        <w:t>18 maja 2021</w:t>
      </w:r>
      <w:r w:rsidR="00382433">
        <w:rPr>
          <w:rFonts w:ascii="Verdana" w:hAnsi="Verdana"/>
          <w:color w:val="808080"/>
          <w:sz w:val="17"/>
        </w:rPr>
        <w:t xml:space="preserve"> r.</w:t>
      </w:r>
    </w:p>
    <w:p w14:paraId="68067EB4" w14:textId="6D7C5766" w:rsidR="00DD2E9A" w:rsidRPr="00B5742F" w:rsidRDefault="00000000" w:rsidP="00DD2E9A">
      <w:pPr>
        <w:pStyle w:val="Tekstpodstawowy"/>
        <w:spacing w:before="1"/>
        <w:ind w:left="874" w:right="729" w:hanging="1"/>
        <w:rPr>
          <w:rFonts w:ascii="Verdana" w:hAnsi="Verdana"/>
          <w:color w:val="0071BB"/>
          <w:sz w:val="19"/>
        </w:rPr>
      </w:pPr>
      <w:r w:rsidRPr="00B5742F">
        <w:rPr>
          <w:rFonts w:ascii="Verdana" w:hAnsi="Verdana"/>
          <w:sz w:val="19"/>
        </w:rPr>
        <w:t xml:space="preserve">Sprawa dotyczyła nieuznania więzi rodzicielskiej między dwoma pierwszymi skarżącymi a trzecim skarżącym, który urodził się im dzięki </w:t>
      </w:r>
      <w:r w:rsidR="000B028A">
        <w:rPr>
          <w:rFonts w:ascii="Verdana" w:hAnsi="Verdana"/>
          <w:sz w:val="19"/>
        </w:rPr>
        <w:t>matce zastępczej</w:t>
      </w:r>
      <w:r w:rsidR="000B028A" w:rsidRPr="00B5742F">
        <w:rPr>
          <w:rFonts w:ascii="Verdana" w:hAnsi="Verdana"/>
          <w:sz w:val="19"/>
        </w:rPr>
        <w:t xml:space="preserve"> </w:t>
      </w:r>
      <w:r w:rsidRPr="00B5742F">
        <w:rPr>
          <w:rFonts w:ascii="Verdana" w:hAnsi="Verdana"/>
          <w:sz w:val="19"/>
        </w:rPr>
        <w:t xml:space="preserve">w Stanach Zjednoczonych. Pierwszy i drugi skarżący byli </w:t>
      </w:r>
      <w:r w:rsidR="00AE5FBD">
        <w:rPr>
          <w:rFonts w:ascii="Verdana" w:hAnsi="Verdana"/>
          <w:sz w:val="19"/>
        </w:rPr>
        <w:t xml:space="preserve">docelowymi </w:t>
      </w:r>
      <w:r w:rsidRPr="00B5742F">
        <w:rPr>
          <w:rFonts w:ascii="Verdana" w:hAnsi="Verdana"/>
          <w:sz w:val="19"/>
        </w:rPr>
        <w:t>rodzicami trzeciego skarżącego, ale żaden z nich nie był z nim biologicznie spokrewniony. Nie zostali oni uznani za rodziców dziecka w Islandii, gdzie surogacja jest nielegalna. Skarżący zarzucali w szczególności, że odmowa rejestracji pierwszego i</w:t>
      </w:r>
      <w:r w:rsidR="00857A56" w:rsidRPr="00B5742F">
        <w:rPr>
          <w:rFonts w:ascii="Verdana" w:hAnsi="Verdana"/>
          <w:sz w:val="19"/>
        </w:rPr>
        <w:t xml:space="preserve"> drugich </w:t>
      </w:r>
      <w:r w:rsidR="00E04440">
        <w:rPr>
          <w:rFonts w:ascii="Verdana" w:hAnsi="Verdana"/>
          <w:sz w:val="19"/>
        </w:rPr>
        <w:t>skarżących</w:t>
      </w:r>
      <w:r w:rsidR="00857A56" w:rsidRPr="00B5742F">
        <w:rPr>
          <w:rFonts w:ascii="Verdana" w:hAnsi="Verdana"/>
          <w:sz w:val="19"/>
        </w:rPr>
        <w:t xml:space="preserve"> jako rodziców trzeciego </w:t>
      </w:r>
      <w:r w:rsidR="00E04440">
        <w:rPr>
          <w:rFonts w:ascii="Verdana" w:hAnsi="Verdana"/>
          <w:sz w:val="19"/>
        </w:rPr>
        <w:t>skarżącego</w:t>
      </w:r>
      <w:r w:rsidR="00857A56" w:rsidRPr="00B5742F">
        <w:rPr>
          <w:rFonts w:ascii="Verdana" w:hAnsi="Verdana"/>
          <w:sz w:val="19"/>
        </w:rPr>
        <w:t xml:space="preserve"> stanowiło naruszenie ich praw</w:t>
      </w:r>
      <w:r w:rsidR="00DD2E9A" w:rsidRPr="00B5742F">
        <w:rPr>
          <w:rFonts w:ascii="Verdana" w:hAnsi="Verdana"/>
          <w:sz w:val="19"/>
        </w:rPr>
        <w:t>.</w:t>
      </w:r>
      <w:r w:rsidR="00DD2E9A" w:rsidRPr="00B5742F">
        <w:rPr>
          <w:rFonts w:ascii="Verdana" w:hAnsi="Verdana"/>
          <w:color w:val="0071BB"/>
          <w:sz w:val="19"/>
        </w:rPr>
        <w:t xml:space="preserve"> </w:t>
      </w:r>
    </w:p>
    <w:p w14:paraId="4CEDCC7B" w14:textId="5631E89A" w:rsidR="00DD2E9A" w:rsidRPr="00B5742F" w:rsidRDefault="00DD2E9A" w:rsidP="00DD2E9A">
      <w:pPr>
        <w:pStyle w:val="Tekstpodstawowy"/>
        <w:spacing w:before="1"/>
        <w:ind w:left="874" w:right="729" w:hanging="1"/>
        <w:rPr>
          <w:rFonts w:ascii="Verdana" w:hAnsi="Verdana"/>
          <w:color w:val="0070C0"/>
          <w:sz w:val="19"/>
        </w:rPr>
      </w:pPr>
      <w:r w:rsidRPr="00B5742F">
        <w:rPr>
          <w:rFonts w:ascii="Verdana" w:hAnsi="Verdana"/>
          <w:color w:val="0070C0"/>
          <w:sz w:val="19"/>
        </w:rPr>
        <w:t xml:space="preserve">Trybunał uznał, że </w:t>
      </w:r>
      <w:r w:rsidRPr="00B5742F">
        <w:rPr>
          <w:rFonts w:ascii="Verdana" w:hAnsi="Verdana"/>
          <w:bCs/>
          <w:color w:val="0070C0"/>
          <w:sz w:val="19"/>
        </w:rPr>
        <w:t>nie doszło</w:t>
      </w:r>
      <w:r w:rsidRPr="00B5742F">
        <w:rPr>
          <w:rFonts w:ascii="Verdana" w:hAnsi="Verdana"/>
          <w:color w:val="0070C0"/>
          <w:sz w:val="19"/>
        </w:rPr>
        <w:t xml:space="preserve"> </w:t>
      </w:r>
      <w:r w:rsidRPr="00B5742F">
        <w:rPr>
          <w:rFonts w:ascii="Verdana" w:hAnsi="Verdana"/>
          <w:b/>
          <w:color w:val="0070C0"/>
          <w:sz w:val="19"/>
        </w:rPr>
        <w:t xml:space="preserve">do naruszenia art. 8 </w:t>
      </w:r>
      <w:r w:rsidRPr="00B5742F">
        <w:rPr>
          <w:rFonts w:ascii="Verdana" w:hAnsi="Verdana"/>
          <w:color w:val="0070C0"/>
          <w:sz w:val="19"/>
        </w:rPr>
        <w:t>(prawo do poszanowania życia rodzinnego) Konwencji. W szczególności uznał, że pomimo braku więzi biologicznej między skarżącymi, w ich relacjach istniało „życie rodzinne”. Jednakże Trybunał uznał, że decyzja o nieuznaniu dwóch pierwszych skarżących za rodziców dziecka miała wystarczającą podstawę w prawie krajowym, biorąc pod uwagę wysiłki władz na rzecz utrzymania tego „życia rodzinnego”, ostatecznie orzekł, że Islandia działała w niniejszej sprawie w ramach przysługującego jej swobodnego uznania.</w:t>
      </w:r>
    </w:p>
    <w:p w14:paraId="41992D4F" w14:textId="5B12A195" w:rsidR="000F5B45" w:rsidRPr="00B5742F" w:rsidRDefault="000F5B45" w:rsidP="00E93132">
      <w:pPr>
        <w:pStyle w:val="Tekstpodstawowy"/>
        <w:spacing w:before="1"/>
        <w:ind w:left="874" w:right="729" w:hanging="1"/>
        <w:rPr>
          <w:rFonts w:ascii="Verdana" w:hAnsi="Verdana"/>
          <w:spacing w:val="-2"/>
        </w:rPr>
      </w:pPr>
    </w:p>
    <w:p w14:paraId="2C6BF77B" w14:textId="77777777" w:rsidR="000F5B45" w:rsidRPr="00B5742F" w:rsidRDefault="000F5B45" w:rsidP="00E93132">
      <w:pPr>
        <w:pStyle w:val="Tekstpodstawowy"/>
        <w:rPr>
          <w:rFonts w:ascii="Verdana" w:hAnsi="Verdana"/>
        </w:rPr>
        <w:sectPr w:rsidR="000F5B45" w:rsidRPr="00B5742F">
          <w:pgSz w:w="11910" w:h="16840"/>
          <w:pgMar w:top="1460" w:right="708" w:bottom="680" w:left="566" w:header="730" w:footer="497" w:gutter="0"/>
          <w:cols w:space="708"/>
        </w:sectPr>
      </w:pPr>
    </w:p>
    <w:p w14:paraId="55A3BA6E" w14:textId="77777777" w:rsidR="000F5B45" w:rsidRPr="00B5742F" w:rsidRDefault="000F5B45" w:rsidP="00E93132">
      <w:pPr>
        <w:pStyle w:val="Nagwek2"/>
        <w:spacing w:before="112"/>
        <w:ind w:left="873"/>
        <w:rPr>
          <w:rFonts w:ascii="Verdana" w:hAnsi="Verdana"/>
          <w:u w:val="none"/>
        </w:rPr>
      </w:pPr>
      <w:hyperlink r:id="rId43">
        <w:r w:rsidRPr="00B5742F">
          <w:rPr>
            <w:rFonts w:ascii="Verdana" w:hAnsi="Verdana"/>
            <w:color w:val="0071BB"/>
            <w:sz w:val="19"/>
            <w:u w:color="0071BB"/>
          </w:rPr>
          <w:t>S.-H. przeciwko Polsce (nr 56846/15 i 56849/15)</w:t>
        </w:r>
      </w:hyperlink>
    </w:p>
    <w:p w14:paraId="0533DE83" w14:textId="77777777" w:rsidR="000F5B45" w:rsidRPr="00B5742F" w:rsidRDefault="00000000" w:rsidP="00E93132">
      <w:pPr>
        <w:spacing w:before="55"/>
        <w:ind w:left="874"/>
        <w:jc w:val="both"/>
        <w:rPr>
          <w:rFonts w:ascii="Verdana" w:hAnsi="Verdana"/>
          <w:sz w:val="18"/>
        </w:rPr>
      </w:pPr>
      <w:r w:rsidRPr="00B5742F">
        <w:rPr>
          <w:rFonts w:ascii="Verdana" w:hAnsi="Verdana"/>
          <w:color w:val="808080"/>
          <w:sz w:val="17"/>
        </w:rPr>
        <w:t>16 listopada 2021 r. (decyzja o dopuszczalności)</w:t>
      </w:r>
    </w:p>
    <w:p w14:paraId="31EC052F" w14:textId="70BACBAC" w:rsidR="000F5B45" w:rsidRPr="00B5742F" w:rsidRDefault="00000000" w:rsidP="00E93132">
      <w:pPr>
        <w:pStyle w:val="Tekstpodstawowy"/>
        <w:spacing w:before="2"/>
        <w:rPr>
          <w:rFonts w:ascii="Verdana" w:hAnsi="Verdana"/>
        </w:rPr>
      </w:pPr>
      <w:r w:rsidRPr="00B5742F">
        <w:rPr>
          <w:rFonts w:ascii="Verdana" w:hAnsi="Verdana"/>
          <w:sz w:val="19"/>
        </w:rPr>
        <w:t>Rodzice skarżących – bliźni</w:t>
      </w:r>
      <w:r w:rsidR="008911AA">
        <w:rPr>
          <w:rFonts w:ascii="Verdana" w:hAnsi="Verdana"/>
          <w:sz w:val="19"/>
        </w:rPr>
        <w:t>ąt</w:t>
      </w:r>
      <w:r w:rsidR="004A3380">
        <w:rPr>
          <w:rFonts w:ascii="Verdana" w:hAnsi="Verdana"/>
          <w:sz w:val="19"/>
        </w:rPr>
        <w:t xml:space="preserve"> </w:t>
      </w:r>
      <w:r w:rsidRPr="00B5742F">
        <w:rPr>
          <w:rFonts w:ascii="Verdana" w:hAnsi="Verdana"/>
          <w:sz w:val="19"/>
        </w:rPr>
        <w:t>posiadający</w:t>
      </w:r>
      <w:r w:rsidR="008911AA">
        <w:rPr>
          <w:rFonts w:ascii="Verdana" w:hAnsi="Verdana"/>
          <w:sz w:val="19"/>
        </w:rPr>
        <w:t>ch</w:t>
      </w:r>
      <w:r w:rsidRPr="00B5742F">
        <w:rPr>
          <w:rFonts w:ascii="Verdana" w:hAnsi="Verdana"/>
          <w:sz w:val="19"/>
        </w:rPr>
        <w:t xml:space="preserve"> podwójne obywatelstwo izraelskie i amerykańskie, mieszkający w Izraelu – byli parą osób tej samej płci, która w 2010 r. poczęła dzieci w ramach umowy o macierzyństwo zastępcze. Sąd Najwyższy Kalifornii potwierdził, że </w:t>
      </w:r>
      <w:r w:rsidR="00E04440">
        <w:rPr>
          <w:rFonts w:ascii="Verdana" w:hAnsi="Verdana"/>
          <w:sz w:val="19"/>
        </w:rPr>
        <w:t>skarżący</w:t>
      </w:r>
      <w:r w:rsidRPr="00B5742F">
        <w:rPr>
          <w:rFonts w:ascii="Verdana" w:hAnsi="Verdana"/>
          <w:sz w:val="19"/>
        </w:rPr>
        <w:t xml:space="preserve"> są dziećmi swoich rodziców. Sprawa dotyczyła ich wniosku o nadanie obywatelstwa polskiego (jedno z rodziców było obywatelem Polski). Skarżyli się oni w szczególności na odmowę uznania przez polskie władze ich związku z biologicznym ojcem, co, jak twierdzili, wynikało z faktu, że ich rodzice byli parą osób tej samej płci.</w:t>
      </w:r>
    </w:p>
    <w:p w14:paraId="468F9B63" w14:textId="77777777" w:rsidR="000F5B45" w:rsidRPr="00B5742F" w:rsidRDefault="00000000" w:rsidP="00E93132">
      <w:pPr>
        <w:pStyle w:val="Tekstpodstawowy"/>
        <w:ind w:hanging="1"/>
        <w:rPr>
          <w:rFonts w:ascii="Verdana" w:hAnsi="Verdana"/>
        </w:rPr>
      </w:pPr>
      <w:r w:rsidRPr="00B5742F">
        <w:rPr>
          <w:rFonts w:ascii="Verdana" w:hAnsi="Verdana"/>
          <w:color w:val="0071BB"/>
          <w:sz w:val="19"/>
        </w:rPr>
        <w:t xml:space="preserve">Trybunał uznał skargi </w:t>
      </w:r>
      <w:r w:rsidRPr="00B5742F">
        <w:rPr>
          <w:rFonts w:ascii="Verdana" w:hAnsi="Verdana"/>
          <w:b/>
          <w:color w:val="0071BB"/>
          <w:sz w:val="19"/>
        </w:rPr>
        <w:t>za niedopuszczalne</w:t>
      </w:r>
      <w:r w:rsidRPr="00B5742F">
        <w:rPr>
          <w:rFonts w:ascii="Verdana" w:hAnsi="Verdana"/>
          <w:color w:val="0071BB"/>
          <w:sz w:val="19"/>
        </w:rPr>
        <w:t>, stwierdzając, że nie ma podstaw faktycznych do uznania, że w niniejszej sprawie doszło do naruszenia prawa do poszanowania życia prywatnego i rodzinnego. Trybunał przyznał wprawdzie, że w wyniku tych decyzji skarżący nie uzyskają obywatelstwa polskiego ani europejskiego, ale zaznaczył, że nadal będą oni mogli swobodnie przemieszczać się po Europie. Zdaniem Trybunału skarżący nie przedstawili przed Trybunałem ani przed organami krajowymi żadnych twierdzeń dotyczących trudności, jakich doświadczyli w wyniku tych decyzji. W szczególności więź rodzicielska w niniejszej sprawie, choć nie została uznana przez organy polskie, została uznana w państwie, w którym skarżący mieli miejsce zamieszkania. Uznanie prawne w Stanach Zjednoczonych oznaczało, że skarżący nie zostali pozostawieni w próżni prawnej zarówno w odniesieniu do obywatelstwa, jak i uznania prawnego związku rodzicielskiego z biologicznym ojcem.</w:t>
      </w:r>
    </w:p>
    <w:p w14:paraId="0E491177" w14:textId="77777777" w:rsidR="000F5B45" w:rsidRPr="00B5742F" w:rsidRDefault="000F5B45" w:rsidP="00E93132">
      <w:pPr>
        <w:pStyle w:val="Nagwek2"/>
        <w:spacing w:before="128"/>
        <w:rPr>
          <w:rFonts w:ascii="Verdana" w:hAnsi="Verdana"/>
          <w:u w:val="none"/>
        </w:rPr>
      </w:pPr>
      <w:hyperlink r:id="rId44">
        <w:r w:rsidRPr="00B5742F">
          <w:rPr>
            <w:rFonts w:ascii="Verdana" w:hAnsi="Verdana"/>
            <w:color w:val="0071BB"/>
            <w:sz w:val="19"/>
            <w:u w:color="0071BB"/>
          </w:rPr>
          <w:t>A.L. przeciwko Francji (nr 13344/20)</w:t>
        </w:r>
      </w:hyperlink>
    </w:p>
    <w:p w14:paraId="242FB64F" w14:textId="77777777"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7 kwietnia 2022 r.</w:t>
      </w:r>
    </w:p>
    <w:p w14:paraId="5571B164" w14:textId="6EE35242" w:rsidR="000F5B45" w:rsidRPr="00B5742F" w:rsidRDefault="00000000" w:rsidP="00E93132">
      <w:pPr>
        <w:pStyle w:val="Tekstpodstawowy"/>
        <w:spacing w:before="1"/>
        <w:ind w:right="729"/>
        <w:rPr>
          <w:rFonts w:ascii="Verdana" w:hAnsi="Verdana"/>
        </w:rPr>
      </w:pPr>
      <w:r w:rsidRPr="00B5742F">
        <w:rPr>
          <w:rFonts w:ascii="Verdana" w:hAnsi="Verdana"/>
          <w:sz w:val="19"/>
        </w:rPr>
        <w:t xml:space="preserve">Sprawa dotyczyła zgodności z prawem do poszanowania życia prywatnego </w:t>
      </w:r>
      <w:r w:rsidR="006C55DF" w:rsidRPr="00B5742F">
        <w:rPr>
          <w:rFonts w:ascii="Verdana" w:hAnsi="Verdana"/>
          <w:sz w:val="19"/>
        </w:rPr>
        <w:t>odmowy krajowych sądów prawnego ustalenia ojcostwa</w:t>
      </w:r>
      <w:r w:rsidR="004B4C4A" w:rsidRPr="00B5742F">
        <w:rPr>
          <w:rFonts w:ascii="Verdana" w:hAnsi="Verdana"/>
          <w:sz w:val="19"/>
        </w:rPr>
        <w:t xml:space="preserve"> </w:t>
      </w:r>
      <w:r w:rsidR="006C55DF" w:rsidRPr="00B5742F">
        <w:rPr>
          <w:rFonts w:ascii="Verdana" w:hAnsi="Verdana"/>
          <w:sz w:val="19"/>
        </w:rPr>
        <w:t>skarżącego wobec</w:t>
      </w:r>
      <w:r w:rsidR="004B4C4A" w:rsidRPr="00B5742F">
        <w:rPr>
          <w:rFonts w:ascii="Verdana" w:hAnsi="Verdana"/>
          <w:sz w:val="19"/>
        </w:rPr>
        <w:t xml:space="preserve"> </w:t>
      </w:r>
      <w:r w:rsidR="006C55DF" w:rsidRPr="00B5742F">
        <w:rPr>
          <w:rFonts w:ascii="Verdana" w:hAnsi="Verdana"/>
          <w:sz w:val="19"/>
        </w:rPr>
        <w:t>jego</w:t>
      </w:r>
      <w:r w:rsidR="004B4C4A" w:rsidRPr="00B5742F">
        <w:rPr>
          <w:rFonts w:ascii="Verdana" w:hAnsi="Verdana"/>
          <w:sz w:val="19"/>
        </w:rPr>
        <w:t xml:space="preserve"> </w:t>
      </w:r>
      <w:r w:rsidR="006C55DF" w:rsidRPr="00B5742F">
        <w:rPr>
          <w:rFonts w:ascii="Verdana" w:hAnsi="Verdana"/>
          <w:sz w:val="19"/>
        </w:rPr>
        <w:t>biologicznego</w:t>
      </w:r>
      <w:r w:rsidR="004B4C4A" w:rsidRPr="00B5742F">
        <w:rPr>
          <w:rFonts w:ascii="Verdana" w:hAnsi="Verdana"/>
          <w:sz w:val="19"/>
        </w:rPr>
        <w:t xml:space="preserve"> </w:t>
      </w:r>
      <w:r w:rsidR="006C55DF" w:rsidRPr="00B5742F">
        <w:rPr>
          <w:rFonts w:ascii="Verdana" w:hAnsi="Verdana"/>
          <w:sz w:val="19"/>
        </w:rPr>
        <w:t>syna</w:t>
      </w:r>
      <w:r w:rsidR="004B4C4A" w:rsidRPr="00B5742F">
        <w:rPr>
          <w:rFonts w:ascii="Verdana" w:hAnsi="Verdana"/>
          <w:sz w:val="19"/>
        </w:rPr>
        <w:t xml:space="preserve"> – urodzonego </w:t>
      </w:r>
      <w:r w:rsidRPr="00B5742F">
        <w:rPr>
          <w:rFonts w:ascii="Verdana" w:hAnsi="Verdana"/>
          <w:sz w:val="19"/>
        </w:rPr>
        <w:t>w ramach umowy o macierzyństwo zastępcze</w:t>
      </w:r>
      <w:r w:rsidR="0077286E">
        <w:rPr>
          <w:rFonts w:ascii="Verdana" w:hAnsi="Verdana"/>
          <w:sz w:val="19"/>
        </w:rPr>
        <w:t>/surogację</w:t>
      </w:r>
      <w:r w:rsidRPr="00B5742F">
        <w:rPr>
          <w:rFonts w:ascii="Verdana" w:hAnsi="Verdana"/>
          <w:sz w:val="19"/>
        </w:rPr>
        <w:t xml:space="preserve"> we Francji, po tym jak </w:t>
      </w:r>
      <w:r w:rsidRPr="004A3380">
        <w:rPr>
          <w:rFonts w:ascii="Verdana" w:hAnsi="Verdana"/>
          <w:sz w:val="19"/>
        </w:rPr>
        <w:t>matka</w:t>
      </w:r>
      <w:r w:rsidR="00DB7AFE" w:rsidRPr="004A3380">
        <w:rPr>
          <w:rFonts w:ascii="Verdana" w:hAnsi="Verdana"/>
          <w:sz w:val="19"/>
        </w:rPr>
        <w:t xml:space="preserve"> surogatka</w:t>
      </w:r>
      <w:r w:rsidRPr="00B5742F">
        <w:rPr>
          <w:rFonts w:ascii="Verdana" w:hAnsi="Verdana"/>
          <w:sz w:val="19"/>
        </w:rPr>
        <w:t xml:space="preserve"> powierzyła</w:t>
      </w:r>
      <w:r w:rsidR="00D207DD">
        <w:rPr>
          <w:rFonts w:ascii="Verdana" w:hAnsi="Verdana"/>
          <w:sz w:val="19"/>
        </w:rPr>
        <w:t xml:space="preserve"> urodzone</w:t>
      </w:r>
      <w:r w:rsidRPr="00B5742F">
        <w:rPr>
          <w:rFonts w:ascii="Verdana" w:hAnsi="Verdana"/>
          <w:sz w:val="19"/>
        </w:rPr>
        <w:t xml:space="preserve"> </w:t>
      </w:r>
      <w:r w:rsidR="000A5172" w:rsidRPr="00B5742F">
        <w:rPr>
          <w:rFonts w:ascii="Verdana" w:hAnsi="Verdana"/>
          <w:sz w:val="19"/>
        </w:rPr>
        <w:t>dziecko innej</w:t>
      </w:r>
      <w:r w:rsidR="004B4C4A" w:rsidRPr="00B5742F">
        <w:rPr>
          <w:rFonts w:ascii="Verdana" w:hAnsi="Verdana"/>
          <w:sz w:val="19"/>
        </w:rPr>
        <w:t xml:space="preserve"> </w:t>
      </w:r>
      <w:r w:rsidRPr="00B5742F">
        <w:rPr>
          <w:rFonts w:ascii="Verdana" w:hAnsi="Verdana"/>
          <w:sz w:val="19"/>
        </w:rPr>
        <w:t>parze. Skarżący twierdził, że oddalenie jego wniosku o ustalenie ojcostwa wobec biologicznego syna stanowiło nieproporcjonalną ingerencję w jego prawo do poszanowania życia prywatnego i było pozbawione podstawy prawnej.</w:t>
      </w:r>
    </w:p>
    <w:p w14:paraId="07038541" w14:textId="6049226E" w:rsidR="00192A34" w:rsidRPr="00B5742F" w:rsidRDefault="00000000" w:rsidP="00192A34">
      <w:pPr>
        <w:pStyle w:val="Tekstpodstawowy"/>
        <w:ind w:left="874" w:right="727" w:hanging="1"/>
        <w:rPr>
          <w:rFonts w:ascii="Verdana" w:hAnsi="Verdana"/>
          <w:color w:val="0071BB"/>
          <w:sz w:val="19"/>
        </w:rPr>
      </w:pPr>
      <w:r w:rsidRPr="00B5742F">
        <w:rPr>
          <w:rFonts w:ascii="Verdana" w:hAnsi="Verdana"/>
          <w:color w:val="0071BB"/>
          <w:sz w:val="19"/>
        </w:rPr>
        <w:t xml:space="preserve">Trybunał uznał, że </w:t>
      </w:r>
      <w:r w:rsidRPr="00B5742F">
        <w:rPr>
          <w:rFonts w:ascii="Verdana" w:hAnsi="Verdana"/>
          <w:b/>
          <w:bCs/>
          <w:color w:val="0071BB"/>
          <w:sz w:val="19"/>
        </w:rPr>
        <w:t>doszło</w:t>
      </w:r>
      <w:r w:rsidRPr="00B5742F">
        <w:rPr>
          <w:rFonts w:ascii="Verdana" w:hAnsi="Verdana"/>
          <w:color w:val="0071BB"/>
          <w:sz w:val="19"/>
        </w:rPr>
        <w:t xml:space="preserve"> </w:t>
      </w:r>
      <w:r w:rsidRPr="00B5742F">
        <w:rPr>
          <w:rFonts w:ascii="Verdana" w:hAnsi="Verdana"/>
          <w:b/>
          <w:color w:val="0071BB"/>
          <w:sz w:val="19"/>
        </w:rPr>
        <w:t>do</w:t>
      </w:r>
      <w:r w:rsidRPr="00B5742F">
        <w:rPr>
          <w:rFonts w:ascii="Verdana" w:hAnsi="Verdana"/>
          <w:color w:val="0071BB"/>
          <w:sz w:val="19"/>
        </w:rPr>
        <w:t xml:space="preserve"> </w:t>
      </w:r>
      <w:r w:rsidRPr="00B5742F">
        <w:rPr>
          <w:rFonts w:ascii="Verdana" w:hAnsi="Verdana"/>
          <w:b/>
          <w:color w:val="0071BB"/>
          <w:sz w:val="19"/>
        </w:rPr>
        <w:t xml:space="preserve">naruszenia art. 8 </w:t>
      </w:r>
      <w:r w:rsidRPr="00B5742F">
        <w:rPr>
          <w:rFonts w:ascii="Verdana" w:hAnsi="Verdana"/>
          <w:color w:val="0071BB"/>
          <w:sz w:val="19"/>
        </w:rPr>
        <w:t>(prawo do poszanowania życia prywatnego i rodzinnego) Konwencji, ponieważ państwo francuskie nie wywiązało się z obowiązku dołożenia szczególnej staranności w szczególnych okolicznościach sprawy. Podkreślił jednak, że stwierdzenie naruszenia nie powinno być interpretowane jako podważenie oceny najlepszego interesu dziecka dokonanej przez sąd apelacyjny ani jego decyzji o oddaleniu wniosków skarżącego, utrzymanej w mocy przez sąd kasacyjny. W niniejszej sprawie Trybunał zwrócił w szczególności uwagę, że Sąd Apelacyjny, poparty przez Sąd Kasacyjny, należycie uwzględnił najlepszy interes dziecka, który starannie scharakteryzował w kategoriach praktycznych, biorąc pod uwagę biologiczną rzeczywistość ojcostwa, którego domagał się skarżący. Równoważąc prawo skarżącego do poszanowania życia prywatnego z prawem jego syna do poszanowania życia prywatnego i rodzinnego, które wymagało przestrzegania zasady nadrzędności najlepszego interesu dziecka, Trybunał uznał, że podstawy podane przez sądy krajowe w celu uzasadnienia zaskarżonej ingerencji były istotne i wystarczające dla celów art. 8 § 2 Konwencji. Niemniej jednak Trybunał zauważył, że postępowanie trwało łącznie sześć lat i około jednego miesiąca, co było niezgodne z wymogiem obowiązku</w:t>
      </w:r>
      <w:r w:rsidR="00192A34" w:rsidRPr="00B5742F">
        <w:rPr>
          <w:rFonts w:ascii="Verdana" w:hAnsi="Verdana"/>
          <w:color w:val="0071BB"/>
          <w:sz w:val="19"/>
        </w:rPr>
        <w:t xml:space="preserve"> </w:t>
      </w:r>
      <w:r w:rsidR="000A5172">
        <w:rPr>
          <w:rFonts w:ascii="Verdana" w:hAnsi="Verdana"/>
          <w:color w:val="0071BB"/>
          <w:sz w:val="19"/>
        </w:rPr>
        <w:t>należytej</w:t>
      </w:r>
      <w:r w:rsidR="004A3380">
        <w:rPr>
          <w:rFonts w:ascii="Verdana" w:hAnsi="Verdana"/>
          <w:color w:val="0071BB"/>
          <w:sz w:val="19"/>
        </w:rPr>
        <w:t xml:space="preserve"> </w:t>
      </w:r>
      <w:r w:rsidR="00192A34" w:rsidRPr="00B5742F">
        <w:rPr>
          <w:rFonts w:ascii="Verdana" w:hAnsi="Verdana"/>
          <w:color w:val="0071BB"/>
          <w:sz w:val="19"/>
        </w:rPr>
        <w:t>starannoś</w:t>
      </w:r>
      <w:r w:rsidR="000A5172">
        <w:rPr>
          <w:rFonts w:ascii="Verdana" w:hAnsi="Verdana"/>
          <w:color w:val="0071BB"/>
          <w:sz w:val="19"/>
        </w:rPr>
        <w:t>ci</w:t>
      </w:r>
      <w:r w:rsidR="00192A34" w:rsidRPr="00B5742F">
        <w:rPr>
          <w:rFonts w:ascii="Verdana" w:hAnsi="Verdana"/>
          <w:color w:val="0071BB"/>
          <w:sz w:val="19"/>
        </w:rPr>
        <w:t xml:space="preserve">. Dziecko miało około czterech miesięcy, gdy sprawa trafiła do sądu, a sześć i pół roku, gdy zakończyło się postępowanie krajowe. W sprawach dotyczących relacji między osobą a jej dzieckiem upływ znacznego czasu może prowadzić do rozstrzygnięcia kwestii prawnej na podstawie </w:t>
      </w:r>
      <w:r w:rsidR="00192A34" w:rsidRPr="00B5742F">
        <w:rPr>
          <w:rFonts w:ascii="Verdana" w:hAnsi="Verdana"/>
          <w:i/>
          <w:color w:val="0071BB"/>
          <w:sz w:val="19"/>
        </w:rPr>
        <w:t>stanu faktycznego</w:t>
      </w:r>
      <w:r w:rsidR="00192A34" w:rsidRPr="00B5742F">
        <w:rPr>
          <w:rFonts w:ascii="Verdana" w:hAnsi="Verdana"/>
          <w:color w:val="0071BB"/>
          <w:sz w:val="19"/>
        </w:rPr>
        <w:t>.</w:t>
      </w:r>
    </w:p>
    <w:p w14:paraId="05AF281E" w14:textId="2D1BD054" w:rsidR="000F5B45" w:rsidRPr="00B5742F" w:rsidRDefault="000F5B45" w:rsidP="00E93132">
      <w:pPr>
        <w:pStyle w:val="Tekstpodstawowy"/>
        <w:ind w:left="874" w:right="727" w:hanging="1"/>
        <w:rPr>
          <w:rFonts w:ascii="Verdana" w:hAnsi="Verdana"/>
          <w:color w:val="0071BB"/>
          <w:sz w:val="19"/>
        </w:rPr>
      </w:pPr>
    </w:p>
    <w:p w14:paraId="2C1FA86C" w14:textId="77777777" w:rsidR="00192A34" w:rsidRPr="00B5742F" w:rsidRDefault="00192A34" w:rsidP="00E93132">
      <w:pPr>
        <w:pStyle w:val="Tekstpodstawowy"/>
        <w:ind w:left="874" w:right="727" w:hanging="1"/>
        <w:rPr>
          <w:rFonts w:ascii="Verdana" w:hAnsi="Verdana"/>
        </w:rPr>
      </w:pPr>
    </w:p>
    <w:p w14:paraId="2BA2B1C2" w14:textId="77777777" w:rsidR="000F5B45" w:rsidRPr="00B5742F" w:rsidRDefault="000F5B45" w:rsidP="00E93132">
      <w:pPr>
        <w:pStyle w:val="Tekstpodstawowy"/>
        <w:rPr>
          <w:rFonts w:ascii="Verdana" w:hAnsi="Verdana"/>
        </w:rPr>
        <w:sectPr w:rsidR="000F5B45" w:rsidRPr="00B5742F">
          <w:pgSz w:w="11910" w:h="16840"/>
          <w:pgMar w:top="1460" w:right="708" w:bottom="680" w:left="566" w:header="730" w:footer="497" w:gutter="0"/>
          <w:cols w:space="708"/>
        </w:sectPr>
      </w:pPr>
    </w:p>
    <w:p w14:paraId="203030D3" w14:textId="4D52DB90" w:rsidR="000F5B45" w:rsidRPr="00B5742F" w:rsidRDefault="000F5B45" w:rsidP="00E93132">
      <w:pPr>
        <w:pStyle w:val="Nagwek2"/>
        <w:spacing w:before="116"/>
        <w:ind w:left="873"/>
        <w:rPr>
          <w:rFonts w:ascii="Verdana" w:hAnsi="Verdana"/>
          <w:u w:val="none"/>
        </w:rPr>
      </w:pPr>
      <w:hyperlink r:id="rId45">
        <w:r w:rsidRPr="00B5742F">
          <w:rPr>
            <w:rFonts w:ascii="Verdana" w:hAnsi="Verdana"/>
            <w:color w:val="0071BB"/>
            <w:sz w:val="19"/>
            <w:u w:color="0071BB"/>
          </w:rPr>
          <w:t xml:space="preserve">D.B. i </w:t>
        </w:r>
        <w:r w:rsidR="00B74A3B" w:rsidRPr="00B5742F">
          <w:rPr>
            <w:rFonts w:ascii="Verdana" w:hAnsi="Verdana"/>
            <w:color w:val="0071BB"/>
            <w:sz w:val="19"/>
            <w:u w:color="0071BB"/>
          </w:rPr>
          <w:t>I</w:t>
        </w:r>
        <w:r w:rsidRPr="00B5742F">
          <w:rPr>
            <w:rFonts w:ascii="Verdana" w:hAnsi="Verdana"/>
            <w:color w:val="0071BB"/>
            <w:sz w:val="19"/>
            <w:u w:color="0071BB"/>
          </w:rPr>
          <w:t>nni przeciwko Szwajcarii (nr 58817/15 i 58252/15)</w:t>
        </w:r>
      </w:hyperlink>
    </w:p>
    <w:p w14:paraId="73CDD827" w14:textId="6873CB64"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22 listopada 2022</w:t>
      </w:r>
      <w:r w:rsidR="006C55DF" w:rsidRPr="00B5742F">
        <w:rPr>
          <w:rFonts w:ascii="Verdana" w:hAnsi="Verdana"/>
          <w:color w:val="808080"/>
          <w:sz w:val="17"/>
        </w:rPr>
        <w:t xml:space="preserve"> r.</w:t>
      </w:r>
    </w:p>
    <w:p w14:paraId="3AEA57A4" w14:textId="23B4D640" w:rsidR="000F5B45" w:rsidRPr="00B5742F" w:rsidRDefault="00000000" w:rsidP="00E93132">
      <w:pPr>
        <w:pStyle w:val="Tekstpodstawowy"/>
        <w:spacing w:before="1"/>
        <w:ind w:left="874" w:right="730" w:hanging="1"/>
        <w:rPr>
          <w:rFonts w:ascii="Verdana" w:hAnsi="Verdana"/>
        </w:rPr>
      </w:pPr>
      <w:r w:rsidRPr="00B5742F">
        <w:rPr>
          <w:rFonts w:ascii="Verdana" w:hAnsi="Verdana"/>
          <w:sz w:val="19"/>
        </w:rPr>
        <w:t xml:space="preserve">Sprawa dotyczyła pary osób tej samej płci, które były zarejestrowanymi partnerami i zawarły w Stanach Zjednoczonych umowę o macierzyństwo zastępcze, na </w:t>
      </w:r>
      <w:r w:rsidR="00B5476B" w:rsidRPr="009749D0">
        <w:rPr>
          <w:rFonts w:ascii="Verdana" w:hAnsi="Verdana"/>
          <w:sz w:val="19"/>
        </w:rPr>
        <w:t>podstawie,</w:t>
      </w:r>
      <w:r w:rsidRPr="00B5742F">
        <w:rPr>
          <w:rFonts w:ascii="Verdana" w:hAnsi="Verdana"/>
          <w:sz w:val="19"/>
        </w:rPr>
        <w:t xml:space="preserve"> której urodził</w:t>
      </w:r>
      <w:r w:rsidR="004A3380">
        <w:rPr>
          <w:rFonts w:ascii="Verdana" w:hAnsi="Verdana"/>
          <w:sz w:val="19"/>
        </w:rPr>
        <w:t xml:space="preserve"> </w:t>
      </w:r>
      <w:r w:rsidRPr="00B5742F">
        <w:rPr>
          <w:rFonts w:ascii="Verdana" w:hAnsi="Verdana"/>
          <w:sz w:val="19"/>
        </w:rPr>
        <w:t>si</w:t>
      </w:r>
      <w:r w:rsidR="004A3380">
        <w:rPr>
          <w:rFonts w:ascii="Verdana" w:hAnsi="Verdana"/>
          <w:sz w:val="19"/>
        </w:rPr>
        <w:t>ę</w:t>
      </w:r>
      <w:r w:rsidR="00E85597">
        <w:rPr>
          <w:rFonts w:ascii="Verdana" w:hAnsi="Verdana"/>
          <w:sz w:val="19"/>
        </w:rPr>
        <w:t xml:space="preserve"> trzeci </w:t>
      </w:r>
      <w:r w:rsidR="00DB7AFE">
        <w:rPr>
          <w:rFonts w:ascii="Verdana" w:hAnsi="Verdana"/>
          <w:sz w:val="19"/>
        </w:rPr>
        <w:t>skarżący</w:t>
      </w:r>
      <w:r w:rsidR="00E85597">
        <w:rPr>
          <w:rFonts w:ascii="Verdana" w:hAnsi="Verdana"/>
          <w:sz w:val="19"/>
        </w:rPr>
        <w:t>.</w:t>
      </w:r>
      <w:r w:rsidRPr="00B5742F">
        <w:rPr>
          <w:rFonts w:ascii="Verdana" w:hAnsi="Verdana"/>
          <w:sz w:val="19"/>
        </w:rPr>
        <w:t xml:space="preserve"> Skarżący </w:t>
      </w:r>
      <w:r w:rsidR="00E85597">
        <w:rPr>
          <w:rFonts w:ascii="Verdana" w:hAnsi="Verdana"/>
          <w:sz w:val="19"/>
        </w:rPr>
        <w:t xml:space="preserve">w szczególności </w:t>
      </w:r>
      <w:r w:rsidRPr="00B5742F">
        <w:rPr>
          <w:rFonts w:ascii="Verdana" w:hAnsi="Verdana"/>
          <w:sz w:val="19"/>
        </w:rPr>
        <w:t xml:space="preserve">zarzucali władzom szwajcarskim odmowę uznania związku rodzicielskiego ustalonego przez sąd amerykański między </w:t>
      </w:r>
      <w:r w:rsidR="004A3380">
        <w:rPr>
          <w:rFonts w:ascii="Verdana" w:hAnsi="Verdana"/>
          <w:spacing w:val="-2"/>
          <w:sz w:val="19"/>
        </w:rPr>
        <w:t xml:space="preserve">docelowym </w:t>
      </w:r>
      <w:r w:rsidR="004A3380" w:rsidRPr="00B5742F">
        <w:rPr>
          <w:rFonts w:ascii="Verdana" w:hAnsi="Verdana"/>
          <w:spacing w:val="-2"/>
          <w:sz w:val="19"/>
        </w:rPr>
        <w:t>ojcem</w:t>
      </w:r>
      <w:r w:rsidRPr="00B5742F">
        <w:rPr>
          <w:rFonts w:ascii="Verdana" w:hAnsi="Verdana"/>
          <w:spacing w:val="-2"/>
          <w:sz w:val="19"/>
        </w:rPr>
        <w:t xml:space="preserve"> (pierwszym skarżącym) a dzieckiem urodzonym w </w:t>
      </w:r>
      <w:r w:rsidRPr="00B5742F">
        <w:rPr>
          <w:rFonts w:ascii="Verdana" w:hAnsi="Verdana"/>
          <w:sz w:val="19"/>
        </w:rPr>
        <w:t xml:space="preserve">wyniku macierzyństwa zastępczego (trzecim skarżącym). Władze szwajcarskie uznały związek rodzicielski między genetycznym ojcem (drugim </w:t>
      </w:r>
      <w:r w:rsidR="00E85597">
        <w:rPr>
          <w:rFonts w:ascii="Verdana" w:hAnsi="Verdana"/>
          <w:sz w:val="19"/>
        </w:rPr>
        <w:t>skarżącym</w:t>
      </w:r>
      <w:r w:rsidRPr="00B5742F">
        <w:rPr>
          <w:rFonts w:ascii="Verdana" w:hAnsi="Verdana"/>
          <w:sz w:val="19"/>
        </w:rPr>
        <w:t>) a dzieckiem.</w:t>
      </w:r>
    </w:p>
    <w:p w14:paraId="4B30F1A3" w14:textId="43FA3201" w:rsidR="000F5B45" w:rsidRPr="00B5742F" w:rsidRDefault="00000000" w:rsidP="00E93132">
      <w:pPr>
        <w:pStyle w:val="Tekstpodstawowy"/>
        <w:ind w:left="874" w:right="727" w:hanging="1"/>
        <w:rPr>
          <w:rFonts w:ascii="Verdana" w:hAnsi="Verdana"/>
        </w:rPr>
      </w:pPr>
      <w:r w:rsidRPr="00B5742F">
        <w:rPr>
          <w:rFonts w:ascii="Verdana" w:hAnsi="Verdana"/>
          <w:color w:val="0071BB"/>
          <w:sz w:val="19"/>
        </w:rPr>
        <w:t xml:space="preserve">Trybunał uznał, że doszło </w:t>
      </w:r>
      <w:r w:rsidRPr="00B5742F">
        <w:rPr>
          <w:rFonts w:ascii="Verdana" w:hAnsi="Verdana"/>
          <w:b/>
          <w:color w:val="0071BB"/>
          <w:sz w:val="19"/>
        </w:rPr>
        <w:t>do</w:t>
      </w:r>
      <w:r w:rsidRPr="00B5742F">
        <w:rPr>
          <w:rFonts w:ascii="Verdana" w:hAnsi="Verdana"/>
          <w:color w:val="0071BB"/>
          <w:sz w:val="19"/>
        </w:rPr>
        <w:t xml:space="preserve"> </w:t>
      </w:r>
      <w:r w:rsidRPr="00B5742F">
        <w:rPr>
          <w:rFonts w:ascii="Verdana" w:hAnsi="Verdana"/>
          <w:b/>
          <w:color w:val="0071BB"/>
          <w:sz w:val="19"/>
        </w:rPr>
        <w:t xml:space="preserve">naruszenia art. 8 </w:t>
      </w:r>
      <w:r w:rsidRPr="00B5742F">
        <w:rPr>
          <w:rFonts w:ascii="Verdana" w:hAnsi="Verdana"/>
          <w:color w:val="0071BB"/>
          <w:sz w:val="19"/>
        </w:rPr>
        <w:t xml:space="preserve">(prawo do poszanowania życia prywatnego) Konwencji w odniesieniu do dziecka będącego </w:t>
      </w:r>
      <w:r w:rsidR="000C4A53">
        <w:rPr>
          <w:rFonts w:ascii="Verdana" w:hAnsi="Verdana"/>
          <w:color w:val="0071BB"/>
          <w:sz w:val="19"/>
        </w:rPr>
        <w:t>skarżącym</w:t>
      </w:r>
      <w:r w:rsidR="008659FC" w:rsidRPr="00B5742F">
        <w:rPr>
          <w:rFonts w:ascii="Verdana" w:hAnsi="Verdana"/>
          <w:color w:val="0071BB"/>
          <w:sz w:val="19"/>
        </w:rPr>
        <w:t xml:space="preserve"> </w:t>
      </w:r>
      <w:r w:rsidRPr="00B5742F">
        <w:rPr>
          <w:rFonts w:ascii="Verdana" w:hAnsi="Verdana"/>
          <w:color w:val="0071BB"/>
          <w:sz w:val="19"/>
        </w:rPr>
        <w:t xml:space="preserve">oraz </w:t>
      </w:r>
      <w:r w:rsidRPr="00B5742F">
        <w:rPr>
          <w:rFonts w:ascii="Verdana" w:hAnsi="Verdana"/>
          <w:b/>
          <w:color w:val="0071BB"/>
          <w:sz w:val="19"/>
        </w:rPr>
        <w:t xml:space="preserve">że nie doszło do naruszenia art. 8 </w:t>
      </w:r>
      <w:r w:rsidRPr="00B5742F">
        <w:rPr>
          <w:rFonts w:ascii="Verdana" w:hAnsi="Verdana"/>
          <w:color w:val="0071BB"/>
          <w:sz w:val="19"/>
        </w:rPr>
        <w:t>(prawo do poszanowania życia rodzinnego) w odniesieniu do zamierzonego ojca i ojca genetycznego. W odniesieniu do dziecka</w:t>
      </w:r>
      <w:r w:rsidR="00E85597">
        <w:rPr>
          <w:rFonts w:ascii="Verdana" w:hAnsi="Verdana"/>
          <w:color w:val="0071BB"/>
          <w:sz w:val="19"/>
        </w:rPr>
        <w:t>,</w:t>
      </w:r>
      <w:r w:rsidRPr="00B5742F">
        <w:rPr>
          <w:rFonts w:ascii="Verdana" w:hAnsi="Verdana"/>
          <w:color w:val="0071BB"/>
          <w:sz w:val="19"/>
        </w:rPr>
        <w:t xml:space="preserve"> Trybunał zwrócił w szczególności uwagę, że w momencie jego urodzenia prawo krajowe nie dawało </w:t>
      </w:r>
      <w:r w:rsidR="008659FC">
        <w:rPr>
          <w:rFonts w:ascii="Verdana" w:hAnsi="Verdana"/>
          <w:color w:val="0071BB"/>
          <w:sz w:val="19"/>
        </w:rPr>
        <w:t>skarżącym</w:t>
      </w:r>
      <w:r w:rsidR="008659FC" w:rsidRPr="00B5742F">
        <w:rPr>
          <w:rFonts w:ascii="Verdana" w:hAnsi="Verdana"/>
          <w:color w:val="0071BB"/>
          <w:sz w:val="19"/>
        </w:rPr>
        <w:t xml:space="preserve"> </w:t>
      </w:r>
      <w:r w:rsidRPr="00B5742F">
        <w:rPr>
          <w:rFonts w:ascii="Verdana" w:hAnsi="Verdana"/>
          <w:color w:val="0071BB"/>
          <w:sz w:val="19"/>
        </w:rPr>
        <w:t xml:space="preserve">możliwości uznania stosunku rodzicielskiego między </w:t>
      </w:r>
      <w:r w:rsidR="00E85597">
        <w:rPr>
          <w:rFonts w:ascii="Verdana" w:hAnsi="Verdana"/>
          <w:color w:val="0071BB"/>
          <w:sz w:val="19"/>
        </w:rPr>
        <w:t>docelowym</w:t>
      </w:r>
      <w:r w:rsidRPr="00B5742F">
        <w:rPr>
          <w:rFonts w:ascii="Verdana" w:hAnsi="Verdana"/>
          <w:color w:val="0071BB"/>
          <w:sz w:val="19"/>
        </w:rPr>
        <w:t xml:space="preserve"> rodzicem a dzieckiem. Adopcja była dostępna wyłącznie dla małżeństw, z wyłączeniem osób pozostających w zarejestrowanych związkach partnerskich. Dopiero od 1 stycznia 2018 r. możliwe stało się adoptowanie dziecka zarejestrowanego partnera. W związku z tym przez prawie siedem lat i osiem miesięcy skarżący nie mieli możliwości uzyskania ostatecznego uznania stosunku rodzicielskiego. Trybunał uznał zatem, że odmowa przez władze szwajcarskie uznania zgodnie z prawem wydanego zagranicznego aktu urodzenia w zakresie, w jakim dotyczyło ono stosunku rodzicielskiego między </w:t>
      </w:r>
      <w:r w:rsidR="00A74A15">
        <w:rPr>
          <w:rFonts w:ascii="Verdana" w:hAnsi="Verdana"/>
          <w:color w:val="0071BB"/>
          <w:sz w:val="19"/>
        </w:rPr>
        <w:t xml:space="preserve">docelowym </w:t>
      </w:r>
      <w:r w:rsidRPr="00B5742F">
        <w:rPr>
          <w:rFonts w:ascii="Verdana" w:hAnsi="Verdana"/>
          <w:color w:val="0071BB"/>
          <w:sz w:val="19"/>
        </w:rPr>
        <w:t xml:space="preserve"> ojcem a dzieckiem urodzonym w wyniku macierzyństwa zastępczego w Stanach Zjednoczonych, bez zapewnienia alternatywnych środków uznania tego stosunku, nie leżała w najlepszym interesie dziecka. Innymi słowy, ogólna i całkowita niemożność uzyskania uznania związku między dzieckiem a pierwszym skarżącym przez znaczny okres stanowiła nieproporcjonalną ingerencję w prawo trzeciego skarżącego do poszanowania życia prywatnego. Szwajcaria przekroczyła zatem margines swobody uznania, nie wprowadzając w odpowiednim czasie przepisów ustawowych umożliwiających taką możliwość. W odniesieniu do pierwszej i drugiej skarżącej Trybunał zauważył przede wszystkim, że umowa o macierzyństwo zastępcze, z której skorzystały w celu założenia rodziny, była sprzeczna z porządkiem publicznym Szwajcarii. Następnie Trybunał stwierdził, że praktyczne trudności, jakie mogą napotkać w życiu rodzinnym w przypadku braku uznania związku między pierwszą a trzecią skarżącą na mocy prawa szwajcarskiego, mieszczą się w granicach zgodności z art. 8 Konwencji.</w:t>
      </w:r>
    </w:p>
    <w:p w14:paraId="2FB2E9DC" w14:textId="77777777" w:rsidR="000F5B45" w:rsidRPr="00B5742F" w:rsidRDefault="000F5B45" w:rsidP="00E93132">
      <w:pPr>
        <w:pStyle w:val="Nagwek2"/>
        <w:spacing w:before="88"/>
        <w:rPr>
          <w:rFonts w:ascii="Verdana" w:hAnsi="Verdana"/>
          <w:u w:val="none"/>
        </w:rPr>
      </w:pPr>
      <w:hyperlink r:id="rId46">
        <w:r w:rsidRPr="00B5742F">
          <w:rPr>
            <w:rFonts w:ascii="Verdana" w:hAnsi="Verdana"/>
            <w:color w:val="0071BB"/>
            <w:sz w:val="19"/>
            <w:u w:color="0071BB"/>
          </w:rPr>
          <w:t>K.K. i inni przeciwko Danii (nr 25212/21)</w:t>
        </w:r>
      </w:hyperlink>
    </w:p>
    <w:p w14:paraId="7DC2691F" w14:textId="48A36C58"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6 grudnia 2022</w:t>
      </w:r>
      <w:r w:rsidR="000D64AF">
        <w:rPr>
          <w:rFonts w:ascii="Verdana" w:hAnsi="Verdana"/>
          <w:color w:val="808080"/>
          <w:sz w:val="17"/>
        </w:rPr>
        <w:t xml:space="preserve"> r.</w:t>
      </w:r>
    </w:p>
    <w:p w14:paraId="2647C00D" w14:textId="78BE5C24" w:rsidR="000F5B45" w:rsidRPr="00B5742F" w:rsidRDefault="00000000" w:rsidP="00E93132">
      <w:pPr>
        <w:pStyle w:val="Tekstpodstawowy"/>
        <w:spacing w:before="1"/>
        <w:ind w:left="874"/>
        <w:rPr>
          <w:rFonts w:ascii="Verdana" w:hAnsi="Verdana"/>
        </w:rPr>
      </w:pPr>
      <w:r w:rsidRPr="00B5742F">
        <w:rPr>
          <w:rFonts w:ascii="Verdana" w:hAnsi="Verdana"/>
          <w:sz w:val="19"/>
        </w:rPr>
        <w:t xml:space="preserve">Sprawa dotyczyła odmowy zezwolenia pierwszej skarżącej na adopcję dwóch pozostałych skarżących, </w:t>
      </w:r>
      <w:r w:rsidR="003C2E90">
        <w:rPr>
          <w:rFonts w:ascii="Verdana" w:hAnsi="Verdana"/>
          <w:sz w:val="19"/>
        </w:rPr>
        <w:t xml:space="preserve">sióstr </w:t>
      </w:r>
      <w:r w:rsidR="004A3380" w:rsidRPr="009749D0">
        <w:rPr>
          <w:rFonts w:ascii="Verdana" w:hAnsi="Verdana"/>
          <w:sz w:val="19"/>
        </w:rPr>
        <w:t>bliźniaczek</w:t>
      </w:r>
      <w:r w:rsidRPr="00B5742F">
        <w:rPr>
          <w:rFonts w:ascii="Verdana" w:hAnsi="Verdana"/>
          <w:sz w:val="19"/>
        </w:rPr>
        <w:t xml:space="preserve"> jako „macoch</w:t>
      </w:r>
      <w:r w:rsidR="00E05DB2" w:rsidRPr="00B5742F">
        <w:rPr>
          <w:rFonts w:ascii="Verdana" w:hAnsi="Verdana"/>
          <w:sz w:val="19"/>
        </w:rPr>
        <w:t>a</w:t>
      </w:r>
      <w:r w:rsidRPr="00B5742F">
        <w:rPr>
          <w:rFonts w:ascii="Verdana" w:hAnsi="Verdana"/>
          <w:sz w:val="19"/>
        </w:rPr>
        <w:t>” w Danii. Bliźniaczki urodziły się z surogatki na Ukrainie, która otrzymała wynagrodzenie za swoje usługi na podstawie umowy zawartej z pierwszą skarżącą i jej partnerem, biologicznym ojcem dzieci. Zgodnie z prawem duńskim adopcja nie była dozwolona w przypadkach, gdy osoba, która musiała wyrazić zgodę na adopcję, otrzymała wynagrodzenie.</w:t>
      </w:r>
    </w:p>
    <w:p w14:paraId="31B2AC1D" w14:textId="4C7D9D33" w:rsidR="00586400" w:rsidRPr="00B5742F" w:rsidRDefault="00000000" w:rsidP="00586400">
      <w:pPr>
        <w:pStyle w:val="Tekstpodstawowy"/>
        <w:ind w:left="874"/>
        <w:rPr>
          <w:rFonts w:ascii="Verdana" w:hAnsi="Verdana"/>
          <w:color w:val="0071BB"/>
          <w:sz w:val="19"/>
        </w:rPr>
      </w:pPr>
      <w:r w:rsidRPr="00B5742F">
        <w:rPr>
          <w:rFonts w:ascii="Verdana" w:hAnsi="Verdana"/>
          <w:color w:val="0071BB"/>
          <w:sz w:val="19"/>
        </w:rPr>
        <w:t xml:space="preserve">Trybunał uznał, że w niniejszej sprawie </w:t>
      </w:r>
      <w:r w:rsidRPr="00B5742F">
        <w:rPr>
          <w:rFonts w:ascii="Verdana" w:hAnsi="Verdana"/>
          <w:b/>
          <w:color w:val="0071BB"/>
          <w:sz w:val="19"/>
        </w:rPr>
        <w:t xml:space="preserve">nie </w:t>
      </w:r>
      <w:r w:rsidRPr="00B5742F">
        <w:rPr>
          <w:rFonts w:ascii="Verdana" w:hAnsi="Verdana"/>
          <w:color w:val="0071BB"/>
          <w:sz w:val="19"/>
        </w:rPr>
        <w:t xml:space="preserve">doszło </w:t>
      </w:r>
      <w:r w:rsidRPr="00B5742F">
        <w:rPr>
          <w:rFonts w:ascii="Verdana" w:hAnsi="Verdana"/>
          <w:b/>
          <w:color w:val="0071BB"/>
          <w:sz w:val="19"/>
        </w:rPr>
        <w:t xml:space="preserve">do naruszenia art. 8 </w:t>
      </w:r>
      <w:r w:rsidRPr="00B5742F">
        <w:rPr>
          <w:rFonts w:ascii="Verdana" w:hAnsi="Verdana"/>
          <w:color w:val="0071BB"/>
          <w:sz w:val="19"/>
        </w:rPr>
        <w:t xml:space="preserve">(prawo do poszanowania życia rodzinnego) Konwencji, stwierdzając, że nie doszło do naruszenia życia rodzinnego skarżących, którzy mieszkali razem z ojcem dzieci bez żadnych problemów. Uznał również, że </w:t>
      </w:r>
      <w:r w:rsidRPr="00B5742F">
        <w:rPr>
          <w:rFonts w:ascii="Verdana" w:hAnsi="Verdana"/>
          <w:b/>
          <w:color w:val="0071BB"/>
          <w:sz w:val="19"/>
        </w:rPr>
        <w:t>nie</w:t>
      </w:r>
      <w:r w:rsidRPr="00B5742F">
        <w:rPr>
          <w:rFonts w:ascii="Verdana" w:hAnsi="Verdana"/>
          <w:color w:val="0071BB"/>
          <w:sz w:val="19"/>
        </w:rPr>
        <w:t xml:space="preserve"> </w:t>
      </w:r>
      <w:r w:rsidRPr="004A3380">
        <w:rPr>
          <w:rFonts w:ascii="Verdana" w:hAnsi="Verdana"/>
          <w:b/>
          <w:bCs/>
          <w:color w:val="0071BB"/>
          <w:sz w:val="19"/>
        </w:rPr>
        <w:t>doszło</w:t>
      </w:r>
      <w:r w:rsidRPr="00B5742F">
        <w:rPr>
          <w:rFonts w:ascii="Verdana" w:hAnsi="Verdana"/>
          <w:color w:val="0071BB"/>
          <w:sz w:val="19"/>
        </w:rPr>
        <w:t xml:space="preserve"> </w:t>
      </w:r>
      <w:r w:rsidRPr="00B5742F">
        <w:rPr>
          <w:rFonts w:ascii="Verdana" w:hAnsi="Verdana"/>
          <w:b/>
          <w:color w:val="0071BB"/>
          <w:sz w:val="19"/>
        </w:rPr>
        <w:t>do naruszenia art. 8 (</w:t>
      </w:r>
      <w:r w:rsidRPr="00B5742F">
        <w:rPr>
          <w:rFonts w:ascii="Verdana" w:hAnsi="Verdana"/>
          <w:color w:val="0071BB"/>
          <w:sz w:val="19"/>
        </w:rPr>
        <w:t xml:space="preserve">prawo do poszanowania życia prywatnego) Konwencji w odniesieniu do prawa matki do poszanowania jej życia prywatnego, ponieważ władze krajowe słusznie uznały, że w celu ochrony interesu publicznego związanego z kontrolą płatnego macierzyństwa zastępczego prawo to ma pierwszeństwo przed prawem pierwszej skarżącej do poszanowania życia prywatnego. Trybunał uznał jednak, że doszło </w:t>
      </w:r>
      <w:r w:rsidRPr="00B5742F">
        <w:rPr>
          <w:rFonts w:ascii="Verdana" w:hAnsi="Verdana"/>
          <w:b/>
          <w:color w:val="0071BB"/>
          <w:sz w:val="19"/>
        </w:rPr>
        <w:t xml:space="preserve">do naruszenia art. 8 </w:t>
      </w:r>
      <w:r w:rsidRPr="00B5742F">
        <w:rPr>
          <w:rFonts w:ascii="Verdana" w:hAnsi="Verdana"/>
          <w:color w:val="0071BB"/>
          <w:sz w:val="19"/>
        </w:rPr>
        <w:t>w odniesieniu do prawa do poszanowania życia prywatnego dwojga dzieci skarżących, stwierdzając, ż</w:t>
      </w:r>
      <w:r w:rsidR="00586400" w:rsidRPr="00B5742F">
        <w:rPr>
          <w:rFonts w:ascii="Verdana" w:hAnsi="Verdana"/>
          <w:color w:val="0071BB"/>
          <w:sz w:val="19"/>
        </w:rPr>
        <w:t>e władze duńskie nie osiągnęły równowagi między swoimi interesami a interesami społecznymi w zakresie ograniczenia negatywnych skutków komercyjnego macierzyństwa zastępczego, w szczególności w odniesieniu do sytuacji prawnej i stosunków prawnych pierwszej skarżącej.</w:t>
      </w:r>
    </w:p>
    <w:p w14:paraId="41569D71" w14:textId="77777777" w:rsidR="00586400" w:rsidRPr="00B5742F" w:rsidRDefault="00586400" w:rsidP="00586400">
      <w:pPr>
        <w:spacing w:before="117"/>
        <w:ind w:left="874"/>
        <w:jc w:val="both"/>
        <w:rPr>
          <w:rFonts w:ascii="Verdana" w:hAnsi="Verdana"/>
          <w:sz w:val="20"/>
        </w:rPr>
      </w:pPr>
      <w:r w:rsidRPr="00B5742F">
        <w:rPr>
          <w:rFonts w:ascii="Verdana" w:hAnsi="Verdana"/>
          <w:i/>
          <w:sz w:val="19"/>
        </w:rPr>
        <w:t>Zob</w:t>
      </w:r>
      <w:r w:rsidRPr="00B5742F">
        <w:rPr>
          <w:rFonts w:ascii="Verdana" w:hAnsi="Verdana"/>
          <w:sz w:val="19"/>
        </w:rPr>
        <w:t xml:space="preserve">. </w:t>
      </w:r>
      <w:r w:rsidRPr="00B5742F">
        <w:rPr>
          <w:rFonts w:ascii="Verdana" w:hAnsi="Verdana"/>
          <w:i/>
          <w:sz w:val="19"/>
        </w:rPr>
        <w:t xml:space="preserve">również </w:t>
      </w:r>
      <w:r w:rsidRPr="00B5742F">
        <w:rPr>
          <w:rFonts w:ascii="Verdana" w:hAnsi="Verdana"/>
          <w:sz w:val="19"/>
        </w:rPr>
        <w:t>ostatnio:</w:t>
      </w:r>
    </w:p>
    <w:p w14:paraId="32E2D051" w14:textId="77777777" w:rsidR="00586400" w:rsidRPr="00B5742F" w:rsidRDefault="00586400" w:rsidP="00586400">
      <w:pPr>
        <w:pStyle w:val="Nagwek2"/>
        <w:spacing w:before="121"/>
        <w:rPr>
          <w:rFonts w:ascii="Verdana" w:hAnsi="Verdana"/>
          <w:u w:val="none"/>
        </w:rPr>
      </w:pPr>
      <w:hyperlink r:id="rId47">
        <w:r w:rsidRPr="00B5742F">
          <w:rPr>
            <w:rFonts w:ascii="Verdana" w:hAnsi="Verdana"/>
            <w:color w:val="0071BB"/>
            <w:sz w:val="19"/>
            <w:u w:color="0071BB"/>
          </w:rPr>
          <w:t>A.M. przeciwko Norwegii (nr 30254/18)</w:t>
        </w:r>
      </w:hyperlink>
    </w:p>
    <w:p w14:paraId="425E8C37" w14:textId="69B871E5" w:rsidR="00586400" w:rsidRPr="00B5742F" w:rsidRDefault="00586400" w:rsidP="00586400">
      <w:pPr>
        <w:spacing w:before="56"/>
        <w:ind w:left="874"/>
        <w:jc w:val="both"/>
        <w:rPr>
          <w:rFonts w:ascii="Verdana" w:hAnsi="Verdana"/>
          <w:sz w:val="18"/>
        </w:rPr>
      </w:pPr>
      <w:r w:rsidRPr="00B5742F">
        <w:rPr>
          <w:rFonts w:ascii="Verdana" w:hAnsi="Verdana"/>
          <w:color w:val="808080"/>
          <w:sz w:val="17"/>
        </w:rPr>
        <w:t>24 marca 2022 r.</w:t>
      </w:r>
    </w:p>
    <w:p w14:paraId="655813CF" w14:textId="77777777" w:rsidR="00586400" w:rsidRPr="00B5742F" w:rsidRDefault="00586400" w:rsidP="00586400">
      <w:pPr>
        <w:pStyle w:val="Tekstpodstawowy"/>
        <w:ind w:left="874"/>
        <w:rPr>
          <w:rFonts w:ascii="Verdana" w:hAnsi="Verdana"/>
          <w:sz w:val="19"/>
        </w:rPr>
      </w:pPr>
    </w:p>
    <w:p w14:paraId="7AC5E5BB" w14:textId="77777777" w:rsidR="000F5B45" w:rsidRPr="00B5742F" w:rsidRDefault="000F5B45" w:rsidP="00586400">
      <w:pPr>
        <w:pStyle w:val="Tekstpodstawowy"/>
        <w:ind w:left="874"/>
        <w:rPr>
          <w:rFonts w:ascii="Verdana" w:hAnsi="Verdana"/>
          <w:color w:val="0071BB"/>
          <w:sz w:val="19"/>
        </w:rPr>
      </w:pPr>
    </w:p>
    <w:p w14:paraId="6639E081" w14:textId="26F1F304" w:rsidR="00586400" w:rsidRPr="00B5742F" w:rsidRDefault="00586400" w:rsidP="00586400">
      <w:pPr>
        <w:pStyle w:val="Tekstpodstawowy"/>
        <w:ind w:left="874"/>
        <w:rPr>
          <w:rFonts w:ascii="Verdana" w:hAnsi="Verdana"/>
        </w:rPr>
        <w:sectPr w:rsidR="00586400" w:rsidRPr="00B5742F">
          <w:pgSz w:w="11910" w:h="16840"/>
          <w:pgMar w:top="1460" w:right="708" w:bottom="680" w:left="566" w:header="730" w:footer="497" w:gutter="0"/>
          <w:cols w:space="708"/>
        </w:sectPr>
      </w:pPr>
    </w:p>
    <w:p w14:paraId="2E4B9DDC" w14:textId="77777777" w:rsidR="000F5B45" w:rsidRPr="00B5742F" w:rsidRDefault="000F5B45" w:rsidP="00E93132">
      <w:pPr>
        <w:pStyle w:val="Tekstpodstawowy"/>
        <w:spacing w:before="26"/>
        <w:ind w:left="0" w:right="0"/>
        <w:jc w:val="left"/>
        <w:rPr>
          <w:rFonts w:ascii="Verdana" w:hAnsi="Verdana"/>
          <w:sz w:val="18"/>
        </w:rPr>
      </w:pPr>
    </w:p>
    <w:p w14:paraId="25F3BB71" w14:textId="77777777" w:rsidR="000F5B45" w:rsidRPr="00B5742F" w:rsidRDefault="00000000" w:rsidP="00E93132">
      <w:pPr>
        <w:pStyle w:val="Nagwek1"/>
        <w:spacing w:before="1"/>
        <w:rPr>
          <w:rFonts w:ascii="Verdana" w:hAnsi="Verdana"/>
          <w:sz w:val="32"/>
          <w:szCs w:val="32"/>
        </w:rPr>
      </w:pPr>
      <w:r w:rsidRPr="00B5742F">
        <w:rPr>
          <w:rFonts w:ascii="Verdana" w:hAnsi="Verdana"/>
          <w:color w:val="808080"/>
          <w:szCs w:val="32"/>
        </w:rPr>
        <w:t>Zeznania dzieci</w:t>
      </w:r>
    </w:p>
    <w:p w14:paraId="126AB293" w14:textId="77777777" w:rsidR="000F5B45" w:rsidRPr="00B5742F" w:rsidRDefault="000F5B45" w:rsidP="00E93132">
      <w:pPr>
        <w:pStyle w:val="Nagwek2"/>
        <w:rPr>
          <w:rFonts w:ascii="Verdana" w:hAnsi="Verdana"/>
          <w:u w:val="none"/>
        </w:rPr>
      </w:pPr>
      <w:hyperlink r:id="rId48">
        <w:r w:rsidRPr="00B5742F">
          <w:rPr>
            <w:rFonts w:ascii="Verdana" w:hAnsi="Verdana"/>
            <w:color w:val="0071BB"/>
            <w:sz w:val="19"/>
            <w:u w:color="0071BB"/>
          </w:rPr>
          <w:t>R.B. przeciwko Estonii (nr 22597/16)</w:t>
        </w:r>
      </w:hyperlink>
    </w:p>
    <w:p w14:paraId="225160AF" w14:textId="66BF40EF"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22 czerwca 2021</w:t>
      </w:r>
      <w:r w:rsidR="00586400" w:rsidRPr="00B5742F">
        <w:rPr>
          <w:rFonts w:ascii="Verdana" w:hAnsi="Verdana"/>
          <w:color w:val="808080"/>
          <w:sz w:val="17"/>
        </w:rPr>
        <w:t xml:space="preserve"> r.</w:t>
      </w:r>
    </w:p>
    <w:p w14:paraId="26F6E4A7" w14:textId="77777777" w:rsidR="000F5B45" w:rsidRPr="00B5742F" w:rsidRDefault="00000000" w:rsidP="00E93132">
      <w:pPr>
        <w:pStyle w:val="Tekstpodstawowy"/>
        <w:spacing w:before="1"/>
        <w:rPr>
          <w:rFonts w:ascii="Verdana" w:hAnsi="Verdana"/>
        </w:rPr>
      </w:pPr>
      <w:r w:rsidRPr="00B5742F">
        <w:rPr>
          <w:rFonts w:ascii="Verdana" w:hAnsi="Verdana"/>
          <w:sz w:val="19"/>
        </w:rPr>
        <w:t>Sprawa dotyczyła nieprzeprowadzenia skutecznego postępowania karnego w sprawie zarzutów skarżącej dotyczących wykorzystywania seksualnego przez jej ojca. W momencie zdarzeń skarżąca miała około czterech i pół roku. Skarga dotyczyła uchybień proceduralnych w całym postępowaniu karnym, w tym niepoinformowania skarżącej przez śledczego o przysługujących jej prawach i obowiązkach proceduralnych oraz reakcji Sądu Najwyższego na to uchybienie, które doprowadziło do wykluczenia ze sprawy zeznań skarżącej i uniewinnienia jej ojca z przyczyn proceduralnych.</w:t>
      </w:r>
    </w:p>
    <w:p w14:paraId="68AEB4A8" w14:textId="00514B16" w:rsidR="000F5B45" w:rsidRPr="00B5742F" w:rsidRDefault="00000000" w:rsidP="00E93132">
      <w:pPr>
        <w:pStyle w:val="Tekstpodstawowy"/>
        <w:ind w:right="729"/>
        <w:rPr>
          <w:rFonts w:ascii="Verdana" w:hAnsi="Verdana"/>
        </w:rPr>
      </w:pPr>
      <w:r w:rsidRPr="00B5742F">
        <w:rPr>
          <w:rFonts w:ascii="Verdana" w:hAnsi="Verdana"/>
          <w:color w:val="0071BB"/>
          <w:sz w:val="19"/>
        </w:rPr>
        <w:t xml:space="preserve">Sąd uznał, że w postępowaniu prowadzonym przez organy krajowe w sprawie zarzutu zgłaszanego przez skarżącą dotyczącego gwałtu i wykorzystywania seksualnego przez jej ojca wystąpiły istotne uchybienia, które nie uwzględniały w wystarczającym stopniu szczególnej wrażliwości skarżącej jako małego dziecka i związanych z tym potrzeb, tak aby zapewnić jej skuteczną ochronę jako domniemanej ofierze przestępstw seksualnych. W związku z </w:t>
      </w:r>
      <w:r w:rsidR="005739F7">
        <w:rPr>
          <w:rFonts w:ascii="Verdana" w:hAnsi="Verdana"/>
          <w:color w:val="0071BB"/>
          <w:sz w:val="19"/>
        </w:rPr>
        <w:t xml:space="preserve"> </w:t>
      </w:r>
      <w:r w:rsidRPr="00B5742F">
        <w:rPr>
          <w:rFonts w:ascii="Verdana" w:hAnsi="Verdana"/>
          <w:color w:val="0071BB"/>
          <w:sz w:val="19"/>
        </w:rPr>
        <w:t xml:space="preserve">tym nie wyrażając opinii na temat winy oskarżonego, Trybunał stwierdził, że sposób, w jaki w niniejszej sprawie zastosowano mechanizmy prawa karnego, skutkujący umorzeniem postępowania z przyczyn proceduralnych, był wadliwy do tego stopnia, że stanowił </w:t>
      </w:r>
      <w:r w:rsidRPr="00B5742F">
        <w:rPr>
          <w:rFonts w:ascii="Verdana" w:hAnsi="Verdana"/>
          <w:b/>
          <w:color w:val="0071BB"/>
          <w:sz w:val="19"/>
        </w:rPr>
        <w:t xml:space="preserve">naruszenie </w:t>
      </w:r>
      <w:r w:rsidRPr="00B5742F">
        <w:rPr>
          <w:rFonts w:ascii="Verdana" w:hAnsi="Verdana"/>
          <w:color w:val="0071BB"/>
          <w:sz w:val="19"/>
        </w:rPr>
        <w:t xml:space="preserve">pozytywnych zobowiązań państwa pozwanego wynikających </w:t>
      </w:r>
      <w:r w:rsidRPr="00B5742F">
        <w:rPr>
          <w:rFonts w:ascii="Verdana" w:hAnsi="Verdana"/>
          <w:b/>
          <w:color w:val="0071BB"/>
          <w:sz w:val="19"/>
        </w:rPr>
        <w:t>z art. 3 (</w:t>
      </w:r>
      <w:r w:rsidRPr="00B5742F">
        <w:rPr>
          <w:rFonts w:ascii="Verdana" w:hAnsi="Verdana"/>
          <w:color w:val="0071BB"/>
          <w:sz w:val="19"/>
        </w:rPr>
        <w:t xml:space="preserve">zakaz nieludzkiego lub poniżającego traktowania) </w:t>
      </w:r>
      <w:r w:rsidRPr="00B5742F">
        <w:rPr>
          <w:rFonts w:ascii="Verdana" w:hAnsi="Verdana"/>
          <w:b/>
          <w:color w:val="0071BB"/>
          <w:sz w:val="19"/>
        </w:rPr>
        <w:t>i art. 8 (</w:t>
      </w:r>
      <w:r w:rsidRPr="00B5742F">
        <w:rPr>
          <w:rFonts w:ascii="Verdana" w:hAnsi="Verdana"/>
          <w:color w:val="0071BB"/>
          <w:sz w:val="19"/>
        </w:rPr>
        <w:t>prawo do poszanowania życia prywatnego i rodzinnego) Konwencji.</w:t>
      </w:r>
    </w:p>
    <w:p w14:paraId="115570A5" w14:textId="77777777" w:rsidR="000F5B45" w:rsidRPr="00B5742F" w:rsidRDefault="00000000" w:rsidP="00E93132">
      <w:pPr>
        <w:spacing w:before="41"/>
        <w:ind w:left="874"/>
        <w:jc w:val="both"/>
        <w:rPr>
          <w:rFonts w:ascii="Verdana" w:hAnsi="Verdana"/>
          <w:sz w:val="20"/>
        </w:rPr>
      </w:pPr>
      <w:r w:rsidRPr="00B5742F">
        <w:rPr>
          <w:rFonts w:ascii="Verdana" w:hAnsi="Verdana"/>
          <w:i/>
          <w:color w:val="404040"/>
          <w:sz w:val="19"/>
        </w:rPr>
        <w:t xml:space="preserve">Zob. również: </w:t>
      </w:r>
      <w:hyperlink r:id="rId49">
        <w:r w:rsidR="000F5B45" w:rsidRPr="00B5742F">
          <w:rPr>
            <w:rFonts w:ascii="Verdana" w:hAnsi="Verdana"/>
            <w:b/>
            <w:color w:val="0071BB"/>
            <w:sz w:val="19"/>
            <w:u w:val="single" w:color="0071BB"/>
          </w:rPr>
          <w:t>G.U. przeciwko Turcji (nr 16143/10)</w:t>
        </w:r>
      </w:hyperlink>
      <w:r w:rsidRPr="00B5742F">
        <w:rPr>
          <w:rFonts w:ascii="Verdana" w:hAnsi="Verdana"/>
          <w:color w:val="404040"/>
          <w:sz w:val="19"/>
        </w:rPr>
        <w:t>, wyrok z dnia 18 listopada 2016 r.</w:t>
      </w:r>
    </w:p>
    <w:p w14:paraId="15CF14BA" w14:textId="77777777" w:rsidR="000F5B45" w:rsidRPr="00B5742F" w:rsidRDefault="00000000" w:rsidP="00E93132">
      <w:pPr>
        <w:pStyle w:val="Nagwek1"/>
        <w:spacing w:before="244"/>
        <w:rPr>
          <w:rFonts w:ascii="Verdana" w:hAnsi="Verdana"/>
          <w:sz w:val="32"/>
          <w:szCs w:val="32"/>
        </w:rPr>
      </w:pPr>
      <w:r w:rsidRPr="00B5742F">
        <w:rPr>
          <w:rFonts w:ascii="Verdana" w:hAnsi="Verdana"/>
          <w:color w:val="808080"/>
          <w:szCs w:val="32"/>
        </w:rPr>
        <w:t>Obowiązkowe szczepienia dzieci</w:t>
      </w:r>
    </w:p>
    <w:p w14:paraId="445AF28B" w14:textId="63403D7D" w:rsidR="000F5B45" w:rsidRPr="00B5742F" w:rsidRDefault="000F5B45" w:rsidP="00E93132">
      <w:pPr>
        <w:pStyle w:val="Nagwek2"/>
        <w:rPr>
          <w:rFonts w:ascii="Verdana" w:hAnsi="Verdana"/>
          <w:spacing w:val="2"/>
          <w:u w:val="none"/>
        </w:rPr>
      </w:pPr>
      <w:hyperlink r:id="rId50">
        <w:r w:rsidRPr="00B5742F">
          <w:rPr>
            <w:rFonts w:ascii="Verdana" w:hAnsi="Verdana"/>
            <w:color w:val="0071BB"/>
            <w:spacing w:val="2"/>
            <w:sz w:val="19"/>
            <w:u w:color="0071BB"/>
          </w:rPr>
          <w:t xml:space="preserve">Vavřička i </w:t>
        </w:r>
        <w:r w:rsidR="00586400" w:rsidRPr="00B5742F">
          <w:rPr>
            <w:rFonts w:ascii="Verdana" w:hAnsi="Verdana"/>
            <w:color w:val="0071BB"/>
            <w:spacing w:val="2"/>
            <w:sz w:val="19"/>
            <w:u w:color="0071BB"/>
          </w:rPr>
          <w:t>I</w:t>
        </w:r>
        <w:r w:rsidRPr="00B5742F">
          <w:rPr>
            <w:rFonts w:ascii="Verdana" w:hAnsi="Verdana"/>
            <w:color w:val="0071BB"/>
            <w:spacing w:val="2"/>
            <w:sz w:val="19"/>
            <w:u w:color="0071BB"/>
          </w:rPr>
          <w:t>nni przeciwko Republice Czeskiej</w:t>
        </w:r>
      </w:hyperlink>
    </w:p>
    <w:p w14:paraId="7017A991" w14:textId="03930CBA" w:rsidR="000F5B45" w:rsidRPr="00B5742F" w:rsidRDefault="00000000" w:rsidP="00E93132">
      <w:pPr>
        <w:spacing w:before="58"/>
        <w:ind w:left="874"/>
        <w:jc w:val="both"/>
        <w:rPr>
          <w:rFonts w:ascii="Verdana" w:hAnsi="Verdana"/>
          <w:spacing w:val="2"/>
          <w:sz w:val="18"/>
        </w:rPr>
      </w:pPr>
      <w:r w:rsidRPr="00B5742F">
        <w:rPr>
          <w:rFonts w:ascii="Verdana" w:hAnsi="Verdana"/>
          <w:color w:val="808080"/>
          <w:spacing w:val="2"/>
          <w:sz w:val="17"/>
        </w:rPr>
        <w:t>8 kwietnia 2021 r. (</w:t>
      </w:r>
      <w:r w:rsidR="00B5476B" w:rsidRPr="009749D0">
        <w:rPr>
          <w:rFonts w:ascii="Verdana" w:hAnsi="Verdana"/>
          <w:color w:val="808080"/>
          <w:spacing w:val="2"/>
          <w:sz w:val="17"/>
        </w:rPr>
        <w:t>W</w:t>
      </w:r>
      <w:r w:rsidRPr="00B5742F">
        <w:rPr>
          <w:rFonts w:ascii="Verdana" w:hAnsi="Verdana"/>
          <w:color w:val="808080"/>
          <w:spacing w:val="2"/>
          <w:sz w:val="17"/>
        </w:rPr>
        <w:t xml:space="preserve">ielka </w:t>
      </w:r>
      <w:r w:rsidR="00B5476B" w:rsidRPr="009749D0">
        <w:rPr>
          <w:rFonts w:ascii="Verdana" w:hAnsi="Verdana"/>
          <w:color w:val="808080"/>
          <w:spacing w:val="2"/>
          <w:sz w:val="17"/>
        </w:rPr>
        <w:t>I</w:t>
      </w:r>
      <w:r w:rsidRPr="00B5742F">
        <w:rPr>
          <w:rFonts w:ascii="Verdana" w:hAnsi="Verdana"/>
          <w:color w:val="808080"/>
          <w:spacing w:val="2"/>
          <w:sz w:val="17"/>
        </w:rPr>
        <w:t>zba)</w:t>
      </w:r>
    </w:p>
    <w:p w14:paraId="56D10F2B" w14:textId="56B09159" w:rsidR="000F5B45" w:rsidRPr="00B5742F" w:rsidRDefault="00000000" w:rsidP="00E93132">
      <w:pPr>
        <w:pStyle w:val="Tekstpodstawowy"/>
        <w:ind w:right="729"/>
        <w:rPr>
          <w:rFonts w:ascii="Verdana" w:hAnsi="Verdana"/>
          <w:spacing w:val="2"/>
        </w:rPr>
      </w:pPr>
      <w:r w:rsidRPr="00B5742F">
        <w:rPr>
          <w:rFonts w:ascii="Verdana" w:hAnsi="Verdana"/>
          <w:spacing w:val="2"/>
          <w:sz w:val="19"/>
        </w:rPr>
        <w:t>Sprawa dotyczyła czeskich przepisów dotyczących obowiązkowych szczepień</w:t>
      </w:r>
      <w:hyperlink w:anchor="_bookmark2" w:history="1">
        <w:r w:rsidR="000F5B45" w:rsidRPr="00B5742F">
          <w:rPr>
            <w:rFonts w:ascii="Verdana" w:hAnsi="Verdana"/>
            <w:spacing w:val="2"/>
            <w:position w:val="7"/>
            <w:sz w:val="12"/>
          </w:rPr>
          <w:t>3</w:t>
        </w:r>
      </w:hyperlink>
      <w:r w:rsidRPr="00B5742F">
        <w:rPr>
          <w:rFonts w:ascii="Verdana" w:hAnsi="Verdana"/>
          <w:spacing w:val="2"/>
          <w:sz w:val="19"/>
        </w:rPr>
        <w:t xml:space="preserve"> oraz ich skutków dla skarżących, którzy odmówili ich przestrzegania. Pierwszy skarżący został ukarany grzywną za nieprzestrzeganie obowiązku szczepień w odniesieniu do swoich dwojga dzieci. Pozostali skarżący zostali odmówiono przyjęcia do przedszkola z tego samego powodu. Wszyscy skarżący twierdzili w szczególności, że różne konsekwencje nieprzestrzegania ustawowego obowiązku szczepień były niezgodne z ich prawem do poszanowania życia prywatnego.</w:t>
      </w:r>
    </w:p>
    <w:p w14:paraId="2D3FC940" w14:textId="18A8B0B7" w:rsidR="000F5B45" w:rsidRPr="00B5742F" w:rsidRDefault="00000000" w:rsidP="00E93132">
      <w:pPr>
        <w:pStyle w:val="Tekstpodstawowy"/>
        <w:ind w:right="729"/>
        <w:rPr>
          <w:rFonts w:ascii="Verdana" w:hAnsi="Verdana"/>
          <w:spacing w:val="2"/>
        </w:rPr>
      </w:pPr>
      <w:r w:rsidRPr="00B5742F">
        <w:rPr>
          <w:rFonts w:ascii="Verdana" w:hAnsi="Verdana"/>
          <w:color w:val="0071BB"/>
          <w:spacing w:val="2"/>
          <w:sz w:val="19"/>
        </w:rPr>
        <w:t xml:space="preserve">Trybunał uznał, że w niniejszej sprawie </w:t>
      </w:r>
      <w:r w:rsidRPr="00B5742F">
        <w:rPr>
          <w:rFonts w:ascii="Verdana" w:hAnsi="Verdana"/>
          <w:b/>
          <w:color w:val="0071BB"/>
          <w:spacing w:val="2"/>
          <w:sz w:val="19"/>
        </w:rPr>
        <w:t>nie doszło</w:t>
      </w:r>
      <w:r w:rsidRPr="00B5742F">
        <w:rPr>
          <w:rFonts w:ascii="Verdana" w:hAnsi="Verdana"/>
          <w:color w:val="0071BB"/>
          <w:spacing w:val="2"/>
          <w:sz w:val="19"/>
        </w:rPr>
        <w:t xml:space="preserve"> </w:t>
      </w:r>
      <w:r w:rsidRPr="00B5742F">
        <w:rPr>
          <w:rFonts w:ascii="Verdana" w:hAnsi="Verdana"/>
          <w:b/>
          <w:color w:val="0071BB"/>
          <w:spacing w:val="2"/>
          <w:sz w:val="19"/>
        </w:rPr>
        <w:t xml:space="preserve">do naruszenia art. 8 </w:t>
      </w:r>
      <w:r w:rsidRPr="00B5742F">
        <w:rPr>
          <w:rFonts w:ascii="Verdana" w:hAnsi="Verdana"/>
          <w:color w:val="0071BB"/>
          <w:spacing w:val="2"/>
          <w:sz w:val="19"/>
        </w:rPr>
        <w:t>(prawo do poszanowania życia prywatnego) Konwencji, stwierdzając, że środki zarzucane przez skarżących, ocenione w kontekście systemu krajowego, były w rozsądnej proporcji do uzasadnionych celów realizowanych przez państwo pozwane (ochrona przed chorobami, które mogą stanowić poważne zagrożenie dla zdrowia) poprzez obowiązek szczepień. Trybunał wyjaśnił, że ostatecznie kwestią wymagającą rozstrzygnięcia nie było to, czy można było przyjąć inną, mniej restrykcyjną politykę, tak jak uczyniono to w niektórych innych państwach europejskich. Chodziło raczej o to, czy</w:t>
      </w:r>
      <w:r w:rsidR="00BC6A96" w:rsidRPr="00B5742F">
        <w:rPr>
          <w:rFonts w:ascii="Verdana" w:hAnsi="Verdana"/>
          <w:color w:val="0071BB"/>
          <w:spacing w:val="2"/>
          <w:sz w:val="19"/>
          <w:szCs w:val="22"/>
        </w:rPr>
        <w:t xml:space="preserve"> </w:t>
      </w:r>
      <w:r w:rsidR="000C5B6D">
        <w:rPr>
          <w:rFonts w:ascii="Verdana" w:hAnsi="Verdana"/>
          <w:color w:val="0071BB"/>
          <w:spacing w:val="2"/>
          <w:sz w:val="19"/>
        </w:rPr>
        <w:t>w</w:t>
      </w:r>
      <w:r w:rsidR="000C5B6D" w:rsidRPr="00B5742F">
        <w:rPr>
          <w:rFonts w:ascii="Verdana" w:hAnsi="Verdana"/>
          <w:color w:val="0071BB"/>
          <w:spacing w:val="2"/>
          <w:sz w:val="19"/>
        </w:rPr>
        <w:t xml:space="preserve"> </w:t>
      </w:r>
      <w:r w:rsidR="00BC6A96" w:rsidRPr="00B5742F">
        <w:rPr>
          <w:rFonts w:ascii="Verdana" w:hAnsi="Verdana"/>
          <w:color w:val="0071BB"/>
          <w:spacing w:val="2"/>
          <w:sz w:val="19"/>
        </w:rPr>
        <w:t xml:space="preserve">osiągnięciu tej szczególnej równowagi czeskie władze przekroczyły szeroki margines </w:t>
      </w:r>
      <w:r w:rsidR="004F24BF">
        <w:rPr>
          <w:rFonts w:ascii="Verdana" w:hAnsi="Verdana"/>
          <w:color w:val="0071BB"/>
          <w:spacing w:val="2"/>
          <w:sz w:val="19"/>
        </w:rPr>
        <w:t>oceny</w:t>
      </w:r>
      <w:r w:rsidR="00C23CAE">
        <w:rPr>
          <w:rFonts w:ascii="Verdana" w:hAnsi="Verdana"/>
          <w:color w:val="0071BB"/>
          <w:spacing w:val="2"/>
          <w:sz w:val="19"/>
        </w:rPr>
        <w:t xml:space="preserve"> </w:t>
      </w:r>
      <w:r w:rsidR="00BC6A96" w:rsidRPr="00B5742F">
        <w:rPr>
          <w:rFonts w:ascii="Verdana" w:hAnsi="Verdana"/>
          <w:color w:val="0071BB"/>
          <w:spacing w:val="2"/>
          <w:sz w:val="19"/>
        </w:rPr>
        <w:t>przysługujący im w tej dziedzinie. Trybunał uznał, że zaskarżone środki można uznać za „konieczne w demokratycznym społeczeństwie”. Trybunał zwrócił w szczególności uwagę, że w Republice Czeskiej obowiązek szczepień był zdecydowanie popierany przez właściwe organy medyczne. Można uznać, że stanowi on odpowiedź władz krajowych na pilną potrzebę społeczną ochrony zdrowia indywidualnego i publicznego przed przedmiotowymi chorobami</w:t>
      </w:r>
      <w:r w:rsidR="00BC6A96" w:rsidRPr="00B5742F">
        <w:rPr>
          <w:rFonts w:ascii="Verdana" w:hAnsi="Verdana"/>
          <w:color w:val="0071BB"/>
          <w:spacing w:val="2"/>
          <w:sz w:val="19"/>
          <w:szCs w:val="22"/>
        </w:rPr>
        <w:t xml:space="preserve"> </w:t>
      </w:r>
      <w:r w:rsidR="00BC6A96" w:rsidRPr="00B5742F">
        <w:rPr>
          <w:rFonts w:ascii="Verdana" w:hAnsi="Verdana"/>
          <w:color w:val="0071BB"/>
          <w:spacing w:val="2"/>
          <w:sz w:val="19"/>
        </w:rPr>
        <w:t>oraz zapobiegania spadkowi wskaźnika szczepień wśród dzieci. W wyroku podkreślono również, że we wszystkich decyzjach dotyczących dzieci nadrzędne znaczenie ma ich najlepszy interes. W odniesieniu do szczepień celem musiało być zapewnienie wszystkim dzieciom ochrony przed poważnymi chorobami poprzez szczepienia lub dzięki odporności zbiorowej. Można zatem stwierdzić, że czeska polityka zdrowotna była zgodna z najlepszym</w:t>
      </w:r>
      <w:r w:rsidR="00BC6A96" w:rsidRPr="00B5742F">
        <w:rPr>
          <w:rFonts w:ascii="Verdana" w:hAnsi="Verdana"/>
          <w:color w:val="0071BB"/>
          <w:spacing w:val="2"/>
          <w:sz w:val="19"/>
          <w:szCs w:val="22"/>
        </w:rPr>
        <w:t xml:space="preserve"> </w:t>
      </w:r>
      <w:r w:rsidR="00BC6A96" w:rsidRPr="00B5742F">
        <w:rPr>
          <w:rFonts w:ascii="Verdana" w:hAnsi="Verdana"/>
          <w:color w:val="0071BB"/>
          <w:spacing w:val="2"/>
          <w:sz w:val="19"/>
        </w:rPr>
        <w:t>interesem dzieci, które były jej przedmiotem.</w:t>
      </w:r>
    </w:p>
    <w:p w14:paraId="031873EC" w14:textId="77777777" w:rsidR="000F5B45" w:rsidRPr="00B5742F" w:rsidRDefault="00000000" w:rsidP="00E93132">
      <w:pPr>
        <w:pStyle w:val="Tekstpodstawowy"/>
        <w:spacing w:before="1"/>
        <w:ind w:left="0" w:right="0"/>
        <w:jc w:val="left"/>
        <w:rPr>
          <w:rFonts w:ascii="Verdana" w:hAnsi="Verdana"/>
        </w:rPr>
      </w:pPr>
      <w:r w:rsidRPr="00B5742F">
        <w:rPr>
          <w:rFonts w:ascii="Verdana" w:hAnsi="Verdana"/>
          <w:noProof/>
        </w:rPr>
        <mc:AlternateContent>
          <mc:Choice Requires="wps">
            <w:drawing>
              <wp:anchor distT="0" distB="0" distL="0" distR="0" simplePos="0" relativeHeight="251668480" behindDoc="1" locked="0" layoutInCell="1" allowOverlap="1" wp14:anchorId="777EFF4F" wp14:editId="5E157D7F">
                <wp:simplePos x="0" y="0"/>
                <wp:positionH relativeFrom="page">
                  <wp:posOffset>914400</wp:posOffset>
                </wp:positionH>
                <wp:positionV relativeFrom="paragraph">
                  <wp:posOffset>171046</wp:posOffset>
                </wp:positionV>
                <wp:extent cx="1828800" cy="762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65BE975" id="Graphic 16" o:spid="_x0000_s1026" style="position:absolute;margin-left:1in;margin-top:13.45pt;width:2in;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" path="m1828800,l,,,7607r1828800,l1828800,xe" fillcolor="black" stroked="f">
                <v:path arrowok="t"/>
                <w10:wrap type="topAndBottom" anchorx="page"/>
              </v:shape>
            </w:pict>
          </mc:Fallback>
        </mc:AlternateContent>
      </w:r>
    </w:p>
    <w:p w14:paraId="5C23C5C7" w14:textId="3E5BB333" w:rsidR="000F5B45" w:rsidRPr="009749D0" w:rsidRDefault="00F11911" w:rsidP="00E93132">
      <w:pPr>
        <w:spacing w:before="107"/>
        <w:ind w:left="873" w:right="726"/>
        <w:jc w:val="both"/>
        <w:rPr>
          <w:rFonts w:ascii="Verdana" w:hAnsi="Verdana"/>
          <w:sz w:val="15"/>
        </w:rPr>
      </w:pPr>
      <w:bookmarkStart w:id="2" w:name="_bookmark2"/>
      <w:bookmarkEnd w:id="2"/>
      <w:r w:rsidRPr="00B5742F">
        <w:rPr>
          <w:rFonts w:ascii="Verdana" w:hAnsi="Verdana"/>
          <w:sz w:val="15"/>
          <w:vertAlign w:val="superscript"/>
        </w:rPr>
        <w:t>3</w:t>
      </w:r>
      <w:r w:rsidRPr="00B5742F">
        <w:rPr>
          <w:rFonts w:ascii="Verdana" w:hAnsi="Verdana"/>
          <w:sz w:val="15"/>
        </w:rPr>
        <w:t xml:space="preserve"> W Czechach istnieje ogólny obowiązek szczepienia dzieci przeciwko dziewięciu chorobom dobrze znanym medycynie. Obowiązek ten nie może być egzekwowany fizycznie. Rodzice, którzy nie wypełniają tego obowiązku bez ważnego powodu, mogą zostać ukarani grzywną. Dzieci niezaszczepione nie są przyjmowane do przedszkoli (wyjątek stanowią dzieci, które nie mogą być szczepione ze względów zdrowotnych).</w:t>
      </w:r>
    </w:p>
    <w:p w14:paraId="13A2338B" w14:textId="77777777" w:rsidR="00B5476B" w:rsidRPr="00B5742F" w:rsidRDefault="00B5476B" w:rsidP="00E93132">
      <w:pPr>
        <w:spacing w:before="107"/>
        <w:ind w:left="873" w:right="726"/>
        <w:jc w:val="both"/>
        <w:rPr>
          <w:rFonts w:ascii="Verdana" w:hAnsi="Verdana"/>
          <w:sz w:val="16"/>
        </w:rPr>
      </w:pPr>
    </w:p>
    <w:p w14:paraId="6367411B" w14:textId="77777777" w:rsidR="000F5B45" w:rsidRPr="00B5742F" w:rsidRDefault="000F5B45" w:rsidP="00E93132">
      <w:pPr>
        <w:jc w:val="both"/>
        <w:rPr>
          <w:rFonts w:ascii="Verdana" w:hAnsi="Verdana"/>
          <w:sz w:val="16"/>
        </w:rPr>
        <w:sectPr w:rsidR="000F5B45" w:rsidRPr="00B5742F">
          <w:pgSz w:w="11910" w:h="16840"/>
          <w:pgMar w:top="1460" w:right="708" w:bottom="680" w:left="566" w:header="730" w:footer="497" w:gutter="0"/>
          <w:cols w:space="708"/>
        </w:sectPr>
      </w:pPr>
    </w:p>
    <w:p w14:paraId="0B39832D" w14:textId="30FA293F" w:rsidR="000F5B45" w:rsidRPr="00B5742F" w:rsidRDefault="00000000" w:rsidP="00E93132">
      <w:pPr>
        <w:pStyle w:val="Tekstpodstawowy"/>
        <w:spacing w:before="240"/>
        <w:ind w:right="727"/>
        <w:rPr>
          <w:rFonts w:ascii="Verdana" w:hAnsi="Verdana"/>
          <w:spacing w:val="2"/>
        </w:rPr>
      </w:pPr>
      <w:r w:rsidRPr="00B5742F">
        <w:rPr>
          <w:rFonts w:ascii="Verdana" w:hAnsi="Verdana"/>
          <w:color w:val="0071BB"/>
          <w:spacing w:val="2"/>
          <w:sz w:val="19"/>
        </w:rPr>
        <w:lastRenderedPageBreak/>
        <w:t xml:space="preserve">Trybunał zauważył ponadto, że obowiązek szczepień dotyczył dziewięciu chorób, przeciwko którym szczepienia były uznawane przez środowisko naukowe za skuteczne i bezpieczne, </w:t>
      </w:r>
      <w:r w:rsidR="00F42D56" w:rsidRPr="00B5742F">
        <w:rPr>
          <w:rFonts w:ascii="Verdana" w:hAnsi="Verdana"/>
          <w:color w:val="0071BB"/>
          <w:spacing w:val="2"/>
          <w:sz w:val="19"/>
        </w:rPr>
        <w:t xml:space="preserve">podobnie jak dziesiąte </w:t>
      </w:r>
      <w:r w:rsidR="00F11911" w:rsidRPr="00B5742F">
        <w:rPr>
          <w:rFonts w:ascii="Verdana" w:hAnsi="Verdana"/>
          <w:color w:val="0071BB"/>
          <w:spacing w:val="2"/>
          <w:sz w:val="19"/>
        </w:rPr>
        <w:t>szczepienie,</w:t>
      </w:r>
      <w:r w:rsidRPr="00B5742F">
        <w:rPr>
          <w:rFonts w:ascii="Verdana" w:hAnsi="Verdana"/>
          <w:color w:val="0071BB"/>
          <w:spacing w:val="2"/>
          <w:sz w:val="19"/>
        </w:rPr>
        <w:t xml:space="preserve"> które było podawane dzieciom z szczególnymi wskazaniami zdrowotnymi.</w:t>
      </w:r>
    </w:p>
    <w:p w14:paraId="386A0B12" w14:textId="77777777" w:rsidR="000F5B45" w:rsidRPr="00B5742F" w:rsidRDefault="00000000" w:rsidP="00E93132">
      <w:pPr>
        <w:pStyle w:val="Nagwek1"/>
        <w:spacing w:before="230"/>
        <w:rPr>
          <w:rFonts w:ascii="Verdana" w:hAnsi="Verdana"/>
          <w:spacing w:val="2"/>
          <w:sz w:val="32"/>
          <w:szCs w:val="32"/>
        </w:rPr>
      </w:pPr>
      <w:r w:rsidRPr="00B5742F">
        <w:rPr>
          <w:rFonts w:ascii="Verdana" w:hAnsi="Verdana"/>
          <w:color w:val="808080"/>
          <w:spacing w:val="2"/>
          <w:szCs w:val="32"/>
        </w:rPr>
        <w:t>Prawa do łączenia rodzin</w:t>
      </w:r>
    </w:p>
    <w:p w14:paraId="57379471" w14:textId="77777777" w:rsidR="000F5B45" w:rsidRPr="00B5742F" w:rsidRDefault="000F5B45" w:rsidP="00E93132">
      <w:pPr>
        <w:pStyle w:val="Nagwek2"/>
        <w:rPr>
          <w:rFonts w:ascii="Verdana" w:hAnsi="Verdana"/>
          <w:spacing w:val="2"/>
          <w:u w:val="none"/>
        </w:rPr>
      </w:pPr>
      <w:hyperlink r:id="rId51">
        <w:r w:rsidRPr="00B5742F">
          <w:rPr>
            <w:rFonts w:ascii="Verdana" w:hAnsi="Verdana"/>
            <w:color w:val="0071BB"/>
            <w:spacing w:val="2"/>
            <w:sz w:val="19"/>
            <w:u w:color="0071BB"/>
          </w:rPr>
          <w:t>Sen przeciwko Niderlandom</w:t>
        </w:r>
      </w:hyperlink>
    </w:p>
    <w:p w14:paraId="0A46AA44" w14:textId="504E617A" w:rsidR="000F5B45" w:rsidRPr="00B5742F" w:rsidRDefault="00000000" w:rsidP="00E93132">
      <w:pPr>
        <w:spacing w:before="56"/>
        <w:ind w:left="874"/>
        <w:jc w:val="both"/>
        <w:rPr>
          <w:rFonts w:ascii="Verdana" w:hAnsi="Verdana"/>
          <w:spacing w:val="2"/>
          <w:sz w:val="18"/>
        </w:rPr>
      </w:pPr>
      <w:r w:rsidRPr="00B5742F">
        <w:rPr>
          <w:rFonts w:ascii="Verdana" w:hAnsi="Verdana"/>
          <w:color w:val="808080"/>
          <w:spacing w:val="2"/>
          <w:sz w:val="17"/>
        </w:rPr>
        <w:t>21 grudnia 2001</w:t>
      </w:r>
      <w:r w:rsidR="00AF7FB3" w:rsidRPr="00B5742F">
        <w:rPr>
          <w:rFonts w:ascii="Verdana" w:hAnsi="Verdana"/>
          <w:color w:val="808080"/>
          <w:spacing w:val="2"/>
          <w:sz w:val="17"/>
        </w:rPr>
        <w:t xml:space="preserve"> r.</w:t>
      </w:r>
    </w:p>
    <w:p w14:paraId="53FEA5CE" w14:textId="67A12A52" w:rsidR="000F5B45" w:rsidRPr="00B5742F" w:rsidRDefault="008659FC" w:rsidP="00E93132">
      <w:pPr>
        <w:pStyle w:val="Tekstpodstawowy"/>
        <w:spacing w:before="1"/>
        <w:ind w:right="727"/>
        <w:rPr>
          <w:rFonts w:ascii="Verdana" w:hAnsi="Verdana"/>
          <w:spacing w:val="4"/>
        </w:rPr>
      </w:pPr>
      <w:r>
        <w:rPr>
          <w:rFonts w:ascii="Verdana" w:hAnsi="Verdana"/>
          <w:spacing w:val="2"/>
          <w:sz w:val="19"/>
        </w:rPr>
        <w:t>Skarżący</w:t>
      </w:r>
      <w:r w:rsidRPr="00B5742F">
        <w:rPr>
          <w:rFonts w:ascii="Verdana" w:hAnsi="Verdana"/>
          <w:spacing w:val="2"/>
          <w:sz w:val="19"/>
        </w:rPr>
        <w:t xml:space="preserve"> to para obywateli Turcji oraz ich córka, która urodziła się w Turcji w </w:t>
      </w:r>
      <w:r w:rsidRPr="00B5742F">
        <w:rPr>
          <w:rFonts w:ascii="Verdana" w:hAnsi="Verdana"/>
          <w:spacing w:val="4"/>
          <w:sz w:val="19"/>
        </w:rPr>
        <w:t>1983 r. i została pozostawiona pod opieką ciotki, gdy matka wyjechała do męża do Holandii w 1986 r. Rodzice skarżyli się na naruszenie ich prawa do poszanowania życia rodzinnego w związku z odrzuceniem wniosku o wydanie zezwolenia na pobyt dla córki, co uniemożliwiło jej dołączenie do nich w Holandii. Mieli oni dwoje innych dzieci, które urodziły się odpowiednio w 1990 r. i 1994 r. w Holandii i zawsze mieszkały tam z rodzicami.</w:t>
      </w:r>
    </w:p>
    <w:p w14:paraId="6B2BA507" w14:textId="5E46C02F" w:rsidR="000F5B45" w:rsidRPr="00B5742F" w:rsidRDefault="00000000" w:rsidP="00E93132">
      <w:pPr>
        <w:pStyle w:val="Tekstpodstawowy"/>
        <w:ind w:hanging="1"/>
        <w:rPr>
          <w:rFonts w:ascii="Verdana" w:hAnsi="Verdana"/>
          <w:spacing w:val="4"/>
        </w:rPr>
      </w:pPr>
      <w:r w:rsidRPr="00B5742F">
        <w:rPr>
          <w:rFonts w:ascii="Verdana" w:hAnsi="Verdana"/>
          <w:color w:val="0071BB"/>
          <w:spacing w:val="4"/>
          <w:sz w:val="19"/>
        </w:rPr>
        <w:t xml:space="preserve">Wymagając </w:t>
      </w:r>
      <w:r w:rsidR="00AF7FB3" w:rsidRPr="00B5742F">
        <w:rPr>
          <w:rFonts w:ascii="Verdana" w:hAnsi="Verdana"/>
          <w:color w:val="0071BB"/>
          <w:spacing w:val="4"/>
          <w:sz w:val="19"/>
        </w:rPr>
        <w:t>ustalenia</w:t>
      </w:r>
      <w:r w:rsidRPr="00B5742F">
        <w:rPr>
          <w:rFonts w:ascii="Verdana" w:hAnsi="Verdana"/>
          <w:color w:val="0071BB"/>
          <w:spacing w:val="4"/>
          <w:sz w:val="19"/>
        </w:rPr>
        <w:t xml:space="preserve"> czy władze holenderskie miały pozytywny obowiązek zezwolenia trzeciej skarżącej na zamieszkanie z rodzicami w Holandii, biorąc pod uwagę między innymi jej młody wiek w momencie złożenia wniosku, Trybunał zauważył, że spędziła ona całe życie w Turcji i miała silne powiązania z językiem i kulturą swojego kraju, w którym nadal miała krewnych. Istniała jednak poważna przeszkoda uniemożliwiająca powrót reszty rodziny do Turcji. Pierwsza para </w:t>
      </w:r>
      <w:r w:rsidR="008659FC" w:rsidRPr="00B5742F">
        <w:rPr>
          <w:rFonts w:ascii="Verdana" w:hAnsi="Verdana"/>
          <w:color w:val="0071BB"/>
          <w:spacing w:val="4"/>
          <w:sz w:val="19"/>
        </w:rPr>
        <w:t xml:space="preserve">skarżących </w:t>
      </w:r>
      <w:r w:rsidRPr="00B5742F">
        <w:rPr>
          <w:rFonts w:ascii="Verdana" w:hAnsi="Verdana"/>
          <w:color w:val="0071BB"/>
          <w:spacing w:val="4"/>
          <w:sz w:val="19"/>
        </w:rPr>
        <w:t xml:space="preserve">osiedliła się w Holandii, gdzie legalnie mieszkała od wielu lat, a dwoje z ich trojga dzieci zawsze mieszkało w Holandii i tam chodziło do szkoły. Stwierdzając, że Holandia nie zapewniła sprawiedliwej równowagi między interesem </w:t>
      </w:r>
      <w:r w:rsidR="008659FC" w:rsidRPr="00B5742F">
        <w:rPr>
          <w:rFonts w:ascii="Verdana" w:hAnsi="Verdana"/>
          <w:color w:val="0071BB"/>
          <w:spacing w:val="4"/>
          <w:sz w:val="19"/>
        </w:rPr>
        <w:t xml:space="preserve">skarżących </w:t>
      </w:r>
      <w:r w:rsidRPr="00B5742F">
        <w:rPr>
          <w:rFonts w:ascii="Verdana" w:hAnsi="Verdana"/>
          <w:color w:val="0071BB"/>
          <w:spacing w:val="4"/>
          <w:sz w:val="19"/>
        </w:rPr>
        <w:t xml:space="preserve">a własnym interesem w zakresie kontroli imigracji, Trybunał uznał, że doszło </w:t>
      </w:r>
      <w:r w:rsidRPr="00B5742F">
        <w:rPr>
          <w:rFonts w:ascii="Verdana" w:hAnsi="Verdana"/>
          <w:b/>
          <w:color w:val="0071BB"/>
          <w:spacing w:val="4"/>
          <w:sz w:val="19"/>
        </w:rPr>
        <w:t>do naruszenia art. 8 (</w:t>
      </w:r>
      <w:r w:rsidRPr="00B5742F">
        <w:rPr>
          <w:rFonts w:ascii="Verdana" w:hAnsi="Verdana"/>
          <w:color w:val="0071BB"/>
          <w:spacing w:val="4"/>
          <w:sz w:val="19"/>
        </w:rPr>
        <w:t>prawo do poszanowania życia rodzinnego) Konwencji.</w:t>
      </w:r>
    </w:p>
    <w:p w14:paraId="35E3B7A2" w14:textId="4392DD78" w:rsidR="000F5B45" w:rsidRPr="00B5742F" w:rsidRDefault="00AF7FB3" w:rsidP="00B5476B">
      <w:pPr>
        <w:spacing w:before="40"/>
        <w:ind w:left="874" w:right="730" w:firstLine="1"/>
        <w:jc w:val="both"/>
        <w:rPr>
          <w:rFonts w:ascii="Verdana" w:hAnsi="Verdana"/>
          <w:spacing w:val="4"/>
          <w:sz w:val="20"/>
        </w:rPr>
      </w:pPr>
      <w:r w:rsidRPr="00B5742F">
        <w:rPr>
          <w:rFonts w:ascii="Verdana" w:hAnsi="Verdana"/>
          <w:i/>
          <w:color w:val="404040"/>
          <w:spacing w:val="4"/>
          <w:sz w:val="19"/>
        </w:rPr>
        <w:t>Zob., a także:</w:t>
      </w:r>
      <w:hyperlink r:id="rId52">
        <w:r w:rsidR="000F5B45" w:rsidRPr="00B5742F">
          <w:rPr>
            <w:rFonts w:ascii="Verdana" w:hAnsi="Verdana"/>
            <w:b/>
            <w:color w:val="0071BB"/>
            <w:spacing w:val="4"/>
            <w:sz w:val="19"/>
            <w:u w:val="single" w:color="0071BB"/>
          </w:rPr>
          <w:t xml:space="preserve"> Tuquabo-Tekle oraz Inne przeciwko Holandia</w:t>
        </w:r>
      </w:hyperlink>
      <w:r w:rsidRPr="00B5742F">
        <w:rPr>
          <w:rFonts w:ascii="Verdana" w:hAnsi="Verdana"/>
          <w:color w:val="404040"/>
          <w:spacing w:val="4"/>
          <w:sz w:val="19"/>
        </w:rPr>
        <w:t>, wyrok z dnia 1 grudnia 2005</w:t>
      </w:r>
      <w:r w:rsidR="00C97E35" w:rsidRPr="00B5742F">
        <w:rPr>
          <w:rFonts w:ascii="Verdana" w:hAnsi="Verdana"/>
          <w:color w:val="404040"/>
          <w:spacing w:val="4"/>
          <w:sz w:val="19"/>
        </w:rPr>
        <w:t> </w:t>
      </w:r>
      <w:r w:rsidRPr="00B5742F">
        <w:rPr>
          <w:rFonts w:ascii="Verdana" w:hAnsi="Verdana"/>
          <w:color w:val="404040"/>
          <w:spacing w:val="4"/>
          <w:sz w:val="19"/>
        </w:rPr>
        <w:t>r.</w:t>
      </w:r>
    </w:p>
    <w:p w14:paraId="36941CB3" w14:textId="77777777" w:rsidR="00B5476B" w:rsidRPr="00B5742F" w:rsidRDefault="00B5476B" w:rsidP="00B5476B">
      <w:pPr>
        <w:spacing w:before="40"/>
        <w:ind w:left="874" w:right="730" w:firstLine="1"/>
        <w:jc w:val="both"/>
        <w:rPr>
          <w:rFonts w:ascii="Verdana" w:hAnsi="Verdana"/>
          <w:spacing w:val="4"/>
          <w:sz w:val="20"/>
        </w:rPr>
      </w:pPr>
    </w:p>
    <w:p w14:paraId="7B66D97B" w14:textId="1A74C3C5" w:rsidR="00B5476B" w:rsidRPr="00B5742F" w:rsidRDefault="00B5476B" w:rsidP="00B5476B">
      <w:pPr>
        <w:spacing w:before="40"/>
        <w:ind w:left="874" w:right="730" w:firstLine="1"/>
        <w:jc w:val="both"/>
        <w:rPr>
          <w:rFonts w:ascii="Verdana" w:hAnsi="Verdana"/>
          <w:sz w:val="20"/>
        </w:rPr>
        <w:sectPr w:rsidR="00B5476B" w:rsidRPr="00B5742F">
          <w:pgSz w:w="11910" w:h="16840"/>
          <w:pgMar w:top="1460" w:right="708" w:bottom="680" w:left="566" w:header="730" w:footer="497" w:gutter="0"/>
          <w:cols w:space="708"/>
        </w:sectPr>
      </w:pPr>
    </w:p>
    <w:p w14:paraId="33B24769" w14:textId="77777777" w:rsidR="000F5B45" w:rsidRPr="00B5742F" w:rsidRDefault="000F5B45" w:rsidP="00E93132">
      <w:pPr>
        <w:pStyle w:val="Nagwek2"/>
        <w:spacing w:before="240"/>
        <w:rPr>
          <w:rFonts w:ascii="Verdana" w:hAnsi="Verdana"/>
          <w:sz w:val="19"/>
          <w:szCs w:val="19"/>
          <w:u w:val="none"/>
        </w:rPr>
      </w:pPr>
      <w:hyperlink r:id="rId53">
        <w:r w:rsidRPr="00B5742F">
          <w:rPr>
            <w:rFonts w:ascii="Verdana" w:hAnsi="Verdana"/>
            <w:color w:val="0071BB"/>
            <w:sz w:val="19"/>
            <w:szCs w:val="19"/>
            <w:u w:color="0071BB"/>
          </w:rPr>
          <w:t>Osman przeciwko Danii</w:t>
        </w:r>
      </w:hyperlink>
    </w:p>
    <w:p w14:paraId="596A4735" w14:textId="0352C0C5" w:rsidR="000F5B45" w:rsidRPr="00B5742F" w:rsidRDefault="00000000" w:rsidP="00E93132">
      <w:pPr>
        <w:spacing w:before="58"/>
        <w:ind w:left="874"/>
        <w:jc w:val="both"/>
        <w:rPr>
          <w:rFonts w:ascii="Verdana" w:hAnsi="Verdana"/>
          <w:sz w:val="18"/>
        </w:rPr>
      </w:pPr>
      <w:r w:rsidRPr="00B5742F">
        <w:rPr>
          <w:rFonts w:ascii="Verdana" w:hAnsi="Verdana"/>
          <w:color w:val="808080"/>
          <w:sz w:val="17"/>
        </w:rPr>
        <w:t>14 czerwca 2011</w:t>
      </w:r>
      <w:r w:rsidR="00AF7FB3" w:rsidRPr="00B5742F">
        <w:rPr>
          <w:rFonts w:ascii="Verdana" w:hAnsi="Verdana"/>
          <w:color w:val="808080"/>
          <w:sz w:val="17"/>
        </w:rPr>
        <w:t xml:space="preserve"> r.</w:t>
      </w:r>
    </w:p>
    <w:p w14:paraId="5D3AA1B5" w14:textId="5B47B8C5" w:rsidR="000F5B45" w:rsidRPr="00B5742F" w:rsidRDefault="00000000" w:rsidP="00E93132">
      <w:pPr>
        <w:pStyle w:val="Tekstpodstawowy"/>
        <w:spacing w:before="2"/>
        <w:rPr>
          <w:rFonts w:ascii="Verdana" w:hAnsi="Verdana"/>
        </w:rPr>
      </w:pPr>
      <w:r w:rsidRPr="00B5742F">
        <w:rPr>
          <w:rFonts w:ascii="Verdana" w:hAnsi="Verdana"/>
          <w:sz w:val="19"/>
        </w:rPr>
        <w:t xml:space="preserve">W wieku piętnastu lat </w:t>
      </w:r>
      <w:r w:rsidR="008659FC">
        <w:rPr>
          <w:rFonts w:ascii="Verdana" w:hAnsi="Verdana"/>
          <w:sz w:val="19"/>
        </w:rPr>
        <w:t>skarżąca</w:t>
      </w:r>
      <w:r w:rsidRPr="00B5742F">
        <w:rPr>
          <w:rFonts w:ascii="Verdana" w:hAnsi="Verdana"/>
          <w:sz w:val="19"/>
        </w:rPr>
        <w:t>, obywatelka Somalii, która od siódmego roku życia mieszkała z rodzicami i rodzeństwem w Danii, została wysłana wbrew swojej woli przez ojca do obozu dla uchodźców w Kenii, aby opiekować się babcią ze strony ojca. Dwa lata później, będąc jeszcze nieletnią, złożyła wniosek o połączenie z rodziną w Danii, ale wniosek ten został odrzucony przez duńskie służby imigracyjne na podstawie tego, że jej zezwolenie na pobyt wygasło, ponieważ była nieobecna w Danii przez ponad dwanaście kolejnych miesięcy. Nie przysługiwało jej prawo do nowego zezwolenia na pobyt, ponieważ zgodnie ze zmianą przepisów wprowadzoną w celu zniechęcenia imigrantów do wysyłania nastoletnich dzieci do krajów pochodzenia w celu zapewnienia im bardziej tradycyjnego wychowania, o połączenie z rodziną mogły ubiegać się wyłącznie dzieci poniżej piętnastego roku życia.</w:t>
      </w:r>
    </w:p>
    <w:p w14:paraId="2D5A7459" w14:textId="2F4B9D86" w:rsidR="000F5B45" w:rsidRPr="00B5742F" w:rsidRDefault="00000000" w:rsidP="00E93132">
      <w:pPr>
        <w:pStyle w:val="Tekstpodstawowy"/>
        <w:rPr>
          <w:rFonts w:ascii="Verdana" w:hAnsi="Verdana"/>
        </w:rPr>
      </w:pPr>
      <w:r w:rsidRPr="00B5742F">
        <w:rPr>
          <w:rFonts w:ascii="Verdana" w:hAnsi="Verdana"/>
          <w:color w:val="0071BB"/>
          <w:sz w:val="19"/>
        </w:rPr>
        <w:t xml:space="preserve">Trybunał uznał, że </w:t>
      </w:r>
      <w:r w:rsidRPr="00B5742F">
        <w:rPr>
          <w:rFonts w:ascii="Verdana" w:hAnsi="Verdana"/>
          <w:b/>
          <w:bCs/>
          <w:color w:val="0071BB"/>
          <w:sz w:val="19"/>
        </w:rPr>
        <w:t>doszło</w:t>
      </w:r>
      <w:r w:rsidRPr="00B5742F">
        <w:rPr>
          <w:rFonts w:ascii="Verdana" w:hAnsi="Verdana"/>
          <w:color w:val="0071BB"/>
          <w:sz w:val="19"/>
        </w:rPr>
        <w:t xml:space="preserve"> </w:t>
      </w:r>
      <w:r w:rsidRPr="00B5742F">
        <w:rPr>
          <w:rFonts w:ascii="Verdana" w:hAnsi="Verdana"/>
          <w:b/>
          <w:color w:val="0071BB"/>
          <w:sz w:val="19"/>
        </w:rPr>
        <w:t xml:space="preserve">do naruszenia art. 8 </w:t>
      </w:r>
      <w:r w:rsidRPr="00B5742F">
        <w:rPr>
          <w:rFonts w:ascii="Verdana" w:hAnsi="Verdana"/>
          <w:color w:val="0071BB"/>
          <w:sz w:val="19"/>
        </w:rPr>
        <w:t xml:space="preserve">(prawo do poszanowania życia prywatnego i rodzinnego) Konwencji, stwierdzając w szczególności, że skarżąca może być uznana za osiedloną migrantkę, która legalnie spędziła całe lub większą część swojego dzieciństwa i młodości w kraju </w:t>
      </w:r>
      <w:r w:rsidR="00C23CAE" w:rsidRPr="00B5742F">
        <w:rPr>
          <w:rFonts w:ascii="Verdana" w:hAnsi="Verdana"/>
          <w:color w:val="0071BB"/>
          <w:sz w:val="19"/>
        </w:rPr>
        <w:t xml:space="preserve">przyjmującym, </w:t>
      </w:r>
      <w:r w:rsidR="00C23CAE">
        <w:rPr>
          <w:rFonts w:ascii="Verdana" w:hAnsi="Verdana"/>
          <w:color w:val="0071BB"/>
          <w:sz w:val="19"/>
        </w:rPr>
        <w:t>w</w:t>
      </w:r>
      <w:r w:rsidR="009862AE" w:rsidRPr="009862AE">
        <w:rPr>
          <w:rFonts w:ascii="Verdana" w:hAnsi="Verdana"/>
          <w:color w:val="0071BB"/>
          <w:sz w:val="19"/>
        </w:rPr>
        <w:t xml:space="preserve"> związku z czym odmowa przedłużenia jej zezwolenia na pobyt wymagałaby bardzo poważnych powodów.</w:t>
      </w:r>
      <w:r w:rsidR="00C23CAE">
        <w:rPr>
          <w:rFonts w:ascii="Verdana" w:hAnsi="Verdana"/>
          <w:color w:val="0071BB"/>
          <w:sz w:val="19"/>
        </w:rPr>
        <w:t xml:space="preserve"> </w:t>
      </w:r>
      <w:r w:rsidRPr="00B5742F">
        <w:rPr>
          <w:rFonts w:ascii="Verdana" w:hAnsi="Verdana"/>
          <w:color w:val="0071BB"/>
          <w:sz w:val="19"/>
        </w:rPr>
        <w:t>Chociaż cel ustawy, na której oparto odmowę, był uzasadniony – zniechęcenie imigrantów do wysyłania dzieci do krajów pochodzenia w celu „reedukacji” w sposób, który rodzice uważali za bardziej zgodny z ich pochodzeniem etnicznym – nie można było ignorować prawa dzieci do poszanowania życia prywatnego i rodzinnego. W okolicznościach niniejszej sprawy nie można było uznać, że interesy skarżącej zostały w wystarczającym stopniu uwzględnione lub wyważone w stosunku do interesu państwa w zakresie kontroli imigracji.</w:t>
      </w:r>
    </w:p>
    <w:p w14:paraId="022E3AC6" w14:textId="77777777" w:rsidR="000F5B45" w:rsidRPr="00B5742F" w:rsidRDefault="000F5B45" w:rsidP="00E93132">
      <w:pPr>
        <w:pStyle w:val="Nagwek2"/>
        <w:spacing w:before="125"/>
        <w:ind w:left="873"/>
        <w:rPr>
          <w:rFonts w:ascii="Verdana" w:hAnsi="Verdana"/>
          <w:u w:val="none"/>
        </w:rPr>
      </w:pPr>
      <w:hyperlink r:id="rId54">
        <w:r w:rsidRPr="00B5742F">
          <w:rPr>
            <w:rFonts w:ascii="Verdana" w:hAnsi="Verdana"/>
            <w:color w:val="0071BB"/>
            <w:sz w:val="19"/>
            <w:u w:color="0071BB"/>
          </w:rPr>
          <w:t>Berisha przeciwko Szwajcarii</w:t>
        </w:r>
      </w:hyperlink>
    </w:p>
    <w:p w14:paraId="4291797F" w14:textId="7A933A42" w:rsidR="000F5B45" w:rsidRPr="00B5742F" w:rsidRDefault="00000000" w:rsidP="00E93132">
      <w:pPr>
        <w:spacing w:before="55"/>
        <w:ind w:left="874"/>
        <w:jc w:val="both"/>
        <w:rPr>
          <w:rFonts w:ascii="Verdana" w:hAnsi="Verdana"/>
          <w:sz w:val="18"/>
        </w:rPr>
      </w:pPr>
      <w:r w:rsidRPr="00B5742F">
        <w:rPr>
          <w:rFonts w:ascii="Verdana" w:hAnsi="Verdana"/>
          <w:color w:val="808080"/>
          <w:sz w:val="17"/>
        </w:rPr>
        <w:t>30 lipca 2013</w:t>
      </w:r>
      <w:r w:rsidR="00AF7FB3" w:rsidRPr="00B5742F">
        <w:rPr>
          <w:rFonts w:ascii="Verdana" w:hAnsi="Verdana"/>
          <w:color w:val="808080"/>
          <w:sz w:val="17"/>
        </w:rPr>
        <w:t xml:space="preserve"> r.</w:t>
      </w:r>
    </w:p>
    <w:p w14:paraId="61EEE67D" w14:textId="38352A94" w:rsidR="000F5B45" w:rsidRPr="00B5742F" w:rsidRDefault="00000000" w:rsidP="00E93132">
      <w:pPr>
        <w:pStyle w:val="Tekstpodstawowy"/>
        <w:spacing w:before="1"/>
        <w:ind w:right="731"/>
        <w:rPr>
          <w:rFonts w:ascii="Verdana" w:hAnsi="Verdana"/>
        </w:rPr>
      </w:pPr>
      <w:r w:rsidRPr="00B5742F">
        <w:rPr>
          <w:rFonts w:ascii="Verdana" w:hAnsi="Verdana"/>
          <w:sz w:val="19"/>
        </w:rPr>
        <w:t>Sprawa dotyczyła odmowy wydania przez władze szwajcarskie zezwoleń na pobyt t</w:t>
      </w:r>
      <w:r w:rsidR="00EE5C6A">
        <w:rPr>
          <w:rFonts w:ascii="Verdana" w:hAnsi="Verdana"/>
          <w:sz w:val="19"/>
        </w:rPr>
        <w:t xml:space="preserve">rójce </w:t>
      </w:r>
      <w:r w:rsidRPr="00B5742F">
        <w:rPr>
          <w:rFonts w:ascii="Verdana" w:hAnsi="Verdana"/>
          <w:sz w:val="19"/>
        </w:rPr>
        <w:t xml:space="preserve"> dzieci skarżących, które urodziły się w Kosowie i wjechały do Szwajcarii nielegalnie, oraz decyzji władz o wydaleniu </w:t>
      </w:r>
      <w:r w:rsidR="00EE5C6A">
        <w:rPr>
          <w:rFonts w:ascii="Verdana" w:hAnsi="Verdana"/>
          <w:sz w:val="19"/>
        </w:rPr>
        <w:t xml:space="preserve">tychże </w:t>
      </w:r>
      <w:r w:rsidRPr="00B5742F">
        <w:rPr>
          <w:rFonts w:ascii="Verdana" w:hAnsi="Verdana"/>
          <w:sz w:val="19"/>
        </w:rPr>
        <w:t>dzieci do Kosowa.</w:t>
      </w:r>
    </w:p>
    <w:p w14:paraId="250D22BA" w14:textId="3375C4D9" w:rsidR="000F5B45" w:rsidRPr="00B5742F" w:rsidRDefault="00000000" w:rsidP="00E93132">
      <w:pPr>
        <w:pStyle w:val="Tekstpodstawowy"/>
        <w:rPr>
          <w:rFonts w:ascii="Verdana" w:hAnsi="Verdana"/>
        </w:rPr>
      </w:pPr>
      <w:r w:rsidRPr="00B5742F">
        <w:rPr>
          <w:rFonts w:ascii="Verdana" w:hAnsi="Verdana"/>
          <w:color w:val="0071BB"/>
          <w:sz w:val="19"/>
        </w:rPr>
        <w:t xml:space="preserve">Trybunał uznał, że </w:t>
      </w:r>
      <w:r w:rsidRPr="00B5742F">
        <w:rPr>
          <w:rFonts w:ascii="Verdana" w:hAnsi="Verdana"/>
          <w:b/>
          <w:color w:val="0071BB"/>
          <w:sz w:val="19"/>
        </w:rPr>
        <w:t xml:space="preserve">nie </w:t>
      </w:r>
      <w:r w:rsidRPr="00B5742F">
        <w:rPr>
          <w:rFonts w:ascii="Verdana" w:hAnsi="Verdana"/>
          <w:b/>
          <w:bCs/>
          <w:color w:val="0071BB"/>
          <w:sz w:val="19"/>
        </w:rPr>
        <w:t xml:space="preserve">doszło </w:t>
      </w:r>
      <w:r w:rsidRPr="00B5742F">
        <w:rPr>
          <w:rFonts w:ascii="Verdana" w:hAnsi="Verdana"/>
          <w:b/>
          <w:color w:val="0071BB"/>
          <w:sz w:val="19"/>
        </w:rPr>
        <w:t xml:space="preserve">do naruszenia art. 8 </w:t>
      </w:r>
      <w:r w:rsidRPr="00B5742F">
        <w:rPr>
          <w:rFonts w:ascii="Verdana" w:hAnsi="Verdana"/>
          <w:color w:val="0071BB"/>
          <w:sz w:val="19"/>
        </w:rPr>
        <w:t xml:space="preserve">(prawo do poszanowania życia rodzinnego) Konwencji, biorąc pod uwagę w szczególności fakt, że skarżący mieszkali w Szwajcarii </w:t>
      </w:r>
      <w:r w:rsidR="00EE5C6A">
        <w:rPr>
          <w:rFonts w:ascii="Verdana" w:hAnsi="Verdana"/>
          <w:color w:val="0071BB"/>
          <w:sz w:val="19"/>
        </w:rPr>
        <w:t>w wyniku</w:t>
      </w:r>
      <w:r w:rsidR="006D1850">
        <w:rPr>
          <w:rFonts w:ascii="Verdana" w:hAnsi="Verdana"/>
          <w:color w:val="0071BB"/>
          <w:sz w:val="19"/>
        </w:rPr>
        <w:t xml:space="preserve"> </w:t>
      </w:r>
      <w:r w:rsidR="00EE5C6A">
        <w:rPr>
          <w:rFonts w:ascii="Verdana" w:hAnsi="Verdana"/>
          <w:color w:val="0071BB"/>
          <w:sz w:val="19"/>
        </w:rPr>
        <w:t>ś</w:t>
      </w:r>
      <w:r w:rsidRPr="00B5742F">
        <w:rPr>
          <w:rFonts w:ascii="Verdana" w:hAnsi="Verdana"/>
          <w:color w:val="0071BB"/>
          <w:sz w:val="19"/>
        </w:rPr>
        <w:t xml:space="preserve">wiadomej decyzji o osiedleniu się tam, a nie w Kosowie, oraz że ich troje dzieci nie mieszkało w Szwajcarii wystarczająco długo, aby całkowicie utracić więzi z krajem urodzenia, w którym dorastały i kształciły się przez wiele lat. Ponadto dzieci nadal miały więzi rodzinne w Kosowie, dwoje starszych dzieci, w wieku 17 i 19 lat, było w wieku, w którym mogły być utrzymywane na odległość, a nic nie stało na przeszkodzie, aby skarżący podróżowali do Kosowa lub przebywali tam z najmłodszym dzieckiem, w wieku 10 lat, w celu zapewnienia mu najlepszego interesu jako dziecku. </w:t>
      </w:r>
      <w:r w:rsidR="00F42D56" w:rsidRPr="00B5742F">
        <w:rPr>
          <w:rFonts w:ascii="Verdana" w:hAnsi="Verdana"/>
          <w:color w:val="0071BB"/>
          <w:sz w:val="19"/>
        </w:rPr>
        <w:t xml:space="preserve">Uwzględniając także momentami </w:t>
      </w:r>
      <w:r w:rsidR="005E7A39">
        <w:rPr>
          <w:rFonts w:ascii="Verdana" w:hAnsi="Verdana"/>
          <w:color w:val="0071BB"/>
          <w:sz w:val="19"/>
        </w:rPr>
        <w:t>nieuczciwe</w:t>
      </w:r>
      <w:r w:rsidR="006D1850">
        <w:rPr>
          <w:rFonts w:ascii="Verdana" w:hAnsi="Verdana"/>
          <w:color w:val="0071BB"/>
          <w:sz w:val="19"/>
        </w:rPr>
        <w:t xml:space="preserve"> </w:t>
      </w:r>
      <w:r w:rsidR="00F42D56" w:rsidRPr="00B5742F">
        <w:rPr>
          <w:rFonts w:ascii="Verdana" w:hAnsi="Verdana"/>
          <w:color w:val="0071BB"/>
          <w:sz w:val="19"/>
        </w:rPr>
        <w:t xml:space="preserve">zachowania skarżących w postępowaniu krajowym </w:t>
      </w:r>
      <w:r w:rsidRPr="00B5742F">
        <w:rPr>
          <w:rFonts w:ascii="Verdana" w:hAnsi="Verdana"/>
          <w:color w:val="0071BB"/>
          <w:sz w:val="19"/>
        </w:rPr>
        <w:t xml:space="preserve">Trybunał uznał, że władze szwajcarskie nie przekroczyły marginesu </w:t>
      </w:r>
      <w:r w:rsidR="00CE7FC6">
        <w:rPr>
          <w:rFonts w:ascii="Verdana" w:hAnsi="Verdana"/>
          <w:color w:val="0071BB"/>
          <w:sz w:val="19"/>
        </w:rPr>
        <w:t xml:space="preserve">oceny </w:t>
      </w:r>
      <w:r w:rsidR="008A59DB">
        <w:rPr>
          <w:rFonts w:ascii="Verdana" w:hAnsi="Verdana"/>
          <w:color w:val="0071BB"/>
          <w:sz w:val="19"/>
        </w:rPr>
        <w:t xml:space="preserve"> </w:t>
      </w:r>
      <w:r w:rsidRPr="00B5742F">
        <w:rPr>
          <w:rFonts w:ascii="Verdana" w:hAnsi="Verdana"/>
          <w:color w:val="0071BB"/>
          <w:sz w:val="19"/>
        </w:rPr>
        <w:t xml:space="preserve"> przysługującego im na mocy art. 8 Konwencji, odmawiając wydania zezwoleń na pobyt ich dzieciom.</w:t>
      </w:r>
    </w:p>
    <w:p w14:paraId="28FE94E4" w14:textId="664749E7" w:rsidR="000F5B45" w:rsidRPr="00B5742F" w:rsidRDefault="000F5B45" w:rsidP="00DD284C">
      <w:pPr>
        <w:pStyle w:val="Nagwek2"/>
        <w:spacing w:before="105"/>
        <w:ind w:right="713"/>
        <w:rPr>
          <w:rFonts w:ascii="Verdana" w:hAnsi="Verdana"/>
          <w:b w:val="0"/>
        </w:rPr>
      </w:pPr>
      <w:hyperlink r:id="rId55">
        <w:r w:rsidRPr="00B5742F">
          <w:rPr>
            <w:rFonts w:ascii="Verdana" w:hAnsi="Verdana"/>
            <w:color w:val="0071BB"/>
            <w:sz w:val="19"/>
            <w:u w:color="0071BB"/>
          </w:rPr>
          <w:t>Mugenzi przeciwko Francji</w:t>
        </w:r>
        <w:r w:rsidRPr="00B5742F">
          <w:rPr>
            <w:rFonts w:ascii="Verdana" w:hAnsi="Verdana"/>
            <w:color w:val="0071BB"/>
            <w:sz w:val="19"/>
            <w:u w:val="none"/>
          </w:rPr>
          <w:t xml:space="preserve">, </w:t>
        </w:r>
        <w:r w:rsidRPr="00B5742F">
          <w:rPr>
            <w:rFonts w:ascii="Verdana" w:hAnsi="Verdana"/>
            <w:color w:val="0071BB"/>
            <w:sz w:val="19"/>
            <w:u w:color="0071BB"/>
          </w:rPr>
          <w:t xml:space="preserve">Tanda-Muzinga przeciwko Francji </w:t>
        </w:r>
        <w:r w:rsidRPr="00B5742F">
          <w:rPr>
            <w:rFonts w:ascii="Verdana" w:hAnsi="Verdana"/>
            <w:color w:val="0071BB"/>
            <w:sz w:val="19"/>
            <w:u w:val="none"/>
          </w:rPr>
          <w:t xml:space="preserve">oraz </w:t>
        </w:r>
        <w:r w:rsidRPr="00B5742F">
          <w:rPr>
            <w:rFonts w:ascii="Verdana" w:hAnsi="Verdana"/>
            <w:color w:val="0071BB"/>
            <w:sz w:val="19"/>
            <w:u w:color="0071BB"/>
          </w:rPr>
          <w:t xml:space="preserve">Senigo Longue i </w:t>
        </w:r>
        <w:r w:rsidR="00DD284C" w:rsidRPr="00B5742F">
          <w:rPr>
            <w:rFonts w:ascii="Verdana" w:hAnsi="Verdana"/>
            <w:color w:val="0071BB"/>
            <w:sz w:val="19"/>
            <w:u w:color="0071BB"/>
          </w:rPr>
          <w:t>I</w:t>
        </w:r>
        <w:r w:rsidRPr="00B5742F">
          <w:rPr>
            <w:rFonts w:ascii="Verdana" w:hAnsi="Verdana"/>
            <w:color w:val="0071BB"/>
            <w:sz w:val="19"/>
            <w:u w:color="0071BB"/>
          </w:rPr>
          <w:t>nni</w:t>
        </w:r>
      </w:hyperlink>
      <w:r w:rsidR="00DD284C" w:rsidRPr="00B5742F">
        <w:rPr>
          <w:rFonts w:ascii="Verdana" w:hAnsi="Verdana"/>
          <w:u w:val="none"/>
        </w:rPr>
        <w:t xml:space="preserve"> </w:t>
      </w:r>
      <w:hyperlink r:id="rId56">
        <w:r w:rsidRPr="00B5742F">
          <w:rPr>
            <w:rFonts w:ascii="Verdana" w:hAnsi="Verdana"/>
            <w:color w:val="0071BB"/>
            <w:sz w:val="19"/>
            <w:u w:color="0071BB"/>
          </w:rPr>
          <w:t>przeciwko Francji</w:t>
        </w:r>
      </w:hyperlink>
    </w:p>
    <w:p w14:paraId="49A2BA6E" w14:textId="7B3BF4C7" w:rsidR="000F5B45" w:rsidRPr="00B5742F" w:rsidRDefault="00000000" w:rsidP="00E93132">
      <w:pPr>
        <w:spacing w:before="55"/>
        <w:ind w:left="874"/>
        <w:jc w:val="both"/>
        <w:rPr>
          <w:rFonts w:ascii="Verdana" w:hAnsi="Verdana"/>
          <w:sz w:val="18"/>
        </w:rPr>
      </w:pPr>
      <w:r w:rsidRPr="00B5742F">
        <w:rPr>
          <w:rFonts w:ascii="Verdana" w:hAnsi="Verdana"/>
          <w:color w:val="808080"/>
          <w:sz w:val="17"/>
        </w:rPr>
        <w:t>10 lipca 2014</w:t>
      </w:r>
      <w:r w:rsidR="000C5B6D">
        <w:rPr>
          <w:rFonts w:ascii="Verdana" w:hAnsi="Verdana"/>
          <w:color w:val="808080"/>
          <w:sz w:val="17"/>
        </w:rPr>
        <w:t xml:space="preserve"> r.</w:t>
      </w:r>
    </w:p>
    <w:p w14:paraId="02D6F25E" w14:textId="480D82DC" w:rsidR="000F5B45" w:rsidRPr="00B5742F" w:rsidRDefault="00000000" w:rsidP="00E93132">
      <w:pPr>
        <w:pStyle w:val="Tekstpodstawowy"/>
        <w:spacing w:before="2"/>
        <w:ind w:left="874" w:hanging="1"/>
        <w:rPr>
          <w:rFonts w:ascii="Verdana" w:hAnsi="Verdana"/>
          <w:spacing w:val="2"/>
        </w:rPr>
      </w:pPr>
      <w:r w:rsidRPr="00B5742F">
        <w:rPr>
          <w:rFonts w:ascii="Verdana" w:hAnsi="Verdana"/>
          <w:spacing w:val="2"/>
          <w:sz w:val="19"/>
        </w:rPr>
        <w:t>Sprawy te dotyczyły trudności, jakie napotkali skarżący – którym przyznano status uchodźcy lub którzy legalnie przebywali we Francji – w uzyskaniu wiz dla swoich dzieci, aby mog</w:t>
      </w:r>
      <w:r w:rsidR="005E7A39">
        <w:rPr>
          <w:rFonts w:ascii="Verdana" w:hAnsi="Verdana"/>
          <w:spacing w:val="2"/>
          <w:sz w:val="19"/>
        </w:rPr>
        <w:t>ły</w:t>
      </w:r>
      <w:r w:rsidRPr="00B5742F">
        <w:rPr>
          <w:rFonts w:ascii="Verdana" w:hAnsi="Verdana"/>
          <w:spacing w:val="2"/>
          <w:sz w:val="19"/>
        </w:rPr>
        <w:t xml:space="preserve"> on</w:t>
      </w:r>
      <w:r w:rsidR="005E7A39">
        <w:rPr>
          <w:rFonts w:ascii="Verdana" w:hAnsi="Verdana"/>
          <w:spacing w:val="2"/>
          <w:sz w:val="19"/>
        </w:rPr>
        <w:t>e</w:t>
      </w:r>
      <w:r w:rsidR="006D1850">
        <w:rPr>
          <w:rFonts w:ascii="Verdana" w:hAnsi="Verdana"/>
          <w:spacing w:val="2"/>
          <w:sz w:val="19"/>
        </w:rPr>
        <w:t xml:space="preserve"> </w:t>
      </w:r>
      <w:r w:rsidRPr="00B5742F">
        <w:rPr>
          <w:rFonts w:ascii="Verdana" w:hAnsi="Verdana"/>
          <w:spacing w:val="2"/>
          <w:sz w:val="19"/>
        </w:rPr>
        <w:t>połączyć się z rodzinami. Skarżący twierdzili, że odmowa wydania przez władze konsularne wiz dla ich dzieci w celu połączenia rodziny stanowiła naruszenie ich prawa do poszanowania życia rodzinnego.</w:t>
      </w:r>
    </w:p>
    <w:p w14:paraId="0B1CC2EA" w14:textId="57EB0885" w:rsidR="000F5B45" w:rsidRPr="00B5742F" w:rsidRDefault="00000000" w:rsidP="00E93132">
      <w:pPr>
        <w:pStyle w:val="Tekstpodstawowy"/>
        <w:ind w:left="874" w:right="730"/>
        <w:rPr>
          <w:rFonts w:ascii="Verdana" w:hAnsi="Verdana"/>
          <w:color w:val="0071BB"/>
          <w:spacing w:val="2"/>
          <w:sz w:val="19"/>
        </w:rPr>
      </w:pPr>
      <w:r w:rsidRPr="00B5742F">
        <w:rPr>
          <w:rFonts w:ascii="Verdana" w:hAnsi="Verdana"/>
          <w:color w:val="0071BB"/>
          <w:spacing w:val="2"/>
          <w:sz w:val="19"/>
        </w:rPr>
        <w:t xml:space="preserve">Trybunał zauważył w szczególności, że procedura rozpatrywania wniosków o łączenie rodzin musi zawierać szereg elementów, uwzględniających z jednej strony status uchodźców </w:t>
      </w:r>
      <w:r w:rsidR="008659FC">
        <w:rPr>
          <w:rFonts w:ascii="Verdana" w:hAnsi="Verdana"/>
          <w:color w:val="0071BB"/>
          <w:spacing w:val="2"/>
          <w:sz w:val="19"/>
        </w:rPr>
        <w:t>skarżących</w:t>
      </w:r>
      <w:r w:rsidRPr="00B5742F">
        <w:rPr>
          <w:rFonts w:ascii="Verdana" w:hAnsi="Verdana"/>
          <w:color w:val="0071BB"/>
          <w:spacing w:val="2"/>
          <w:sz w:val="19"/>
        </w:rPr>
        <w:t>, a z drugiej strony najlepszy interes dzieci, tak aby ich interesy, zagwarantowane w art. 8 (prawo do poszanowania życia prywatnego i rodzinnego) Konwencji, były chronione z punktu widzenia wymogów proceduralnych.</w:t>
      </w:r>
      <w:r w:rsidR="00DD284C" w:rsidRPr="00B5742F">
        <w:rPr>
          <w:rFonts w:ascii="Verdana" w:hAnsi="Verdana"/>
          <w:color w:val="0071BB"/>
          <w:spacing w:val="2"/>
          <w:sz w:val="19"/>
          <w:szCs w:val="22"/>
        </w:rPr>
        <w:t xml:space="preserve"> </w:t>
      </w:r>
      <w:r w:rsidR="00DD284C" w:rsidRPr="00B5742F">
        <w:rPr>
          <w:rFonts w:ascii="Verdana" w:hAnsi="Verdana"/>
          <w:color w:val="0071BB"/>
          <w:spacing w:val="2"/>
          <w:sz w:val="19"/>
        </w:rPr>
        <w:t xml:space="preserve">We wszystkich trzech sprawach Trybunał uznał, że doszło </w:t>
      </w:r>
      <w:r w:rsidR="00DD284C" w:rsidRPr="00B5742F">
        <w:rPr>
          <w:rFonts w:ascii="Verdana" w:hAnsi="Verdana"/>
          <w:b/>
          <w:color w:val="0071BB"/>
          <w:spacing w:val="2"/>
          <w:sz w:val="19"/>
        </w:rPr>
        <w:t>do</w:t>
      </w:r>
      <w:r w:rsidR="00DD284C" w:rsidRPr="00B5742F">
        <w:rPr>
          <w:rFonts w:ascii="Verdana" w:hAnsi="Verdana"/>
          <w:color w:val="0071BB"/>
          <w:spacing w:val="2"/>
          <w:sz w:val="19"/>
        </w:rPr>
        <w:t xml:space="preserve"> </w:t>
      </w:r>
      <w:r w:rsidR="00DD284C" w:rsidRPr="00B5742F">
        <w:rPr>
          <w:rFonts w:ascii="Verdana" w:hAnsi="Verdana"/>
          <w:b/>
          <w:color w:val="0071BB"/>
          <w:spacing w:val="2"/>
          <w:sz w:val="19"/>
        </w:rPr>
        <w:t xml:space="preserve">naruszenia art. 8 </w:t>
      </w:r>
      <w:r w:rsidR="00DD284C" w:rsidRPr="00B5742F">
        <w:rPr>
          <w:rFonts w:ascii="Verdana" w:hAnsi="Verdana"/>
          <w:color w:val="0071BB"/>
          <w:spacing w:val="2"/>
          <w:sz w:val="19"/>
        </w:rPr>
        <w:t xml:space="preserve">Konwencji. Ponieważ władze krajowe nie uwzględniły w należyty sposób szczególnych okoliczności skarżących, Trybunał stwierdził, że </w:t>
      </w:r>
      <w:r w:rsidR="00DD284C" w:rsidRPr="00B5742F">
        <w:rPr>
          <w:rFonts w:ascii="Verdana" w:hAnsi="Verdana"/>
          <w:color w:val="0071BB"/>
          <w:spacing w:val="4"/>
          <w:sz w:val="19"/>
        </w:rPr>
        <w:t>procedura łączenia</w:t>
      </w:r>
      <w:r w:rsidR="00DD284C" w:rsidRPr="00B5742F">
        <w:rPr>
          <w:rFonts w:ascii="Verdana" w:hAnsi="Verdana"/>
          <w:color w:val="0071BB"/>
          <w:spacing w:val="4"/>
          <w:sz w:val="19"/>
          <w:szCs w:val="22"/>
        </w:rPr>
        <w:t xml:space="preserve"> </w:t>
      </w:r>
      <w:r w:rsidR="00DD284C" w:rsidRPr="00B5742F">
        <w:rPr>
          <w:rFonts w:ascii="Verdana" w:hAnsi="Verdana"/>
          <w:color w:val="0071BB"/>
          <w:spacing w:val="4"/>
          <w:sz w:val="19"/>
        </w:rPr>
        <w:t>rodzin nie zapewniała niezbędnych</w:t>
      </w:r>
      <w:r w:rsidR="00DD284C" w:rsidRPr="00B5742F">
        <w:rPr>
          <w:rFonts w:ascii="Verdana" w:hAnsi="Verdana"/>
          <w:color w:val="0071BB"/>
          <w:spacing w:val="2"/>
          <w:sz w:val="19"/>
        </w:rPr>
        <w:t xml:space="preserve"> </w:t>
      </w:r>
      <w:r w:rsidR="00DD284C" w:rsidRPr="00B5742F">
        <w:rPr>
          <w:rFonts w:ascii="Verdana" w:hAnsi="Verdana"/>
          <w:color w:val="0071BB"/>
          <w:spacing w:val="4"/>
          <w:sz w:val="19"/>
        </w:rPr>
        <w:t>gwarancji elastyczności,</w:t>
      </w:r>
      <w:r w:rsidR="00DD284C" w:rsidRPr="00B5742F">
        <w:rPr>
          <w:rFonts w:ascii="Verdana" w:hAnsi="Verdana"/>
          <w:color w:val="0071BB"/>
          <w:spacing w:val="4"/>
          <w:sz w:val="19"/>
          <w:szCs w:val="22"/>
        </w:rPr>
        <w:t xml:space="preserve"> </w:t>
      </w:r>
      <w:r w:rsidR="00DD284C" w:rsidRPr="00B5742F">
        <w:rPr>
          <w:rFonts w:ascii="Verdana" w:hAnsi="Verdana"/>
          <w:color w:val="0071BB"/>
          <w:spacing w:val="4"/>
          <w:sz w:val="19"/>
        </w:rPr>
        <w:t>szybkości i</w:t>
      </w:r>
    </w:p>
    <w:p w14:paraId="138D31F5" w14:textId="77777777" w:rsidR="00DD284C" w:rsidRPr="00B5742F" w:rsidRDefault="00DD284C" w:rsidP="00E93132">
      <w:pPr>
        <w:pStyle w:val="Tekstpodstawowy"/>
        <w:ind w:left="874" w:right="730"/>
        <w:rPr>
          <w:rFonts w:ascii="Verdana" w:hAnsi="Verdana"/>
          <w:spacing w:val="2"/>
        </w:rPr>
      </w:pPr>
    </w:p>
    <w:p w14:paraId="696E386A" w14:textId="77777777" w:rsidR="000F5B45" w:rsidRPr="00B5742F" w:rsidRDefault="000F5B45" w:rsidP="00E93132">
      <w:pPr>
        <w:pStyle w:val="Tekstpodstawowy"/>
        <w:rPr>
          <w:rFonts w:ascii="Verdana" w:hAnsi="Verdana"/>
        </w:rPr>
        <w:sectPr w:rsidR="000F5B45" w:rsidRPr="00B5742F">
          <w:pgSz w:w="11910" w:h="16840"/>
          <w:pgMar w:top="1460" w:right="708" w:bottom="680" w:left="566" w:header="730" w:footer="497" w:gutter="0"/>
          <w:cols w:space="708"/>
        </w:sectPr>
      </w:pPr>
    </w:p>
    <w:p w14:paraId="44772E30" w14:textId="607CF6CC" w:rsidR="000F5B45" w:rsidRPr="00B5742F" w:rsidRDefault="00000000" w:rsidP="00E93132">
      <w:pPr>
        <w:pStyle w:val="Tekstpodstawowy"/>
        <w:spacing w:before="240"/>
        <w:rPr>
          <w:rFonts w:ascii="Verdana" w:hAnsi="Verdana"/>
          <w:spacing w:val="2"/>
        </w:rPr>
      </w:pPr>
      <w:r w:rsidRPr="00B5742F">
        <w:rPr>
          <w:rFonts w:ascii="Verdana" w:hAnsi="Verdana"/>
          <w:color w:val="0071BB"/>
          <w:spacing w:val="2"/>
          <w:sz w:val="19"/>
        </w:rPr>
        <w:lastRenderedPageBreak/>
        <w:t>skuteczności, aby zagwarantować poszanowanie prawa skarżących do życia rodzinnego. Z tego powodu państwo francuskie nie zapewniło właściwej równowagi między interesami skarżących a własnym interesem w zakresie kontroli imigracji.</w:t>
      </w:r>
    </w:p>
    <w:p w14:paraId="2B33C360" w14:textId="77777777" w:rsidR="000F5B45" w:rsidRPr="00B5742F" w:rsidRDefault="00000000" w:rsidP="00E93132">
      <w:pPr>
        <w:pStyle w:val="Tekstpodstawowy"/>
        <w:spacing w:before="53"/>
        <w:ind w:right="729" w:hanging="1"/>
        <w:rPr>
          <w:rFonts w:ascii="Verdana" w:hAnsi="Verdana"/>
          <w:spacing w:val="2"/>
        </w:rPr>
      </w:pPr>
      <w:r w:rsidRPr="00B5742F">
        <w:rPr>
          <w:rFonts w:ascii="Verdana" w:hAnsi="Verdana"/>
          <w:i/>
          <w:color w:val="404040"/>
          <w:spacing w:val="2"/>
          <w:sz w:val="19"/>
        </w:rPr>
        <w:t>Zob</w:t>
      </w:r>
      <w:r w:rsidRPr="00B5742F">
        <w:rPr>
          <w:rFonts w:ascii="Verdana" w:hAnsi="Verdana"/>
          <w:color w:val="404040"/>
          <w:spacing w:val="2"/>
          <w:sz w:val="19"/>
        </w:rPr>
        <w:t xml:space="preserve">. </w:t>
      </w:r>
      <w:r w:rsidRPr="00B5742F">
        <w:rPr>
          <w:rFonts w:ascii="Verdana" w:hAnsi="Verdana"/>
          <w:i/>
          <w:color w:val="404040"/>
          <w:spacing w:val="2"/>
          <w:sz w:val="19"/>
        </w:rPr>
        <w:t xml:space="preserve">również </w:t>
      </w:r>
      <w:r w:rsidRPr="00B5742F">
        <w:rPr>
          <w:rFonts w:ascii="Verdana" w:hAnsi="Verdana"/>
          <w:color w:val="404040"/>
          <w:spacing w:val="2"/>
          <w:sz w:val="19"/>
        </w:rPr>
        <w:t xml:space="preserve">podobne kwestie poruszone w sprawie </w:t>
      </w:r>
      <w:hyperlink r:id="rId57">
        <w:r w:rsidR="000F5B45" w:rsidRPr="00B5742F">
          <w:rPr>
            <w:rFonts w:ascii="Verdana" w:hAnsi="Verdana"/>
            <w:b/>
            <w:color w:val="0071BB"/>
            <w:spacing w:val="2"/>
            <w:sz w:val="19"/>
            <w:u w:val="single" w:color="0071BB"/>
          </w:rPr>
          <w:t>Ly przeciwko Francji</w:t>
        </w:r>
      </w:hyperlink>
      <w:r w:rsidRPr="00B5742F">
        <w:rPr>
          <w:rFonts w:ascii="Verdana" w:hAnsi="Verdana"/>
          <w:spacing w:val="2"/>
          <w:sz w:val="19"/>
        </w:rPr>
        <w:t xml:space="preserve">, </w:t>
      </w:r>
      <w:r w:rsidRPr="00B5742F">
        <w:rPr>
          <w:rFonts w:ascii="Verdana" w:hAnsi="Verdana"/>
          <w:color w:val="404040"/>
          <w:spacing w:val="2"/>
          <w:sz w:val="19"/>
        </w:rPr>
        <w:t>decyzja w sprawie dopuszczalności z dnia 17 czerwca 2014 r. (Trybunał uznał skargę za niedopuszczalną jako oczywiście bezzasadną, uznając, że proces decyzyjny, rozpatrywany jako całość, umożliwił skarżącemu wystarczające zaangażowanie w celu zapewnienia obrony jego interesów).</w:t>
      </w:r>
    </w:p>
    <w:p w14:paraId="7BDB0ED7" w14:textId="6EB2BBD7" w:rsidR="000F5B45" w:rsidRPr="00B5742F" w:rsidRDefault="000F5B45" w:rsidP="00E93132">
      <w:pPr>
        <w:pStyle w:val="Nagwek2"/>
        <w:spacing w:before="118"/>
        <w:rPr>
          <w:rFonts w:ascii="Verdana" w:hAnsi="Verdana"/>
          <w:spacing w:val="2"/>
          <w:u w:val="none"/>
        </w:rPr>
      </w:pPr>
      <w:hyperlink r:id="rId58">
        <w:r w:rsidRPr="00B5742F">
          <w:rPr>
            <w:rFonts w:ascii="Verdana" w:hAnsi="Verdana"/>
            <w:color w:val="0071BB"/>
            <w:spacing w:val="2"/>
            <w:sz w:val="19"/>
            <w:u w:color="0071BB"/>
          </w:rPr>
          <w:t xml:space="preserve">I.A.A. i </w:t>
        </w:r>
        <w:r w:rsidR="00A47954" w:rsidRPr="00B5742F">
          <w:rPr>
            <w:rFonts w:ascii="Verdana" w:hAnsi="Verdana"/>
            <w:color w:val="0071BB"/>
            <w:spacing w:val="2"/>
            <w:sz w:val="19"/>
            <w:u w:color="0071BB"/>
          </w:rPr>
          <w:t>I</w:t>
        </w:r>
        <w:r w:rsidRPr="00B5742F">
          <w:rPr>
            <w:rFonts w:ascii="Verdana" w:hAnsi="Verdana"/>
            <w:color w:val="0071BB"/>
            <w:spacing w:val="2"/>
            <w:sz w:val="19"/>
            <w:u w:color="0071BB"/>
          </w:rPr>
          <w:t>nni przeciwko Zjednoczonemu Królestwu (skarga nr 25960/13)</w:t>
        </w:r>
      </w:hyperlink>
    </w:p>
    <w:p w14:paraId="1DD54D90" w14:textId="78AF8415" w:rsidR="000F5B45" w:rsidRPr="00B5742F" w:rsidRDefault="00000000" w:rsidP="00E93132">
      <w:pPr>
        <w:spacing w:before="55"/>
        <w:ind w:left="874"/>
        <w:jc w:val="both"/>
        <w:rPr>
          <w:rFonts w:ascii="Verdana" w:hAnsi="Verdana"/>
          <w:spacing w:val="2"/>
          <w:sz w:val="18"/>
        </w:rPr>
      </w:pPr>
      <w:r w:rsidRPr="00B5742F">
        <w:rPr>
          <w:rFonts w:ascii="Verdana" w:hAnsi="Verdana"/>
          <w:color w:val="808080"/>
          <w:spacing w:val="2"/>
          <w:sz w:val="17"/>
        </w:rPr>
        <w:t>31 marca 2016</w:t>
      </w:r>
      <w:r w:rsidR="00A47954" w:rsidRPr="00B5742F">
        <w:rPr>
          <w:rFonts w:ascii="Verdana" w:hAnsi="Verdana"/>
          <w:color w:val="808080"/>
          <w:spacing w:val="2"/>
          <w:sz w:val="17"/>
        </w:rPr>
        <w:t xml:space="preserve"> r.</w:t>
      </w:r>
    </w:p>
    <w:p w14:paraId="1B0D3FBE" w14:textId="59DD2C07" w:rsidR="000F5B45" w:rsidRPr="00B5742F" w:rsidRDefault="00000000" w:rsidP="00E93132">
      <w:pPr>
        <w:pStyle w:val="Tekstpodstawowy"/>
        <w:spacing w:before="2"/>
        <w:ind w:left="874" w:right="727" w:hanging="1"/>
        <w:rPr>
          <w:rFonts w:ascii="Verdana" w:hAnsi="Verdana"/>
          <w:spacing w:val="2"/>
        </w:rPr>
      </w:pPr>
      <w:r w:rsidRPr="00B5742F">
        <w:rPr>
          <w:rFonts w:ascii="Verdana" w:hAnsi="Verdana"/>
          <w:spacing w:val="2"/>
          <w:sz w:val="19"/>
        </w:rPr>
        <w:t xml:space="preserve">Sprawa dotyczyła skargi pięciu obywateli Somalii, skarżących, na odmowę władz brytyjskich wydania im zezwolenia na wjazd do Zjednoczonego Królestwa w celu połączenia się z matką. Matka skarżących dołączyła do swojego drugiego męża w </w:t>
      </w:r>
      <w:r w:rsidR="00A47954" w:rsidRPr="00B5742F">
        <w:rPr>
          <w:rFonts w:ascii="Verdana" w:hAnsi="Verdana"/>
          <w:spacing w:val="2"/>
          <w:sz w:val="19"/>
        </w:rPr>
        <w:t>Zjednoczonym Królestwie</w:t>
      </w:r>
      <w:r w:rsidRPr="00B5742F">
        <w:rPr>
          <w:rFonts w:ascii="Verdana" w:hAnsi="Verdana"/>
          <w:spacing w:val="2"/>
          <w:sz w:val="19"/>
        </w:rPr>
        <w:t xml:space="preserve"> w 2004 r., a skarżący zostali pozostawieni pod opieką siostry matki w Somalii. W 2006 r. przenieśli się do Etiopii, gdzie skarżący mieszkali od tego czasu.</w:t>
      </w:r>
    </w:p>
    <w:p w14:paraId="7A696AAD" w14:textId="09E0B5F8" w:rsidR="00810766" w:rsidRPr="00810766" w:rsidRDefault="00000000" w:rsidP="00810766">
      <w:pPr>
        <w:pStyle w:val="Tekstpodstawowy"/>
        <w:rPr>
          <w:rFonts w:ascii="Verdana" w:hAnsi="Verdana"/>
          <w:color w:val="0071BB"/>
          <w:spacing w:val="2"/>
          <w:sz w:val="19"/>
        </w:rPr>
      </w:pPr>
      <w:r w:rsidRPr="00B5742F">
        <w:rPr>
          <w:rFonts w:ascii="Verdana" w:hAnsi="Verdana"/>
          <w:color w:val="0071BB"/>
          <w:spacing w:val="2"/>
          <w:sz w:val="19"/>
        </w:rPr>
        <w:t>Trybunał uznał skargę za</w:t>
      </w:r>
      <w:r w:rsidRPr="00B5742F">
        <w:rPr>
          <w:rFonts w:ascii="Verdana" w:hAnsi="Verdana"/>
          <w:b/>
          <w:color w:val="0071BB"/>
          <w:spacing w:val="2"/>
          <w:sz w:val="19"/>
        </w:rPr>
        <w:t xml:space="preserve"> niedopuszczalną </w:t>
      </w:r>
      <w:r w:rsidRPr="00B5742F">
        <w:rPr>
          <w:rFonts w:ascii="Verdana" w:hAnsi="Verdana"/>
          <w:color w:val="0071BB"/>
          <w:spacing w:val="2"/>
          <w:sz w:val="19"/>
        </w:rPr>
        <w:t xml:space="preserve">jako oczywiście bezzasadną, stwierdzając, że odmawiając skarżącym prawa do połączenia się z matką, sądy krajowe zachowały właściwą równowagę między interesem skarżących w prowadzeniu życia rodzinnego w </w:t>
      </w:r>
      <w:r w:rsidR="00A47954" w:rsidRPr="00B5742F">
        <w:rPr>
          <w:rFonts w:ascii="Verdana" w:hAnsi="Verdana"/>
          <w:color w:val="0071BB"/>
          <w:spacing w:val="2"/>
          <w:sz w:val="19"/>
        </w:rPr>
        <w:t xml:space="preserve">Zjednoczonym Królestwie </w:t>
      </w:r>
      <w:r w:rsidRPr="00B5742F">
        <w:rPr>
          <w:rFonts w:ascii="Verdana" w:hAnsi="Verdana"/>
          <w:color w:val="0071BB"/>
          <w:spacing w:val="2"/>
          <w:sz w:val="19"/>
        </w:rPr>
        <w:t xml:space="preserve">a interesem państwa w zakresie kontroli imigracji. Sytuacja skarżących była wprawdzie godna ubolewania, ale nie byli oni już małymi dziećmi (obecnie mają 21, 20, 19, 14 i 13 lat) i dorastali w środowisku kulturowym i językowym swojego kraju pochodzenia, zanim zamieszkali razem jako rodzina w Etiopii na ostatnie dziewięć lat. Nigdy nie byli w </w:t>
      </w:r>
      <w:r w:rsidR="00A47954" w:rsidRPr="00B5742F">
        <w:rPr>
          <w:rFonts w:ascii="Verdana" w:hAnsi="Verdana"/>
          <w:color w:val="0071BB"/>
          <w:spacing w:val="2"/>
          <w:sz w:val="19"/>
        </w:rPr>
        <w:t>Zjednoczonym Królestwie</w:t>
      </w:r>
      <w:r w:rsidRPr="00B5742F">
        <w:rPr>
          <w:rFonts w:ascii="Verdana" w:hAnsi="Verdana"/>
          <w:color w:val="0071BB"/>
          <w:spacing w:val="2"/>
          <w:sz w:val="19"/>
        </w:rPr>
        <w:t xml:space="preserve"> i nie mieszkali z matką przez ponad 11 lat. Jeśli chodzi o matkę </w:t>
      </w:r>
      <w:r w:rsidR="008659FC">
        <w:rPr>
          <w:rFonts w:ascii="Verdana" w:hAnsi="Verdana"/>
          <w:color w:val="0071BB"/>
          <w:spacing w:val="2"/>
          <w:sz w:val="19"/>
        </w:rPr>
        <w:t>skarżących</w:t>
      </w:r>
      <w:r w:rsidRPr="00B5742F">
        <w:rPr>
          <w:rFonts w:ascii="Verdana" w:hAnsi="Verdana"/>
          <w:color w:val="0071BB"/>
          <w:spacing w:val="2"/>
          <w:sz w:val="19"/>
        </w:rPr>
        <w:t xml:space="preserve">, która najwyraźniej podjęła świadomą decyzję o pozostawieniu dzieci w Somalii, aby dołączyć do swojego nowego męża w </w:t>
      </w:r>
      <w:r w:rsidR="00A47954" w:rsidRPr="00B5742F">
        <w:rPr>
          <w:rFonts w:ascii="Verdana" w:hAnsi="Verdana"/>
          <w:color w:val="0071BB"/>
          <w:spacing w:val="2"/>
          <w:sz w:val="19"/>
        </w:rPr>
        <w:t xml:space="preserve">Zjednoczonym </w:t>
      </w:r>
      <w:r w:rsidR="00810766" w:rsidRPr="00B5742F">
        <w:rPr>
          <w:rFonts w:ascii="Verdana" w:hAnsi="Verdana"/>
          <w:color w:val="0071BB"/>
          <w:spacing w:val="2"/>
          <w:sz w:val="19"/>
        </w:rPr>
        <w:t>Królestwie</w:t>
      </w:r>
      <w:r w:rsidRPr="00B5742F">
        <w:rPr>
          <w:rFonts w:ascii="Verdana" w:hAnsi="Verdana"/>
          <w:color w:val="0071BB"/>
          <w:spacing w:val="2"/>
          <w:sz w:val="19"/>
        </w:rPr>
        <w:t xml:space="preserve">, </w:t>
      </w:r>
      <w:r w:rsidR="00810766" w:rsidRPr="00810766">
        <w:rPr>
          <w:rFonts w:ascii="Verdana" w:hAnsi="Verdana"/>
          <w:color w:val="0071BB"/>
          <w:spacing w:val="2"/>
          <w:sz w:val="19"/>
        </w:rPr>
        <w:t>brak było jakichkolwiek dowodów wskazujących na istnienie nieprzezwyciężalnych przeszkód uniemożliwiających jej relokację zarówno do Etiopii, jak i do Somalii.</w:t>
      </w:r>
    </w:p>
    <w:p w14:paraId="665318DD" w14:textId="0CB19E46" w:rsidR="000F5B45" w:rsidRPr="00B5742F" w:rsidRDefault="000F5B45" w:rsidP="00E93132">
      <w:pPr>
        <w:pStyle w:val="Tekstpodstawowy"/>
        <w:rPr>
          <w:rFonts w:ascii="Verdana" w:hAnsi="Verdana"/>
          <w:spacing w:val="2"/>
        </w:rPr>
      </w:pPr>
    </w:p>
    <w:p w14:paraId="1CEDC302" w14:textId="77777777" w:rsidR="000F5B45" w:rsidRPr="00B5742F" w:rsidRDefault="00000000" w:rsidP="00B5742F">
      <w:pPr>
        <w:pStyle w:val="Nagwek1"/>
        <w:ind w:right="713"/>
        <w:rPr>
          <w:rFonts w:ascii="Verdana" w:hAnsi="Verdana"/>
          <w:spacing w:val="2"/>
          <w:sz w:val="32"/>
          <w:szCs w:val="32"/>
        </w:rPr>
      </w:pPr>
      <w:r w:rsidRPr="00B5742F">
        <w:rPr>
          <w:rFonts w:ascii="Verdana" w:hAnsi="Verdana"/>
          <w:color w:val="808080"/>
          <w:spacing w:val="2"/>
          <w:szCs w:val="32"/>
        </w:rPr>
        <w:t>Władza rodzicielska, opieka nad dzieckiem i prawo do kontaktów z dzieckiem</w:t>
      </w:r>
    </w:p>
    <w:p w14:paraId="685EECB4" w14:textId="77777777" w:rsidR="000F5B45" w:rsidRPr="00B5742F" w:rsidRDefault="000F5B45" w:rsidP="00E93132">
      <w:pPr>
        <w:pStyle w:val="Nagwek2"/>
        <w:spacing w:before="114"/>
        <w:rPr>
          <w:rFonts w:ascii="Verdana" w:hAnsi="Verdana"/>
          <w:spacing w:val="2"/>
          <w:u w:val="none"/>
        </w:rPr>
      </w:pPr>
      <w:hyperlink r:id="rId59">
        <w:r w:rsidRPr="00B5742F">
          <w:rPr>
            <w:rFonts w:ascii="Verdana" w:hAnsi="Verdana"/>
            <w:color w:val="0071BB"/>
            <w:spacing w:val="2"/>
            <w:sz w:val="19"/>
            <w:u w:color="0071BB"/>
          </w:rPr>
          <w:t>N.Ts. przeciwko Gruzji (nr 71776/12)</w:t>
        </w:r>
      </w:hyperlink>
    </w:p>
    <w:p w14:paraId="1CABB273" w14:textId="5D6E3F7B" w:rsidR="000F5B45" w:rsidRPr="00B5742F" w:rsidRDefault="00000000" w:rsidP="00E93132">
      <w:pPr>
        <w:spacing w:before="58"/>
        <w:ind w:left="874"/>
        <w:jc w:val="both"/>
        <w:rPr>
          <w:rFonts w:ascii="Verdana" w:hAnsi="Verdana"/>
          <w:spacing w:val="2"/>
          <w:sz w:val="18"/>
        </w:rPr>
      </w:pPr>
      <w:r w:rsidRPr="00B5742F">
        <w:rPr>
          <w:rFonts w:ascii="Verdana" w:hAnsi="Verdana"/>
          <w:color w:val="808080"/>
          <w:spacing w:val="2"/>
          <w:sz w:val="17"/>
        </w:rPr>
        <w:t>2 lutego 2016</w:t>
      </w:r>
      <w:r w:rsidR="00A47954" w:rsidRPr="00B5742F">
        <w:rPr>
          <w:rFonts w:ascii="Verdana" w:hAnsi="Verdana"/>
          <w:color w:val="808080"/>
          <w:spacing w:val="2"/>
          <w:sz w:val="17"/>
        </w:rPr>
        <w:t xml:space="preserve"> r.</w:t>
      </w:r>
    </w:p>
    <w:p w14:paraId="01E99F54" w14:textId="1F561740" w:rsidR="000F5B45" w:rsidRPr="00B5742F" w:rsidRDefault="00000000" w:rsidP="00E93132">
      <w:pPr>
        <w:pStyle w:val="Tekstpodstawowy"/>
        <w:spacing w:before="1"/>
        <w:ind w:left="874" w:right="731" w:hanging="1"/>
        <w:rPr>
          <w:rFonts w:ascii="Verdana" w:hAnsi="Verdana"/>
          <w:spacing w:val="2"/>
        </w:rPr>
      </w:pPr>
      <w:r w:rsidRPr="00B5742F">
        <w:rPr>
          <w:rFonts w:ascii="Verdana" w:hAnsi="Verdana"/>
          <w:spacing w:val="2"/>
          <w:sz w:val="19"/>
        </w:rPr>
        <w:t xml:space="preserve">Sprawa dotyczyła postępowania o powrót trzech młodych chłopców, którzy od śmierci matki mieszkali z rodziną </w:t>
      </w:r>
      <w:r w:rsidR="00A47954" w:rsidRPr="00B5742F">
        <w:rPr>
          <w:rFonts w:ascii="Verdana" w:hAnsi="Verdana"/>
          <w:spacing w:val="2"/>
          <w:sz w:val="19"/>
        </w:rPr>
        <w:t xml:space="preserve">ze strony </w:t>
      </w:r>
      <w:r w:rsidRPr="00B5742F">
        <w:rPr>
          <w:rFonts w:ascii="Verdana" w:hAnsi="Verdana"/>
          <w:spacing w:val="2"/>
          <w:sz w:val="19"/>
        </w:rPr>
        <w:t xml:space="preserve">matki, do </w:t>
      </w:r>
      <w:r w:rsidR="00A47954" w:rsidRPr="00B5742F">
        <w:rPr>
          <w:rFonts w:ascii="Verdana" w:hAnsi="Verdana"/>
          <w:spacing w:val="2"/>
          <w:sz w:val="19"/>
        </w:rPr>
        <w:t xml:space="preserve">ich </w:t>
      </w:r>
      <w:r w:rsidRPr="00B5742F">
        <w:rPr>
          <w:rFonts w:ascii="Verdana" w:hAnsi="Verdana"/>
          <w:spacing w:val="2"/>
          <w:sz w:val="19"/>
        </w:rPr>
        <w:t>ojca. Pierwsza skarżąca twierdziła w szczególności, że władze krajowe nie dokonały dokładnej oceny najlepszego interesu jej bratanków, a postępowanie było wadliwe pod względem proceduralnym.</w:t>
      </w:r>
    </w:p>
    <w:p w14:paraId="7A91F9CE" w14:textId="56AC23A4" w:rsidR="000F5B45" w:rsidRPr="00B5742F" w:rsidRDefault="00000000" w:rsidP="00E93132">
      <w:pPr>
        <w:pStyle w:val="Tekstpodstawowy"/>
        <w:ind w:right="730"/>
        <w:rPr>
          <w:rFonts w:ascii="Verdana" w:hAnsi="Verdana"/>
          <w:spacing w:val="2"/>
        </w:rPr>
      </w:pPr>
      <w:r w:rsidRPr="00B5742F">
        <w:rPr>
          <w:rFonts w:ascii="Verdana" w:hAnsi="Verdana"/>
          <w:color w:val="0071BB"/>
          <w:spacing w:val="2"/>
          <w:sz w:val="19"/>
        </w:rPr>
        <w:t xml:space="preserve">Trybunał uznał, że </w:t>
      </w:r>
      <w:r w:rsidRPr="00B5742F">
        <w:rPr>
          <w:rFonts w:ascii="Verdana" w:hAnsi="Verdana"/>
          <w:b/>
          <w:bCs/>
          <w:color w:val="0071BB"/>
          <w:spacing w:val="2"/>
          <w:sz w:val="19"/>
        </w:rPr>
        <w:t xml:space="preserve">doszło </w:t>
      </w:r>
      <w:r w:rsidRPr="00B5742F">
        <w:rPr>
          <w:rFonts w:ascii="Verdana" w:hAnsi="Verdana"/>
          <w:b/>
          <w:color w:val="0071BB"/>
          <w:spacing w:val="2"/>
          <w:sz w:val="19"/>
        </w:rPr>
        <w:t xml:space="preserve">do naruszenia art. 8 </w:t>
      </w:r>
      <w:r w:rsidRPr="00B5742F">
        <w:rPr>
          <w:rFonts w:ascii="Verdana" w:hAnsi="Verdana"/>
          <w:color w:val="0071BB"/>
          <w:spacing w:val="2"/>
          <w:sz w:val="19"/>
        </w:rPr>
        <w:t xml:space="preserve">(prawo do poszanowania życia prywatnego i rodzinnego) Konwencji. W szczególności stwierdził, że chłopcy nie byli odpowiednio reprezentowani przed sądami krajowymi, </w:t>
      </w:r>
      <w:r w:rsidR="008A59DB">
        <w:rPr>
          <w:rFonts w:ascii="Verdana" w:hAnsi="Verdana"/>
          <w:color w:val="0071BB"/>
          <w:spacing w:val="2"/>
          <w:sz w:val="19"/>
        </w:rPr>
        <w:t xml:space="preserve">w szczególności, iż </w:t>
      </w:r>
      <w:r w:rsidRPr="00B5742F">
        <w:rPr>
          <w:rFonts w:ascii="Verdana" w:hAnsi="Verdana"/>
          <w:color w:val="0071BB"/>
          <w:spacing w:val="2"/>
          <w:sz w:val="19"/>
        </w:rPr>
        <w:t>funkcje i uprawnienia organu krajowego wyznaczonego do ich reprezentowania nie zostały jasno określone, a sądy nie rozważyły możliwości przesłuchania najstarszego z chłopców osobiście. Ponadto sądy dokonały nieodpowiedniej oceny najlepszego interesu chłopców, nie uwzględniając ich stanu emocjonalnego.</w:t>
      </w:r>
    </w:p>
    <w:p w14:paraId="4D295F0E" w14:textId="5D4EDE81" w:rsidR="000F5B45" w:rsidRPr="00B5742F" w:rsidRDefault="000F5B45" w:rsidP="00E93132">
      <w:pPr>
        <w:pStyle w:val="Nagwek2"/>
        <w:spacing w:before="103"/>
        <w:rPr>
          <w:rFonts w:ascii="Verdana" w:hAnsi="Verdana"/>
          <w:b w:val="0"/>
          <w:spacing w:val="2"/>
          <w:position w:val="7"/>
          <w:sz w:val="13"/>
          <w:u w:val="none"/>
        </w:rPr>
      </w:pPr>
      <w:hyperlink r:id="rId60">
        <w:r w:rsidRPr="00B5742F">
          <w:rPr>
            <w:rFonts w:ascii="Verdana" w:hAnsi="Verdana"/>
            <w:color w:val="0071BB"/>
            <w:spacing w:val="2"/>
            <w:sz w:val="19"/>
            <w:u w:color="0071BB"/>
          </w:rPr>
          <w:t xml:space="preserve">V.D. i </w:t>
        </w:r>
        <w:r w:rsidR="00C4391B" w:rsidRPr="00B5742F">
          <w:rPr>
            <w:rFonts w:ascii="Verdana" w:hAnsi="Verdana"/>
            <w:color w:val="0071BB"/>
            <w:spacing w:val="2"/>
            <w:sz w:val="19"/>
            <w:u w:color="0071BB"/>
          </w:rPr>
          <w:t>I</w:t>
        </w:r>
        <w:r w:rsidRPr="00B5742F">
          <w:rPr>
            <w:rFonts w:ascii="Verdana" w:hAnsi="Verdana"/>
            <w:color w:val="0071BB"/>
            <w:spacing w:val="2"/>
            <w:sz w:val="19"/>
            <w:u w:color="0071BB"/>
          </w:rPr>
          <w:t>nni przeciwko Rosji (nr 72931/10)</w:t>
        </w:r>
      </w:hyperlink>
      <w:hyperlink w:anchor="_bookmark3" w:history="1">
        <w:r w:rsidRPr="00B5742F">
          <w:rPr>
            <w:rFonts w:ascii="Verdana" w:hAnsi="Verdana"/>
            <w:b w:val="0"/>
            <w:color w:val="0D0D0D"/>
            <w:spacing w:val="2"/>
            <w:position w:val="7"/>
            <w:sz w:val="12"/>
            <w:u w:val="none"/>
          </w:rPr>
          <w:t>4</w:t>
        </w:r>
      </w:hyperlink>
    </w:p>
    <w:p w14:paraId="4730795F" w14:textId="58C2BB84" w:rsidR="000F5B45" w:rsidRPr="00B5742F" w:rsidRDefault="00000000" w:rsidP="00E93132">
      <w:pPr>
        <w:spacing w:before="56"/>
        <w:ind w:left="874"/>
        <w:jc w:val="both"/>
        <w:rPr>
          <w:rFonts w:ascii="Verdana" w:hAnsi="Verdana"/>
          <w:spacing w:val="2"/>
          <w:sz w:val="18"/>
        </w:rPr>
      </w:pPr>
      <w:r w:rsidRPr="00B5742F">
        <w:rPr>
          <w:rFonts w:ascii="Verdana" w:hAnsi="Verdana"/>
          <w:color w:val="808080"/>
          <w:spacing w:val="2"/>
          <w:sz w:val="17"/>
        </w:rPr>
        <w:t>9 kwietnia 2019</w:t>
      </w:r>
      <w:r w:rsidR="00382433">
        <w:rPr>
          <w:rFonts w:ascii="Verdana" w:hAnsi="Verdana"/>
          <w:color w:val="808080"/>
          <w:spacing w:val="2"/>
          <w:sz w:val="17"/>
        </w:rPr>
        <w:t xml:space="preserve"> r.</w:t>
      </w:r>
    </w:p>
    <w:p w14:paraId="29AD10D2" w14:textId="7D2101C9" w:rsidR="000F5B45" w:rsidRPr="009749D0" w:rsidRDefault="00000000" w:rsidP="00B6563D">
      <w:pPr>
        <w:pStyle w:val="Tekstpodstawowy"/>
        <w:spacing w:before="3"/>
        <w:ind w:right="727"/>
        <w:rPr>
          <w:rFonts w:ascii="Verdana" w:hAnsi="Verdana"/>
          <w:spacing w:val="2"/>
          <w:sz w:val="19"/>
        </w:rPr>
      </w:pPr>
      <w:r w:rsidRPr="00B5742F">
        <w:rPr>
          <w:rFonts w:ascii="Verdana" w:hAnsi="Verdana"/>
          <w:spacing w:val="2"/>
          <w:sz w:val="19"/>
        </w:rPr>
        <w:t xml:space="preserve">Sprawa dotyczyła dziecka, które przez dziewięć lat było pod opieką </w:t>
      </w:r>
      <w:r w:rsidRPr="004A3380">
        <w:rPr>
          <w:rFonts w:ascii="Verdana" w:hAnsi="Verdana"/>
          <w:spacing w:val="2"/>
          <w:sz w:val="19"/>
        </w:rPr>
        <w:t xml:space="preserve">matki </w:t>
      </w:r>
      <w:r w:rsidR="0028076B" w:rsidRPr="004A3380">
        <w:rPr>
          <w:rFonts w:ascii="Verdana" w:hAnsi="Verdana"/>
          <w:spacing w:val="2"/>
          <w:sz w:val="19"/>
        </w:rPr>
        <w:t xml:space="preserve">z rodziny </w:t>
      </w:r>
      <w:r w:rsidRPr="004A3380">
        <w:rPr>
          <w:rFonts w:ascii="Verdana" w:hAnsi="Verdana"/>
          <w:spacing w:val="2"/>
          <w:sz w:val="19"/>
        </w:rPr>
        <w:t>zastępczej</w:t>
      </w:r>
      <w:r w:rsidRPr="00B5742F">
        <w:rPr>
          <w:rFonts w:ascii="Verdana" w:hAnsi="Verdana"/>
          <w:spacing w:val="2"/>
          <w:sz w:val="19"/>
        </w:rPr>
        <w:t xml:space="preserve">, pierwszej skarżącej w sprawie, a następnie zostało zwrócone biologicznym rodzicom. Matka zastępcza i jej pozostałe dzieci złożyły skargę na decyzje rosyjskich sądów </w:t>
      </w:r>
      <w:r w:rsidR="00C4391B" w:rsidRPr="00B5742F">
        <w:rPr>
          <w:rFonts w:ascii="Verdana" w:hAnsi="Verdana"/>
          <w:spacing w:val="2"/>
          <w:sz w:val="19"/>
        </w:rPr>
        <w:t xml:space="preserve">o zwrocie dziecka rodzicom, o pozbawieniu </w:t>
      </w:r>
      <w:r w:rsidR="0071265B" w:rsidRPr="009749D0">
        <w:rPr>
          <w:rFonts w:ascii="Verdana" w:hAnsi="Verdana"/>
          <w:spacing w:val="2"/>
          <w:sz w:val="19"/>
        </w:rPr>
        <w:t>pierwszej skarżącej</w:t>
      </w:r>
      <w:r w:rsidR="00C4391B" w:rsidRPr="00B5742F">
        <w:rPr>
          <w:rFonts w:ascii="Verdana" w:hAnsi="Verdana"/>
          <w:spacing w:val="2"/>
          <w:sz w:val="19"/>
        </w:rPr>
        <w:t xml:space="preserve"> praw opiekuna oraz o odmowie przyznania im praw do kontaktów z dzieckiem.</w:t>
      </w:r>
    </w:p>
    <w:p w14:paraId="2E8C0167" w14:textId="4A7AE95E" w:rsidR="0071265B" w:rsidRPr="00B5742F" w:rsidRDefault="0071265B" w:rsidP="00E93132">
      <w:pPr>
        <w:pStyle w:val="Tekstpodstawowy"/>
        <w:spacing w:before="3"/>
        <w:ind w:right="727"/>
        <w:rPr>
          <w:rFonts w:ascii="Verdana" w:hAnsi="Verdana"/>
          <w:color w:val="0070C0"/>
          <w:spacing w:val="4"/>
        </w:rPr>
      </w:pPr>
      <w:r w:rsidRPr="00B5742F">
        <w:rPr>
          <w:rFonts w:ascii="Verdana" w:hAnsi="Verdana"/>
          <w:color w:val="0070C0"/>
          <w:spacing w:val="4"/>
          <w:sz w:val="19"/>
        </w:rPr>
        <w:t xml:space="preserve">Trybunał uznał, że </w:t>
      </w:r>
      <w:r w:rsidRPr="00B5742F">
        <w:rPr>
          <w:rFonts w:ascii="Verdana" w:hAnsi="Verdana"/>
          <w:b/>
          <w:color w:val="0070C0"/>
          <w:spacing w:val="4"/>
          <w:sz w:val="19"/>
        </w:rPr>
        <w:t xml:space="preserve">nie </w:t>
      </w:r>
      <w:r w:rsidRPr="00B5742F">
        <w:rPr>
          <w:rFonts w:ascii="Verdana" w:hAnsi="Verdana"/>
          <w:color w:val="0070C0"/>
          <w:spacing w:val="4"/>
          <w:sz w:val="19"/>
        </w:rPr>
        <w:t xml:space="preserve">doszło </w:t>
      </w:r>
      <w:r w:rsidRPr="00B5742F">
        <w:rPr>
          <w:rFonts w:ascii="Verdana" w:hAnsi="Verdana"/>
          <w:b/>
          <w:color w:val="0070C0"/>
          <w:spacing w:val="4"/>
          <w:sz w:val="19"/>
        </w:rPr>
        <w:t xml:space="preserve">do naruszenia art. 8 </w:t>
      </w:r>
      <w:r w:rsidRPr="00B5742F">
        <w:rPr>
          <w:rFonts w:ascii="Verdana" w:hAnsi="Verdana"/>
          <w:color w:val="0070C0"/>
          <w:spacing w:val="4"/>
          <w:sz w:val="19"/>
        </w:rPr>
        <w:t xml:space="preserve">(prawo do poszanowania życia prywatnego i rodzinnego) Konwencji w związku z nakazem sądów krajowych odebrania dziecka matce zastępczej i powierzenia go rodzicom biologicznym, a także </w:t>
      </w:r>
      <w:r w:rsidRPr="00B5742F">
        <w:rPr>
          <w:rFonts w:ascii="Verdana" w:hAnsi="Verdana"/>
          <w:b/>
          <w:color w:val="0070C0"/>
          <w:spacing w:val="4"/>
          <w:sz w:val="19"/>
        </w:rPr>
        <w:t xml:space="preserve">do naruszenia </w:t>
      </w:r>
    </w:p>
    <w:p w14:paraId="6F6B23EC" w14:textId="77777777" w:rsidR="000F5B45" w:rsidRPr="00B5742F" w:rsidRDefault="00000000" w:rsidP="00E93132">
      <w:pPr>
        <w:pStyle w:val="Tekstpodstawowy"/>
        <w:spacing w:before="85"/>
        <w:ind w:left="0" w:right="0"/>
        <w:jc w:val="left"/>
        <w:rPr>
          <w:rFonts w:ascii="Verdana" w:hAnsi="Verdana"/>
        </w:rPr>
      </w:pPr>
      <w:r w:rsidRPr="00B5742F">
        <w:rPr>
          <w:rFonts w:ascii="Verdana" w:hAnsi="Verdana"/>
          <w:noProof/>
        </w:rPr>
        <mc:AlternateContent>
          <mc:Choice Requires="wps">
            <w:drawing>
              <wp:anchor distT="0" distB="0" distL="0" distR="0" simplePos="0" relativeHeight="251670528" behindDoc="1" locked="0" layoutInCell="1" allowOverlap="1" wp14:anchorId="797C5E74" wp14:editId="334088DE">
                <wp:simplePos x="0" y="0"/>
                <wp:positionH relativeFrom="page">
                  <wp:posOffset>914400</wp:posOffset>
                </wp:positionH>
                <wp:positionV relativeFrom="paragraph">
                  <wp:posOffset>224602</wp:posOffset>
                </wp:positionV>
                <wp:extent cx="1828800" cy="762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53ED2FC" id="Graphic 17" o:spid="_x0000_s1026" style="position:absolute;margin-left:1in;margin-top:17.7pt;width:2in;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" path="m1828800,l,,,7620r1828800,l1828800,xe" fillcolor="black" stroked="f">
                <v:path arrowok="t"/>
                <w10:wrap type="topAndBottom" anchorx="page"/>
              </v:shape>
            </w:pict>
          </mc:Fallback>
        </mc:AlternateContent>
      </w:r>
    </w:p>
    <w:p w14:paraId="7C4E1A8E" w14:textId="24E0246B" w:rsidR="000F5B45" w:rsidRPr="00B5742F" w:rsidRDefault="00000000" w:rsidP="00E93132">
      <w:pPr>
        <w:spacing w:before="104"/>
        <w:ind w:left="874"/>
        <w:rPr>
          <w:rFonts w:ascii="Verdana" w:hAnsi="Verdana"/>
          <w:sz w:val="16"/>
        </w:rPr>
      </w:pPr>
      <w:bookmarkStart w:id="3" w:name="_bookmark3"/>
      <w:bookmarkEnd w:id="3"/>
      <w:r w:rsidRPr="00B5742F">
        <w:rPr>
          <w:rFonts w:ascii="Verdana" w:hAnsi="Verdana"/>
          <w:sz w:val="15"/>
          <w:vertAlign w:val="superscript"/>
        </w:rPr>
        <w:t>4</w:t>
      </w:r>
      <w:r w:rsidRPr="00B5742F">
        <w:rPr>
          <w:rFonts w:ascii="Verdana" w:hAnsi="Verdana"/>
          <w:sz w:val="15"/>
        </w:rPr>
        <w:t xml:space="preserve"> W dniu 16 września 2022 r. Federacja Rosyjska przestała być stroną konwencji.</w:t>
      </w:r>
    </w:p>
    <w:p w14:paraId="62331D88" w14:textId="77777777" w:rsidR="000F5B45" w:rsidRPr="009749D0" w:rsidRDefault="000F5B45" w:rsidP="00E93132">
      <w:pPr>
        <w:rPr>
          <w:rFonts w:ascii="Verdana" w:hAnsi="Verdana"/>
          <w:sz w:val="16"/>
        </w:rPr>
      </w:pPr>
    </w:p>
    <w:p w14:paraId="5B5DA34F" w14:textId="77777777" w:rsidR="0071265B" w:rsidRPr="00B5742F" w:rsidRDefault="0071265B" w:rsidP="00E93132">
      <w:pPr>
        <w:rPr>
          <w:rFonts w:ascii="Verdana" w:hAnsi="Verdana"/>
          <w:sz w:val="16"/>
        </w:rPr>
        <w:sectPr w:rsidR="0071265B" w:rsidRPr="00B5742F">
          <w:pgSz w:w="11910" w:h="16840"/>
          <w:pgMar w:top="1460" w:right="708" w:bottom="680" w:left="566" w:header="730" w:footer="497" w:gutter="0"/>
          <w:cols w:space="708"/>
        </w:sectPr>
      </w:pPr>
    </w:p>
    <w:p w14:paraId="19CA5726" w14:textId="42C9073F" w:rsidR="000F5B45" w:rsidRPr="00B5742F" w:rsidRDefault="0071265B" w:rsidP="00E93132">
      <w:pPr>
        <w:pStyle w:val="Tekstpodstawowy"/>
        <w:ind w:left="874" w:hanging="1"/>
        <w:rPr>
          <w:rFonts w:ascii="Verdana" w:hAnsi="Verdana"/>
          <w:spacing w:val="2"/>
        </w:rPr>
      </w:pPr>
      <w:r w:rsidRPr="00B5742F">
        <w:rPr>
          <w:rFonts w:ascii="Verdana" w:hAnsi="Verdana"/>
          <w:b/>
          <w:color w:val="0071BB"/>
          <w:spacing w:val="2"/>
          <w:sz w:val="19"/>
        </w:rPr>
        <w:lastRenderedPageBreak/>
        <w:t xml:space="preserve">art. 8 </w:t>
      </w:r>
      <w:r w:rsidRPr="00B5742F">
        <w:rPr>
          <w:rFonts w:ascii="Verdana" w:hAnsi="Verdana"/>
          <w:color w:val="0071BB"/>
          <w:spacing w:val="2"/>
          <w:sz w:val="19"/>
        </w:rPr>
        <w:t>Konwencji</w:t>
      </w:r>
      <w:r w:rsidRPr="009749D0">
        <w:rPr>
          <w:rFonts w:ascii="Verdana" w:hAnsi="Verdana"/>
          <w:color w:val="0071BB"/>
          <w:spacing w:val="2"/>
          <w:sz w:val="19"/>
        </w:rPr>
        <w:t xml:space="preserve"> </w:t>
      </w:r>
      <w:r w:rsidRPr="00B5742F">
        <w:rPr>
          <w:rFonts w:ascii="Verdana" w:hAnsi="Verdana"/>
          <w:color w:val="0071BB"/>
          <w:spacing w:val="2"/>
          <w:sz w:val="19"/>
        </w:rPr>
        <w:t>w związku z decyzją o odmowie rodzinie zastępczej dalszych kontaktów z dzieckiem. W szczególności stwierdził, że sądy krajowe rozważyły wszystkie niezbędne czynniki przy podejmowaniu decyzji o powrocie dziecka do rodziców, takie jak to, czy środek ten leżał w jego najlepszym interesie. Sądy odmówiły jednak rodzinie zastępczej wszelkich dalszych kontaktów z dzieckiem, które nawiązało bliskie więzi z pierwszą skarżącą i jej pozostałymi dziećmi. W tym względzie Trybunał zauważył, że decyzja sądów opierała się wyłącznie na zastosowaniu rosyjskiego ustawodawstwa dotyczącego prawa do kontaktów, które było nieelastyczne i nie uwzględniało zróżnicowanej sytuacji rodzin. Sądy krajowe nie przeprowadziły zatem wymaganej oceny indywidualnych okoliczności sprawy.</w:t>
      </w:r>
    </w:p>
    <w:p w14:paraId="027E199C" w14:textId="77777777" w:rsidR="000F5B45" w:rsidRPr="00B5742F" w:rsidRDefault="00000000" w:rsidP="00E93132">
      <w:pPr>
        <w:pStyle w:val="Nagwek1"/>
        <w:spacing w:before="229"/>
        <w:ind w:right="727"/>
        <w:rPr>
          <w:rFonts w:ascii="Verdana" w:hAnsi="Verdana"/>
          <w:spacing w:val="2"/>
          <w:sz w:val="32"/>
          <w:szCs w:val="32"/>
        </w:rPr>
      </w:pPr>
      <w:r w:rsidRPr="00B5742F">
        <w:rPr>
          <w:rFonts w:ascii="Verdana" w:hAnsi="Verdana"/>
          <w:color w:val="808080"/>
          <w:spacing w:val="2"/>
          <w:szCs w:val="32"/>
        </w:rPr>
        <w:t>Prawo do poznania swojego pochodzenia i działania mające na celu ustalenie prawnej relacji rodzicielskiej</w:t>
      </w:r>
    </w:p>
    <w:p w14:paraId="3AA9301E" w14:textId="77777777" w:rsidR="000F5B45" w:rsidRPr="00B5742F" w:rsidRDefault="000F5B45" w:rsidP="00E93132">
      <w:pPr>
        <w:pStyle w:val="Nagwek2"/>
        <w:rPr>
          <w:rFonts w:ascii="Verdana" w:hAnsi="Verdana"/>
          <w:spacing w:val="2"/>
          <w:u w:val="none"/>
        </w:rPr>
      </w:pPr>
      <w:hyperlink r:id="rId61">
        <w:r w:rsidRPr="00B5742F">
          <w:rPr>
            <w:rFonts w:ascii="Verdana" w:hAnsi="Verdana"/>
            <w:color w:val="0071BB"/>
            <w:spacing w:val="2"/>
            <w:sz w:val="19"/>
            <w:u w:color="0071BB"/>
          </w:rPr>
          <w:t>Mikulić przeciwko Chorwacji</w:t>
        </w:r>
      </w:hyperlink>
    </w:p>
    <w:p w14:paraId="07A7BC75" w14:textId="1693AD2D" w:rsidR="000F5B45" w:rsidRPr="00B5742F" w:rsidRDefault="00000000" w:rsidP="00E93132">
      <w:pPr>
        <w:spacing w:before="55"/>
        <w:ind w:left="874"/>
        <w:jc w:val="both"/>
        <w:rPr>
          <w:rFonts w:ascii="Verdana" w:hAnsi="Verdana"/>
          <w:spacing w:val="2"/>
          <w:sz w:val="18"/>
        </w:rPr>
      </w:pPr>
      <w:r w:rsidRPr="00B5742F">
        <w:rPr>
          <w:rFonts w:ascii="Verdana" w:hAnsi="Verdana"/>
          <w:color w:val="808080"/>
          <w:spacing w:val="2"/>
          <w:sz w:val="17"/>
        </w:rPr>
        <w:t>7 lutego 2002</w:t>
      </w:r>
      <w:r w:rsidR="00116788" w:rsidRPr="009749D0">
        <w:rPr>
          <w:rFonts w:ascii="Verdana" w:hAnsi="Verdana"/>
          <w:color w:val="808080"/>
          <w:spacing w:val="2"/>
          <w:sz w:val="17"/>
        </w:rPr>
        <w:t xml:space="preserve"> r.</w:t>
      </w:r>
    </w:p>
    <w:p w14:paraId="48F5788B" w14:textId="45E1EE8B" w:rsidR="000F5B45" w:rsidRPr="00B5742F" w:rsidRDefault="00000000" w:rsidP="00E93132">
      <w:pPr>
        <w:pStyle w:val="Tekstpodstawowy"/>
        <w:spacing w:before="4"/>
        <w:ind w:right="730"/>
        <w:rPr>
          <w:rFonts w:ascii="Verdana" w:hAnsi="Verdana"/>
          <w:spacing w:val="2"/>
        </w:rPr>
      </w:pPr>
      <w:r w:rsidRPr="00B5742F">
        <w:rPr>
          <w:rFonts w:ascii="Verdana" w:hAnsi="Verdana"/>
          <w:spacing w:val="2"/>
          <w:sz w:val="19"/>
        </w:rPr>
        <w:t xml:space="preserve">Sprawa dotyczyła dziecka urodzonego poza związkiem małżeńskim, które wraz z matką wniosło pozew o ustalenie ojcostwa. </w:t>
      </w:r>
      <w:r w:rsidR="00131EFE" w:rsidRPr="00131EFE">
        <w:rPr>
          <w:rFonts w:ascii="Verdana" w:hAnsi="Verdana"/>
          <w:spacing w:val="2"/>
          <w:sz w:val="19"/>
        </w:rPr>
        <w:t xml:space="preserve">Skarżąca zarzuciła, że prawo chorwackie nie nakładało na mężczyzn, przeciwko którym wytoczono powództwo o ustalenie ojcostwa, obowiązku podporządkowania się zarządzeniom sądu nakazującym poddanie się badaniom DNA, </w:t>
      </w:r>
      <w:r w:rsidRPr="00B5742F">
        <w:rPr>
          <w:rFonts w:ascii="Verdana" w:hAnsi="Verdana"/>
          <w:spacing w:val="2"/>
          <w:sz w:val="19"/>
        </w:rPr>
        <w:t>a także że brak rozstrzygnięcia przez sądy krajowe w sprawie jej roszczenia o ustalenie ojcostwa spowodował, że nie ma ona pewności co do swojej tożsamości. Skarżąca skarżyła się również na długość postępowania i brak skutecznych środków odwoławczych umożliwiających jego przyspieszenie.</w:t>
      </w:r>
    </w:p>
    <w:p w14:paraId="0C1E5480" w14:textId="77777777" w:rsidR="000F5B45" w:rsidRPr="00B5742F" w:rsidRDefault="00000000" w:rsidP="00E93132">
      <w:pPr>
        <w:pStyle w:val="Tekstpodstawowy"/>
        <w:rPr>
          <w:rFonts w:ascii="Verdana" w:hAnsi="Verdana"/>
          <w:spacing w:val="2"/>
        </w:rPr>
      </w:pPr>
      <w:r w:rsidRPr="00B5742F">
        <w:rPr>
          <w:rFonts w:ascii="Verdana" w:hAnsi="Verdana"/>
          <w:color w:val="0071BB"/>
          <w:spacing w:val="2"/>
          <w:sz w:val="19"/>
        </w:rPr>
        <w:t xml:space="preserve">Trybunał uznał, że </w:t>
      </w:r>
      <w:r w:rsidRPr="00B5742F">
        <w:rPr>
          <w:rFonts w:ascii="Verdana" w:hAnsi="Verdana"/>
          <w:b/>
          <w:bCs/>
          <w:color w:val="0071BB"/>
          <w:spacing w:val="2"/>
          <w:sz w:val="19"/>
        </w:rPr>
        <w:t>doszło</w:t>
      </w:r>
      <w:r w:rsidRPr="00B5742F">
        <w:rPr>
          <w:rFonts w:ascii="Verdana" w:hAnsi="Verdana"/>
          <w:color w:val="0071BB"/>
          <w:spacing w:val="2"/>
          <w:sz w:val="19"/>
        </w:rPr>
        <w:t xml:space="preserve"> </w:t>
      </w:r>
      <w:r w:rsidRPr="00B5742F">
        <w:rPr>
          <w:rFonts w:ascii="Verdana" w:hAnsi="Verdana"/>
          <w:b/>
          <w:color w:val="0071BB"/>
          <w:spacing w:val="2"/>
          <w:sz w:val="19"/>
        </w:rPr>
        <w:t>do</w:t>
      </w:r>
      <w:r w:rsidRPr="00B5742F">
        <w:rPr>
          <w:rFonts w:ascii="Verdana" w:hAnsi="Verdana"/>
          <w:color w:val="0071BB"/>
          <w:spacing w:val="2"/>
          <w:sz w:val="19"/>
        </w:rPr>
        <w:t xml:space="preserve"> </w:t>
      </w:r>
      <w:r w:rsidRPr="00B5742F">
        <w:rPr>
          <w:rFonts w:ascii="Verdana" w:hAnsi="Verdana"/>
          <w:b/>
          <w:color w:val="0071BB"/>
          <w:spacing w:val="2"/>
          <w:sz w:val="19"/>
        </w:rPr>
        <w:t xml:space="preserve">naruszenia art. 8 </w:t>
      </w:r>
      <w:r w:rsidRPr="00B5742F">
        <w:rPr>
          <w:rFonts w:ascii="Verdana" w:hAnsi="Verdana"/>
          <w:color w:val="0071BB"/>
          <w:spacing w:val="2"/>
          <w:sz w:val="19"/>
        </w:rPr>
        <w:t>(prawo do poszanowania życia prywatnego i rodzinnego) Konwencji. W szczególności zauważył, że przy rozpatrywaniu wniosku o ustalenie ojcostwa sądy miały obowiązek uwzględnić podstawową zasadę dobra dziecka. W niniejszej sprawie stwierdził, że dostępna procedura nie zapewniała sprawiedliwej równowagi między prawem skarżącej do usunięcia bez zbędnej zwłoki niepewności co do jej tożsamości a prawem domniemanego ojca do niepoddawania się badaniom DNA. W związku z tym nieskuteczność sądów pozostawiła skarżącą w stanie przedłużającej się niepewności co do jej tożsamości. Trybunał stwierdził ponadto, że doszło do</w:t>
      </w:r>
      <w:r w:rsidRPr="00B5742F">
        <w:rPr>
          <w:rFonts w:ascii="Verdana" w:hAnsi="Verdana"/>
          <w:b/>
          <w:color w:val="0071BB"/>
          <w:spacing w:val="2"/>
          <w:sz w:val="19"/>
        </w:rPr>
        <w:t xml:space="preserve"> naruszenia art. 6 § 1 (</w:t>
      </w:r>
      <w:r w:rsidRPr="00B5742F">
        <w:rPr>
          <w:rFonts w:ascii="Verdana" w:hAnsi="Verdana"/>
          <w:color w:val="0071BB"/>
          <w:spacing w:val="2"/>
          <w:sz w:val="19"/>
        </w:rPr>
        <w:t xml:space="preserve">prawo do rzetelnego rozpatrzenia sprawy w rozsądnym terminie) oraz </w:t>
      </w:r>
      <w:r w:rsidRPr="00B5742F">
        <w:rPr>
          <w:rFonts w:ascii="Verdana" w:hAnsi="Verdana"/>
          <w:b/>
          <w:color w:val="0071BB"/>
          <w:spacing w:val="2"/>
          <w:sz w:val="19"/>
        </w:rPr>
        <w:t>art. 13 (</w:t>
      </w:r>
      <w:r w:rsidRPr="00B5742F">
        <w:rPr>
          <w:rFonts w:ascii="Verdana" w:hAnsi="Verdana"/>
          <w:color w:val="0071BB"/>
          <w:spacing w:val="2"/>
          <w:sz w:val="19"/>
        </w:rPr>
        <w:t>prawo do skutecznego środka odwoławczego) Konwencji.</w:t>
      </w:r>
    </w:p>
    <w:p w14:paraId="029C6A7A" w14:textId="61EAE793" w:rsidR="000F5B45" w:rsidRPr="00B5742F" w:rsidRDefault="00000000" w:rsidP="00E93132">
      <w:pPr>
        <w:spacing w:before="40"/>
        <w:ind w:left="874" w:right="730" w:hanging="1"/>
        <w:jc w:val="both"/>
        <w:rPr>
          <w:rFonts w:ascii="Verdana" w:hAnsi="Verdana"/>
          <w:spacing w:val="2"/>
          <w:sz w:val="20"/>
        </w:rPr>
      </w:pPr>
      <w:r w:rsidRPr="00B5742F">
        <w:rPr>
          <w:rFonts w:ascii="Verdana" w:hAnsi="Verdana"/>
          <w:i/>
          <w:color w:val="404040"/>
          <w:spacing w:val="2"/>
          <w:sz w:val="19"/>
        </w:rPr>
        <w:t>Zob</w:t>
      </w:r>
      <w:r w:rsidRPr="00B5742F">
        <w:rPr>
          <w:rFonts w:ascii="Verdana" w:hAnsi="Verdana"/>
          <w:color w:val="404040"/>
          <w:spacing w:val="2"/>
          <w:sz w:val="19"/>
        </w:rPr>
        <w:t xml:space="preserve">. </w:t>
      </w:r>
      <w:r w:rsidRPr="00B5742F">
        <w:rPr>
          <w:rFonts w:ascii="Verdana" w:hAnsi="Verdana"/>
          <w:i/>
          <w:color w:val="404040"/>
          <w:spacing w:val="2"/>
          <w:sz w:val="19"/>
        </w:rPr>
        <w:t xml:space="preserve">również </w:t>
      </w:r>
      <w:r w:rsidRPr="00B5742F">
        <w:rPr>
          <w:rFonts w:ascii="Verdana" w:hAnsi="Verdana"/>
          <w:color w:val="404040"/>
          <w:spacing w:val="2"/>
          <w:sz w:val="19"/>
        </w:rPr>
        <w:t xml:space="preserve">m.in.: </w:t>
      </w:r>
      <w:hyperlink r:id="rId62">
        <w:r w:rsidR="000F5B45" w:rsidRPr="00B5742F">
          <w:rPr>
            <w:rFonts w:ascii="Verdana" w:hAnsi="Verdana"/>
            <w:b/>
            <w:color w:val="0071BB"/>
            <w:spacing w:val="2"/>
            <w:sz w:val="19"/>
            <w:u w:val="single" w:color="0071BB"/>
          </w:rPr>
          <w:t>Gaskin przeciwko Zjednoczonemu Królestwu</w:t>
        </w:r>
      </w:hyperlink>
      <w:r w:rsidRPr="00B5742F">
        <w:rPr>
          <w:rFonts w:ascii="Verdana" w:hAnsi="Verdana"/>
          <w:color w:val="404040"/>
          <w:spacing w:val="2"/>
          <w:sz w:val="19"/>
        </w:rPr>
        <w:t xml:space="preserve">, wyrok z dnia 7 lipca 1989 r.; </w:t>
      </w:r>
      <w:hyperlink r:id="rId63">
        <w:r w:rsidR="000F5B45" w:rsidRPr="00B5742F">
          <w:rPr>
            <w:rFonts w:ascii="Verdana" w:hAnsi="Verdana"/>
            <w:b/>
            <w:color w:val="0071BB"/>
            <w:spacing w:val="2"/>
            <w:sz w:val="19"/>
            <w:u w:val="single" w:color="0071BB"/>
          </w:rPr>
          <w:t>Ebru i Tayfun Engin Çolak przeciwko Turcji</w:t>
        </w:r>
      </w:hyperlink>
      <w:r w:rsidRPr="00B5742F">
        <w:rPr>
          <w:rFonts w:ascii="Verdana" w:hAnsi="Verdana"/>
          <w:color w:val="404040"/>
          <w:spacing w:val="2"/>
          <w:sz w:val="19"/>
        </w:rPr>
        <w:t xml:space="preserve">, wyrok z dnia 30 maja 2006 r.; </w:t>
      </w:r>
      <w:hyperlink r:id="rId64">
        <w:r w:rsidR="000F5B45" w:rsidRPr="00B5742F">
          <w:rPr>
            <w:rFonts w:ascii="Verdana" w:hAnsi="Verdana"/>
            <w:b/>
            <w:color w:val="0071BB"/>
            <w:spacing w:val="2"/>
            <w:sz w:val="19"/>
            <w:u w:val="single" w:color="0071BB"/>
          </w:rPr>
          <w:t xml:space="preserve">Phinikaridou przeciwko </w:t>
        </w:r>
      </w:hyperlink>
      <w:hyperlink r:id="rId65">
        <w:r w:rsidR="000F5B45" w:rsidRPr="00B5742F">
          <w:rPr>
            <w:rFonts w:ascii="Verdana" w:hAnsi="Verdana"/>
            <w:b/>
            <w:color w:val="0071BB"/>
            <w:spacing w:val="2"/>
            <w:sz w:val="19"/>
            <w:u w:val="single" w:color="0071BB"/>
          </w:rPr>
          <w:t>Cyprowi</w:t>
        </w:r>
      </w:hyperlink>
      <w:r w:rsidRPr="00B5742F">
        <w:rPr>
          <w:rFonts w:ascii="Verdana" w:hAnsi="Verdana"/>
          <w:color w:val="404040"/>
          <w:spacing w:val="2"/>
          <w:sz w:val="19"/>
        </w:rPr>
        <w:t>, wyrok z dnia 20 grudnia 2007</w:t>
      </w:r>
      <w:r w:rsidR="005C68FA" w:rsidRPr="009749D0">
        <w:rPr>
          <w:rFonts w:ascii="Verdana" w:hAnsi="Verdana"/>
          <w:color w:val="404040"/>
          <w:spacing w:val="2"/>
          <w:sz w:val="19"/>
        </w:rPr>
        <w:t> </w:t>
      </w:r>
      <w:r w:rsidRPr="00B5742F">
        <w:rPr>
          <w:rFonts w:ascii="Verdana" w:hAnsi="Verdana"/>
          <w:color w:val="404040"/>
          <w:spacing w:val="2"/>
          <w:sz w:val="19"/>
        </w:rPr>
        <w:t xml:space="preserve">r.; </w:t>
      </w:r>
      <w:hyperlink r:id="rId66">
        <w:r w:rsidR="000F5B45" w:rsidRPr="00B5742F">
          <w:rPr>
            <w:rFonts w:ascii="Verdana" w:hAnsi="Verdana"/>
            <w:b/>
            <w:color w:val="0071BB"/>
            <w:spacing w:val="2"/>
            <w:sz w:val="19"/>
            <w:u w:val="single" w:color="0071BB"/>
          </w:rPr>
          <w:t>Kalacheva przeciwko Rosji,</w:t>
        </w:r>
      </w:hyperlink>
      <w:r w:rsidRPr="00B5742F">
        <w:rPr>
          <w:rFonts w:ascii="Verdana" w:hAnsi="Verdana"/>
          <w:color w:val="404040"/>
          <w:spacing w:val="2"/>
          <w:sz w:val="19"/>
        </w:rPr>
        <w:t xml:space="preserve"> wyrok z dnia 7 maja 2009 r.; </w:t>
      </w:r>
      <w:hyperlink r:id="rId67">
        <w:r w:rsidR="000F5B45" w:rsidRPr="00B5742F">
          <w:rPr>
            <w:rFonts w:ascii="Verdana" w:hAnsi="Verdana"/>
            <w:b/>
            <w:color w:val="0071BB"/>
            <w:spacing w:val="2"/>
            <w:sz w:val="19"/>
            <w:u w:val="single" w:color="0071BB"/>
          </w:rPr>
          <w:t xml:space="preserve">Grönmark przeciwko Finlandii </w:t>
        </w:r>
        <w:r w:rsidR="000F5B45" w:rsidRPr="00B5742F">
          <w:rPr>
            <w:rFonts w:ascii="Verdana" w:hAnsi="Verdana"/>
            <w:color w:val="404040"/>
            <w:spacing w:val="2"/>
            <w:sz w:val="19"/>
          </w:rPr>
          <w:t xml:space="preserve">i </w:t>
        </w:r>
        <w:r w:rsidR="000F5B45" w:rsidRPr="00B5742F">
          <w:rPr>
            <w:rFonts w:ascii="Verdana" w:hAnsi="Verdana"/>
            <w:b/>
            <w:color w:val="0071BB"/>
            <w:spacing w:val="2"/>
            <w:sz w:val="19"/>
            <w:u w:val="single" w:color="0071BB"/>
          </w:rPr>
          <w:t>Backlund przeciwko Finlandii,</w:t>
        </w:r>
      </w:hyperlink>
      <w:r w:rsidRPr="00B5742F">
        <w:rPr>
          <w:rFonts w:ascii="Verdana" w:hAnsi="Verdana"/>
          <w:color w:val="404040"/>
          <w:spacing w:val="2"/>
          <w:sz w:val="19"/>
        </w:rPr>
        <w:t xml:space="preserve"> wyroki z dnia 6 lipca 2010 r.; </w:t>
      </w:r>
      <w:hyperlink r:id="rId68">
        <w:r w:rsidR="000F5B45" w:rsidRPr="00B5742F">
          <w:rPr>
            <w:rFonts w:ascii="Verdana" w:hAnsi="Verdana"/>
            <w:b/>
            <w:color w:val="0071BB"/>
            <w:spacing w:val="2"/>
            <w:sz w:val="19"/>
            <w:u w:val="single" w:color="0071BB"/>
          </w:rPr>
          <w:t>Pascaud przeciwko Francji,</w:t>
        </w:r>
      </w:hyperlink>
      <w:r w:rsidRPr="00B5742F">
        <w:rPr>
          <w:rFonts w:ascii="Verdana" w:hAnsi="Verdana"/>
          <w:color w:val="404040"/>
          <w:spacing w:val="2"/>
          <w:sz w:val="19"/>
        </w:rPr>
        <w:t xml:space="preserve"> wyrok z dnia 16 czerwca 2011 r.; </w:t>
      </w:r>
      <w:hyperlink r:id="rId69">
        <w:r w:rsidR="000F5B45" w:rsidRPr="00B5742F">
          <w:rPr>
            <w:rFonts w:ascii="Verdana" w:hAnsi="Verdana"/>
            <w:b/>
            <w:color w:val="0071BB"/>
            <w:spacing w:val="2"/>
            <w:sz w:val="19"/>
            <w:u w:val="single" w:color="0071BB"/>
          </w:rPr>
          <w:t>Laakso przeciwko Finlandii,</w:t>
        </w:r>
      </w:hyperlink>
      <w:r w:rsidRPr="00B5742F">
        <w:rPr>
          <w:rFonts w:ascii="Verdana" w:hAnsi="Verdana"/>
          <w:color w:val="404040"/>
          <w:spacing w:val="2"/>
          <w:sz w:val="19"/>
        </w:rPr>
        <w:t xml:space="preserve"> wyrok z dnia 15 stycznia 2013 r.; oraz </w:t>
      </w:r>
      <w:hyperlink r:id="rId70">
        <w:r w:rsidR="000F5B45" w:rsidRPr="00B5742F">
          <w:rPr>
            <w:rFonts w:ascii="Verdana" w:hAnsi="Verdana"/>
            <w:b/>
            <w:color w:val="0071BB"/>
            <w:spacing w:val="2"/>
            <w:sz w:val="19"/>
            <w:u w:val="single" w:color="0071BB"/>
          </w:rPr>
          <w:t>Röman przeciwko Finlandii,</w:t>
        </w:r>
      </w:hyperlink>
      <w:r w:rsidRPr="00B5742F">
        <w:rPr>
          <w:rFonts w:ascii="Verdana" w:hAnsi="Verdana"/>
          <w:color w:val="404040"/>
          <w:spacing w:val="2"/>
          <w:sz w:val="19"/>
        </w:rPr>
        <w:t xml:space="preserve"> wyrok z dnia 29 stycznia 2013 r.; </w:t>
      </w:r>
      <w:hyperlink r:id="rId71">
        <w:r w:rsidR="000F5B45" w:rsidRPr="00B5742F">
          <w:rPr>
            <w:rFonts w:ascii="Verdana" w:hAnsi="Verdana"/>
            <w:b/>
            <w:color w:val="0071BB"/>
            <w:spacing w:val="2"/>
            <w:sz w:val="19"/>
            <w:u w:val="single" w:color="0071BB"/>
          </w:rPr>
          <w:t>Konstantinidis przeciwko Grecji,</w:t>
        </w:r>
      </w:hyperlink>
      <w:r w:rsidRPr="00B5742F">
        <w:rPr>
          <w:rFonts w:ascii="Verdana" w:hAnsi="Verdana"/>
          <w:color w:val="404040"/>
          <w:spacing w:val="2"/>
          <w:sz w:val="19"/>
        </w:rPr>
        <w:t xml:space="preserve"> wyrok z dnia 3 kwietnia 2014 r.; </w:t>
      </w:r>
      <w:hyperlink r:id="rId72">
        <w:r w:rsidR="000F5B45" w:rsidRPr="00B5742F">
          <w:rPr>
            <w:rFonts w:ascii="Verdana" w:hAnsi="Verdana"/>
            <w:b/>
            <w:color w:val="0071BB"/>
            <w:spacing w:val="2"/>
            <w:sz w:val="19"/>
            <w:u w:val="thick" w:color="0071BB"/>
          </w:rPr>
          <w:t>Călin i inni przeciwko Rumunii,</w:t>
        </w:r>
      </w:hyperlink>
      <w:r w:rsidRPr="00B5742F">
        <w:rPr>
          <w:rFonts w:ascii="Verdana" w:hAnsi="Verdana"/>
          <w:color w:val="404040"/>
          <w:spacing w:val="2"/>
          <w:sz w:val="19"/>
        </w:rPr>
        <w:t xml:space="preserve"> wyrok z dnia 19 lipca 2016 r.</w:t>
      </w:r>
    </w:p>
    <w:p w14:paraId="45AD71BC" w14:textId="77777777" w:rsidR="000F5B45" w:rsidRPr="00B5742F" w:rsidRDefault="000F5B45" w:rsidP="00E93132">
      <w:pPr>
        <w:pStyle w:val="Nagwek2"/>
        <w:ind w:left="873"/>
        <w:rPr>
          <w:rFonts w:ascii="Verdana" w:hAnsi="Verdana"/>
          <w:spacing w:val="2"/>
          <w:u w:val="none"/>
        </w:rPr>
      </w:pPr>
      <w:hyperlink r:id="rId73">
        <w:r w:rsidRPr="00B5742F">
          <w:rPr>
            <w:rFonts w:ascii="Verdana" w:hAnsi="Verdana"/>
            <w:color w:val="0071BB"/>
            <w:spacing w:val="2"/>
            <w:sz w:val="19"/>
            <w:u w:color="0071BB"/>
          </w:rPr>
          <w:t>Odièvre przeciwko Francji</w:t>
        </w:r>
      </w:hyperlink>
    </w:p>
    <w:p w14:paraId="29F1019B" w14:textId="77777777" w:rsidR="000F5B45" w:rsidRPr="00B5742F" w:rsidRDefault="00000000" w:rsidP="00E93132">
      <w:pPr>
        <w:spacing w:before="56"/>
        <w:ind w:left="874"/>
        <w:jc w:val="both"/>
        <w:rPr>
          <w:rFonts w:ascii="Verdana" w:hAnsi="Verdana"/>
          <w:spacing w:val="2"/>
          <w:sz w:val="18"/>
        </w:rPr>
      </w:pPr>
      <w:r w:rsidRPr="00B5742F">
        <w:rPr>
          <w:rFonts w:ascii="Verdana" w:hAnsi="Verdana"/>
          <w:color w:val="808080"/>
          <w:spacing w:val="2"/>
          <w:sz w:val="17"/>
        </w:rPr>
        <w:t>13 lutego 2003 r. (Wielka Izba)</w:t>
      </w:r>
    </w:p>
    <w:p w14:paraId="1DD76CA8" w14:textId="34D9170E" w:rsidR="000F5B45" w:rsidRPr="009749D0" w:rsidRDefault="008659FC" w:rsidP="00E93132">
      <w:pPr>
        <w:pStyle w:val="Tekstpodstawowy"/>
        <w:spacing w:before="1"/>
        <w:ind w:right="730"/>
        <w:rPr>
          <w:rFonts w:ascii="Verdana" w:hAnsi="Verdana"/>
          <w:spacing w:val="2"/>
          <w:sz w:val="19"/>
        </w:rPr>
      </w:pPr>
      <w:r>
        <w:rPr>
          <w:rFonts w:ascii="Verdana" w:hAnsi="Verdana"/>
          <w:spacing w:val="2"/>
          <w:sz w:val="19"/>
        </w:rPr>
        <w:t>Skarżąca</w:t>
      </w:r>
      <w:r w:rsidRPr="00B5742F">
        <w:rPr>
          <w:rFonts w:ascii="Verdana" w:hAnsi="Verdana"/>
          <w:spacing w:val="2"/>
          <w:sz w:val="19"/>
        </w:rPr>
        <w:t xml:space="preserve"> została porzucona przez biologiczną matkę po urodzeniu i oddana do opieki Departamentu Zdrowia i Opieki Społecznej. </w:t>
      </w:r>
      <w:r w:rsidR="005C68FA" w:rsidRPr="009749D0">
        <w:rPr>
          <w:rFonts w:ascii="Verdana" w:hAnsi="Verdana"/>
          <w:spacing w:val="2"/>
          <w:sz w:val="19"/>
        </w:rPr>
        <w:t xml:space="preserve">Jej matka </w:t>
      </w:r>
      <w:r w:rsidRPr="00B5742F">
        <w:rPr>
          <w:rFonts w:ascii="Verdana" w:hAnsi="Verdana"/>
          <w:spacing w:val="2"/>
          <w:sz w:val="19"/>
        </w:rPr>
        <w:t xml:space="preserve">zażądała, aby jej tożsamość nie została ujawniona </w:t>
      </w:r>
      <w:r w:rsidR="0059544C">
        <w:rPr>
          <w:rFonts w:ascii="Verdana" w:hAnsi="Verdana"/>
          <w:spacing w:val="2"/>
          <w:sz w:val="19"/>
        </w:rPr>
        <w:t>skarżącej,</w:t>
      </w:r>
      <w:r w:rsidRPr="00B5742F">
        <w:rPr>
          <w:rFonts w:ascii="Verdana" w:hAnsi="Verdana"/>
          <w:spacing w:val="2"/>
          <w:sz w:val="19"/>
        </w:rPr>
        <w:t xml:space="preserve"> która została umieszczona w pieczy państwowej, a następnie adoptowana na mocy pełnego postanowienia o adopcji. </w:t>
      </w:r>
      <w:r w:rsidR="00E91C91">
        <w:rPr>
          <w:rFonts w:ascii="Verdana" w:hAnsi="Verdana"/>
          <w:spacing w:val="2"/>
          <w:sz w:val="19"/>
        </w:rPr>
        <w:t>Skarżąca</w:t>
      </w:r>
      <w:r w:rsidR="00E91C91" w:rsidRPr="00B5742F">
        <w:rPr>
          <w:rFonts w:ascii="Verdana" w:hAnsi="Verdana"/>
          <w:spacing w:val="2"/>
          <w:sz w:val="19"/>
        </w:rPr>
        <w:t xml:space="preserve"> </w:t>
      </w:r>
      <w:r w:rsidRPr="00B5742F">
        <w:rPr>
          <w:rFonts w:ascii="Verdana" w:hAnsi="Verdana"/>
          <w:spacing w:val="2"/>
          <w:sz w:val="19"/>
        </w:rPr>
        <w:t>próbowała następnie ustalić tożsamość swoich biologicznych rodziców i braci. Jej wniosek został odrzucony, ponieważ urodziła się w ramach specjalnej procedury, która pozwalała matkom zachować anonimowość.</w:t>
      </w:r>
      <w:r w:rsidR="00E91C91" w:rsidRPr="00E91C91">
        <w:rPr>
          <w:rFonts w:ascii="Verdana" w:hAnsi="Verdana"/>
          <w:spacing w:val="2"/>
          <w:sz w:val="19"/>
          <w:szCs w:val="22"/>
        </w:rPr>
        <w:t xml:space="preserve"> </w:t>
      </w:r>
      <w:r w:rsidR="0059544C" w:rsidRPr="00E91C91">
        <w:rPr>
          <w:rFonts w:ascii="Verdana" w:hAnsi="Verdana"/>
          <w:spacing w:val="2"/>
          <w:sz w:val="19"/>
        </w:rPr>
        <w:t>Skarżąca</w:t>
      </w:r>
      <w:r w:rsidR="00E91C91" w:rsidRPr="00E91C91">
        <w:rPr>
          <w:rFonts w:ascii="Verdana" w:hAnsi="Verdana"/>
          <w:spacing w:val="2"/>
          <w:sz w:val="19"/>
        </w:rPr>
        <w:t xml:space="preserve"> zarzuciła</w:t>
      </w:r>
      <w:r w:rsidRPr="00B5742F">
        <w:rPr>
          <w:rFonts w:ascii="Verdana" w:hAnsi="Verdana"/>
          <w:spacing w:val="2"/>
          <w:sz w:val="19"/>
        </w:rPr>
        <w:t xml:space="preserve"> </w:t>
      </w:r>
    </w:p>
    <w:p w14:paraId="03EAC176" w14:textId="77777777" w:rsidR="001E588B" w:rsidRPr="00B5742F" w:rsidRDefault="001E588B" w:rsidP="00E93132">
      <w:pPr>
        <w:pStyle w:val="Tekstpodstawowy"/>
        <w:spacing w:before="1"/>
        <w:ind w:right="730"/>
        <w:rPr>
          <w:rFonts w:ascii="Verdana" w:hAnsi="Verdana"/>
        </w:rPr>
      </w:pPr>
    </w:p>
    <w:p w14:paraId="6C70183C" w14:textId="77777777" w:rsidR="000F5B45" w:rsidRPr="00B5742F" w:rsidRDefault="000F5B45" w:rsidP="00E93132">
      <w:pPr>
        <w:pStyle w:val="Tekstpodstawowy"/>
        <w:rPr>
          <w:rFonts w:ascii="Verdana" w:hAnsi="Verdana"/>
        </w:rPr>
        <w:sectPr w:rsidR="000F5B45" w:rsidRPr="00B5742F">
          <w:pgSz w:w="11910" w:h="16840"/>
          <w:pgMar w:top="1460" w:right="708" w:bottom="680" w:left="566" w:header="730" w:footer="497" w:gutter="0"/>
          <w:cols w:space="708"/>
        </w:sectPr>
      </w:pPr>
    </w:p>
    <w:p w14:paraId="235EA046" w14:textId="091B84AE" w:rsidR="000F5B45" w:rsidRPr="00B5742F" w:rsidRDefault="00E91C91" w:rsidP="004A3380">
      <w:pPr>
        <w:pStyle w:val="Tekstpodstawowy"/>
        <w:spacing w:before="240"/>
        <w:ind w:right="726"/>
        <w:rPr>
          <w:rFonts w:ascii="Verdana" w:hAnsi="Verdana"/>
          <w:sz w:val="19"/>
          <w:szCs w:val="19"/>
        </w:rPr>
      </w:pPr>
      <w:r w:rsidRPr="00E91C91">
        <w:rPr>
          <w:rFonts w:ascii="Verdana" w:hAnsi="Verdana"/>
          <w:sz w:val="19"/>
          <w:szCs w:val="19"/>
        </w:rPr>
        <w:lastRenderedPageBreak/>
        <w:t xml:space="preserve">że nie była </w:t>
      </w:r>
      <w:r w:rsidRPr="00B5742F">
        <w:rPr>
          <w:rFonts w:ascii="Verdana" w:hAnsi="Verdana"/>
          <w:sz w:val="19"/>
          <w:szCs w:val="19"/>
        </w:rPr>
        <w:t>w stanie uzyskać szczegółowych informacji pozwalających na identyfikację jej biologicznej rodziny i stwierdziła, że brak takiej możliwości wyrządził jej ogromną krzywdę, pozbawiając ją szansy na odtworzenie historii swojego życia. Ponadto stwierdziła, że francuskie przepisy dotyczące poufności informacji dotyczących urodzenia stanowią dyskryminację ze względu na pochodzenie.</w:t>
      </w:r>
    </w:p>
    <w:p w14:paraId="00375541" w14:textId="54106AFD" w:rsidR="000F5B45" w:rsidRPr="00B5742F" w:rsidRDefault="00000000" w:rsidP="00E93132">
      <w:pPr>
        <w:pStyle w:val="Tekstpodstawowy"/>
        <w:ind w:right="726"/>
        <w:rPr>
          <w:rFonts w:ascii="Verdana" w:hAnsi="Verdana"/>
          <w:sz w:val="19"/>
          <w:szCs w:val="19"/>
        </w:rPr>
      </w:pPr>
      <w:r w:rsidRPr="00B5742F">
        <w:rPr>
          <w:rFonts w:ascii="Verdana" w:hAnsi="Verdana"/>
          <w:color w:val="0071BB"/>
          <w:sz w:val="19"/>
          <w:szCs w:val="19"/>
        </w:rPr>
        <w:t xml:space="preserve">W wyroku wydanym przez Wielką Izbę Trybunał zauważył, że narodziny, a w szczególności okoliczności, w jakich dziecko przyszło na świat, stanowią część życia prywatnego dziecka, a następnie osoby dorosłej, gwarantowanego przez art. 8 Konwencji. W niniejszej sprawie Trybunał stwierdził, że </w:t>
      </w:r>
      <w:r w:rsidRPr="00B5742F">
        <w:rPr>
          <w:rFonts w:ascii="Verdana" w:hAnsi="Verdana"/>
          <w:b/>
          <w:color w:val="0071BB"/>
          <w:sz w:val="19"/>
          <w:szCs w:val="19"/>
        </w:rPr>
        <w:t>nie</w:t>
      </w:r>
      <w:r w:rsidRPr="00B5742F">
        <w:rPr>
          <w:rFonts w:ascii="Verdana" w:hAnsi="Verdana"/>
          <w:color w:val="0071BB"/>
          <w:sz w:val="19"/>
          <w:szCs w:val="19"/>
        </w:rPr>
        <w:t xml:space="preserve"> </w:t>
      </w:r>
      <w:r w:rsidRPr="00B5742F">
        <w:rPr>
          <w:rFonts w:ascii="Verdana" w:hAnsi="Verdana"/>
          <w:b/>
          <w:bCs/>
          <w:color w:val="0071BB"/>
          <w:sz w:val="19"/>
          <w:szCs w:val="19"/>
        </w:rPr>
        <w:t>doszło d</w:t>
      </w:r>
      <w:r w:rsidRPr="00B5742F">
        <w:rPr>
          <w:rFonts w:ascii="Verdana" w:hAnsi="Verdana"/>
          <w:b/>
          <w:color w:val="0071BB"/>
          <w:sz w:val="19"/>
          <w:szCs w:val="19"/>
        </w:rPr>
        <w:t xml:space="preserve">o naruszenia art. 8 </w:t>
      </w:r>
      <w:r w:rsidRPr="00B5742F">
        <w:rPr>
          <w:rFonts w:ascii="Verdana" w:hAnsi="Verdana"/>
          <w:bCs/>
          <w:color w:val="0071BB"/>
          <w:sz w:val="19"/>
          <w:szCs w:val="19"/>
        </w:rPr>
        <w:t>(</w:t>
      </w:r>
      <w:r w:rsidRPr="00B5742F">
        <w:rPr>
          <w:rFonts w:ascii="Verdana" w:hAnsi="Verdana"/>
          <w:color w:val="0071BB"/>
          <w:sz w:val="19"/>
          <w:szCs w:val="19"/>
        </w:rPr>
        <w:t xml:space="preserve">prawo do poszanowania życia prywatnego), zauważając w szczególności, że skarżącej udzielono dostępu do informacji nieumożliwiających identyfikacji jej matki i rodziny biologicznej, które umożliwiły jej odnalezienie części swoich korzeni, przy jednoczesnym zapewnieniu ochrony interesów osób trzecich. Ponadto niedawno uchwalone w 2002 r. przepisy umożliwiły </w:t>
      </w:r>
      <w:r w:rsidR="0059544C">
        <w:rPr>
          <w:rFonts w:ascii="Verdana" w:hAnsi="Verdana"/>
          <w:color w:val="0071BB"/>
          <w:sz w:val="19"/>
          <w:szCs w:val="19"/>
        </w:rPr>
        <w:t>uchylenie</w:t>
      </w:r>
      <w:r w:rsidR="006D1850">
        <w:rPr>
          <w:rFonts w:ascii="Verdana" w:hAnsi="Verdana"/>
          <w:color w:val="0071BB"/>
          <w:sz w:val="19"/>
          <w:szCs w:val="19"/>
        </w:rPr>
        <w:t xml:space="preserve"> </w:t>
      </w:r>
      <w:r w:rsidRPr="00B5742F">
        <w:rPr>
          <w:rFonts w:ascii="Verdana" w:hAnsi="Verdana"/>
          <w:color w:val="0071BB"/>
          <w:sz w:val="19"/>
          <w:szCs w:val="19"/>
        </w:rPr>
        <w:t>poufności i utworzenie specjalnego organu ułatwiającego poszukiwanie informacji o pochodzeniu biologicznym. Skarżąca mo</w:t>
      </w:r>
      <w:r w:rsidR="00A27F37">
        <w:rPr>
          <w:rFonts w:ascii="Verdana" w:hAnsi="Verdana"/>
          <w:color w:val="0071BB"/>
          <w:sz w:val="19"/>
          <w:szCs w:val="19"/>
        </w:rPr>
        <w:t xml:space="preserve">gła od tamtej pory </w:t>
      </w:r>
      <w:r w:rsidRPr="00B5742F">
        <w:rPr>
          <w:rFonts w:ascii="Verdana" w:hAnsi="Verdana"/>
          <w:color w:val="0071BB"/>
          <w:sz w:val="19"/>
          <w:szCs w:val="19"/>
        </w:rPr>
        <w:t>skorzystać z tych przepisów, aby wystąpić o ujawnienie tożsamości swojej matki, pod warunkiem uzyskania zgody tej ostatnie</w:t>
      </w:r>
      <w:r w:rsidR="00A27F37">
        <w:rPr>
          <w:rFonts w:ascii="Verdana" w:hAnsi="Verdana"/>
          <w:color w:val="0071BB"/>
          <w:sz w:val="19"/>
          <w:szCs w:val="19"/>
        </w:rPr>
        <w:t>, tak</w:t>
      </w:r>
      <w:r w:rsidR="006D1850">
        <w:rPr>
          <w:rFonts w:ascii="Verdana" w:hAnsi="Verdana"/>
          <w:color w:val="0071BB"/>
          <w:sz w:val="19"/>
          <w:szCs w:val="19"/>
        </w:rPr>
        <w:t xml:space="preserve"> </w:t>
      </w:r>
      <w:r w:rsidR="00A27F37" w:rsidRPr="00A27F37">
        <w:rPr>
          <w:rFonts w:ascii="Verdana" w:hAnsi="Verdana"/>
          <w:color w:val="0071BB"/>
          <w:sz w:val="19"/>
          <w:szCs w:val="19"/>
        </w:rPr>
        <w:t>aby potrzeba ochrony matki oraz uzasadniony interes skarżącej zostały wyważone w sposób sprawiedliwy</w:t>
      </w:r>
      <w:r w:rsidRPr="00B5742F">
        <w:rPr>
          <w:rFonts w:ascii="Verdana" w:hAnsi="Verdana"/>
          <w:color w:val="0071BB"/>
          <w:sz w:val="19"/>
          <w:szCs w:val="19"/>
        </w:rPr>
        <w:t xml:space="preserve">. Ustawodawstwo francuskie miało zatem na celu osiągnięcie równowagi i zapewnienie wystarczającej proporcji między konkurującymi interesami. Trybunał stwierdził ponadto, że </w:t>
      </w:r>
      <w:r w:rsidRPr="00B5742F">
        <w:rPr>
          <w:rFonts w:ascii="Verdana" w:hAnsi="Verdana"/>
          <w:b/>
          <w:color w:val="0071BB"/>
          <w:sz w:val="19"/>
          <w:szCs w:val="19"/>
        </w:rPr>
        <w:t>nie</w:t>
      </w:r>
      <w:r w:rsidRPr="00B5742F">
        <w:rPr>
          <w:rFonts w:ascii="Verdana" w:hAnsi="Verdana"/>
          <w:color w:val="0071BB"/>
          <w:sz w:val="19"/>
          <w:szCs w:val="19"/>
        </w:rPr>
        <w:t xml:space="preserve"> </w:t>
      </w:r>
      <w:r w:rsidRPr="00B5742F">
        <w:rPr>
          <w:rFonts w:ascii="Verdana" w:hAnsi="Verdana"/>
          <w:b/>
          <w:bCs/>
          <w:color w:val="0071BB"/>
          <w:sz w:val="19"/>
          <w:szCs w:val="19"/>
        </w:rPr>
        <w:t>doszło</w:t>
      </w:r>
      <w:r w:rsidRPr="00B5742F">
        <w:rPr>
          <w:rFonts w:ascii="Verdana" w:hAnsi="Verdana"/>
          <w:color w:val="0071BB"/>
          <w:sz w:val="19"/>
          <w:szCs w:val="19"/>
        </w:rPr>
        <w:t xml:space="preserve"> </w:t>
      </w:r>
      <w:r w:rsidRPr="00B5742F">
        <w:rPr>
          <w:rFonts w:ascii="Verdana" w:hAnsi="Verdana"/>
          <w:b/>
          <w:color w:val="0071BB"/>
          <w:sz w:val="19"/>
          <w:szCs w:val="19"/>
        </w:rPr>
        <w:t>do naruszenia art. 14 (</w:t>
      </w:r>
      <w:r w:rsidRPr="00B5742F">
        <w:rPr>
          <w:rFonts w:ascii="Verdana" w:hAnsi="Verdana"/>
          <w:color w:val="0071BB"/>
          <w:sz w:val="19"/>
          <w:szCs w:val="19"/>
        </w:rPr>
        <w:t xml:space="preserve">zakaz dyskryminacji) </w:t>
      </w:r>
      <w:r w:rsidRPr="00B5742F">
        <w:rPr>
          <w:rFonts w:ascii="Verdana" w:hAnsi="Verdana"/>
          <w:b/>
          <w:color w:val="0071BB"/>
          <w:sz w:val="19"/>
          <w:szCs w:val="19"/>
        </w:rPr>
        <w:t xml:space="preserve">w związku z art. 8 </w:t>
      </w:r>
      <w:r w:rsidRPr="00B5742F">
        <w:rPr>
          <w:rFonts w:ascii="Verdana" w:hAnsi="Verdana"/>
          <w:color w:val="0071BB"/>
          <w:sz w:val="19"/>
          <w:szCs w:val="19"/>
        </w:rPr>
        <w:t>Konwencji, uznając, że skarżąca nie była dyskryminowana ze względu na swoje pochodzenie, ponieważ miała więzi rodzicielskie z rodzicami adopcyjnymi i potencjalny interes w ich majątku i spadku, a ponadto nie mogła twierdzić, że jej sytuacja w stosunku do matki biologicznej była porównywalna z sytuacją dzieci, które miały ustalone więzi rodzicielskie z matką biologiczną.</w:t>
      </w:r>
    </w:p>
    <w:p w14:paraId="65CE5E73" w14:textId="77777777" w:rsidR="000F5B45" w:rsidRPr="00B5742F" w:rsidRDefault="000F5B45" w:rsidP="00E93132">
      <w:pPr>
        <w:pStyle w:val="Nagwek2"/>
        <w:spacing w:before="96"/>
        <w:ind w:left="873"/>
        <w:rPr>
          <w:rFonts w:ascii="Verdana" w:hAnsi="Verdana"/>
          <w:sz w:val="19"/>
          <w:szCs w:val="19"/>
          <w:u w:val="none"/>
        </w:rPr>
      </w:pPr>
      <w:hyperlink r:id="rId74">
        <w:r w:rsidRPr="00B5742F">
          <w:rPr>
            <w:rFonts w:ascii="Verdana" w:hAnsi="Verdana"/>
            <w:color w:val="0071BB"/>
            <w:sz w:val="19"/>
            <w:szCs w:val="19"/>
            <w:u w:color="0071BB"/>
          </w:rPr>
          <w:t>Jäggi przeciwko Szwajcarii</w:t>
        </w:r>
      </w:hyperlink>
    </w:p>
    <w:p w14:paraId="390A58B1" w14:textId="618C716C" w:rsidR="000F5B45" w:rsidRPr="00B5742F" w:rsidRDefault="00000000" w:rsidP="00E93132">
      <w:pPr>
        <w:spacing w:before="55"/>
        <w:ind w:left="874"/>
        <w:jc w:val="both"/>
        <w:rPr>
          <w:rFonts w:ascii="Verdana" w:hAnsi="Verdana"/>
          <w:sz w:val="20"/>
          <w:szCs w:val="24"/>
        </w:rPr>
      </w:pPr>
      <w:r w:rsidRPr="00B5742F">
        <w:rPr>
          <w:rFonts w:ascii="Verdana" w:hAnsi="Verdana"/>
          <w:color w:val="808080"/>
          <w:sz w:val="17"/>
          <w:szCs w:val="17"/>
        </w:rPr>
        <w:t>13 lipca 2006</w:t>
      </w:r>
      <w:r w:rsidR="005C68FA" w:rsidRPr="00B5742F">
        <w:rPr>
          <w:rFonts w:ascii="Verdana" w:hAnsi="Verdana"/>
          <w:color w:val="808080"/>
          <w:sz w:val="17"/>
          <w:szCs w:val="17"/>
        </w:rPr>
        <w:t xml:space="preserve"> r</w:t>
      </w:r>
      <w:r w:rsidR="005C68FA" w:rsidRPr="00B5742F">
        <w:rPr>
          <w:rFonts w:ascii="Verdana" w:hAnsi="Verdana"/>
          <w:color w:val="808080"/>
          <w:sz w:val="18"/>
          <w:szCs w:val="24"/>
        </w:rPr>
        <w:t>.</w:t>
      </w:r>
    </w:p>
    <w:p w14:paraId="5CF94A47" w14:textId="19E74FF0" w:rsidR="000F5B45" w:rsidRPr="00B5742F" w:rsidRDefault="00E91C91" w:rsidP="00E93132">
      <w:pPr>
        <w:pStyle w:val="Tekstpodstawowy"/>
        <w:spacing w:before="4"/>
        <w:rPr>
          <w:rFonts w:ascii="Verdana" w:hAnsi="Verdana"/>
          <w:sz w:val="19"/>
          <w:szCs w:val="19"/>
        </w:rPr>
      </w:pPr>
      <w:r>
        <w:rPr>
          <w:rFonts w:ascii="Verdana" w:hAnsi="Verdana"/>
          <w:sz w:val="19"/>
          <w:szCs w:val="19"/>
        </w:rPr>
        <w:t>Skarżący</w:t>
      </w:r>
      <w:r w:rsidRPr="00B5742F">
        <w:rPr>
          <w:rFonts w:ascii="Verdana" w:hAnsi="Verdana"/>
          <w:sz w:val="19"/>
          <w:szCs w:val="19"/>
        </w:rPr>
        <w:t xml:space="preserve"> nie uzyskał zgody na przeprowadzenie badań DNA zwłok mężczyzny, którego uważał za swojego biologicznego ojca. W związku z tym nie był w stanie ustalić ojcostwa.</w:t>
      </w:r>
    </w:p>
    <w:p w14:paraId="62A366AC" w14:textId="77777777" w:rsidR="000F5B45" w:rsidRPr="00B5742F" w:rsidRDefault="00000000" w:rsidP="00E93132">
      <w:pPr>
        <w:pStyle w:val="Tekstpodstawowy"/>
        <w:ind w:right="729"/>
        <w:rPr>
          <w:rFonts w:ascii="Verdana" w:hAnsi="Verdana"/>
          <w:sz w:val="19"/>
          <w:szCs w:val="19"/>
        </w:rPr>
      </w:pPr>
      <w:r w:rsidRPr="00B5742F">
        <w:rPr>
          <w:rFonts w:ascii="Verdana" w:hAnsi="Verdana"/>
          <w:color w:val="0071BB"/>
          <w:sz w:val="19"/>
          <w:szCs w:val="19"/>
        </w:rPr>
        <w:t xml:space="preserve">Trybunał uznał, że </w:t>
      </w:r>
      <w:r w:rsidRPr="00B5742F">
        <w:rPr>
          <w:rFonts w:ascii="Verdana" w:hAnsi="Verdana"/>
          <w:b/>
          <w:bCs/>
          <w:color w:val="0071BB"/>
          <w:sz w:val="19"/>
          <w:szCs w:val="19"/>
        </w:rPr>
        <w:t>doszło do</w:t>
      </w:r>
      <w:r w:rsidRPr="00B5742F">
        <w:rPr>
          <w:rFonts w:ascii="Verdana" w:hAnsi="Verdana"/>
          <w:color w:val="0071BB"/>
          <w:sz w:val="19"/>
          <w:szCs w:val="19"/>
        </w:rPr>
        <w:t xml:space="preserve"> </w:t>
      </w:r>
      <w:r w:rsidRPr="00B5742F">
        <w:rPr>
          <w:rFonts w:ascii="Verdana" w:hAnsi="Verdana"/>
          <w:b/>
          <w:color w:val="0071BB"/>
          <w:sz w:val="19"/>
          <w:szCs w:val="19"/>
        </w:rPr>
        <w:t xml:space="preserve">naruszenia art. 8 </w:t>
      </w:r>
      <w:r w:rsidRPr="00B5742F">
        <w:rPr>
          <w:rFonts w:ascii="Verdana" w:hAnsi="Verdana"/>
          <w:color w:val="0071BB"/>
          <w:sz w:val="19"/>
          <w:szCs w:val="19"/>
        </w:rPr>
        <w:t>(prawo do poszanowania życia prywatnego) Konwencji, ponieważ skarżący nie miał możliwości uzyskania analizy DNA szczątków swojego domniemanego biologicznego ojca. Zauważył w szczególności, że badanie DNA nie było szczególnie inwazyjne, rodzina nie podniosła żadnych zastrzeżeń natury filozoficznej ani religijnej, a gdyby skarżący nie przedłużył dzierżawy grobu zmarłego, jego ciało zostałoby już ekshumowane.</w:t>
      </w:r>
    </w:p>
    <w:p w14:paraId="31A6CF5E" w14:textId="77777777" w:rsidR="000F5B45" w:rsidRPr="00B5742F" w:rsidRDefault="000F5B45" w:rsidP="00E93132">
      <w:pPr>
        <w:pStyle w:val="Nagwek2"/>
        <w:spacing w:before="109"/>
        <w:ind w:left="873"/>
        <w:rPr>
          <w:rFonts w:ascii="Verdana" w:hAnsi="Verdana"/>
          <w:sz w:val="19"/>
          <w:szCs w:val="19"/>
          <w:u w:val="none"/>
        </w:rPr>
      </w:pPr>
      <w:hyperlink r:id="rId75">
        <w:r w:rsidRPr="00B5742F">
          <w:rPr>
            <w:rFonts w:ascii="Verdana" w:hAnsi="Verdana"/>
            <w:color w:val="0071BB"/>
            <w:sz w:val="19"/>
            <w:szCs w:val="19"/>
            <w:u w:color="0071BB"/>
          </w:rPr>
          <w:t>A. M. M. przeciwko Rumunii (nr 2151/10)</w:t>
        </w:r>
      </w:hyperlink>
    </w:p>
    <w:p w14:paraId="676E1ECA" w14:textId="0739ACD2" w:rsidR="000F5B45" w:rsidRPr="00B5742F" w:rsidRDefault="00000000" w:rsidP="00E93132">
      <w:pPr>
        <w:spacing w:before="55"/>
        <w:ind w:left="874"/>
        <w:jc w:val="both"/>
        <w:rPr>
          <w:rFonts w:ascii="Verdana" w:hAnsi="Verdana"/>
          <w:sz w:val="17"/>
          <w:szCs w:val="17"/>
        </w:rPr>
      </w:pPr>
      <w:r w:rsidRPr="00B5742F">
        <w:rPr>
          <w:rFonts w:ascii="Verdana" w:hAnsi="Verdana"/>
          <w:color w:val="808080"/>
          <w:sz w:val="17"/>
          <w:szCs w:val="17"/>
        </w:rPr>
        <w:t>14 lutego 2012</w:t>
      </w:r>
      <w:r w:rsidR="005C68FA" w:rsidRPr="00B5742F">
        <w:rPr>
          <w:rFonts w:ascii="Verdana" w:hAnsi="Verdana"/>
          <w:color w:val="808080"/>
          <w:sz w:val="17"/>
          <w:szCs w:val="17"/>
        </w:rPr>
        <w:t xml:space="preserve"> r.</w:t>
      </w:r>
    </w:p>
    <w:p w14:paraId="06A01CD4" w14:textId="77777777" w:rsidR="000F5B45" w:rsidRPr="00B5742F" w:rsidRDefault="00000000" w:rsidP="00E93132">
      <w:pPr>
        <w:pStyle w:val="Tekstpodstawowy"/>
        <w:spacing w:before="2"/>
        <w:ind w:right="729"/>
        <w:rPr>
          <w:rFonts w:ascii="Verdana" w:hAnsi="Verdana"/>
          <w:sz w:val="19"/>
          <w:szCs w:val="19"/>
        </w:rPr>
      </w:pPr>
      <w:r w:rsidRPr="00B5742F">
        <w:rPr>
          <w:rFonts w:ascii="Verdana" w:hAnsi="Verdana"/>
          <w:sz w:val="19"/>
          <w:szCs w:val="19"/>
        </w:rPr>
        <w:t>Sprawa dotyczyła postępowania o ustalenie ojcostwa małoletniego, który urodził się w 2001 r. poza związkiem małżeńskim i cierpi na szereg niepełnosprawności. W akcie urodzenia został wpisany jako dziecko ojca nieznanego. Przed Europejskim Trybunałem Sprawiedliwości skarżący był początkowo reprezentowany przez matkę, a następnie, ze względu na jej poważną niepełnosprawność, przez babkę ze strony matki.</w:t>
      </w:r>
    </w:p>
    <w:p w14:paraId="477EA4A4" w14:textId="77777777" w:rsidR="000F5B45" w:rsidRPr="00B5742F" w:rsidRDefault="00000000" w:rsidP="00E93132">
      <w:pPr>
        <w:pStyle w:val="Tekstpodstawowy"/>
        <w:ind w:right="727"/>
        <w:rPr>
          <w:rFonts w:ascii="Verdana" w:hAnsi="Verdana"/>
          <w:sz w:val="19"/>
          <w:szCs w:val="19"/>
        </w:rPr>
      </w:pPr>
      <w:r w:rsidRPr="00B5742F">
        <w:rPr>
          <w:rFonts w:ascii="Verdana" w:hAnsi="Verdana"/>
          <w:color w:val="0071BB"/>
          <w:sz w:val="19"/>
          <w:szCs w:val="19"/>
        </w:rPr>
        <w:t xml:space="preserve">Trybunał uznał, że doszło </w:t>
      </w:r>
      <w:r w:rsidRPr="00B5742F">
        <w:rPr>
          <w:rFonts w:ascii="Verdana" w:hAnsi="Verdana"/>
          <w:b/>
          <w:color w:val="0071BB"/>
          <w:sz w:val="19"/>
          <w:szCs w:val="19"/>
        </w:rPr>
        <w:t>do</w:t>
      </w:r>
      <w:r w:rsidRPr="00B5742F">
        <w:rPr>
          <w:rFonts w:ascii="Verdana" w:hAnsi="Verdana"/>
          <w:color w:val="0071BB"/>
          <w:sz w:val="19"/>
          <w:szCs w:val="19"/>
        </w:rPr>
        <w:t xml:space="preserve"> </w:t>
      </w:r>
      <w:r w:rsidRPr="00B5742F">
        <w:rPr>
          <w:rFonts w:ascii="Verdana" w:hAnsi="Verdana"/>
          <w:b/>
          <w:color w:val="0071BB"/>
          <w:sz w:val="19"/>
          <w:szCs w:val="19"/>
        </w:rPr>
        <w:t xml:space="preserve">naruszenia art. 8 </w:t>
      </w:r>
      <w:r w:rsidRPr="00B5742F">
        <w:rPr>
          <w:rFonts w:ascii="Verdana" w:hAnsi="Verdana"/>
          <w:color w:val="0071BB"/>
          <w:sz w:val="19"/>
          <w:szCs w:val="19"/>
        </w:rPr>
        <w:t>(prawo do poszanowania życia prywatnego i rodzinnego) Konwencji, stwierdzając, że sądy krajowe nie zapewniły sprawiedliwej równowagi między prawem dziecka do ochrony jego interesów w postępowaniu a prawem domniemanego ojca do niepoddawania się testowi na ojcostwo lub nieuczestniczenia w postępowaniu.</w:t>
      </w:r>
    </w:p>
    <w:p w14:paraId="607F072F" w14:textId="77777777" w:rsidR="000F5B45" w:rsidRPr="00B5742F" w:rsidRDefault="000F5B45" w:rsidP="00E93132">
      <w:pPr>
        <w:pStyle w:val="Nagwek2"/>
        <w:spacing w:before="110"/>
        <w:ind w:left="873"/>
        <w:rPr>
          <w:rFonts w:ascii="Verdana" w:hAnsi="Verdana"/>
          <w:sz w:val="19"/>
          <w:szCs w:val="19"/>
          <w:u w:val="none"/>
        </w:rPr>
      </w:pPr>
      <w:hyperlink r:id="rId76">
        <w:r w:rsidRPr="00B5742F">
          <w:rPr>
            <w:rFonts w:ascii="Verdana" w:hAnsi="Verdana"/>
            <w:color w:val="0071BB"/>
            <w:sz w:val="19"/>
            <w:szCs w:val="19"/>
            <w:u w:color="0071BB"/>
          </w:rPr>
          <w:t>Godelli przeciwko Włochom</w:t>
        </w:r>
      </w:hyperlink>
    </w:p>
    <w:p w14:paraId="04438D97" w14:textId="44E5AFB5" w:rsidR="000F5B45" w:rsidRPr="00B5742F" w:rsidRDefault="00000000" w:rsidP="00E93132">
      <w:pPr>
        <w:spacing w:before="57"/>
        <w:ind w:left="874"/>
        <w:jc w:val="both"/>
        <w:rPr>
          <w:rFonts w:ascii="Verdana" w:hAnsi="Verdana"/>
          <w:sz w:val="17"/>
          <w:szCs w:val="17"/>
        </w:rPr>
      </w:pPr>
      <w:r w:rsidRPr="00B5742F">
        <w:rPr>
          <w:rFonts w:ascii="Verdana" w:hAnsi="Verdana"/>
          <w:color w:val="808080"/>
          <w:sz w:val="17"/>
          <w:szCs w:val="17"/>
        </w:rPr>
        <w:t>25 września 2012</w:t>
      </w:r>
      <w:r w:rsidR="001E0C0A" w:rsidRPr="009749D0">
        <w:rPr>
          <w:rFonts w:ascii="Verdana" w:hAnsi="Verdana"/>
          <w:color w:val="808080"/>
          <w:sz w:val="17"/>
          <w:szCs w:val="17"/>
        </w:rPr>
        <w:t xml:space="preserve"> r.</w:t>
      </w:r>
    </w:p>
    <w:p w14:paraId="2E9B8278" w14:textId="77777777" w:rsidR="000F5B45" w:rsidRPr="009749D0" w:rsidRDefault="00000000" w:rsidP="00E93132">
      <w:pPr>
        <w:pStyle w:val="Tekstpodstawowy"/>
        <w:spacing w:before="2"/>
        <w:ind w:right="729"/>
        <w:rPr>
          <w:rFonts w:ascii="Verdana" w:hAnsi="Verdana"/>
          <w:sz w:val="19"/>
          <w:szCs w:val="19"/>
        </w:rPr>
      </w:pPr>
      <w:r w:rsidRPr="00B5742F">
        <w:rPr>
          <w:rFonts w:ascii="Verdana" w:hAnsi="Verdana"/>
          <w:sz w:val="19"/>
          <w:szCs w:val="19"/>
        </w:rPr>
        <w:t>Sprawa dotyczyła poufności informacji dotyczących urodzenia dziecka oraz niemożności ustalenia pochodzenia przez osobę porzuconą przez matkę. Skarżąca twierdziła, że poniosła poważną szkodę w wyniku nieznajomości swojej historii osobistej, nie mogąc ustalić swoich korzeni przy jednoczesnym zapewnieniu ochrony interesów osób trzecich.</w:t>
      </w:r>
    </w:p>
    <w:p w14:paraId="15335EC9" w14:textId="77777777" w:rsidR="001E588B" w:rsidRPr="00B5742F" w:rsidRDefault="001E588B" w:rsidP="00E93132">
      <w:pPr>
        <w:pStyle w:val="Tekstpodstawowy"/>
        <w:spacing w:before="2"/>
        <w:ind w:right="729"/>
        <w:rPr>
          <w:rFonts w:ascii="Verdana" w:hAnsi="Verdana"/>
          <w:sz w:val="19"/>
          <w:szCs w:val="19"/>
        </w:rPr>
      </w:pPr>
    </w:p>
    <w:p w14:paraId="1EE8FA4E" w14:textId="77777777" w:rsidR="000F5B45" w:rsidRPr="00B5742F" w:rsidRDefault="000F5B45" w:rsidP="00E93132">
      <w:pPr>
        <w:pStyle w:val="Tekstpodstawowy"/>
        <w:rPr>
          <w:rFonts w:ascii="Verdana" w:hAnsi="Verdana"/>
        </w:rPr>
        <w:sectPr w:rsidR="000F5B45" w:rsidRPr="00B5742F">
          <w:pgSz w:w="11910" w:h="16840"/>
          <w:pgMar w:top="1460" w:right="708" w:bottom="680" w:left="566" w:header="730" w:footer="497" w:gutter="0"/>
          <w:cols w:space="708"/>
        </w:sectPr>
      </w:pPr>
    </w:p>
    <w:p w14:paraId="6AD74B77" w14:textId="77777777" w:rsidR="000F5B45" w:rsidRPr="00B5742F" w:rsidRDefault="00000000" w:rsidP="00E93132">
      <w:pPr>
        <w:pStyle w:val="Tekstpodstawowy"/>
        <w:spacing w:before="240"/>
        <w:ind w:left="874" w:right="727" w:hanging="1"/>
        <w:rPr>
          <w:rFonts w:ascii="Verdana" w:hAnsi="Verdana"/>
          <w:spacing w:val="2"/>
          <w:sz w:val="19"/>
          <w:szCs w:val="19"/>
        </w:rPr>
      </w:pPr>
      <w:r w:rsidRPr="00B5742F">
        <w:rPr>
          <w:rFonts w:ascii="Verdana" w:hAnsi="Verdana"/>
          <w:color w:val="0071BB"/>
          <w:spacing w:val="2"/>
          <w:sz w:val="19"/>
          <w:szCs w:val="19"/>
        </w:rPr>
        <w:lastRenderedPageBreak/>
        <w:t xml:space="preserve">Trybunał uznał, że </w:t>
      </w:r>
      <w:r w:rsidRPr="00B5742F">
        <w:rPr>
          <w:rFonts w:ascii="Verdana" w:hAnsi="Verdana"/>
          <w:b/>
          <w:bCs/>
          <w:color w:val="0071BB"/>
          <w:spacing w:val="2"/>
          <w:sz w:val="19"/>
          <w:szCs w:val="19"/>
        </w:rPr>
        <w:t>doszło</w:t>
      </w:r>
      <w:r w:rsidRPr="00B5742F">
        <w:rPr>
          <w:rFonts w:ascii="Verdana" w:hAnsi="Verdana"/>
          <w:color w:val="0071BB"/>
          <w:spacing w:val="2"/>
          <w:sz w:val="19"/>
          <w:szCs w:val="19"/>
        </w:rPr>
        <w:t xml:space="preserve"> </w:t>
      </w:r>
      <w:r w:rsidRPr="00B5742F">
        <w:rPr>
          <w:rFonts w:ascii="Verdana" w:hAnsi="Verdana"/>
          <w:b/>
          <w:color w:val="0071BB"/>
          <w:spacing w:val="2"/>
          <w:sz w:val="19"/>
          <w:szCs w:val="19"/>
        </w:rPr>
        <w:t>do naruszenia art. 8 (</w:t>
      </w:r>
      <w:r w:rsidRPr="00B5742F">
        <w:rPr>
          <w:rFonts w:ascii="Verdana" w:hAnsi="Verdana"/>
          <w:color w:val="0071BB"/>
          <w:spacing w:val="2"/>
          <w:sz w:val="19"/>
          <w:szCs w:val="19"/>
        </w:rPr>
        <w:t>prawo do poszanowania życia prywatnego) Konwencji, biorąc pod uwagę w szczególności fakt, że nie osiągnięto właściwej równowagi między interesami stron, ponieważ włoskie przepisy, w przypadkach gdy matka zdecydowała się nie ujawniać swojej tożsamości, nie pozwalały dziecku, które nie zostało formalnie uznane po urodzeniu, a następnie zostało adoptowane, na wystąpienie o udzielenie informacji nieumożliwiających identyfikację jego pochodzenia lub o ujawnienie tożsamości biologicznej matki za jej zgodą.</w:t>
      </w:r>
    </w:p>
    <w:p w14:paraId="6076F8DC" w14:textId="77777777" w:rsidR="000F5B45" w:rsidRPr="00B5742F" w:rsidRDefault="000F5B45" w:rsidP="00E93132">
      <w:pPr>
        <w:pStyle w:val="Nagwek2"/>
        <w:ind w:left="875"/>
        <w:rPr>
          <w:rFonts w:ascii="Verdana" w:hAnsi="Verdana"/>
          <w:spacing w:val="2"/>
          <w:sz w:val="19"/>
          <w:szCs w:val="19"/>
          <w:u w:val="none"/>
        </w:rPr>
      </w:pPr>
      <w:hyperlink r:id="rId77">
        <w:r w:rsidRPr="00B5742F">
          <w:rPr>
            <w:rFonts w:ascii="Verdana" w:hAnsi="Verdana"/>
            <w:color w:val="0071BB"/>
            <w:spacing w:val="2"/>
            <w:sz w:val="19"/>
            <w:szCs w:val="19"/>
            <w:u w:color="0071BB"/>
          </w:rPr>
          <w:t>Canonne przeciwko Francji</w:t>
        </w:r>
      </w:hyperlink>
    </w:p>
    <w:p w14:paraId="4F35E7AA" w14:textId="77777777" w:rsidR="000F5B45" w:rsidRPr="00B5742F" w:rsidRDefault="00000000" w:rsidP="00E93132">
      <w:pPr>
        <w:spacing w:before="58"/>
        <w:ind w:left="874"/>
        <w:jc w:val="both"/>
        <w:rPr>
          <w:rFonts w:ascii="Verdana" w:hAnsi="Verdana"/>
          <w:spacing w:val="2"/>
          <w:sz w:val="17"/>
          <w:szCs w:val="17"/>
        </w:rPr>
      </w:pPr>
      <w:r w:rsidRPr="00B5742F">
        <w:rPr>
          <w:rFonts w:ascii="Verdana" w:hAnsi="Verdana"/>
          <w:color w:val="808080"/>
          <w:spacing w:val="2"/>
          <w:sz w:val="17"/>
          <w:szCs w:val="17"/>
        </w:rPr>
        <w:t>2 czerwca 2015 r. (decyzja w sprawie dopuszczalności)</w:t>
      </w:r>
    </w:p>
    <w:p w14:paraId="62053322" w14:textId="77777777" w:rsidR="000F5B45" w:rsidRPr="00B5742F" w:rsidRDefault="00000000" w:rsidP="00E93132">
      <w:pPr>
        <w:pStyle w:val="Tekstpodstawowy"/>
        <w:spacing w:before="1"/>
        <w:ind w:right="727"/>
        <w:rPr>
          <w:rFonts w:ascii="Verdana" w:hAnsi="Verdana"/>
          <w:spacing w:val="2"/>
          <w:sz w:val="19"/>
          <w:szCs w:val="19"/>
        </w:rPr>
      </w:pPr>
      <w:r w:rsidRPr="00B5742F">
        <w:rPr>
          <w:rFonts w:ascii="Verdana" w:hAnsi="Verdana"/>
          <w:spacing w:val="2"/>
          <w:sz w:val="19"/>
          <w:szCs w:val="19"/>
        </w:rPr>
        <w:t>W tej sprawie skarżący zarzucał, że sądy krajowe wywnioskowały jego ojcostwo wobec młodej kobiety na podstawie odmowy poddania się badaniom genetycznym, które zostały mu nakazane. Podkreślił w szczególności, że zgodnie z prawem francuskim osoby będące pozwanymi w sprawach o ustalenie ojcostwa są zobowiązane do poddania się badaniu DNA w celu ustalenia, że nie są ojcami. Zarzucał naruszenie zasady nienaruszalności ciała ludzkiego, która jego zdaniem zabrania stosowania badań genetycznych w sprawach cywilnych.</w:t>
      </w:r>
    </w:p>
    <w:p w14:paraId="7C87790A" w14:textId="5BABCBB9" w:rsidR="000F5B45" w:rsidRPr="00B5742F" w:rsidRDefault="00000000" w:rsidP="00E93132">
      <w:pPr>
        <w:pStyle w:val="Tekstpodstawowy"/>
        <w:rPr>
          <w:rFonts w:ascii="Verdana" w:hAnsi="Verdana"/>
          <w:spacing w:val="2"/>
          <w:sz w:val="19"/>
          <w:szCs w:val="19"/>
        </w:rPr>
      </w:pPr>
      <w:r w:rsidRPr="00B5742F">
        <w:rPr>
          <w:rFonts w:ascii="Verdana" w:hAnsi="Verdana"/>
          <w:color w:val="0071BB"/>
          <w:spacing w:val="2"/>
          <w:sz w:val="19"/>
          <w:szCs w:val="19"/>
        </w:rPr>
        <w:t xml:space="preserve">Trybunał uznał </w:t>
      </w:r>
      <w:r w:rsidRPr="00B5742F">
        <w:rPr>
          <w:rFonts w:ascii="Verdana" w:hAnsi="Verdana"/>
          <w:b/>
          <w:color w:val="0071BB"/>
          <w:spacing w:val="2"/>
          <w:sz w:val="19"/>
          <w:szCs w:val="19"/>
        </w:rPr>
        <w:t xml:space="preserve">za niedopuszczalne </w:t>
      </w:r>
      <w:r w:rsidR="00D71BCE">
        <w:rPr>
          <w:rFonts w:ascii="Verdana" w:hAnsi="Verdana"/>
          <w:b/>
          <w:color w:val="0071BB"/>
          <w:spacing w:val="2"/>
          <w:sz w:val="19"/>
          <w:szCs w:val="19"/>
        </w:rPr>
        <w:t xml:space="preserve">jako w sposób oczywisty nieuzasadnione </w:t>
      </w:r>
      <w:r w:rsidRPr="00B5742F">
        <w:rPr>
          <w:rFonts w:ascii="Verdana" w:hAnsi="Verdana"/>
          <w:color w:val="0071BB"/>
          <w:spacing w:val="2"/>
          <w:sz w:val="19"/>
          <w:szCs w:val="19"/>
        </w:rPr>
        <w:t>zarzuty skarżącego na podstawie art. 8 (prawo do poszanowania życia prywatnego i rodzinnego) Konwencji. Uznał, że sądy krajowe nie przekroczyły przysługującej im swobody uznania („szerokiego marginesu oceny”), uwzględniając odmowę skarżącego poddania się badaniom genetycznym nakazanym przez sąd i uznając go za ojca młodej kobiety, oraz przyznając pierwszeństwo prawu tej ostatniej do poszanowania życia prywatnego przed prawem skarżącego.</w:t>
      </w:r>
    </w:p>
    <w:p w14:paraId="743B5EBA" w14:textId="77777777" w:rsidR="000F5B45" w:rsidRPr="00B5742F" w:rsidRDefault="000F5B45" w:rsidP="00E93132">
      <w:pPr>
        <w:pStyle w:val="Nagwek2"/>
        <w:spacing w:before="123"/>
        <w:rPr>
          <w:rFonts w:ascii="Verdana" w:hAnsi="Verdana"/>
          <w:spacing w:val="2"/>
          <w:sz w:val="19"/>
          <w:szCs w:val="19"/>
          <w:u w:val="none"/>
        </w:rPr>
      </w:pPr>
      <w:hyperlink r:id="rId78">
        <w:r w:rsidRPr="00B5742F">
          <w:rPr>
            <w:rFonts w:ascii="Verdana" w:hAnsi="Verdana"/>
            <w:color w:val="0071BB"/>
            <w:spacing w:val="2"/>
            <w:sz w:val="19"/>
            <w:szCs w:val="19"/>
            <w:u w:color="0071BB"/>
          </w:rPr>
          <w:t>Mandet przeciwko Francji</w:t>
        </w:r>
      </w:hyperlink>
    </w:p>
    <w:p w14:paraId="24AE0D91" w14:textId="77777777" w:rsidR="000F5B45" w:rsidRPr="00B5742F" w:rsidRDefault="00000000" w:rsidP="00E93132">
      <w:pPr>
        <w:spacing w:before="55"/>
        <w:ind w:left="874"/>
        <w:jc w:val="both"/>
        <w:rPr>
          <w:rFonts w:ascii="Verdana" w:hAnsi="Verdana"/>
          <w:spacing w:val="2"/>
          <w:sz w:val="17"/>
          <w:szCs w:val="17"/>
        </w:rPr>
      </w:pPr>
      <w:r w:rsidRPr="00B5742F">
        <w:rPr>
          <w:rFonts w:ascii="Verdana" w:hAnsi="Verdana"/>
          <w:color w:val="808080"/>
          <w:spacing w:val="2"/>
          <w:sz w:val="17"/>
          <w:szCs w:val="17"/>
        </w:rPr>
        <w:t>14 stycznia 2016 r.</w:t>
      </w:r>
    </w:p>
    <w:p w14:paraId="444B413A" w14:textId="77777777" w:rsidR="000F5B45" w:rsidRPr="00B5742F" w:rsidRDefault="00000000" w:rsidP="00E93132">
      <w:pPr>
        <w:pStyle w:val="Tekstpodstawowy"/>
        <w:spacing w:before="1"/>
        <w:ind w:right="729"/>
        <w:rPr>
          <w:rFonts w:ascii="Verdana" w:hAnsi="Verdana"/>
          <w:spacing w:val="2"/>
          <w:sz w:val="19"/>
          <w:szCs w:val="19"/>
        </w:rPr>
      </w:pPr>
      <w:r w:rsidRPr="00B5742F">
        <w:rPr>
          <w:rFonts w:ascii="Verdana" w:hAnsi="Verdana"/>
          <w:spacing w:val="2"/>
          <w:sz w:val="19"/>
          <w:szCs w:val="19"/>
        </w:rPr>
        <w:t>Sprawa dotyczyła uchylenia formalnego uznania ojcostwa dokonanego przez męża matki na wniosek biologicznego ojca dziecka. Wnoszący skargę – matka, jej mąż i dziecko – skarżyli się na unieważnienie uznania ojcostwa oraz unieważnienie legitymizacji dziecka. W szczególności uznali oni te środki za nieproporcjonalne, biorąc pod uwagę najlepszy interes dziecka, który, ich zdaniem, wymagał utrzymania ustalonego od kilku lat prawnego stosunku rodzicielskiego oraz zachowania stabilności emocjonalnej dziecka.</w:t>
      </w:r>
    </w:p>
    <w:p w14:paraId="161227D6" w14:textId="77777777" w:rsidR="000F5B45" w:rsidRPr="00B5742F" w:rsidRDefault="00000000" w:rsidP="00E93132">
      <w:pPr>
        <w:pStyle w:val="Tekstpodstawowy"/>
        <w:ind w:right="727"/>
        <w:rPr>
          <w:rFonts w:ascii="Verdana" w:hAnsi="Verdana"/>
          <w:spacing w:val="2"/>
          <w:sz w:val="19"/>
          <w:szCs w:val="19"/>
        </w:rPr>
      </w:pPr>
      <w:r w:rsidRPr="00B5742F">
        <w:rPr>
          <w:rFonts w:ascii="Verdana" w:hAnsi="Verdana"/>
          <w:color w:val="0071BB"/>
          <w:spacing w:val="2"/>
          <w:sz w:val="19"/>
          <w:szCs w:val="19"/>
        </w:rPr>
        <w:t xml:space="preserve">Trybunał uznał, że </w:t>
      </w:r>
      <w:r w:rsidRPr="00B5742F">
        <w:rPr>
          <w:rFonts w:ascii="Verdana" w:hAnsi="Verdana"/>
          <w:b/>
          <w:color w:val="0071BB"/>
          <w:spacing w:val="2"/>
          <w:sz w:val="19"/>
          <w:szCs w:val="19"/>
        </w:rPr>
        <w:t xml:space="preserve">nie </w:t>
      </w:r>
      <w:r w:rsidRPr="00B5742F">
        <w:rPr>
          <w:rFonts w:ascii="Verdana" w:hAnsi="Verdana"/>
          <w:b/>
          <w:bCs/>
          <w:color w:val="0071BB"/>
          <w:spacing w:val="2"/>
          <w:sz w:val="19"/>
          <w:szCs w:val="19"/>
        </w:rPr>
        <w:t>doszło</w:t>
      </w:r>
      <w:r w:rsidRPr="00B5742F">
        <w:rPr>
          <w:rFonts w:ascii="Verdana" w:hAnsi="Verdana"/>
          <w:color w:val="0071BB"/>
          <w:spacing w:val="2"/>
          <w:sz w:val="19"/>
          <w:szCs w:val="19"/>
        </w:rPr>
        <w:t xml:space="preserve"> </w:t>
      </w:r>
      <w:r w:rsidRPr="00B5742F">
        <w:rPr>
          <w:rFonts w:ascii="Verdana" w:hAnsi="Verdana"/>
          <w:b/>
          <w:color w:val="0071BB"/>
          <w:spacing w:val="2"/>
          <w:sz w:val="19"/>
          <w:szCs w:val="19"/>
        </w:rPr>
        <w:t xml:space="preserve">do naruszenia art. 8 </w:t>
      </w:r>
      <w:r w:rsidRPr="00B5742F">
        <w:rPr>
          <w:rFonts w:ascii="Verdana" w:hAnsi="Verdana"/>
          <w:color w:val="0071BB"/>
          <w:spacing w:val="2"/>
          <w:sz w:val="19"/>
          <w:szCs w:val="19"/>
        </w:rPr>
        <w:t>(prawo do poszanowania życia prywatnego i rodzinnego) Konwencji. Zwrócił w szczególności uwagę, że z uzasadnienia orzeczeń sądów francuskich wynikało, iż dobro dziecka zostało należycie uwzględnione w ich rozważaniach. Przyjmując takie podejście, sądy uznały, że chociaż dziecko uważało męża swojej matki za swojego ojca, jego interes leżał przede wszystkim w poznaniu prawdy o swoim pochodzeniu. Orzeczenia te nie oznaczały nadmiernego faworyzowania interesów biologicznego ojca w stosunku do interesów dziecka, ale uznanie, że interesy dziecka i biologicznego ojca częściowo się pokrywają. Należy również zauważyć, że przyznając matce władzę rodzicielską, francuskie sądy nie uniemożliwiły dziecku dalszego życia w rodzinie Mandet, zgodnie z jego wolą.</w:t>
      </w:r>
    </w:p>
    <w:p w14:paraId="518F0772" w14:textId="77777777" w:rsidR="000F5B45" w:rsidRPr="00B5742F" w:rsidRDefault="000F5B45" w:rsidP="00E93132">
      <w:pPr>
        <w:pStyle w:val="Nagwek2"/>
        <w:spacing w:before="100"/>
        <w:rPr>
          <w:rFonts w:ascii="Verdana" w:hAnsi="Verdana"/>
          <w:spacing w:val="2"/>
          <w:sz w:val="19"/>
          <w:szCs w:val="19"/>
          <w:u w:val="none"/>
        </w:rPr>
      </w:pPr>
      <w:hyperlink r:id="rId79">
        <w:r w:rsidRPr="00B5742F">
          <w:rPr>
            <w:rFonts w:ascii="Verdana" w:hAnsi="Verdana"/>
            <w:color w:val="0071BB"/>
            <w:spacing w:val="2"/>
            <w:sz w:val="19"/>
            <w:szCs w:val="19"/>
            <w:u w:color="0071BB"/>
          </w:rPr>
          <w:t>Lavanchy przeciwko Szwajcarii</w:t>
        </w:r>
      </w:hyperlink>
    </w:p>
    <w:p w14:paraId="771D7DEC" w14:textId="77777777" w:rsidR="000F5B45" w:rsidRPr="00B5742F" w:rsidRDefault="00000000" w:rsidP="00E93132">
      <w:pPr>
        <w:spacing w:before="57"/>
        <w:ind w:left="874"/>
        <w:jc w:val="both"/>
        <w:rPr>
          <w:rFonts w:ascii="Verdana" w:hAnsi="Verdana"/>
          <w:spacing w:val="2"/>
          <w:sz w:val="17"/>
          <w:szCs w:val="17"/>
        </w:rPr>
      </w:pPr>
      <w:r w:rsidRPr="00B5742F">
        <w:rPr>
          <w:rFonts w:ascii="Verdana" w:hAnsi="Verdana"/>
          <w:color w:val="808080"/>
          <w:spacing w:val="2"/>
          <w:sz w:val="17"/>
          <w:szCs w:val="17"/>
        </w:rPr>
        <w:t>19 października 2021 r.</w:t>
      </w:r>
    </w:p>
    <w:p w14:paraId="4174BAF3" w14:textId="426D4F84" w:rsidR="000F5B45" w:rsidRPr="009749D0" w:rsidRDefault="00000000" w:rsidP="00E93132">
      <w:pPr>
        <w:pStyle w:val="Tekstpodstawowy"/>
        <w:spacing w:before="2"/>
        <w:ind w:right="726"/>
        <w:rPr>
          <w:rFonts w:ascii="Verdana" w:hAnsi="Verdana"/>
          <w:spacing w:val="2"/>
          <w:sz w:val="19"/>
          <w:szCs w:val="19"/>
        </w:rPr>
      </w:pPr>
      <w:r w:rsidRPr="00B5742F">
        <w:rPr>
          <w:rFonts w:ascii="Verdana" w:hAnsi="Verdana"/>
          <w:spacing w:val="2"/>
          <w:sz w:val="19"/>
          <w:szCs w:val="19"/>
        </w:rPr>
        <w:t xml:space="preserve">Sprawa dotyczyła odmowy przez sądy szwajcarskie zastosowania wyjątku od terminu określonego w prawie krajowym (rok od osiągnięcia pełnoletności) </w:t>
      </w:r>
      <w:r w:rsidR="004E3A51" w:rsidRPr="009749D0">
        <w:rPr>
          <w:rFonts w:ascii="Verdana" w:hAnsi="Verdana"/>
          <w:spacing w:val="2"/>
          <w:sz w:val="19"/>
          <w:szCs w:val="19"/>
        </w:rPr>
        <w:t xml:space="preserve">dla wniesienia </w:t>
      </w:r>
      <w:r w:rsidRPr="00B5742F">
        <w:rPr>
          <w:rFonts w:ascii="Verdana" w:hAnsi="Verdana"/>
          <w:spacing w:val="2"/>
          <w:sz w:val="19"/>
          <w:szCs w:val="19"/>
        </w:rPr>
        <w:t xml:space="preserve">powództwa o ustalenie </w:t>
      </w:r>
      <w:r w:rsidR="004E3A51" w:rsidRPr="009749D0">
        <w:rPr>
          <w:rFonts w:ascii="Verdana" w:hAnsi="Verdana"/>
          <w:spacing w:val="2"/>
          <w:sz w:val="19"/>
          <w:szCs w:val="19"/>
        </w:rPr>
        <w:t xml:space="preserve">prawnego </w:t>
      </w:r>
      <w:r w:rsidRPr="00B5742F">
        <w:rPr>
          <w:rFonts w:ascii="Verdana" w:hAnsi="Verdana"/>
          <w:spacing w:val="2"/>
          <w:sz w:val="19"/>
          <w:szCs w:val="19"/>
        </w:rPr>
        <w:t>stosunku rodzicielskiego oraz wynikającego z tego oddalenia powództwa skarżącej o wpisanie jej biologicznego ojca do rejestru stanu cywilnego. Wnosząca skargę skarżyła się, że władze szwajcarskie nie uznały istnienia „</w:t>
      </w:r>
      <w:r w:rsidR="004E3A51" w:rsidRPr="009749D0">
        <w:rPr>
          <w:rFonts w:ascii="Verdana" w:hAnsi="Verdana"/>
          <w:spacing w:val="2"/>
          <w:sz w:val="19"/>
          <w:szCs w:val="19"/>
        </w:rPr>
        <w:t>uzasadnionej przyczyny</w:t>
      </w:r>
      <w:r w:rsidRPr="00B5742F">
        <w:rPr>
          <w:rFonts w:ascii="Verdana" w:hAnsi="Verdana"/>
          <w:spacing w:val="2"/>
          <w:sz w:val="19"/>
          <w:szCs w:val="19"/>
        </w:rPr>
        <w:t>” nieprzestrzegania terminu, i zarzucała naruszenie jej prawa do poszanowania życia prywatnego z tego powodu.</w:t>
      </w:r>
    </w:p>
    <w:p w14:paraId="1E23DA9F" w14:textId="433F9DF2" w:rsidR="006D3295" w:rsidRPr="009749D0" w:rsidRDefault="006D3295" w:rsidP="00E93132">
      <w:pPr>
        <w:pStyle w:val="Tekstpodstawowy"/>
        <w:spacing w:before="2"/>
        <w:ind w:right="726"/>
        <w:rPr>
          <w:rFonts w:ascii="Verdana" w:hAnsi="Verdana"/>
          <w:color w:val="0070C0"/>
          <w:spacing w:val="4"/>
          <w:sz w:val="19"/>
          <w:szCs w:val="19"/>
        </w:rPr>
      </w:pPr>
      <w:r w:rsidRPr="00B5742F">
        <w:rPr>
          <w:rFonts w:ascii="Verdana" w:hAnsi="Verdana"/>
          <w:color w:val="0070C0"/>
          <w:spacing w:val="2"/>
          <w:sz w:val="19"/>
          <w:szCs w:val="19"/>
        </w:rPr>
        <w:t xml:space="preserve">Trybunał uznał, że </w:t>
      </w:r>
      <w:r w:rsidRPr="00B5742F">
        <w:rPr>
          <w:rFonts w:ascii="Verdana" w:hAnsi="Verdana"/>
          <w:b/>
          <w:color w:val="0070C0"/>
          <w:spacing w:val="2"/>
          <w:sz w:val="19"/>
          <w:szCs w:val="19"/>
        </w:rPr>
        <w:t xml:space="preserve">nie </w:t>
      </w:r>
      <w:r w:rsidRPr="00B5742F">
        <w:rPr>
          <w:rFonts w:ascii="Verdana" w:hAnsi="Verdana"/>
          <w:b/>
          <w:bCs/>
          <w:color w:val="0070C0"/>
          <w:spacing w:val="2"/>
          <w:sz w:val="19"/>
          <w:szCs w:val="19"/>
        </w:rPr>
        <w:t xml:space="preserve">doszło </w:t>
      </w:r>
      <w:r w:rsidRPr="00B5742F">
        <w:rPr>
          <w:rFonts w:ascii="Verdana" w:hAnsi="Verdana"/>
          <w:b/>
          <w:color w:val="0070C0"/>
          <w:spacing w:val="2"/>
          <w:sz w:val="19"/>
          <w:szCs w:val="19"/>
        </w:rPr>
        <w:t xml:space="preserve">do naruszenia art. 8 </w:t>
      </w:r>
      <w:r w:rsidRPr="00B5742F">
        <w:rPr>
          <w:rFonts w:ascii="Verdana" w:hAnsi="Verdana"/>
          <w:color w:val="0070C0"/>
          <w:spacing w:val="2"/>
          <w:sz w:val="19"/>
          <w:szCs w:val="19"/>
        </w:rPr>
        <w:t xml:space="preserve">(prawo do poszanowania życia </w:t>
      </w:r>
      <w:r w:rsidRPr="00B5742F">
        <w:rPr>
          <w:rFonts w:ascii="Verdana" w:hAnsi="Verdana"/>
          <w:color w:val="0070C0"/>
          <w:spacing w:val="4"/>
          <w:sz w:val="19"/>
          <w:szCs w:val="19"/>
        </w:rPr>
        <w:t>prywatnego i rodzinnego) Konwencji, stwierdzając, że opóźnienie ze strony skarżąc</w:t>
      </w:r>
      <w:r w:rsidR="001E4C0B">
        <w:rPr>
          <w:rFonts w:ascii="Verdana" w:hAnsi="Verdana"/>
          <w:color w:val="0070C0"/>
          <w:spacing w:val="4"/>
          <w:sz w:val="19"/>
          <w:szCs w:val="19"/>
        </w:rPr>
        <w:t>ej</w:t>
      </w:r>
      <w:r w:rsidRPr="00B5742F">
        <w:rPr>
          <w:rFonts w:ascii="Verdana" w:hAnsi="Verdana"/>
          <w:color w:val="0070C0"/>
          <w:spacing w:val="4"/>
          <w:sz w:val="19"/>
          <w:szCs w:val="19"/>
        </w:rPr>
        <w:t xml:space="preserve"> w wszczęciu postępowania mającego na celu ustalenie prawnego stosunku rodzicielskiego, na które zwróciły uwagę sądy krajowe, nie może być uznane za uzasadnione w świetle orzecznictwa Trybunału. W związku z tym sądy szwajcarskie nie uchybiły obowiązkowi zapewnienia sprawiedliwej równowagi między interesami stron. Trybunał zwrócił w szczególności uwagę, że orzeczenia sądów szwajcarskich były dokładnie </w:t>
      </w:r>
      <w:r w:rsidR="001E4C0B" w:rsidRPr="009749D0">
        <w:rPr>
          <w:rFonts w:ascii="Verdana" w:hAnsi="Verdana"/>
          <w:color w:val="0070C0"/>
          <w:spacing w:val="4"/>
          <w:sz w:val="19"/>
          <w:szCs w:val="19"/>
        </w:rPr>
        <w:t>uzasadnione,</w:t>
      </w:r>
      <w:r w:rsidRPr="00B5742F">
        <w:rPr>
          <w:rFonts w:ascii="Verdana" w:hAnsi="Verdana"/>
          <w:color w:val="0070C0"/>
          <w:spacing w:val="4"/>
          <w:sz w:val="19"/>
          <w:szCs w:val="19"/>
        </w:rPr>
        <w:t xml:space="preserve"> z</w:t>
      </w:r>
    </w:p>
    <w:p w14:paraId="3A73DD84" w14:textId="77777777" w:rsidR="006D3295" w:rsidRPr="00B5742F" w:rsidRDefault="006D3295" w:rsidP="00E93132">
      <w:pPr>
        <w:pStyle w:val="Tekstpodstawowy"/>
        <w:spacing w:before="2"/>
        <w:ind w:right="726"/>
        <w:rPr>
          <w:rFonts w:ascii="Verdana" w:hAnsi="Verdana"/>
          <w:spacing w:val="4"/>
          <w:sz w:val="19"/>
          <w:szCs w:val="19"/>
        </w:rPr>
      </w:pPr>
    </w:p>
    <w:p w14:paraId="3634CBA1" w14:textId="77777777" w:rsidR="000F5B45" w:rsidRPr="00B5742F" w:rsidRDefault="000F5B45" w:rsidP="00E93132">
      <w:pPr>
        <w:pStyle w:val="Tekstpodstawowy"/>
        <w:rPr>
          <w:rFonts w:ascii="Verdana" w:hAnsi="Verdana"/>
          <w:spacing w:val="4"/>
        </w:rPr>
        <w:sectPr w:rsidR="000F5B45" w:rsidRPr="00B5742F">
          <w:pgSz w:w="11910" w:h="16840"/>
          <w:pgMar w:top="1460" w:right="708" w:bottom="680" w:left="566" w:header="730" w:footer="497" w:gutter="0"/>
          <w:cols w:space="708"/>
        </w:sectPr>
      </w:pPr>
    </w:p>
    <w:p w14:paraId="2274A0AE" w14:textId="43464CF1" w:rsidR="000F5B45" w:rsidRPr="00B5742F" w:rsidRDefault="00000000" w:rsidP="00E93132">
      <w:pPr>
        <w:pStyle w:val="Tekstpodstawowy"/>
        <w:spacing w:before="240"/>
        <w:ind w:left="874" w:right="727"/>
        <w:rPr>
          <w:rFonts w:ascii="Verdana" w:hAnsi="Verdana"/>
          <w:spacing w:val="2"/>
          <w:sz w:val="19"/>
          <w:szCs w:val="19"/>
        </w:rPr>
      </w:pPr>
      <w:r w:rsidRPr="00B5742F">
        <w:rPr>
          <w:rFonts w:ascii="Verdana" w:hAnsi="Verdana"/>
          <w:color w:val="0071BB"/>
          <w:spacing w:val="2"/>
          <w:sz w:val="19"/>
          <w:szCs w:val="19"/>
        </w:rPr>
        <w:lastRenderedPageBreak/>
        <w:t>uwzględnieniem orzecznictwa Trybunału. W szczególności sądy wskazały kilka momentów w życiu skarżącej, w których mogła ona zapoznać się ze szczegółowymi informacjami dotyczącymi jej pochodzenia zawartymi w rejestrze stanu cywilnego i uzyskać informacje na temat kroków, jakie należy podjąć, nawet po upływie terminu. Rozważania te doprowadziły sądy do wniosku, że nie było uzasadnienia dla bezczynności skarżącej przez okres 31 lat.</w:t>
      </w:r>
    </w:p>
    <w:p w14:paraId="6F44E7BC" w14:textId="77777777" w:rsidR="000F5B45" w:rsidRPr="00B5742F" w:rsidRDefault="000F5B45" w:rsidP="00E93132">
      <w:pPr>
        <w:pStyle w:val="Nagwek2"/>
        <w:spacing w:before="109"/>
        <w:rPr>
          <w:rFonts w:ascii="Verdana" w:hAnsi="Verdana"/>
          <w:spacing w:val="2"/>
          <w:sz w:val="19"/>
          <w:szCs w:val="19"/>
          <w:u w:val="none"/>
        </w:rPr>
      </w:pPr>
      <w:hyperlink r:id="rId80">
        <w:r w:rsidRPr="00B5742F">
          <w:rPr>
            <w:rFonts w:ascii="Verdana" w:hAnsi="Verdana"/>
            <w:color w:val="0071BB"/>
            <w:spacing w:val="2"/>
            <w:sz w:val="19"/>
            <w:szCs w:val="19"/>
            <w:u w:color="0071BB"/>
          </w:rPr>
          <w:t>Paparrigopoulos przeciwko Grecji</w:t>
        </w:r>
      </w:hyperlink>
    </w:p>
    <w:p w14:paraId="417AFDCD" w14:textId="2E8FE129" w:rsidR="000F5B45" w:rsidRPr="00B5742F" w:rsidRDefault="00000000" w:rsidP="00E93132">
      <w:pPr>
        <w:spacing w:before="56"/>
        <w:ind w:left="874"/>
        <w:jc w:val="both"/>
        <w:rPr>
          <w:rFonts w:ascii="Verdana" w:hAnsi="Verdana"/>
          <w:spacing w:val="2"/>
          <w:sz w:val="18"/>
        </w:rPr>
      </w:pPr>
      <w:r w:rsidRPr="00B5742F">
        <w:rPr>
          <w:rFonts w:ascii="Verdana" w:hAnsi="Verdana"/>
          <w:color w:val="808080"/>
          <w:spacing w:val="2"/>
          <w:sz w:val="17"/>
        </w:rPr>
        <w:t>30 czerwca 2022</w:t>
      </w:r>
      <w:r w:rsidR="0017736B" w:rsidRPr="009749D0">
        <w:rPr>
          <w:rFonts w:ascii="Verdana" w:hAnsi="Verdana"/>
          <w:color w:val="808080"/>
          <w:spacing w:val="2"/>
          <w:sz w:val="17"/>
        </w:rPr>
        <w:t xml:space="preserve"> r.</w:t>
      </w:r>
    </w:p>
    <w:p w14:paraId="26676788" w14:textId="77777777" w:rsidR="000F5B45" w:rsidRPr="00B5742F" w:rsidRDefault="00000000" w:rsidP="00E93132">
      <w:pPr>
        <w:pStyle w:val="Tekstpodstawowy"/>
        <w:spacing w:before="1"/>
        <w:ind w:right="726"/>
        <w:rPr>
          <w:rFonts w:ascii="Verdana" w:hAnsi="Verdana"/>
          <w:spacing w:val="2"/>
          <w:sz w:val="19"/>
          <w:szCs w:val="19"/>
        </w:rPr>
      </w:pPr>
      <w:r w:rsidRPr="00B5742F">
        <w:rPr>
          <w:rFonts w:ascii="Verdana" w:hAnsi="Verdana"/>
          <w:spacing w:val="2"/>
          <w:sz w:val="19"/>
          <w:szCs w:val="19"/>
        </w:rPr>
        <w:t xml:space="preserve">Sprawa dotyczyła postępowania o ustalenie ojcostwa córki skarżącego. Skarżący twierdził w szczególności, że prawo krajowe nie dało mu możliwości dobrowolnego uznania ojcostwa, co spowodowało ograniczenie jego odpowiedzialności rodzicielskiej wobec córki. Twierdził on, że odpowiedzialność rodzicielska jest „pełna” tylko w przypadku dobrowolnego uznania ojcostwa, a ustalenie ojcostwa przez sąd, któremu się sprzeciwił, nie umożliwi mu wykonywania żadnej odpowiedzialności rodzicielskiej, chyba że oboje rodzice wyrażą na to zgodę. Skarżący zarzucał, że nie dano mu możliwości dobrowolnego uznania ojcostwa córki oraz że został dyskryminowany </w:t>
      </w:r>
      <w:r w:rsidRPr="00B5742F">
        <w:rPr>
          <w:rFonts w:ascii="Verdana" w:hAnsi="Verdana"/>
          <w:iCs/>
          <w:spacing w:val="2"/>
          <w:sz w:val="19"/>
          <w:szCs w:val="19"/>
        </w:rPr>
        <w:t>w stosunku</w:t>
      </w:r>
      <w:r w:rsidRPr="00B5742F">
        <w:rPr>
          <w:rFonts w:ascii="Verdana" w:hAnsi="Verdana"/>
          <w:i/>
          <w:spacing w:val="2"/>
          <w:sz w:val="19"/>
          <w:szCs w:val="19"/>
        </w:rPr>
        <w:t xml:space="preserve"> </w:t>
      </w:r>
      <w:r w:rsidRPr="00B5742F">
        <w:rPr>
          <w:rFonts w:ascii="Verdana" w:hAnsi="Verdana"/>
          <w:spacing w:val="2"/>
          <w:sz w:val="19"/>
          <w:szCs w:val="19"/>
        </w:rPr>
        <w:t>do matki dziecka.</w:t>
      </w:r>
    </w:p>
    <w:p w14:paraId="67FB9FE0" w14:textId="77777777" w:rsidR="000F5B45" w:rsidRPr="00B5742F" w:rsidRDefault="00000000" w:rsidP="00E93132">
      <w:pPr>
        <w:pStyle w:val="Tekstpodstawowy"/>
        <w:ind w:right="727"/>
        <w:rPr>
          <w:rFonts w:ascii="Verdana" w:hAnsi="Verdana"/>
          <w:spacing w:val="2"/>
          <w:sz w:val="19"/>
          <w:szCs w:val="19"/>
        </w:rPr>
      </w:pPr>
      <w:r w:rsidRPr="00B5742F">
        <w:rPr>
          <w:rFonts w:ascii="Verdana" w:hAnsi="Verdana"/>
          <w:color w:val="0071BB"/>
          <w:spacing w:val="2"/>
          <w:sz w:val="19"/>
          <w:szCs w:val="19"/>
        </w:rPr>
        <w:t xml:space="preserve">W odniesieniu do zarzutu dyskryminacji Trybunał stwierdził, że </w:t>
      </w:r>
      <w:r w:rsidRPr="00B5742F">
        <w:rPr>
          <w:rFonts w:ascii="Verdana" w:hAnsi="Verdana"/>
          <w:b/>
          <w:bCs/>
          <w:color w:val="0071BB"/>
          <w:spacing w:val="2"/>
          <w:sz w:val="19"/>
          <w:szCs w:val="19"/>
        </w:rPr>
        <w:t>doszło</w:t>
      </w:r>
      <w:r w:rsidRPr="00B5742F">
        <w:rPr>
          <w:rFonts w:ascii="Verdana" w:hAnsi="Verdana"/>
          <w:color w:val="0071BB"/>
          <w:spacing w:val="2"/>
          <w:sz w:val="19"/>
          <w:szCs w:val="19"/>
        </w:rPr>
        <w:t xml:space="preserve"> </w:t>
      </w:r>
      <w:r w:rsidRPr="00B5742F">
        <w:rPr>
          <w:rFonts w:ascii="Verdana" w:hAnsi="Verdana"/>
          <w:b/>
          <w:color w:val="0071BB"/>
          <w:spacing w:val="2"/>
          <w:sz w:val="19"/>
          <w:szCs w:val="19"/>
        </w:rPr>
        <w:t xml:space="preserve">do naruszenia art. 14 </w:t>
      </w:r>
      <w:r w:rsidRPr="00B5742F">
        <w:rPr>
          <w:rFonts w:ascii="Verdana" w:hAnsi="Verdana"/>
          <w:color w:val="0071BB"/>
          <w:spacing w:val="2"/>
          <w:sz w:val="19"/>
          <w:szCs w:val="19"/>
        </w:rPr>
        <w:t xml:space="preserve">(zakaz dyskryminacji) </w:t>
      </w:r>
      <w:r w:rsidRPr="00B5742F">
        <w:rPr>
          <w:rFonts w:ascii="Verdana" w:hAnsi="Verdana"/>
          <w:b/>
          <w:color w:val="0071BB"/>
          <w:spacing w:val="2"/>
          <w:sz w:val="19"/>
          <w:szCs w:val="19"/>
        </w:rPr>
        <w:t xml:space="preserve">w związku z art. 8 </w:t>
      </w:r>
      <w:r w:rsidRPr="00B5742F">
        <w:rPr>
          <w:rFonts w:ascii="Verdana" w:hAnsi="Verdana"/>
          <w:color w:val="0071BB"/>
          <w:spacing w:val="2"/>
          <w:sz w:val="19"/>
          <w:szCs w:val="19"/>
        </w:rPr>
        <w:t xml:space="preserve">(prawo do poszanowania życia prywatnego i rodzinnego) Konwencji, uznając, że nie istniał racjonalny związek proporcjonalności między pozbawieniem skarżącego możliwości wykonywania władzy rodzicielskiej a celem, jakim była ochrona najlepszego interesu dzieci urodzonych poza związkiem małżeńskim. Trybunał zauważył w szczególności, że w momencie rozpatrywania sprawy prawo krajowe nie pozwalało skarżącemu na wykonywanie władzy rodzicielskiej, nawet gdyby leżało to w najlepszym interesie dziecka. Nie było również możliwe uzyskanie przez niego orzeczenia sądu, które pozwoliłoby mu przezwyciężyć odmowę zgody matki na wspólne sprawowanie władzy rodzicielskiej, mimo że nie zaprzeczyła ona jego ojcostwu. W opinii Trybunału rząd grecki nie wyjaśnił w sposób wystarczający, dlaczego w tamtym czasie prawo krajowe musiało przewidywać takie zróżnicowanie traktowania ojców i matek dzieci urodzonych poza związkiem małżeńskim i dzieci urodzonych w związku małżeńskim. Trybunał uznał również, że w niniejszej sprawie </w:t>
      </w:r>
      <w:r w:rsidRPr="00B5742F">
        <w:rPr>
          <w:rFonts w:ascii="Verdana" w:hAnsi="Verdana"/>
          <w:b/>
          <w:bCs/>
          <w:color w:val="0071BB"/>
          <w:spacing w:val="2"/>
          <w:sz w:val="19"/>
          <w:szCs w:val="19"/>
        </w:rPr>
        <w:t>doszło</w:t>
      </w:r>
      <w:r w:rsidRPr="00B5742F">
        <w:rPr>
          <w:rFonts w:ascii="Verdana" w:hAnsi="Verdana"/>
          <w:color w:val="0071BB"/>
          <w:spacing w:val="2"/>
          <w:sz w:val="19"/>
          <w:szCs w:val="19"/>
        </w:rPr>
        <w:t xml:space="preserve"> </w:t>
      </w:r>
      <w:r w:rsidRPr="00B5742F">
        <w:rPr>
          <w:rFonts w:ascii="Verdana" w:hAnsi="Verdana"/>
          <w:b/>
          <w:color w:val="0071BB"/>
          <w:spacing w:val="2"/>
          <w:sz w:val="19"/>
          <w:szCs w:val="19"/>
        </w:rPr>
        <w:t xml:space="preserve">do naruszenia art. 8 </w:t>
      </w:r>
      <w:r w:rsidRPr="00B5742F">
        <w:rPr>
          <w:rFonts w:ascii="Verdana" w:hAnsi="Verdana"/>
          <w:bCs/>
          <w:color w:val="0071BB"/>
          <w:spacing w:val="2"/>
          <w:sz w:val="19"/>
          <w:szCs w:val="19"/>
        </w:rPr>
        <w:t>(</w:t>
      </w:r>
      <w:r w:rsidRPr="00B5742F">
        <w:rPr>
          <w:rFonts w:ascii="Verdana" w:hAnsi="Verdana"/>
          <w:color w:val="0071BB"/>
          <w:spacing w:val="2"/>
          <w:sz w:val="19"/>
          <w:szCs w:val="19"/>
        </w:rPr>
        <w:t>prawo do poszanowania życia prywatnego i rodzinnego) Konwencji. W tym względzie Trybunał zwrócił w szczególności uwagę, że postępowanie trwało dziewięć lat i cztery miesiące, a argumenty przedstawione przez rząd nie uzasadniały takiego opóźnienia. Biorąc pod uwagę pozytywny obowiązek dołożenia szczególnej staranności w takich sprawach, Trybunał uznał, że upływ czasu nie mógł być uznany za rozsądny.</w:t>
      </w:r>
    </w:p>
    <w:p w14:paraId="3B313B8D" w14:textId="77777777" w:rsidR="000F5B45" w:rsidRPr="00B5742F" w:rsidRDefault="000F5B45" w:rsidP="00E93132">
      <w:pPr>
        <w:pStyle w:val="Nagwek2"/>
        <w:spacing w:before="90"/>
        <w:ind w:left="873"/>
        <w:rPr>
          <w:rFonts w:ascii="Verdana" w:hAnsi="Verdana"/>
          <w:spacing w:val="2"/>
          <w:sz w:val="19"/>
          <w:szCs w:val="19"/>
          <w:u w:val="none"/>
        </w:rPr>
      </w:pPr>
      <w:hyperlink r:id="rId81">
        <w:r w:rsidRPr="00B5742F">
          <w:rPr>
            <w:rFonts w:ascii="Verdana" w:hAnsi="Verdana"/>
            <w:color w:val="0071BB"/>
            <w:spacing w:val="2"/>
            <w:sz w:val="19"/>
            <w:szCs w:val="19"/>
            <w:u w:color="0071BB"/>
          </w:rPr>
          <w:t>Scalzo przeciwko Włochom</w:t>
        </w:r>
      </w:hyperlink>
    </w:p>
    <w:p w14:paraId="6AC66EA1" w14:textId="77777777" w:rsidR="000F5B45" w:rsidRPr="00B5742F" w:rsidRDefault="00000000" w:rsidP="00E93132">
      <w:pPr>
        <w:spacing w:before="55"/>
        <w:ind w:left="874"/>
        <w:jc w:val="both"/>
        <w:rPr>
          <w:rFonts w:ascii="Verdana" w:hAnsi="Verdana"/>
          <w:spacing w:val="2"/>
          <w:sz w:val="18"/>
        </w:rPr>
      </w:pPr>
      <w:r w:rsidRPr="00B5742F">
        <w:rPr>
          <w:rFonts w:ascii="Verdana" w:hAnsi="Verdana"/>
          <w:color w:val="808080"/>
          <w:spacing w:val="2"/>
          <w:sz w:val="17"/>
        </w:rPr>
        <w:t>6 grudnia 2022 r.</w:t>
      </w:r>
    </w:p>
    <w:p w14:paraId="598F1198" w14:textId="2A18F01D" w:rsidR="000F5B45" w:rsidRPr="00B5742F" w:rsidRDefault="00000000" w:rsidP="00957FF7">
      <w:pPr>
        <w:pStyle w:val="Tekstpodstawowy"/>
        <w:spacing w:before="1"/>
        <w:ind w:left="874" w:right="729" w:hanging="1"/>
        <w:rPr>
          <w:rFonts w:ascii="Verdana" w:hAnsi="Verdana"/>
          <w:spacing w:val="2"/>
          <w:sz w:val="19"/>
          <w:szCs w:val="19"/>
        </w:rPr>
      </w:pPr>
      <w:r w:rsidRPr="00B5742F">
        <w:rPr>
          <w:rFonts w:ascii="Verdana" w:hAnsi="Verdana"/>
          <w:spacing w:val="2"/>
          <w:sz w:val="19"/>
          <w:szCs w:val="19"/>
        </w:rPr>
        <w:t>Sprawa dotyczyła niemożności wniesienia przez skarżącą powództwa o ustalenie ojcostwa</w:t>
      </w:r>
      <w:r w:rsidR="00FD59CB" w:rsidRPr="009749D0">
        <w:rPr>
          <w:rFonts w:ascii="Verdana" w:hAnsi="Verdana"/>
          <w:spacing w:val="2"/>
          <w:sz w:val="19"/>
          <w:szCs w:val="19"/>
        </w:rPr>
        <w:t xml:space="preserve"> jej</w:t>
      </w:r>
      <w:r w:rsidRPr="00B5742F">
        <w:rPr>
          <w:rFonts w:ascii="Verdana" w:hAnsi="Verdana"/>
          <w:spacing w:val="2"/>
          <w:sz w:val="19"/>
          <w:szCs w:val="19"/>
        </w:rPr>
        <w:t xml:space="preserve"> domniemanego biologicznego ojca, po pierwsze ze względu na fakt, że zgodnie z prawem włoskim powództwa o ustalenie ojcostwa nie </w:t>
      </w:r>
      <w:r w:rsidR="00FD59CB" w:rsidRPr="009749D0">
        <w:rPr>
          <w:rFonts w:ascii="Verdana" w:hAnsi="Verdana"/>
          <w:spacing w:val="2"/>
          <w:sz w:val="19"/>
          <w:szCs w:val="19"/>
        </w:rPr>
        <w:t>mogło zostać wytoczone do czasu</w:t>
      </w:r>
      <w:r w:rsidRPr="00B5742F">
        <w:rPr>
          <w:rFonts w:ascii="Verdana" w:hAnsi="Verdana"/>
          <w:spacing w:val="2"/>
          <w:sz w:val="19"/>
          <w:szCs w:val="19"/>
        </w:rPr>
        <w:t xml:space="preserve"> </w:t>
      </w:r>
      <w:r w:rsidR="00FD59CB" w:rsidRPr="009749D0">
        <w:rPr>
          <w:rFonts w:ascii="Verdana" w:hAnsi="Verdana"/>
          <w:spacing w:val="2"/>
          <w:sz w:val="19"/>
          <w:szCs w:val="19"/>
        </w:rPr>
        <w:t>wydania</w:t>
      </w:r>
      <w:r w:rsidRPr="00B5742F">
        <w:rPr>
          <w:rFonts w:ascii="Verdana" w:hAnsi="Verdana"/>
          <w:spacing w:val="2"/>
          <w:sz w:val="19"/>
          <w:szCs w:val="19"/>
        </w:rPr>
        <w:t xml:space="preserve"> prawomocnego wyroku wykluczającego ojcostwo domniemanego ojca, a po drugie ze względu na długość postępowania w sprawie </w:t>
      </w:r>
      <w:r w:rsidR="00957FF7">
        <w:rPr>
          <w:rFonts w:ascii="Verdana" w:hAnsi="Verdana"/>
          <w:spacing w:val="2"/>
          <w:sz w:val="19"/>
          <w:szCs w:val="19"/>
        </w:rPr>
        <w:t xml:space="preserve">zakwestionowania </w:t>
      </w:r>
      <w:r w:rsidRPr="00B5742F">
        <w:rPr>
          <w:rFonts w:ascii="Verdana" w:hAnsi="Verdana"/>
          <w:spacing w:val="2"/>
          <w:sz w:val="19"/>
          <w:szCs w:val="19"/>
        </w:rPr>
        <w:t>ojcostwa, które toczyło się przez ponad 12 lat.</w:t>
      </w:r>
    </w:p>
    <w:p w14:paraId="6D971128" w14:textId="5A0F6200" w:rsidR="00037F5B" w:rsidRPr="009749D0" w:rsidRDefault="00000000" w:rsidP="00037F5B">
      <w:pPr>
        <w:pStyle w:val="Tekstpodstawowy"/>
        <w:ind w:left="874" w:right="730" w:hanging="1"/>
        <w:rPr>
          <w:rFonts w:ascii="Verdana" w:hAnsi="Verdana"/>
          <w:color w:val="0071BB"/>
          <w:sz w:val="19"/>
          <w:szCs w:val="19"/>
        </w:rPr>
      </w:pPr>
      <w:r w:rsidRPr="00B5742F">
        <w:rPr>
          <w:rFonts w:ascii="Verdana" w:hAnsi="Verdana"/>
          <w:color w:val="0071BB"/>
          <w:spacing w:val="2"/>
          <w:sz w:val="19"/>
          <w:szCs w:val="19"/>
        </w:rPr>
        <w:t xml:space="preserve">Trybunał uznał, że doszło </w:t>
      </w:r>
      <w:r w:rsidRPr="00B5742F">
        <w:rPr>
          <w:rFonts w:ascii="Verdana" w:hAnsi="Verdana"/>
          <w:b/>
          <w:color w:val="0071BB"/>
          <w:spacing w:val="2"/>
          <w:sz w:val="19"/>
          <w:szCs w:val="19"/>
        </w:rPr>
        <w:t xml:space="preserve">do naruszenia art. 8 </w:t>
      </w:r>
      <w:r w:rsidRPr="00B5742F">
        <w:rPr>
          <w:rFonts w:ascii="Verdana" w:hAnsi="Verdana"/>
          <w:color w:val="0071BB"/>
          <w:spacing w:val="2"/>
          <w:sz w:val="19"/>
          <w:szCs w:val="19"/>
        </w:rPr>
        <w:t xml:space="preserve">(prawo do poszanowania życia prywatnego i rodzinnego) Konwencji w odniesieniu do skarżącej. W szczególności Trybunał zauważył, że skarżąca pozostawała w stanie przedłużającej się niepewności co do swojej tożsamości osobistej </w:t>
      </w:r>
      <w:r w:rsidR="00957FF7" w:rsidRPr="00957FF7">
        <w:rPr>
          <w:rFonts w:ascii="Verdana" w:hAnsi="Verdana"/>
          <w:color w:val="0071BB"/>
          <w:spacing w:val="2"/>
          <w:sz w:val="19"/>
          <w:szCs w:val="19"/>
        </w:rPr>
        <w:t>a sposób prowadzenia postępowania stanowił</w:t>
      </w:r>
      <w:r w:rsidR="00957FF7">
        <w:rPr>
          <w:rFonts w:ascii="Verdana" w:hAnsi="Verdana"/>
          <w:color w:val="0071BB"/>
          <w:spacing w:val="2"/>
          <w:sz w:val="19"/>
          <w:szCs w:val="19"/>
        </w:rPr>
        <w:t>o</w:t>
      </w:r>
      <w:r w:rsidR="002624C0">
        <w:rPr>
          <w:rFonts w:ascii="Verdana" w:hAnsi="Verdana"/>
          <w:color w:val="0071BB"/>
          <w:spacing w:val="2"/>
          <w:sz w:val="19"/>
          <w:szCs w:val="19"/>
        </w:rPr>
        <w:t xml:space="preserve"> </w:t>
      </w:r>
      <w:r w:rsidR="00037F5B" w:rsidRPr="009749D0">
        <w:rPr>
          <w:rFonts w:ascii="Verdana" w:hAnsi="Verdana"/>
          <w:color w:val="0071BB"/>
          <w:sz w:val="19"/>
          <w:szCs w:val="19"/>
        </w:rPr>
        <w:t>nieproporcjonaln</w:t>
      </w:r>
      <w:r w:rsidR="002624C0">
        <w:rPr>
          <w:rFonts w:ascii="Verdana" w:hAnsi="Verdana"/>
          <w:color w:val="0071BB"/>
          <w:sz w:val="19"/>
          <w:szCs w:val="19"/>
        </w:rPr>
        <w:t>ą</w:t>
      </w:r>
      <w:r w:rsidRPr="00B5742F">
        <w:rPr>
          <w:rFonts w:ascii="Verdana" w:hAnsi="Verdana"/>
          <w:color w:val="0071BB"/>
          <w:sz w:val="19"/>
          <w:szCs w:val="19"/>
        </w:rPr>
        <w:t xml:space="preserve"> ingerencję w jej prawo do poszanowania życia prywatnego. W związku z tym Trybunał uznał, że w okolicznościach niniejszej sprawy władze nie wywiązały się z pozytywnego obowiązku zapewnienia skarżącej tego prawa.</w:t>
      </w:r>
    </w:p>
    <w:p w14:paraId="5C81794A" w14:textId="77777777" w:rsidR="000F5B45" w:rsidRPr="00B5742F" w:rsidRDefault="00037F5B" w:rsidP="00E93132">
      <w:pPr>
        <w:pStyle w:val="Tekstpodstawowy"/>
        <w:spacing w:before="240"/>
        <w:ind w:left="874" w:right="729"/>
        <w:rPr>
          <w:rFonts w:ascii="Verdana" w:hAnsi="Verdana"/>
          <w:sz w:val="22"/>
          <w:szCs w:val="22"/>
        </w:rPr>
      </w:pPr>
      <w:r w:rsidRPr="009749D0">
        <w:rPr>
          <w:rFonts w:ascii="Verdana" w:hAnsi="Verdana"/>
          <w:color w:val="0071BB"/>
          <w:szCs w:val="22"/>
        </w:rPr>
        <w:br w:type="column"/>
      </w:r>
    </w:p>
    <w:p w14:paraId="577A2750" w14:textId="737E115B" w:rsidR="000F5B45" w:rsidRPr="00B5742F" w:rsidRDefault="00037F5B" w:rsidP="00E93132">
      <w:pPr>
        <w:pStyle w:val="Tekstpodstawowy"/>
        <w:spacing w:before="9"/>
        <w:ind w:left="0" w:right="0"/>
        <w:jc w:val="left"/>
        <w:rPr>
          <w:rFonts w:ascii="Verdana" w:hAnsi="Verdana"/>
          <w:sz w:val="6"/>
        </w:rPr>
      </w:pPr>
      <w:r w:rsidRPr="00B5742F">
        <w:rPr>
          <w:rFonts w:ascii="Verdana" w:hAnsi="Verdana"/>
          <w:noProof/>
          <w:sz w:val="6"/>
        </w:rPr>
        <mc:AlternateContent>
          <mc:Choice Requires="wps">
            <w:drawing>
              <wp:anchor distT="0" distB="0" distL="0" distR="0" simplePos="0" relativeHeight="251672576" behindDoc="1" locked="0" layoutInCell="1" allowOverlap="1" wp14:anchorId="4DCF88E2" wp14:editId="058CA9F0">
                <wp:simplePos x="0" y="0"/>
                <wp:positionH relativeFrom="page">
                  <wp:posOffset>892175</wp:posOffset>
                </wp:positionH>
                <wp:positionV relativeFrom="paragraph">
                  <wp:posOffset>66675</wp:posOffset>
                </wp:positionV>
                <wp:extent cx="5768340" cy="1501775"/>
                <wp:effectExtent l="0" t="0" r="3810" b="3175"/>
                <wp:wrapTopAndBottom/>
                <wp:docPr id="18" name="Textbox 18"/>
                <wp:cNvGraphicFramePr/>
                <a:graphic xmlns:a="http://schemas.openxmlformats.org/drawingml/2006/main">
                  <a:graphicData uri="http://schemas.microsoft.com/office/word/2010/wordprocessingShape">
                    <wps:wsp>
                      <wps:cNvSpPr txBox="1"/>
                      <wps:spPr>
                        <a:xfrm>
                          <a:off x="0" y="0"/>
                          <a:ext cx="5768340" cy="1501775"/>
                        </a:xfrm>
                        <a:prstGeom prst="rect">
                          <a:avLst/>
                        </a:prstGeom>
                        <a:solidFill>
                          <a:srgbClr val="F3F3F3"/>
                        </a:solidFill>
                      </wps:spPr>
                      <wps:txbx>
                        <w:txbxContent>
                          <w:p w14:paraId="63F55468" w14:textId="0A544665" w:rsidR="000F5B45" w:rsidRPr="00037F5B" w:rsidRDefault="002624C0">
                            <w:pPr>
                              <w:spacing w:before="11"/>
                              <w:ind w:left="28"/>
                              <w:rPr>
                                <w:rFonts w:ascii="Verdana" w:hAnsi="Verdana"/>
                                <w:b/>
                                <w:color w:val="000000"/>
                                <w:sz w:val="20"/>
                              </w:rPr>
                            </w:pPr>
                            <w:r>
                              <w:rPr>
                                <w:rFonts w:ascii="Verdana" w:hAnsi="Verdana"/>
                                <w:b/>
                                <w:color w:val="5F5F5F"/>
                                <w:spacing w:val="-2"/>
                                <w:sz w:val="19"/>
                              </w:rPr>
                              <w:t>Skargi</w:t>
                            </w:r>
                            <w:r w:rsidR="00000000" w:rsidRPr="00037F5B">
                              <w:rPr>
                                <w:rFonts w:ascii="Verdana" w:hAnsi="Verdana"/>
                                <w:b/>
                                <w:color w:val="5F5F5F"/>
                                <w:spacing w:val="-2"/>
                                <w:sz w:val="19"/>
                              </w:rPr>
                              <w:t xml:space="preserve"> </w:t>
                            </w:r>
                            <w:r w:rsidR="00000000" w:rsidRPr="00037F5B">
                              <w:rPr>
                                <w:rFonts w:ascii="Verdana" w:hAnsi="Verdana"/>
                                <w:b/>
                                <w:color w:val="5F5F5F"/>
                                <w:sz w:val="19"/>
                              </w:rPr>
                              <w:t>oczekujące na rozpatrzenie</w:t>
                            </w:r>
                          </w:p>
                          <w:p w14:paraId="55B40F91" w14:textId="77777777" w:rsidR="000F5B45" w:rsidRPr="00037F5B" w:rsidRDefault="000F5B45">
                            <w:pPr>
                              <w:spacing w:before="121"/>
                              <w:ind w:left="28"/>
                              <w:rPr>
                                <w:rFonts w:ascii="Verdana" w:hAnsi="Verdana"/>
                                <w:b/>
                                <w:color w:val="000000"/>
                                <w:sz w:val="20"/>
                              </w:rPr>
                            </w:pPr>
                            <w:hyperlink r:id="rId82">
                              <w:r w:rsidRPr="00037F5B">
                                <w:rPr>
                                  <w:rFonts w:ascii="Verdana" w:hAnsi="Verdana"/>
                                  <w:b/>
                                  <w:color w:val="0071BB"/>
                                  <w:sz w:val="19"/>
                                  <w:u w:val="single" w:color="0071BB"/>
                                </w:rPr>
                                <w:t>Gauvin-Fournis przeciwko Francji (nr</w:t>
                              </w:r>
                              <w:r w:rsidRPr="00037F5B">
                                <w:rPr>
                                  <w:rFonts w:ascii="Verdana" w:hAnsi="Verdana"/>
                                  <w:b/>
                                  <w:color w:val="0071BB"/>
                                  <w:spacing w:val="-2"/>
                                  <w:sz w:val="19"/>
                                  <w:u w:val="single" w:color="0071BB"/>
                                </w:rPr>
                                <w:t xml:space="preserve"> 21424/16)</w:t>
                              </w:r>
                            </w:hyperlink>
                          </w:p>
                          <w:p w14:paraId="77C61C31" w14:textId="77777777" w:rsidR="000F5B45" w:rsidRPr="00037F5B" w:rsidRDefault="00000000">
                            <w:pPr>
                              <w:spacing w:before="55"/>
                              <w:ind w:left="28"/>
                              <w:rPr>
                                <w:rFonts w:ascii="Verdana" w:hAnsi="Verdana"/>
                                <w:color w:val="000000"/>
                                <w:sz w:val="18"/>
                              </w:rPr>
                            </w:pPr>
                            <w:r w:rsidRPr="00037F5B">
                              <w:rPr>
                                <w:rFonts w:ascii="Verdana" w:hAnsi="Verdana"/>
                                <w:color w:val="808080"/>
                                <w:sz w:val="17"/>
                              </w:rPr>
                              <w:t>Skarga przekazana rządowi francuskiemu w dniu 5 czerwca</w:t>
                            </w:r>
                            <w:r w:rsidRPr="00037F5B">
                              <w:rPr>
                                <w:rFonts w:ascii="Verdana" w:hAnsi="Verdana"/>
                                <w:color w:val="808080"/>
                                <w:spacing w:val="-4"/>
                                <w:sz w:val="17"/>
                              </w:rPr>
                              <w:t xml:space="preserve"> 2018 r.</w:t>
                            </w:r>
                          </w:p>
                          <w:p w14:paraId="063480EF" w14:textId="77777777" w:rsidR="000F5B45" w:rsidRPr="00037F5B" w:rsidRDefault="000F5B45">
                            <w:pPr>
                              <w:spacing w:before="121"/>
                              <w:ind w:left="28"/>
                              <w:rPr>
                                <w:rFonts w:ascii="Verdana" w:hAnsi="Verdana"/>
                                <w:b/>
                                <w:color w:val="000000"/>
                                <w:sz w:val="20"/>
                              </w:rPr>
                            </w:pPr>
                            <w:hyperlink r:id="rId83">
                              <w:r w:rsidRPr="00037F5B">
                                <w:rPr>
                                  <w:rFonts w:ascii="Verdana" w:hAnsi="Verdana"/>
                                  <w:b/>
                                  <w:color w:val="0071BB"/>
                                  <w:sz w:val="19"/>
                                  <w:u w:val="single" w:color="0071BB"/>
                                </w:rPr>
                                <w:t>Silliau przeciwko Francji (nr</w:t>
                              </w:r>
                              <w:r w:rsidRPr="00037F5B">
                                <w:rPr>
                                  <w:rFonts w:ascii="Verdana" w:hAnsi="Verdana"/>
                                  <w:b/>
                                  <w:color w:val="0071BB"/>
                                  <w:spacing w:val="-2"/>
                                  <w:sz w:val="19"/>
                                  <w:u w:val="single" w:color="0071BB"/>
                                </w:rPr>
                                <w:t xml:space="preserve"> 45728/17)</w:t>
                              </w:r>
                            </w:hyperlink>
                          </w:p>
                          <w:p w14:paraId="2743117D" w14:textId="77777777" w:rsidR="000F5B45" w:rsidRPr="00037F5B" w:rsidRDefault="00000000">
                            <w:pPr>
                              <w:spacing w:before="56"/>
                              <w:ind w:left="28"/>
                              <w:rPr>
                                <w:rFonts w:ascii="Verdana" w:hAnsi="Verdana"/>
                                <w:color w:val="000000"/>
                                <w:sz w:val="18"/>
                              </w:rPr>
                            </w:pPr>
                            <w:r w:rsidRPr="00037F5B">
                              <w:rPr>
                                <w:rFonts w:ascii="Verdana" w:hAnsi="Verdana"/>
                                <w:color w:val="808080"/>
                                <w:sz w:val="17"/>
                              </w:rPr>
                              <w:t>Skarga przekazana rządowi francuskiemu w dniu 5 czerwca</w:t>
                            </w:r>
                            <w:r w:rsidRPr="00037F5B">
                              <w:rPr>
                                <w:rFonts w:ascii="Verdana" w:hAnsi="Verdana"/>
                                <w:color w:val="808080"/>
                                <w:spacing w:val="-4"/>
                                <w:sz w:val="17"/>
                              </w:rPr>
                              <w:t xml:space="preserve"> 2018 r.</w:t>
                            </w:r>
                          </w:p>
                          <w:p w14:paraId="5302B8E2" w14:textId="77777777" w:rsidR="000F5B45" w:rsidRPr="00037F5B" w:rsidRDefault="000F5B45">
                            <w:pPr>
                              <w:spacing w:before="121"/>
                              <w:ind w:left="28"/>
                              <w:rPr>
                                <w:rFonts w:ascii="Verdana" w:hAnsi="Verdana"/>
                                <w:b/>
                                <w:color w:val="000000"/>
                                <w:sz w:val="20"/>
                              </w:rPr>
                            </w:pPr>
                            <w:hyperlink r:id="rId84">
                              <w:r w:rsidRPr="00037F5B">
                                <w:rPr>
                                  <w:rFonts w:ascii="Verdana" w:hAnsi="Verdana"/>
                                  <w:b/>
                                  <w:color w:val="0071BB"/>
                                  <w:sz w:val="19"/>
                                  <w:u w:val="single" w:color="0071BB"/>
                                </w:rPr>
                                <w:t>A. i B. przeciwko Francji (nr</w:t>
                              </w:r>
                              <w:r w:rsidRPr="00037F5B">
                                <w:rPr>
                                  <w:rFonts w:ascii="Verdana" w:hAnsi="Verdana"/>
                                  <w:b/>
                                  <w:color w:val="0071BB"/>
                                  <w:spacing w:val="-2"/>
                                  <w:sz w:val="19"/>
                                  <w:u w:val="single" w:color="0071BB"/>
                                </w:rPr>
                                <w:t xml:space="preserve"> 12482/21)</w:t>
                              </w:r>
                            </w:hyperlink>
                          </w:p>
                          <w:p w14:paraId="2A7B9317" w14:textId="77777777" w:rsidR="000F5B45" w:rsidRPr="00037F5B" w:rsidRDefault="00000000">
                            <w:pPr>
                              <w:spacing w:before="58" w:line="210" w:lineRule="exact"/>
                              <w:ind w:left="28"/>
                              <w:rPr>
                                <w:rFonts w:ascii="Verdana" w:hAnsi="Verdana"/>
                                <w:color w:val="000000"/>
                                <w:sz w:val="18"/>
                              </w:rPr>
                            </w:pPr>
                            <w:r w:rsidRPr="00037F5B">
                              <w:rPr>
                                <w:rFonts w:ascii="Verdana" w:hAnsi="Verdana"/>
                                <w:color w:val="808080"/>
                                <w:sz w:val="17"/>
                              </w:rPr>
                              <w:t>Skarga przekazana rządowi francuskiemu w dniu 21 czerwca</w:t>
                            </w:r>
                            <w:r w:rsidRPr="00037F5B">
                              <w:rPr>
                                <w:rFonts w:ascii="Verdana" w:hAnsi="Verdana"/>
                                <w:color w:val="808080"/>
                                <w:spacing w:val="-4"/>
                                <w:sz w:val="17"/>
                              </w:rPr>
                              <w:t xml:space="preserve"> 2021 r.</w:t>
                            </w:r>
                          </w:p>
                        </w:txbxContent>
                      </wps:txbx>
                      <wps:bodyPr wrap="square" lIns="0" tIns="0" rIns="0" bIns="0" rtlCol="0">
                        <a:noAutofit/>
                      </wps:bodyPr>
                    </wps:wsp>
                  </a:graphicData>
                </a:graphic>
                <wp14:sizeRelV relativeFrom="margin">
                  <wp14:pctHeight>0</wp14:pctHeight>
                </wp14:sizeRelV>
              </wp:anchor>
            </w:drawing>
          </mc:Choice>
          <mc:Fallback>
            <w:pict>
              <v:shapetype w14:anchorId="4DCF88E2" id="_x0000_t202" coordsize="21600,21600" o:spt="202" path="m,l,21600r21600,l21600,xe">
                <v:stroke joinstyle="miter"/>
                <v:path gradientshapeok="t" o:connecttype="rect"/>
              </v:shapetype>
              <v:shape id="Textbox 18" o:spid="_x0000_s1027" type="#_x0000_t202" style="position:absolute;margin-left:70.25pt;margin-top:5.25pt;width:454.2pt;height:118.25pt;z-index:-2516439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" fillcolor="#f3f3f3" stroked="f">
                <v:textbox inset="0,0,0,0">
                  <w:txbxContent>
                    <w:p w14:paraId="63F55468" w14:textId="0A544665" w:rsidR="000F5B45" w:rsidRPr="00037F5B" w:rsidRDefault="002624C0">
                      <w:pPr>
                        <w:spacing w:before="11"/>
                        <w:ind w:left="28"/>
                        <w:rPr>
                          <w:rFonts w:ascii="Verdana" w:hAnsi="Verdana"/>
                          <w:b/>
                          <w:color w:val="000000"/>
                          <w:sz w:val="20"/>
                        </w:rPr>
                      </w:pPr>
                      <w:r>
                        <w:rPr>
                          <w:rFonts w:ascii="Verdana" w:hAnsi="Verdana"/>
                          <w:b/>
                          <w:color w:val="5F5F5F"/>
                          <w:spacing w:val="-2"/>
                          <w:sz w:val="19"/>
                        </w:rPr>
                        <w:t>Skargi</w:t>
                      </w:r>
                      <w:r w:rsidR="00000000" w:rsidRPr="00037F5B">
                        <w:rPr>
                          <w:rFonts w:ascii="Verdana" w:hAnsi="Verdana"/>
                          <w:b/>
                          <w:color w:val="5F5F5F"/>
                          <w:spacing w:val="-2"/>
                          <w:sz w:val="19"/>
                        </w:rPr>
                        <w:t xml:space="preserve"> </w:t>
                      </w:r>
                      <w:r w:rsidR="00000000" w:rsidRPr="00037F5B">
                        <w:rPr>
                          <w:rFonts w:ascii="Verdana" w:hAnsi="Verdana"/>
                          <w:b/>
                          <w:color w:val="5F5F5F"/>
                          <w:sz w:val="19"/>
                        </w:rPr>
                        <w:t>oczekujące na rozpatrzenie</w:t>
                      </w:r>
                    </w:p>
                    <w:p w14:paraId="55B40F91" w14:textId="77777777" w:rsidR="000F5B45" w:rsidRPr="00037F5B" w:rsidRDefault="000F5B45">
                      <w:pPr>
                        <w:spacing w:before="121"/>
                        <w:ind w:left="28"/>
                        <w:rPr>
                          <w:rFonts w:ascii="Verdana" w:hAnsi="Verdana"/>
                          <w:b/>
                          <w:color w:val="000000"/>
                          <w:sz w:val="20"/>
                        </w:rPr>
                      </w:pPr>
                      <w:hyperlink r:id="rId85">
                        <w:r w:rsidRPr="00037F5B">
                          <w:rPr>
                            <w:rFonts w:ascii="Verdana" w:hAnsi="Verdana"/>
                            <w:b/>
                            <w:color w:val="0071BB"/>
                            <w:sz w:val="19"/>
                            <w:u w:val="single" w:color="0071BB"/>
                          </w:rPr>
                          <w:t>Gauvin-Fournis przeciwko Francji (nr</w:t>
                        </w:r>
                        <w:r w:rsidRPr="00037F5B">
                          <w:rPr>
                            <w:rFonts w:ascii="Verdana" w:hAnsi="Verdana"/>
                            <w:b/>
                            <w:color w:val="0071BB"/>
                            <w:spacing w:val="-2"/>
                            <w:sz w:val="19"/>
                            <w:u w:val="single" w:color="0071BB"/>
                          </w:rPr>
                          <w:t xml:space="preserve"> 21424/16)</w:t>
                        </w:r>
                      </w:hyperlink>
                    </w:p>
                    <w:p w14:paraId="77C61C31" w14:textId="77777777" w:rsidR="000F5B45" w:rsidRPr="00037F5B" w:rsidRDefault="00000000">
                      <w:pPr>
                        <w:spacing w:before="55"/>
                        <w:ind w:left="28"/>
                        <w:rPr>
                          <w:rFonts w:ascii="Verdana" w:hAnsi="Verdana"/>
                          <w:color w:val="000000"/>
                          <w:sz w:val="18"/>
                        </w:rPr>
                      </w:pPr>
                      <w:r w:rsidRPr="00037F5B">
                        <w:rPr>
                          <w:rFonts w:ascii="Verdana" w:hAnsi="Verdana"/>
                          <w:color w:val="808080"/>
                          <w:sz w:val="17"/>
                        </w:rPr>
                        <w:t>Skarga przekazana rządowi francuskiemu w dniu 5 czerwca</w:t>
                      </w:r>
                      <w:r w:rsidRPr="00037F5B">
                        <w:rPr>
                          <w:rFonts w:ascii="Verdana" w:hAnsi="Verdana"/>
                          <w:color w:val="808080"/>
                          <w:spacing w:val="-4"/>
                          <w:sz w:val="17"/>
                        </w:rPr>
                        <w:t xml:space="preserve"> 2018 r.</w:t>
                      </w:r>
                    </w:p>
                    <w:p w14:paraId="063480EF" w14:textId="77777777" w:rsidR="000F5B45" w:rsidRPr="00037F5B" w:rsidRDefault="000F5B45">
                      <w:pPr>
                        <w:spacing w:before="121"/>
                        <w:ind w:left="28"/>
                        <w:rPr>
                          <w:rFonts w:ascii="Verdana" w:hAnsi="Verdana"/>
                          <w:b/>
                          <w:color w:val="000000"/>
                          <w:sz w:val="20"/>
                        </w:rPr>
                      </w:pPr>
                      <w:hyperlink r:id="rId86">
                        <w:r w:rsidRPr="00037F5B">
                          <w:rPr>
                            <w:rFonts w:ascii="Verdana" w:hAnsi="Verdana"/>
                            <w:b/>
                            <w:color w:val="0071BB"/>
                            <w:sz w:val="19"/>
                            <w:u w:val="single" w:color="0071BB"/>
                          </w:rPr>
                          <w:t>Silliau przeciwko Francji (nr</w:t>
                        </w:r>
                        <w:r w:rsidRPr="00037F5B">
                          <w:rPr>
                            <w:rFonts w:ascii="Verdana" w:hAnsi="Verdana"/>
                            <w:b/>
                            <w:color w:val="0071BB"/>
                            <w:spacing w:val="-2"/>
                            <w:sz w:val="19"/>
                            <w:u w:val="single" w:color="0071BB"/>
                          </w:rPr>
                          <w:t xml:space="preserve"> 45728/17)</w:t>
                        </w:r>
                      </w:hyperlink>
                    </w:p>
                    <w:p w14:paraId="2743117D" w14:textId="77777777" w:rsidR="000F5B45" w:rsidRPr="00037F5B" w:rsidRDefault="00000000">
                      <w:pPr>
                        <w:spacing w:before="56"/>
                        <w:ind w:left="28"/>
                        <w:rPr>
                          <w:rFonts w:ascii="Verdana" w:hAnsi="Verdana"/>
                          <w:color w:val="000000"/>
                          <w:sz w:val="18"/>
                        </w:rPr>
                      </w:pPr>
                      <w:r w:rsidRPr="00037F5B">
                        <w:rPr>
                          <w:rFonts w:ascii="Verdana" w:hAnsi="Verdana"/>
                          <w:color w:val="808080"/>
                          <w:sz w:val="17"/>
                        </w:rPr>
                        <w:t>Skarga przekazana rządowi francuskiemu w dniu 5 czerwca</w:t>
                      </w:r>
                      <w:r w:rsidRPr="00037F5B">
                        <w:rPr>
                          <w:rFonts w:ascii="Verdana" w:hAnsi="Verdana"/>
                          <w:color w:val="808080"/>
                          <w:spacing w:val="-4"/>
                          <w:sz w:val="17"/>
                        </w:rPr>
                        <w:t xml:space="preserve"> 2018 r.</w:t>
                      </w:r>
                    </w:p>
                    <w:p w14:paraId="5302B8E2" w14:textId="77777777" w:rsidR="000F5B45" w:rsidRPr="00037F5B" w:rsidRDefault="000F5B45">
                      <w:pPr>
                        <w:spacing w:before="121"/>
                        <w:ind w:left="28"/>
                        <w:rPr>
                          <w:rFonts w:ascii="Verdana" w:hAnsi="Verdana"/>
                          <w:b/>
                          <w:color w:val="000000"/>
                          <w:sz w:val="20"/>
                        </w:rPr>
                      </w:pPr>
                      <w:hyperlink r:id="rId87">
                        <w:r w:rsidRPr="00037F5B">
                          <w:rPr>
                            <w:rFonts w:ascii="Verdana" w:hAnsi="Verdana"/>
                            <w:b/>
                            <w:color w:val="0071BB"/>
                            <w:sz w:val="19"/>
                            <w:u w:val="single" w:color="0071BB"/>
                          </w:rPr>
                          <w:t>A. i B. przeciwko Francji (nr</w:t>
                        </w:r>
                        <w:r w:rsidRPr="00037F5B">
                          <w:rPr>
                            <w:rFonts w:ascii="Verdana" w:hAnsi="Verdana"/>
                            <w:b/>
                            <w:color w:val="0071BB"/>
                            <w:spacing w:val="-2"/>
                            <w:sz w:val="19"/>
                            <w:u w:val="single" w:color="0071BB"/>
                          </w:rPr>
                          <w:t xml:space="preserve"> 12482/21)</w:t>
                        </w:r>
                      </w:hyperlink>
                    </w:p>
                    <w:p w14:paraId="2A7B9317" w14:textId="77777777" w:rsidR="000F5B45" w:rsidRPr="00037F5B" w:rsidRDefault="00000000">
                      <w:pPr>
                        <w:spacing w:before="58" w:line="210" w:lineRule="exact"/>
                        <w:ind w:left="28"/>
                        <w:rPr>
                          <w:rFonts w:ascii="Verdana" w:hAnsi="Verdana"/>
                          <w:color w:val="000000"/>
                          <w:sz w:val="18"/>
                        </w:rPr>
                      </w:pPr>
                      <w:r w:rsidRPr="00037F5B">
                        <w:rPr>
                          <w:rFonts w:ascii="Verdana" w:hAnsi="Verdana"/>
                          <w:color w:val="808080"/>
                          <w:sz w:val="17"/>
                        </w:rPr>
                        <w:t>Skarga przekazana rządowi francuskiemu w dniu 21 czerwca</w:t>
                      </w:r>
                      <w:r w:rsidRPr="00037F5B">
                        <w:rPr>
                          <w:rFonts w:ascii="Verdana" w:hAnsi="Verdana"/>
                          <w:color w:val="808080"/>
                          <w:spacing w:val="-4"/>
                          <w:sz w:val="17"/>
                        </w:rPr>
                        <w:t xml:space="preserve"> 2021 r.</w:t>
                      </w:r>
                    </w:p>
                  </w:txbxContent>
                </v:textbox>
                <w10:wrap type="topAndBottom" anchorx="page"/>
              </v:shape>
            </w:pict>
          </mc:Fallback>
        </mc:AlternateContent>
      </w:r>
    </w:p>
    <w:p w14:paraId="0443049A" w14:textId="77777777" w:rsidR="000F5B45" w:rsidRPr="00B5742F" w:rsidRDefault="00000000" w:rsidP="00E93132">
      <w:pPr>
        <w:pStyle w:val="Nagwek1"/>
        <w:spacing w:before="256"/>
        <w:rPr>
          <w:rFonts w:ascii="Verdana" w:hAnsi="Verdana"/>
        </w:rPr>
      </w:pPr>
      <w:r w:rsidRPr="00B5742F">
        <w:rPr>
          <w:rFonts w:ascii="Verdana" w:hAnsi="Verdana"/>
          <w:color w:val="808080"/>
        </w:rPr>
        <w:t>Edukacja seksualna w szkołach państwowych</w:t>
      </w:r>
    </w:p>
    <w:p w14:paraId="1A1447F0" w14:textId="77777777" w:rsidR="000F5B45" w:rsidRPr="00B5742F" w:rsidRDefault="000F5B45" w:rsidP="00E93132">
      <w:pPr>
        <w:pStyle w:val="Nagwek2"/>
        <w:spacing w:before="114"/>
        <w:rPr>
          <w:rFonts w:ascii="Verdana" w:hAnsi="Verdana"/>
          <w:sz w:val="19"/>
          <w:szCs w:val="19"/>
          <w:u w:val="none"/>
        </w:rPr>
      </w:pPr>
      <w:hyperlink r:id="rId88">
        <w:r w:rsidRPr="00B5742F">
          <w:rPr>
            <w:rFonts w:ascii="Verdana" w:hAnsi="Verdana"/>
            <w:color w:val="0071BB"/>
            <w:sz w:val="19"/>
            <w:szCs w:val="19"/>
            <w:u w:color="0071BB"/>
          </w:rPr>
          <w:t>A.R. i L.R. przeciwko Szwajcarii (nr 22338/15)</w:t>
        </w:r>
      </w:hyperlink>
    </w:p>
    <w:p w14:paraId="17187A50" w14:textId="77777777"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19 grudnia 2017 r. (decyzja o dopuszczalności)</w:t>
      </w:r>
    </w:p>
    <w:p w14:paraId="2119046A" w14:textId="77777777" w:rsidR="000F5B45" w:rsidRPr="00B5742F" w:rsidRDefault="00000000" w:rsidP="00E93132">
      <w:pPr>
        <w:pStyle w:val="Tekstpodstawowy"/>
        <w:spacing w:before="1"/>
        <w:ind w:left="874" w:right="727" w:hanging="1"/>
        <w:rPr>
          <w:rFonts w:ascii="Verdana" w:hAnsi="Verdana"/>
          <w:spacing w:val="2"/>
          <w:sz w:val="19"/>
          <w:szCs w:val="19"/>
        </w:rPr>
      </w:pPr>
      <w:r w:rsidRPr="00B5742F">
        <w:rPr>
          <w:rFonts w:ascii="Verdana" w:hAnsi="Verdana"/>
          <w:spacing w:val="2"/>
          <w:sz w:val="19"/>
          <w:szCs w:val="19"/>
        </w:rPr>
        <w:t>Sprawa dotyczyła odmowy przez szkołę podstawową w Bazylei spełnienia prośby pierwszej skarżącej o zwolnienie jej córki (drugiej skarżącej), wówczas siedmioletniej i mającej wkrótce rozpocząć naukę w drugiej klasie szkoły podstawowej, z lekcji wychowania seksualnego. Obie skarżące, które stwierdziły, że nie są przeciwne edukacji seksualnej w szkołach państwowych, ale kwestionują jedynie jej przydatność na etapie przedszkola i wczesnej szkoły podstawowej, zarzucały naruszenie prawa pierwszej skarżącej do poszanowania życia prywatnego i rodzinnego. Twierdziły również, że druga skarżąca została poddana nieuzasadnionej ingerencji w korzystanie z prawa do poszanowania życia prywatnego.</w:t>
      </w:r>
    </w:p>
    <w:p w14:paraId="57CB1692" w14:textId="07256927" w:rsidR="000F5B45" w:rsidRPr="00B5742F" w:rsidRDefault="00000000" w:rsidP="00E93132">
      <w:pPr>
        <w:pStyle w:val="Tekstpodstawowy"/>
        <w:ind w:right="727" w:firstLine="1"/>
        <w:rPr>
          <w:rFonts w:ascii="Verdana" w:hAnsi="Verdana"/>
          <w:spacing w:val="2"/>
          <w:sz w:val="19"/>
          <w:szCs w:val="19"/>
        </w:rPr>
      </w:pPr>
      <w:r w:rsidRPr="00B5742F">
        <w:rPr>
          <w:rFonts w:ascii="Verdana" w:hAnsi="Verdana"/>
          <w:color w:val="0071BB"/>
          <w:spacing w:val="2"/>
          <w:sz w:val="19"/>
          <w:szCs w:val="19"/>
        </w:rPr>
        <w:t>W odniesieniu do statusu ofiary skarżących Trybunał stwierdził przede wszystkim, że zgodnie z art. 34 (prawo do indywidualnego zastosowania) Konwencji skarga była oczywiście bezzasadna w odniesieniu do drugiej skarżącej, która</w:t>
      </w:r>
      <w:r w:rsidR="00957FF7">
        <w:rPr>
          <w:rFonts w:ascii="Verdana" w:hAnsi="Verdana"/>
          <w:color w:val="0071BB"/>
          <w:spacing w:val="2"/>
          <w:sz w:val="19"/>
          <w:szCs w:val="19"/>
        </w:rPr>
        <w:t xml:space="preserve"> </w:t>
      </w:r>
      <w:r w:rsidR="00F24307">
        <w:rPr>
          <w:rFonts w:ascii="Verdana" w:hAnsi="Verdana"/>
          <w:color w:val="0071BB"/>
          <w:spacing w:val="2"/>
          <w:sz w:val="19"/>
          <w:szCs w:val="19"/>
        </w:rPr>
        <w:t>w rzeczywistości</w:t>
      </w:r>
      <w:r w:rsidR="002624C0">
        <w:rPr>
          <w:rFonts w:ascii="Verdana" w:hAnsi="Verdana"/>
          <w:color w:val="0071BB"/>
          <w:spacing w:val="2"/>
          <w:sz w:val="19"/>
          <w:szCs w:val="19"/>
        </w:rPr>
        <w:t xml:space="preserve"> </w:t>
      </w:r>
      <w:r w:rsidR="00F24307">
        <w:rPr>
          <w:rFonts w:ascii="Verdana" w:hAnsi="Verdana"/>
          <w:color w:val="0071BB"/>
          <w:spacing w:val="2"/>
          <w:sz w:val="19"/>
          <w:szCs w:val="19"/>
        </w:rPr>
        <w:t xml:space="preserve">jeszcze </w:t>
      </w:r>
      <w:r w:rsidRPr="00B5742F">
        <w:rPr>
          <w:rFonts w:ascii="Verdana" w:hAnsi="Verdana"/>
          <w:color w:val="0071BB"/>
          <w:spacing w:val="2"/>
          <w:sz w:val="19"/>
          <w:szCs w:val="19"/>
        </w:rPr>
        <w:t xml:space="preserve">nigdy nie uczestniczyła w zajęciach z wychowania seksualnego przed ukończeniem drugiej klasy szkoły podstawowej. Trybunał uznał również </w:t>
      </w:r>
      <w:r w:rsidRPr="00B5742F">
        <w:rPr>
          <w:rFonts w:ascii="Verdana" w:hAnsi="Verdana"/>
          <w:b/>
          <w:color w:val="0071BB"/>
          <w:spacing w:val="2"/>
          <w:sz w:val="19"/>
          <w:szCs w:val="19"/>
        </w:rPr>
        <w:t xml:space="preserve">za niedopuszczalne, </w:t>
      </w:r>
      <w:r w:rsidRPr="00B5742F">
        <w:rPr>
          <w:rFonts w:ascii="Verdana" w:hAnsi="Verdana"/>
          <w:color w:val="0071BB"/>
          <w:spacing w:val="2"/>
          <w:sz w:val="19"/>
          <w:szCs w:val="19"/>
        </w:rPr>
        <w:t>jako</w:t>
      </w:r>
      <w:r w:rsidR="002624C0">
        <w:rPr>
          <w:rFonts w:ascii="Verdana" w:hAnsi="Verdana"/>
          <w:color w:val="0071BB"/>
          <w:spacing w:val="2"/>
          <w:sz w:val="19"/>
          <w:szCs w:val="19"/>
        </w:rPr>
        <w:t xml:space="preserve"> </w:t>
      </w:r>
      <w:r w:rsidR="00D71BCE">
        <w:rPr>
          <w:rFonts w:ascii="Verdana" w:hAnsi="Verdana"/>
          <w:color w:val="0071BB"/>
          <w:spacing w:val="2"/>
          <w:sz w:val="19"/>
          <w:szCs w:val="19"/>
        </w:rPr>
        <w:t>w sposób oczywisty nieuzasadnione</w:t>
      </w:r>
      <w:r w:rsidRPr="00B5742F">
        <w:rPr>
          <w:rFonts w:ascii="Verdana" w:hAnsi="Verdana"/>
          <w:color w:val="0071BB"/>
          <w:spacing w:val="2"/>
          <w:sz w:val="19"/>
          <w:szCs w:val="19"/>
        </w:rPr>
        <w:t>, zarzuty pierwszej skarżącej na podstawie art. 8 (prawo do poszanowania życia prywatnego i rodzinnego) Konwencji, stwierdzając, że władze szwajcarskie nie wykroczyły poza margines swobody („margines oceny”) przyznany im przez Konwencję. Trybunał zwrócił w szczególności uwagę, że jednym z celów edukacji seksualnej jest zapobieganie przemocy seksualnej i wykorzystywaniu seksualnemu, które stanowią realne zagrożenie dla zdrowia fizycznego i psychicznego dzieci i przed którymi należy je chronić w każdym wieku. Podkreślił również, że jednym z celów edukacji państwowej jest przygotowanie dzieci do realiów społecznych, co zazwyczaj uzasadnia edukację seksualną bardzo małych dzieci uczęszczających do przedszkola lub szkoły podstawowej. Trybunał uznał zatem, że edukacja seksualna w szkołach, w formie praktykowanej w kantonie Bazylea-Miasto, służyła uzasadnionym celom. Jeśli chodzi o proporcjonalność odmowy zwolnienia z takich zajęć, Trybunał zauważył w szczególności, że władze krajowe uznały nadrzędne znaczenie prawa rodziców do zapewnienia swoim dzieciom edukacji seksualnej. Ponadto edukacja seksualna w przedszkolu i w pierwszych klasach szkoły podstawowej miała charakter uzupełniający i nie była systematyczna; nauczyciele mieli jedynie „reagować na pytania i działania dzieci”.</w:t>
      </w:r>
    </w:p>
    <w:p w14:paraId="252DC47E" w14:textId="77777777" w:rsidR="000F5B45" w:rsidRPr="00B5742F" w:rsidRDefault="00000000" w:rsidP="00E93132">
      <w:pPr>
        <w:pStyle w:val="Nagwek1"/>
        <w:spacing w:before="214"/>
        <w:rPr>
          <w:rFonts w:ascii="Verdana" w:hAnsi="Verdana"/>
          <w:sz w:val="24"/>
          <w:szCs w:val="24"/>
        </w:rPr>
      </w:pPr>
      <w:r w:rsidRPr="00B5742F">
        <w:rPr>
          <w:rFonts w:ascii="Verdana" w:hAnsi="Verdana"/>
          <w:noProof/>
        </w:rPr>
        <mc:AlternateContent>
          <mc:Choice Requires="wps">
            <w:drawing>
              <wp:anchor distT="0" distB="0" distL="0" distR="0" simplePos="0" relativeHeight="251674624" behindDoc="1" locked="0" layoutInCell="1" allowOverlap="1" wp14:anchorId="351FAA85" wp14:editId="1ADD8A88">
                <wp:simplePos x="0" y="0"/>
                <wp:positionH relativeFrom="page">
                  <wp:posOffset>896111</wp:posOffset>
                </wp:positionH>
                <wp:positionV relativeFrom="paragraph">
                  <wp:posOffset>392212</wp:posOffset>
                </wp:positionV>
                <wp:extent cx="5768340" cy="18415"/>
                <wp:effectExtent l="0" t="0" r="0" b="0"/>
                <wp:wrapTopAndBottom/>
                <wp:docPr id="19" name="Graphic 19"/>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53D54D04" id="Graphic 19" o:spid="_x0000_s1026" style="position:absolute;margin-left:70.55pt;margin-top:30.9pt;width:454.2pt;height:1.4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" path="m5768340,l,,,18287r5768340,l5768340,xe" fillcolor="#999" stroked="f">
                <v:path arrowok="t"/>
                <w10:wrap type="topAndBottom" anchorx="page"/>
              </v:shape>
            </w:pict>
          </mc:Fallback>
        </mc:AlternateContent>
      </w:r>
      <w:r w:rsidRPr="00B5742F">
        <w:rPr>
          <w:rFonts w:ascii="Verdana" w:hAnsi="Verdana"/>
          <w:color w:val="0071BB"/>
        </w:rPr>
        <w:t>Wolność myśli, sumienia i wyznania (art. 9)</w:t>
      </w:r>
    </w:p>
    <w:p w14:paraId="67D7ED5D" w14:textId="77777777" w:rsidR="000F5B45" w:rsidRPr="00B5742F" w:rsidRDefault="000F5B45" w:rsidP="00E93132">
      <w:pPr>
        <w:pStyle w:val="Nagwek2"/>
        <w:spacing w:before="133"/>
        <w:rPr>
          <w:rFonts w:ascii="Verdana" w:hAnsi="Verdana"/>
          <w:sz w:val="19"/>
          <w:szCs w:val="19"/>
          <w:u w:val="none"/>
        </w:rPr>
      </w:pPr>
      <w:hyperlink r:id="rId89">
        <w:r w:rsidRPr="00B5742F">
          <w:rPr>
            <w:rFonts w:ascii="Verdana" w:hAnsi="Verdana"/>
            <w:color w:val="0071BB"/>
            <w:sz w:val="19"/>
            <w:szCs w:val="19"/>
            <w:u w:color="0071BB"/>
          </w:rPr>
          <w:t>Dogru przeciwko Francji i Kervanci przeciwko Francji</w:t>
        </w:r>
      </w:hyperlink>
    </w:p>
    <w:p w14:paraId="61B9EF96" w14:textId="77777777" w:rsidR="000F5B45" w:rsidRPr="00B5742F" w:rsidRDefault="00000000" w:rsidP="00E93132">
      <w:pPr>
        <w:spacing w:before="56"/>
        <w:ind w:left="874"/>
        <w:jc w:val="both"/>
        <w:rPr>
          <w:rFonts w:ascii="Verdana" w:hAnsi="Verdana"/>
          <w:sz w:val="17"/>
          <w:szCs w:val="17"/>
        </w:rPr>
      </w:pPr>
      <w:r w:rsidRPr="00B5742F">
        <w:rPr>
          <w:rFonts w:ascii="Verdana" w:hAnsi="Verdana"/>
          <w:color w:val="808080"/>
          <w:sz w:val="17"/>
          <w:szCs w:val="17"/>
        </w:rPr>
        <w:t>4 grudnia 2008</w:t>
      </w:r>
    </w:p>
    <w:p w14:paraId="6D5D8E43" w14:textId="5900C1CA" w:rsidR="009749D0" w:rsidRPr="00B5742F" w:rsidRDefault="00A54226" w:rsidP="009749D0">
      <w:pPr>
        <w:pStyle w:val="Tekstpodstawowy"/>
        <w:spacing w:before="1"/>
        <w:ind w:left="874"/>
        <w:rPr>
          <w:rFonts w:ascii="Verdana" w:hAnsi="Verdana"/>
          <w:sz w:val="19"/>
          <w:szCs w:val="19"/>
        </w:rPr>
      </w:pPr>
      <w:r w:rsidRPr="009749D0">
        <w:rPr>
          <w:rFonts w:ascii="Verdana" w:hAnsi="Verdana"/>
          <w:sz w:val="19"/>
          <w:szCs w:val="19"/>
        </w:rPr>
        <w:t>Skarżące</w:t>
      </w:r>
      <w:r w:rsidRPr="00B5742F">
        <w:rPr>
          <w:rFonts w:ascii="Verdana" w:hAnsi="Verdana"/>
          <w:sz w:val="19"/>
          <w:szCs w:val="19"/>
        </w:rPr>
        <w:t xml:space="preserve">, </w:t>
      </w:r>
      <w:r w:rsidR="00F24307" w:rsidRPr="00B5742F">
        <w:rPr>
          <w:rFonts w:ascii="Verdana" w:hAnsi="Verdana"/>
          <w:sz w:val="19"/>
          <w:szCs w:val="19"/>
        </w:rPr>
        <w:t>ob</w:t>
      </w:r>
      <w:r w:rsidR="00F24307" w:rsidRPr="009749D0">
        <w:rPr>
          <w:rFonts w:ascii="Verdana" w:hAnsi="Verdana"/>
          <w:sz w:val="19"/>
          <w:szCs w:val="19"/>
        </w:rPr>
        <w:t>ie</w:t>
      </w:r>
      <w:r w:rsidR="00F24307" w:rsidRPr="00B5742F">
        <w:rPr>
          <w:rFonts w:ascii="Verdana" w:hAnsi="Verdana"/>
          <w:sz w:val="19"/>
          <w:szCs w:val="19"/>
        </w:rPr>
        <w:t xml:space="preserve"> wyznania</w:t>
      </w:r>
      <w:r w:rsidRPr="00B5742F">
        <w:rPr>
          <w:rFonts w:ascii="Verdana" w:hAnsi="Verdana"/>
          <w:sz w:val="19"/>
          <w:szCs w:val="19"/>
        </w:rPr>
        <w:t xml:space="preserve"> muzułmańskiego, zosta</w:t>
      </w:r>
      <w:r w:rsidRPr="009749D0">
        <w:rPr>
          <w:rFonts w:ascii="Verdana" w:hAnsi="Verdana"/>
          <w:sz w:val="19"/>
          <w:szCs w:val="19"/>
        </w:rPr>
        <w:t>ły</w:t>
      </w:r>
      <w:r w:rsidRPr="00B5742F">
        <w:rPr>
          <w:rFonts w:ascii="Verdana" w:hAnsi="Verdana"/>
          <w:sz w:val="19"/>
          <w:szCs w:val="19"/>
        </w:rPr>
        <w:t xml:space="preserve"> zapisan</w:t>
      </w:r>
      <w:r w:rsidRPr="009749D0">
        <w:rPr>
          <w:rFonts w:ascii="Verdana" w:hAnsi="Verdana"/>
          <w:sz w:val="19"/>
          <w:szCs w:val="19"/>
        </w:rPr>
        <w:t>e</w:t>
      </w:r>
      <w:r w:rsidRPr="00B5742F">
        <w:rPr>
          <w:rFonts w:ascii="Verdana" w:hAnsi="Verdana"/>
          <w:sz w:val="19"/>
          <w:szCs w:val="19"/>
        </w:rPr>
        <w:t xml:space="preserve"> do pierwszej klasy państwowej szkoły średniej w latach 1998–1999. Wielokrotnie uczestniczy</w:t>
      </w:r>
      <w:r w:rsidRPr="009749D0">
        <w:rPr>
          <w:rFonts w:ascii="Verdana" w:hAnsi="Verdana"/>
          <w:sz w:val="19"/>
          <w:szCs w:val="19"/>
        </w:rPr>
        <w:t>ły</w:t>
      </w:r>
      <w:r w:rsidRPr="00B5742F">
        <w:rPr>
          <w:rFonts w:ascii="Verdana" w:hAnsi="Verdana"/>
          <w:sz w:val="19"/>
          <w:szCs w:val="19"/>
        </w:rPr>
        <w:t xml:space="preserve"> w zajęciach wychowania fizycznego w chustach na głowie i odm</w:t>
      </w:r>
      <w:r w:rsidRPr="009749D0">
        <w:rPr>
          <w:rFonts w:ascii="Verdana" w:hAnsi="Verdana"/>
          <w:sz w:val="19"/>
          <w:szCs w:val="19"/>
        </w:rPr>
        <w:t>awiały</w:t>
      </w:r>
      <w:r w:rsidRPr="00B5742F">
        <w:rPr>
          <w:rFonts w:ascii="Verdana" w:hAnsi="Verdana"/>
          <w:sz w:val="19"/>
          <w:szCs w:val="19"/>
        </w:rPr>
        <w:t xml:space="preserve"> ich zdjęcia pomimo wielokrotnych próśb nauczyciela. Komisja dyscyplinarna szkoły podjęła decyzję o wydaleniu ich ze szkoły za</w:t>
      </w:r>
      <w:r w:rsidR="009749D0" w:rsidRPr="009749D0">
        <w:rPr>
          <w:rFonts w:ascii="Verdana" w:hAnsi="Verdana"/>
        </w:rPr>
        <w:t xml:space="preserve"> </w:t>
      </w:r>
      <w:r w:rsidR="009749D0" w:rsidRPr="00B5742F">
        <w:rPr>
          <w:rFonts w:ascii="Verdana" w:hAnsi="Verdana"/>
          <w:sz w:val="19"/>
          <w:szCs w:val="19"/>
        </w:rPr>
        <w:t xml:space="preserve">naruszenie obowiązku </w:t>
      </w:r>
      <w:r w:rsidR="009749D0" w:rsidRPr="009749D0">
        <w:rPr>
          <w:rFonts w:ascii="Verdana" w:hAnsi="Verdana"/>
          <w:sz w:val="19"/>
          <w:szCs w:val="19"/>
        </w:rPr>
        <w:t>sumiennego uczęszczania poprzez nieuczestniczenie w tych zajęciach, co zostało potwierdzone przez sądy.</w:t>
      </w:r>
    </w:p>
    <w:p w14:paraId="35292F6D" w14:textId="3927996D" w:rsidR="000F5B45" w:rsidRPr="009749D0" w:rsidRDefault="000F5B45" w:rsidP="00E93132">
      <w:pPr>
        <w:pStyle w:val="Tekstpodstawowy"/>
        <w:spacing w:before="1"/>
        <w:ind w:left="874"/>
        <w:rPr>
          <w:rFonts w:ascii="Verdana" w:hAnsi="Verdana"/>
          <w:sz w:val="19"/>
          <w:szCs w:val="19"/>
        </w:rPr>
      </w:pPr>
    </w:p>
    <w:p w14:paraId="7DF7367D" w14:textId="77777777" w:rsidR="009749D0" w:rsidRPr="00B5742F" w:rsidRDefault="009749D0" w:rsidP="00E93132">
      <w:pPr>
        <w:pStyle w:val="Tekstpodstawowy"/>
        <w:spacing w:before="1"/>
        <w:ind w:left="874"/>
        <w:rPr>
          <w:rFonts w:ascii="Verdana" w:hAnsi="Verdana"/>
          <w:sz w:val="19"/>
          <w:szCs w:val="19"/>
        </w:rPr>
      </w:pPr>
    </w:p>
    <w:p w14:paraId="080D2B96" w14:textId="77777777" w:rsidR="000F5B45" w:rsidRPr="00B5742F" w:rsidRDefault="000F5B45" w:rsidP="00E93132">
      <w:pPr>
        <w:pStyle w:val="Tekstpodstawowy"/>
        <w:rPr>
          <w:rFonts w:ascii="Verdana" w:hAnsi="Verdana"/>
        </w:rPr>
        <w:sectPr w:rsidR="000F5B45" w:rsidRPr="00B5742F">
          <w:pgSz w:w="11910" w:h="16840"/>
          <w:pgMar w:top="1460" w:right="708" w:bottom="680" w:left="566" w:header="730" w:footer="497" w:gutter="0"/>
          <w:cols w:space="708"/>
        </w:sectPr>
      </w:pPr>
    </w:p>
    <w:p w14:paraId="7F0A8ADD" w14:textId="77777777" w:rsidR="009749D0" w:rsidRPr="009749D0" w:rsidRDefault="009749D0" w:rsidP="00E93132">
      <w:pPr>
        <w:pStyle w:val="Tekstpodstawowy"/>
        <w:ind w:right="729"/>
        <w:rPr>
          <w:rFonts w:ascii="Verdana" w:hAnsi="Verdana"/>
          <w:color w:val="0071BB"/>
        </w:rPr>
      </w:pPr>
    </w:p>
    <w:p w14:paraId="51F63E29" w14:textId="4987EFE2" w:rsidR="000F5B45" w:rsidRPr="00B5742F" w:rsidRDefault="00000000" w:rsidP="00E93132">
      <w:pPr>
        <w:pStyle w:val="Tekstpodstawowy"/>
        <w:ind w:right="729"/>
        <w:rPr>
          <w:rFonts w:ascii="Verdana" w:hAnsi="Verdana"/>
          <w:spacing w:val="2"/>
          <w:sz w:val="19"/>
          <w:szCs w:val="19"/>
        </w:rPr>
      </w:pPr>
      <w:r w:rsidRPr="00B5742F">
        <w:rPr>
          <w:rFonts w:ascii="Verdana" w:hAnsi="Verdana"/>
          <w:color w:val="0071BB"/>
          <w:spacing w:val="2"/>
          <w:sz w:val="19"/>
          <w:szCs w:val="19"/>
        </w:rPr>
        <w:t xml:space="preserve">Trybunał uznał, że w obu sprawach </w:t>
      </w:r>
      <w:r w:rsidRPr="00B5742F">
        <w:rPr>
          <w:rFonts w:ascii="Verdana" w:hAnsi="Verdana"/>
          <w:b/>
          <w:color w:val="0071BB"/>
          <w:spacing w:val="2"/>
          <w:sz w:val="19"/>
          <w:szCs w:val="19"/>
        </w:rPr>
        <w:t xml:space="preserve">nie </w:t>
      </w:r>
      <w:r w:rsidRPr="00B5742F">
        <w:rPr>
          <w:rFonts w:ascii="Verdana" w:hAnsi="Verdana"/>
          <w:b/>
          <w:bCs/>
          <w:color w:val="0071BB"/>
          <w:spacing w:val="2"/>
          <w:sz w:val="19"/>
          <w:szCs w:val="19"/>
        </w:rPr>
        <w:t xml:space="preserve">doszło </w:t>
      </w:r>
      <w:r w:rsidRPr="00B5742F">
        <w:rPr>
          <w:rFonts w:ascii="Verdana" w:hAnsi="Verdana"/>
          <w:b/>
          <w:color w:val="0071BB"/>
          <w:spacing w:val="2"/>
          <w:sz w:val="19"/>
          <w:szCs w:val="19"/>
        </w:rPr>
        <w:t xml:space="preserve">do naruszenia art. 9 </w:t>
      </w:r>
      <w:r w:rsidRPr="00B5742F">
        <w:rPr>
          <w:rFonts w:ascii="Verdana" w:hAnsi="Verdana"/>
          <w:color w:val="0071BB"/>
          <w:spacing w:val="2"/>
          <w:sz w:val="19"/>
          <w:szCs w:val="19"/>
        </w:rPr>
        <w:t>(wolność wyznania) Konwencji, stwierdzając w szczególności, że wniosek władz krajowych, iż noszenie zasłony, takiej jak islamska chusta, jest niezgodne z zajęciami sportowymi ze względów zdrowotnych lub bezpieczeństwa, nie był nieuzasadniony. Przyjął, że nałożona kara była konsekwencją odmowy zastosowania się przez skarżące do zasad obowiązujących na terenie szkoły – o których zostały one należycie poinformowane – a nie ich przekonań religijnych, jak twierdziły.</w:t>
      </w:r>
    </w:p>
    <w:p w14:paraId="6EBB79F1" w14:textId="77777777" w:rsidR="000F5B45" w:rsidRPr="00B5742F" w:rsidRDefault="000F5B45" w:rsidP="00E93132">
      <w:pPr>
        <w:pStyle w:val="Nagwek2"/>
        <w:spacing w:before="112"/>
        <w:ind w:right="732" w:hanging="1"/>
        <w:rPr>
          <w:rFonts w:ascii="Verdana" w:hAnsi="Verdana"/>
          <w:spacing w:val="2"/>
          <w:sz w:val="19"/>
          <w:szCs w:val="19"/>
          <w:u w:val="none"/>
        </w:rPr>
      </w:pPr>
      <w:hyperlink r:id="rId90">
        <w:r w:rsidRPr="00B5742F">
          <w:rPr>
            <w:rFonts w:ascii="Verdana" w:hAnsi="Verdana"/>
            <w:color w:val="0071BB"/>
            <w:spacing w:val="2"/>
            <w:sz w:val="19"/>
            <w:szCs w:val="19"/>
            <w:u w:color="0071BB"/>
          </w:rPr>
          <w:t xml:space="preserve">Aktas przeciwko Francji, Bayrak przeciwko Francji, Gamaleddyn przeciwko Francji, Ghazal przeciwko Francji, J. </w:t>
        </w:r>
      </w:hyperlink>
      <w:hyperlink r:id="rId91">
        <w:r w:rsidRPr="00B5742F">
          <w:rPr>
            <w:rFonts w:ascii="Verdana" w:hAnsi="Verdana"/>
            <w:color w:val="0071BB"/>
            <w:spacing w:val="2"/>
            <w:sz w:val="19"/>
            <w:szCs w:val="19"/>
            <w:u w:color="0071BB"/>
          </w:rPr>
          <w:t>Singh przeciwko Francji i R. Singh przeciwko Francji</w:t>
        </w:r>
      </w:hyperlink>
    </w:p>
    <w:p w14:paraId="29420498" w14:textId="77777777" w:rsidR="000F5B45" w:rsidRPr="00B5742F" w:rsidRDefault="00000000" w:rsidP="00E93132">
      <w:pPr>
        <w:spacing w:before="56"/>
        <w:ind w:left="874"/>
        <w:jc w:val="both"/>
        <w:rPr>
          <w:rFonts w:ascii="Verdana" w:hAnsi="Verdana"/>
          <w:sz w:val="17"/>
          <w:szCs w:val="17"/>
        </w:rPr>
      </w:pPr>
      <w:r w:rsidRPr="00B5742F">
        <w:rPr>
          <w:rFonts w:ascii="Verdana" w:hAnsi="Verdana"/>
          <w:color w:val="808080"/>
          <w:sz w:val="17"/>
          <w:szCs w:val="17"/>
        </w:rPr>
        <w:t>30 czerwca 2009 r. (orzeczenia w sprawie dopuszczalności)</w:t>
      </w:r>
    </w:p>
    <w:p w14:paraId="64B70060" w14:textId="2282FCE9" w:rsidR="000F5B45" w:rsidRPr="00B5742F" w:rsidRDefault="002624C0" w:rsidP="00E93132">
      <w:pPr>
        <w:pStyle w:val="Tekstpodstawowy"/>
        <w:spacing w:before="1"/>
        <w:ind w:left="874"/>
        <w:rPr>
          <w:rFonts w:ascii="Verdana" w:hAnsi="Verdana"/>
          <w:spacing w:val="2"/>
          <w:sz w:val="19"/>
          <w:szCs w:val="19"/>
        </w:rPr>
      </w:pPr>
      <w:r>
        <w:rPr>
          <w:rFonts w:ascii="Verdana" w:hAnsi="Verdana"/>
          <w:spacing w:val="2"/>
          <w:sz w:val="19"/>
          <w:szCs w:val="19"/>
        </w:rPr>
        <w:t>Skargi</w:t>
      </w:r>
      <w:r w:rsidR="00000000" w:rsidRPr="00B5742F">
        <w:rPr>
          <w:rFonts w:ascii="Verdana" w:hAnsi="Verdana"/>
          <w:spacing w:val="2"/>
          <w:sz w:val="19"/>
          <w:szCs w:val="19"/>
        </w:rPr>
        <w:t xml:space="preserve"> te dotyczyły wydalenia sześciu uczniów ze szkoły za noszenie widocznych symboli przynależności religijnej. Uczniowie ci byli zapisani do różnych szkół państwowych na rok szkolny 2004–2005. Pierwszego dnia szkoły dziewczynki, które są muzułmankami, przyszły do szkoły w chustach lub </w:t>
      </w:r>
      <w:r w:rsidR="00F24307">
        <w:rPr>
          <w:rFonts w:ascii="Verdana" w:hAnsi="Verdana"/>
          <w:spacing w:val="2"/>
          <w:sz w:val="19"/>
          <w:szCs w:val="19"/>
        </w:rPr>
        <w:t>apaszkach.</w:t>
      </w:r>
      <w:r>
        <w:rPr>
          <w:rFonts w:ascii="Verdana" w:hAnsi="Verdana"/>
          <w:spacing w:val="2"/>
          <w:sz w:val="19"/>
          <w:szCs w:val="19"/>
        </w:rPr>
        <w:t xml:space="preserve"> </w:t>
      </w:r>
      <w:r w:rsidR="00000000" w:rsidRPr="00B5742F">
        <w:rPr>
          <w:rFonts w:ascii="Verdana" w:hAnsi="Verdana"/>
          <w:spacing w:val="2"/>
          <w:sz w:val="19"/>
          <w:szCs w:val="19"/>
        </w:rPr>
        <w:t>Chłopcy nosili „keski”, czyli podturban noszony przez sikhów. Ponieważ odmówili zdjęcia nakryć głowy, odmówiono im wstępu do klasy, a po rozmowach z rodzinami zostali wydaleni ze szkoły za nieprzestrzeganie kodeksu oświatowego. Przed sądem skarżyli się na zakaz noszenia nakryć głowy nałożony przez szkoły, powołując się w szczególności na art. 9 konwencji.</w:t>
      </w:r>
    </w:p>
    <w:p w14:paraId="5B9655D0" w14:textId="162D3DE7" w:rsidR="000F5B45" w:rsidRPr="00B5742F" w:rsidRDefault="00000000" w:rsidP="00E93132">
      <w:pPr>
        <w:pStyle w:val="Tekstpodstawowy"/>
        <w:ind w:left="874"/>
        <w:rPr>
          <w:rFonts w:ascii="Verdana" w:hAnsi="Verdana"/>
          <w:spacing w:val="2"/>
          <w:sz w:val="19"/>
          <w:szCs w:val="19"/>
        </w:rPr>
      </w:pPr>
      <w:r w:rsidRPr="00B5742F">
        <w:rPr>
          <w:rFonts w:ascii="Verdana" w:hAnsi="Verdana"/>
          <w:color w:val="0071BB"/>
          <w:spacing w:val="2"/>
          <w:sz w:val="19"/>
          <w:szCs w:val="19"/>
        </w:rPr>
        <w:t xml:space="preserve">Trybunał uznał skargi </w:t>
      </w:r>
      <w:r w:rsidRPr="00B5742F">
        <w:rPr>
          <w:rFonts w:ascii="Verdana" w:hAnsi="Verdana"/>
          <w:b/>
          <w:color w:val="0071BB"/>
          <w:spacing w:val="2"/>
          <w:sz w:val="19"/>
          <w:szCs w:val="19"/>
        </w:rPr>
        <w:t xml:space="preserve">za niedopuszczalne </w:t>
      </w:r>
      <w:r w:rsidR="00D71BCE">
        <w:rPr>
          <w:rFonts w:ascii="Verdana" w:hAnsi="Verdana"/>
          <w:b/>
          <w:color w:val="0071BB"/>
          <w:spacing w:val="2"/>
          <w:sz w:val="19"/>
          <w:szCs w:val="19"/>
        </w:rPr>
        <w:t>jako w sposób oczywisty nieuzasadnione</w:t>
      </w:r>
      <w:r w:rsidR="002624C0">
        <w:rPr>
          <w:rFonts w:ascii="Verdana" w:hAnsi="Verdana"/>
          <w:b/>
          <w:color w:val="0071BB"/>
          <w:spacing w:val="2"/>
          <w:sz w:val="19"/>
          <w:szCs w:val="19"/>
        </w:rPr>
        <w:t xml:space="preserve"> </w:t>
      </w:r>
      <w:r w:rsidRPr="00B5742F">
        <w:rPr>
          <w:rFonts w:ascii="Verdana" w:hAnsi="Verdana"/>
          <w:color w:val="0071BB"/>
          <w:spacing w:val="2"/>
          <w:sz w:val="19"/>
          <w:szCs w:val="19"/>
        </w:rPr>
        <w:t>stwierdzając w szczególności, że ingerencja w wolność uczniów do manifestowania swojej religii była przewidziana przez prawo i miała na celu ochronę praw i wolności innych osób oraz porządku publicznego. Podkreślił ponadto rolę państwa jako neutralnego organizatora praktykowania różnych religii, wyznań i przekonań. Jeśli chodzi o karę ostatecznego wydalenia, nie była ona nieproporcjonalna do zamierzonych celów, ponieważ uczniowie nadal mieli możliwość kontynuowania nauki w trybie korespondencyjnym.</w:t>
      </w:r>
    </w:p>
    <w:p w14:paraId="3166FED4" w14:textId="77777777" w:rsidR="000F5B45" w:rsidRPr="00B5742F" w:rsidRDefault="000F5B45" w:rsidP="00E93132">
      <w:pPr>
        <w:pStyle w:val="Nagwek2"/>
        <w:spacing w:before="102"/>
        <w:rPr>
          <w:rFonts w:ascii="Verdana" w:hAnsi="Verdana"/>
          <w:sz w:val="19"/>
          <w:szCs w:val="19"/>
          <w:u w:val="none"/>
        </w:rPr>
      </w:pPr>
      <w:hyperlink r:id="rId92">
        <w:r w:rsidRPr="00B5742F">
          <w:rPr>
            <w:rFonts w:ascii="Verdana" w:hAnsi="Verdana"/>
            <w:color w:val="0071BB"/>
            <w:sz w:val="19"/>
            <w:szCs w:val="19"/>
            <w:u w:color="0071BB"/>
          </w:rPr>
          <w:t>Grzelak przeciwko Polsce</w:t>
        </w:r>
      </w:hyperlink>
    </w:p>
    <w:p w14:paraId="574AE4EE" w14:textId="3DA6CE5C"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15 czerwca 2010</w:t>
      </w:r>
      <w:r w:rsidR="00B2420C">
        <w:rPr>
          <w:rFonts w:ascii="Verdana" w:hAnsi="Verdana"/>
          <w:color w:val="808080"/>
          <w:sz w:val="17"/>
        </w:rPr>
        <w:t xml:space="preserve"> r.</w:t>
      </w:r>
    </w:p>
    <w:p w14:paraId="6F3D5719" w14:textId="37489389" w:rsidR="000F5B45" w:rsidRPr="00B5742F" w:rsidRDefault="00000000" w:rsidP="00E93132">
      <w:pPr>
        <w:pStyle w:val="Tekstpodstawowy"/>
        <w:spacing w:before="3"/>
        <w:ind w:right="729"/>
        <w:rPr>
          <w:rFonts w:ascii="Verdana" w:hAnsi="Verdana"/>
          <w:spacing w:val="2"/>
          <w:sz w:val="19"/>
          <w:szCs w:val="19"/>
        </w:rPr>
      </w:pPr>
      <w:r w:rsidRPr="00B5742F">
        <w:rPr>
          <w:rFonts w:ascii="Verdana" w:hAnsi="Verdana"/>
          <w:spacing w:val="2"/>
          <w:sz w:val="19"/>
          <w:szCs w:val="19"/>
        </w:rPr>
        <w:t xml:space="preserve">Pierwszych dwóch </w:t>
      </w:r>
      <w:r w:rsidR="00E91C91">
        <w:rPr>
          <w:rFonts w:ascii="Verdana" w:hAnsi="Verdana"/>
          <w:spacing w:val="2"/>
          <w:sz w:val="19"/>
          <w:szCs w:val="19"/>
        </w:rPr>
        <w:t>skarżących</w:t>
      </w:r>
      <w:r w:rsidRPr="00B5742F">
        <w:rPr>
          <w:rFonts w:ascii="Verdana" w:hAnsi="Verdana"/>
          <w:spacing w:val="2"/>
          <w:sz w:val="19"/>
          <w:szCs w:val="19"/>
        </w:rPr>
        <w:t xml:space="preserve">, którzy zadeklarowali się jako agnostycy, byli rodzicami trzeciego </w:t>
      </w:r>
      <w:r w:rsidR="00E91C91">
        <w:rPr>
          <w:rFonts w:ascii="Verdana" w:hAnsi="Verdana"/>
          <w:spacing w:val="2"/>
          <w:sz w:val="19"/>
          <w:szCs w:val="19"/>
        </w:rPr>
        <w:t>skarżącego</w:t>
      </w:r>
      <w:r w:rsidRPr="00B5742F">
        <w:rPr>
          <w:rFonts w:ascii="Verdana" w:hAnsi="Verdana"/>
          <w:spacing w:val="2"/>
          <w:sz w:val="19"/>
          <w:szCs w:val="19"/>
        </w:rPr>
        <w:t xml:space="preserve">. Zgodnie z życzeniem rodziców, </w:t>
      </w:r>
      <w:r w:rsidR="00EE331E">
        <w:rPr>
          <w:rFonts w:ascii="Verdana" w:hAnsi="Verdana"/>
          <w:spacing w:val="2"/>
          <w:sz w:val="19"/>
          <w:szCs w:val="19"/>
        </w:rPr>
        <w:t xml:space="preserve">dziecko nie </w:t>
      </w:r>
      <w:r w:rsidRPr="00B5742F">
        <w:rPr>
          <w:rFonts w:ascii="Verdana" w:hAnsi="Verdana"/>
          <w:spacing w:val="2"/>
          <w:sz w:val="19"/>
          <w:szCs w:val="19"/>
        </w:rPr>
        <w:t>uczęszczał</w:t>
      </w:r>
      <w:r w:rsidR="00EE331E">
        <w:rPr>
          <w:rFonts w:ascii="Verdana" w:hAnsi="Verdana"/>
          <w:spacing w:val="2"/>
          <w:sz w:val="19"/>
          <w:szCs w:val="19"/>
        </w:rPr>
        <w:t>o</w:t>
      </w:r>
      <w:r w:rsidRPr="00B5742F">
        <w:rPr>
          <w:rFonts w:ascii="Verdana" w:hAnsi="Verdana"/>
          <w:spacing w:val="2"/>
          <w:sz w:val="19"/>
          <w:szCs w:val="19"/>
        </w:rPr>
        <w:t xml:space="preserve"> na lekcje religii w trakcie nauki w szkole. Rodzice systematycznie zwracali się do władz szkolnych z prośbą o zorganizowanie dla niego zajęć z etyki. Jednakże w trakcie całej nauki w szkole podstawowej i średniej nie zorganizowano takich zajęć, ponieważ nie było wystarczającej liczby zainteresowanych uczniów. W jego świadectwach szkolnych i zaświadczeniach zamiast oceny z przedmiotu „religia/etyka” wpisano linię.</w:t>
      </w:r>
    </w:p>
    <w:p w14:paraId="1F4355B7" w14:textId="6713263A" w:rsidR="000F5B45" w:rsidRPr="00B5742F" w:rsidRDefault="00EE331E" w:rsidP="00E93132">
      <w:pPr>
        <w:pStyle w:val="Tekstpodstawowy"/>
        <w:ind w:right="729"/>
        <w:rPr>
          <w:rFonts w:ascii="Verdana" w:hAnsi="Verdana"/>
          <w:spacing w:val="2"/>
          <w:sz w:val="19"/>
          <w:szCs w:val="19"/>
        </w:rPr>
      </w:pPr>
      <w:r w:rsidRPr="00EE331E">
        <w:rPr>
          <w:rFonts w:ascii="Verdana" w:hAnsi="Verdana"/>
          <w:color w:val="0071BB"/>
          <w:spacing w:val="2"/>
          <w:sz w:val="19"/>
          <w:szCs w:val="19"/>
        </w:rPr>
        <w:t xml:space="preserve">Trybunał uznał skargę za niedopuszczalną (niezgodną ratione personae) w odniesieniu do rodziców, a w odniesieniu do ich dziecka stwierdził naruszenie art. 14 Konwencji (zakaz dyskryminacji) w związku z art. 9 Konwencji (wolność religii). </w:t>
      </w:r>
      <w:r w:rsidRPr="00B5742F">
        <w:rPr>
          <w:rFonts w:ascii="Verdana" w:hAnsi="Verdana"/>
          <w:color w:val="0071BB"/>
          <w:spacing w:val="2"/>
          <w:sz w:val="19"/>
          <w:szCs w:val="19"/>
        </w:rPr>
        <w:t>stwierdzając w szczególności, że brak oceny z przedmiotu „religia/etyka” w świadectwach szkolnych przez cały okres nauki stanowił nieuzasadnione piętnowanie dziecka, naruszające jego prawo do nie manifestowania swojej religii lub przekonań.</w:t>
      </w:r>
    </w:p>
    <w:p w14:paraId="753C1C3A" w14:textId="77777777" w:rsidR="000F5B45" w:rsidRPr="00B5742F" w:rsidRDefault="000F5B45" w:rsidP="00E93132">
      <w:pPr>
        <w:pStyle w:val="Nagwek2"/>
        <w:spacing w:before="100"/>
        <w:ind w:left="873"/>
        <w:rPr>
          <w:rFonts w:ascii="Verdana" w:hAnsi="Verdana"/>
          <w:b w:val="0"/>
          <w:position w:val="7"/>
          <w:sz w:val="15"/>
          <w:szCs w:val="22"/>
          <w:u w:val="none"/>
        </w:rPr>
      </w:pPr>
      <w:hyperlink r:id="rId93">
        <w:r w:rsidRPr="00B5742F">
          <w:rPr>
            <w:rFonts w:ascii="Verdana" w:hAnsi="Verdana"/>
            <w:color w:val="0071BB"/>
            <w:sz w:val="19"/>
            <w:szCs w:val="19"/>
            <w:u w:color="0071BB"/>
          </w:rPr>
          <w:t>Perovy przeciwko Rosji</w:t>
        </w:r>
      </w:hyperlink>
      <w:hyperlink w:anchor="_bookmark4" w:history="1">
        <w:r w:rsidRPr="00B5742F">
          <w:rPr>
            <w:rFonts w:ascii="Verdana" w:hAnsi="Verdana"/>
            <w:b w:val="0"/>
            <w:color w:val="0D0D0D"/>
            <w:position w:val="7"/>
            <w:sz w:val="14"/>
            <w:szCs w:val="22"/>
            <w:u w:val="none"/>
          </w:rPr>
          <w:t>5</w:t>
        </w:r>
      </w:hyperlink>
    </w:p>
    <w:p w14:paraId="1E13D99B" w14:textId="77777777" w:rsidR="000F5B45" w:rsidRPr="00B5742F" w:rsidRDefault="00000000" w:rsidP="00E93132">
      <w:pPr>
        <w:spacing w:before="58"/>
        <w:ind w:left="874"/>
        <w:jc w:val="both"/>
        <w:rPr>
          <w:rFonts w:ascii="Verdana" w:hAnsi="Verdana"/>
          <w:sz w:val="18"/>
        </w:rPr>
      </w:pPr>
      <w:r w:rsidRPr="00B5742F">
        <w:rPr>
          <w:rFonts w:ascii="Verdana" w:hAnsi="Verdana"/>
          <w:color w:val="808080"/>
          <w:sz w:val="17"/>
        </w:rPr>
        <w:t>20 października 2020 r.</w:t>
      </w:r>
    </w:p>
    <w:p w14:paraId="7BCD8250" w14:textId="218A0521" w:rsidR="006C701C" w:rsidRPr="00B5742F" w:rsidRDefault="00000000" w:rsidP="006C701C">
      <w:pPr>
        <w:pStyle w:val="Tekstpodstawowy"/>
        <w:spacing w:before="1"/>
        <w:ind w:left="874" w:right="725"/>
        <w:rPr>
          <w:rFonts w:ascii="Verdana" w:hAnsi="Verdana"/>
          <w:spacing w:val="2"/>
          <w:sz w:val="19"/>
          <w:szCs w:val="19"/>
        </w:rPr>
      </w:pPr>
      <w:r w:rsidRPr="00B5742F">
        <w:rPr>
          <w:rFonts w:ascii="Verdana" w:hAnsi="Verdana"/>
          <w:spacing w:val="2"/>
          <w:sz w:val="19"/>
          <w:szCs w:val="19"/>
        </w:rPr>
        <w:t>Sprawa dotyczyła rosyjskiego obrzędu prawosławnego błogosławieństwa w klasie szkolnej. Skarżącymi w sprawie by</w:t>
      </w:r>
      <w:r w:rsidR="00EE331E">
        <w:rPr>
          <w:rFonts w:ascii="Verdana" w:hAnsi="Verdana"/>
          <w:spacing w:val="2"/>
          <w:sz w:val="19"/>
          <w:szCs w:val="19"/>
        </w:rPr>
        <w:t>ło</w:t>
      </w:r>
      <w:r w:rsidRPr="00B5742F">
        <w:rPr>
          <w:rFonts w:ascii="Verdana" w:hAnsi="Verdana"/>
          <w:spacing w:val="2"/>
          <w:sz w:val="19"/>
          <w:szCs w:val="19"/>
        </w:rPr>
        <w:t xml:space="preserve"> małżeństwo (pierwszy i drugi skarżący) oraz ich syn (trzeci skarżący), którzy nie byli członkami Rosyjskiej Cerkwi Prawosławnej. Wszyscy</w:t>
      </w:r>
      <w:r w:rsidR="00EE331E">
        <w:rPr>
          <w:rFonts w:ascii="Verdana" w:hAnsi="Verdana"/>
          <w:spacing w:val="2"/>
          <w:sz w:val="19"/>
          <w:szCs w:val="19"/>
        </w:rPr>
        <w:t xml:space="preserve"> oni</w:t>
      </w:r>
      <w:r w:rsidRPr="00B5742F">
        <w:rPr>
          <w:rFonts w:ascii="Verdana" w:hAnsi="Verdana"/>
          <w:spacing w:val="2"/>
          <w:sz w:val="19"/>
          <w:szCs w:val="19"/>
        </w:rPr>
        <w:t xml:space="preserve"> twierdzili, że syn został zmuszony do udziału w obrzędzie w momencie rozpoczęcia nowego roku szkolnego w wieku siedmiu lat, podczas gdy rodzice, którzy nie zostali poinformowani o ceremonii,</w:t>
      </w:r>
      <w:r w:rsidR="006C701C" w:rsidRPr="006C701C">
        <w:rPr>
          <w:rFonts w:ascii="Verdana" w:hAnsi="Verdana"/>
          <w:szCs w:val="22"/>
        </w:rPr>
        <w:t xml:space="preserve"> </w:t>
      </w:r>
      <w:r w:rsidR="005B7432">
        <w:rPr>
          <w:rFonts w:ascii="Verdana" w:hAnsi="Verdana"/>
          <w:spacing w:val="2"/>
          <w:sz w:val="19"/>
          <w:szCs w:val="19"/>
        </w:rPr>
        <w:t>wskazywali</w:t>
      </w:r>
      <w:r w:rsidR="006C701C" w:rsidRPr="00B5742F">
        <w:rPr>
          <w:rFonts w:ascii="Verdana" w:hAnsi="Verdana"/>
          <w:spacing w:val="2"/>
          <w:sz w:val="19"/>
          <w:szCs w:val="19"/>
        </w:rPr>
        <w:t>, że nie uszanowano ich prawa do zapewnienia synowi edukacji zgodnej z ich przekonaniami religijnymi.</w:t>
      </w:r>
    </w:p>
    <w:p w14:paraId="778F71EE" w14:textId="77777777" w:rsidR="000F5B45" w:rsidRPr="00B5742F" w:rsidRDefault="00000000" w:rsidP="00E93132">
      <w:pPr>
        <w:pStyle w:val="Tekstpodstawowy"/>
        <w:spacing w:before="238"/>
        <w:ind w:left="0" w:right="0"/>
        <w:jc w:val="left"/>
        <w:rPr>
          <w:rFonts w:ascii="Verdana" w:hAnsi="Verdana"/>
        </w:rPr>
      </w:pPr>
      <w:r w:rsidRPr="00B5742F">
        <w:rPr>
          <w:rFonts w:ascii="Verdana" w:hAnsi="Verdana"/>
          <w:noProof/>
        </w:rPr>
        <mc:AlternateContent>
          <mc:Choice Requires="wps">
            <w:drawing>
              <wp:anchor distT="0" distB="0" distL="0" distR="0" simplePos="0" relativeHeight="251676672" behindDoc="1" locked="0" layoutInCell="1" allowOverlap="1" wp14:anchorId="4018518F" wp14:editId="7FFD9FBB">
                <wp:simplePos x="0" y="0"/>
                <wp:positionH relativeFrom="page">
                  <wp:posOffset>914400</wp:posOffset>
                </wp:positionH>
                <wp:positionV relativeFrom="paragraph">
                  <wp:posOffset>321450</wp:posOffset>
                </wp:positionV>
                <wp:extent cx="1828800" cy="7620"/>
                <wp:effectExtent l="0" t="0" r="0" b="0"/>
                <wp:wrapTopAndBottom/>
                <wp:docPr id="20" name="Graphic 20"/>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51B4882" id="Graphic 20" o:spid="_x0000_s1026" style="position:absolute;margin-left:1in;margin-top:25.3pt;width:2in;height:.6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" path="m1828800,l,,,7620r1828800,l1828800,xe" fillcolor="black" stroked="f">
                <v:path arrowok="t"/>
                <w10:wrap type="topAndBottom" anchorx="page"/>
              </v:shape>
            </w:pict>
          </mc:Fallback>
        </mc:AlternateContent>
      </w:r>
    </w:p>
    <w:p w14:paraId="5512B7F6" w14:textId="0A5B9F20" w:rsidR="000F5B45" w:rsidRDefault="00E91E85" w:rsidP="00E93132">
      <w:pPr>
        <w:spacing w:before="104"/>
        <w:ind w:left="874"/>
        <w:rPr>
          <w:rFonts w:ascii="Verdana" w:hAnsi="Verdana"/>
          <w:sz w:val="15"/>
        </w:rPr>
      </w:pPr>
      <w:bookmarkStart w:id="4" w:name="_bookmark4"/>
      <w:bookmarkEnd w:id="4"/>
      <w:r w:rsidRPr="00B5742F">
        <w:rPr>
          <w:rFonts w:ascii="Verdana" w:hAnsi="Verdana"/>
          <w:sz w:val="15"/>
          <w:vertAlign w:val="superscript"/>
        </w:rPr>
        <w:t>5</w:t>
      </w:r>
      <w:r w:rsidRPr="00B5742F">
        <w:rPr>
          <w:rFonts w:ascii="Verdana" w:hAnsi="Verdana"/>
          <w:sz w:val="15"/>
        </w:rPr>
        <w:t xml:space="preserve"> W dniu 16 września 2022 r. Federacja Rosyjska przestała być stroną konwencji.</w:t>
      </w:r>
    </w:p>
    <w:p w14:paraId="4B0BB7E0" w14:textId="77777777" w:rsidR="006C701C" w:rsidRPr="00B5742F" w:rsidRDefault="006C701C" w:rsidP="00E93132">
      <w:pPr>
        <w:spacing w:before="104"/>
        <w:ind w:left="874"/>
        <w:rPr>
          <w:rFonts w:ascii="Verdana" w:hAnsi="Verdana"/>
          <w:sz w:val="16"/>
        </w:rPr>
      </w:pPr>
    </w:p>
    <w:p w14:paraId="4A2845FD" w14:textId="77777777" w:rsidR="000F5B45" w:rsidRPr="00B5742F" w:rsidRDefault="000F5B45" w:rsidP="00E93132">
      <w:pPr>
        <w:rPr>
          <w:rFonts w:ascii="Verdana" w:hAnsi="Verdana"/>
          <w:sz w:val="16"/>
        </w:rPr>
        <w:sectPr w:rsidR="000F5B45" w:rsidRPr="00B5742F">
          <w:pgSz w:w="11910" w:h="16840"/>
          <w:pgMar w:top="1460" w:right="708" w:bottom="680" w:left="566" w:header="730" w:footer="497" w:gutter="0"/>
          <w:cols w:space="708"/>
        </w:sectPr>
      </w:pPr>
    </w:p>
    <w:p w14:paraId="739D4C9F" w14:textId="72344189" w:rsidR="000F5B45" w:rsidRPr="00B5742F" w:rsidRDefault="00000000" w:rsidP="00E93132">
      <w:pPr>
        <w:pStyle w:val="Tekstpodstawowy"/>
        <w:rPr>
          <w:rFonts w:ascii="Verdana" w:hAnsi="Verdana"/>
          <w:spacing w:val="2"/>
          <w:sz w:val="19"/>
          <w:szCs w:val="19"/>
        </w:rPr>
      </w:pPr>
      <w:r w:rsidRPr="00B5742F">
        <w:rPr>
          <w:rFonts w:ascii="Verdana" w:hAnsi="Verdana"/>
          <w:color w:val="0071BB"/>
          <w:spacing w:val="2"/>
          <w:sz w:val="19"/>
          <w:szCs w:val="19"/>
        </w:rPr>
        <w:lastRenderedPageBreak/>
        <w:t xml:space="preserve">Trybunał </w:t>
      </w:r>
      <w:r w:rsidR="00092ADF" w:rsidRPr="006C701C">
        <w:rPr>
          <w:rFonts w:ascii="Verdana" w:hAnsi="Verdana"/>
          <w:color w:val="0071BB"/>
          <w:spacing w:val="2"/>
          <w:sz w:val="19"/>
          <w:szCs w:val="19"/>
        </w:rPr>
        <w:t>orzekł</w:t>
      </w:r>
      <w:r w:rsidRPr="00B5742F">
        <w:rPr>
          <w:rFonts w:ascii="Verdana" w:hAnsi="Verdana"/>
          <w:color w:val="0071BB"/>
          <w:spacing w:val="2"/>
          <w:sz w:val="19"/>
          <w:szCs w:val="19"/>
        </w:rPr>
        <w:t xml:space="preserve">, że </w:t>
      </w:r>
      <w:r w:rsidRPr="00B5742F">
        <w:rPr>
          <w:rFonts w:ascii="Verdana" w:hAnsi="Verdana"/>
          <w:b/>
          <w:color w:val="0071BB"/>
          <w:spacing w:val="2"/>
          <w:sz w:val="19"/>
          <w:szCs w:val="19"/>
        </w:rPr>
        <w:t>nie doszło</w:t>
      </w:r>
      <w:r w:rsidRPr="00B5742F">
        <w:rPr>
          <w:rFonts w:ascii="Verdana" w:hAnsi="Verdana"/>
          <w:color w:val="0071BB"/>
          <w:spacing w:val="2"/>
          <w:sz w:val="19"/>
          <w:szCs w:val="19"/>
        </w:rPr>
        <w:t xml:space="preserve"> </w:t>
      </w:r>
      <w:r w:rsidRPr="00B5742F">
        <w:rPr>
          <w:rFonts w:ascii="Verdana" w:hAnsi="Verdana"/>
          <w:b/>
          <w:color w:val="0071BB"/>
          <w:spacing w:val="2"/>
          <w:sz w:val="19"/>
          <w:szCs w:val="19"/>
        </w:rPr>
        <w:t xml:space="preserve">do naruszenia </w:t>
      </w:r>
      <w:r w:rsidRPr="00B5742F">
        <w:rPr>
          <w:rFonts w:ascii="Verdana" w:hAnsi="Verdana"/>
          <w:color w:val="0071BB"/>
          <w:spacing w:val="2"/>
          <w:sz w:val="19"/>
          <w:szCs w:val="19"/>
        </w:rPr>
        <w:t xml:space="preserve">praw trzeciego skarżącego wynikających z </w:t>
      </w:r>
      <w:r w:rsidRPr="00B5742F">
        <w:rPr>
          <w:rFonts w:ascii="Verdana" w:hAnsi="Verdana"/>
          <w:b/>
          <w:color w:val="0071BB"/>
          <w:spacing w:val="2"/>
          <w:sz w:val="19"/>
          <w:szCs w:val="19"/>
        </w:rPr>
        <w:t xml:space="preserve">art. 9 </w:t>
      </w:r>
      <w:r w:rsidRPr="00B5742F">
        <w:rPr>
          <w:rFonts w:ascii="Verdana" w:hAnsi="Verdana"/>
          <w:color w:val="0071BB"/>
          <w:spacing w:val="2"/>
          <w:sz w:val="19"/>
          <w:szCs w:val="19"/>
        </w:rPr>
        <w:t xml:space="preserve">(wolność wyznania) Konwencji, </w:t>
      </w:r>
      <w:r w:rsidRPr="00B5742F">
        <w:rPr>
          <w:rFonts w:ascii="Verdana" w:hAnsi="Verdana"/>
          <w:b/>
          <w:color w:val="0071BB"/>
          <w:spacing w:val="2"/>
          <w:sz w:val="19"/>
          <w:szCs w:val="19"/>
        </w:rPr>
        <w:t xml:space="preserve">ani do naruszenia </w:t>
      </w:r>
      <w:r w:rsidRPr="00B5742F">
        <w:rPr>
          <w:rFonts w:ascii="Verdana" w:hAnsi="Verdana"/>
          <w:color w:val="0071BB"/>
          <w:spacing w:val="2"/>
          <w:sz w:val="19"/>
          <w:szCs w:val="19"/>
        </w:rPr>
        <w:t xml:space="preserve">praw dwóch pierwszych skarżących </w:t>
      </w:r>
      <w:r w:rsidRPr="00B5742F">
        <w:rPr>
          <w:rFonts w:ascii="Verdana" w:hAnsi="Verdana"/>
          <w:b/>
          <w:color w:val="0071BB"/>
          <w:spacing w:val="2"/>
          <w:sz w:val="19"/>
          <w:szCs w:val="19"/>
        </w:rPr>
        <w:t xml:space="preserve">wynikających z art. 2 </w:t>
      </w:r>
      <w:r w:rsidRPr="00B5742F">
        <w:rPr>
          <w:rFonts w:ascii="Verdana" w:hAnsi="Verdana"/>
          <w:color w:val="0071BB"/>
          <w:spacing w:val="2"/>
          <w:sz w:val="19"/>
          <w:szCs w:val="19"/>
        </w:rPr>
        <w:t xml:space="preserve">(prawo do edukacji) </w:t>
      </w:r>
      <w:r w:rsidRPr="00B5742F">
        <w:rPr>
          <w:rFonts w:ascii="Verdana" w:hAnsi="Verdana"/>
          <w:b/>
          <w:color w:val="0071BB"/>
          <w:spacing w:val="2"/>
          <w:sz w:val="19"/>
          <w:szCs w:val="19"/>
        </w:rPr>
        <w:t xml:space="preserve">protokołu nr 1 </w:t>
      </w:r>
      <w:r w:rsidRPr="00B5742F">
        <w:rPr>
          <w:rFonts w:ascii="Verdana" w:hAnsi="Verdana"/>
          <w:color w:val="0071BB"/>
          <w:spacing w:val="2"/>
          <w:sz w:val="19"/>
          <w:szCs w:val="19"/>
        </w:rPr>
        <w:t xml:space="preserve">do Konwencji. W szczególności stwierdził, że </w:t>
      </w:r>
      <w:r w:rsidR="005B7432" w:rsidRPr="005B7432">
        <w:rPr>
          <w:rFonts w:ascii="Verdana" w:hAnsi="Verdana"/>
          <w:color w:val="0071BB"/>
          <w:spacing w:val="2"/>
          <w:sz w:val="19"/>
          <w:szCs w:val="19"/>
        </w:rPr>
        <w:t>ceremonia miała charakter jednorazowy i o niewielkim znaczeniu, była ograniczona co do zakresu i czasu trwania oraz nie wiązała się z jakimkolwiek zamiarem indoktrynacji</w:t>
      </w:r>
      <w:r w:rsidR="005B7432">
        <w:rPr>
          <w:rFonts w:ascii="Verdana" w:hAnsi="Verdana"/>
          <w:color w:val="0071BB"/>
          <w:spacing w:val="2"/>
          <w:sz w:val="19"/>
          <w:szCs w:val="19"/>
        </w:rPr>
        <w:t xml:space="preserve">. </w:t>
      </w:r>
      <w:r w:rsidRPr="00B5742F">
        <w:rPr>
          <w:rFonts w:ascii="Verdana" w:hAnsi="Verdana"/>
          <w:color w:val="0071BB"/>
          <w:spacing w:val="2"/>
          <w:sz w:val="19"/>
          <w:szCs w:val="19"/>
        </w:rPr>
        <w:t xml:space="preserve">W rzeczywistości, według władz krajowych, była to zasadniczo pomyłka nauczyciela, która została natychmiast skorygowana poprzez konkretne decyzje i sankcje. Trybunał stwierdził również, że trzeci skarżący nie został zmuszony do udziału w manifestacji przekonań </w:t>
      </w:r>
      <w:r w:rsidR="00092ADF" w:rsidRPr="006C701C">
        <w:rPr>
          <w:rFonts w:ascii="Verdana" w:hAnsi="Verdana"/>
          <w:color w:val="0071BB"/>
          <w:spacing w:val="2"/>
          <w:sz w:val="19"/>
          <w:szCs w:val="19"/>
        </w:rPr>
        <w:t xml:space="preserve">innego wyznania </w:t>
      </w:r>
      <w:r w:rsidR="005B7432" w:rsidRPr="006C701C">
        <w:rPr>
          <w:rFonts w:ascii="Verdana" w:hAnsi="Verdana"/>
          <w:color w:val="0071BB"/>
          <w:spacing w:val="2"/>
          <w:sz w:val="19"/>
          <w:szCs w:val="19"/>
        </w:rPr>
        <w:t>chrześcijaństwa</w:t>
      </w:r>
      <w:r w:rsidR="00B176CB" w:rsidRPr="006C701C">
        <w:rPr>
          <w:rFonts w:ascii="Verdana" w:hAnsi="Verdana"/>
          <w:color w:val="0071BB"/>
          <w:spacing w:val="2"/>
          <w:sz w:val="19"/>
          <w:szCs w:val="19"/>
        </w:rPr>
        <w:t xml:space="preserve"> </w:t>
      </w:r>
      <w:r w:rsidRPr="00B5742F">
        <w:rPr>
          <w:rFonts w:ascii="Verdana" w:hAnsi="Verdana"/>
          <w:color w:val="0071BB"/>
          <w:spacing w:val="2"/>
          <w:sz w:val="19"/>
          <w:szCs w:val="19"/>
        </w:rPr>
        <w:t>ani nie został zniechęcony do wyznawania własnych przekonań. Chociaż bycie świadkiem obrzędu prawosławnego błogosławieństwa mogło wywołać u niego pewne uczucia niezgodności, należy to postrzegać w szerszym kontekście otwartości umysłu i tolerancji wymaganej w demokratycznym społeczeństwie, w którym współistnieją różne grupy religijne.</w:t>
      </w:r>
    </w:p>
    <w:p w14:paraId="7491542A" w14:textId="01D00330" w:rsidR="000F5B45" w:rsidRPr="00B5742F" w:rsidRDefault="00000000" w:rsidP="00E93132">
      <w:pPr>
        <w:pStyle w:val="Nagwek1"/>
        <w:spacing w:before="231"/>
        <w:rPr>
          <w:rFonts w:ascii="Verdana" w:hAnsi="Verdana"/>
          <w:sz w:val="32"/>
          <w:szCs w:val="32"/>
        </w:rPr>
      </w:pPr>
      <w:r w:rsidRPr="00B5742F">
        <w:rPr>
          <w:rFonts w:ascii="Verdana" w:hAnsi="Verdana"/>
          <w:noProof/>
          <w:sz w:val="32"/>
          <w:szCs w:val="32"/>
        </w:rPr>
        <mc:AlternateContent>
          <mc:Choice Requires="wps">
            <w:drawing>
              <wp:anchor distT="0" distB="0" distL="0" distR="0" simplePos="0" relativeHeight="251678720" behindDoc="1" locked="0" layoutInCell="1" allowOverlap="1" wp14:anchorId="3FE5BF65" wp14:editId="6BEC6646">
                <wp:simplePos x="0" y="0"/>
                <wp:positionH relativeFrom="page">
                  <wp:posOffset>896111</wp:posOffset>
                </wp:positionH>
                <wp:positionV relativeFrom="paragraph">
                  <wp:posOffset>401822</wp:posOffset>
                </wp:positionV>
                <wp:extent cx="5768340" cy="18415"/>
                <wp:effectExtent l="0" t="0" r="0" b="0"/>
                <wp:wrapTopAndBottom/>
                <wp:docPr id="21" name="Graphic 21"/>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2996A39A" id="Graphic 21" o:spid="_x0000_s1026" style="position:absolute;margin-left:70.55pt;margin-top:31.65pt;width:454.2pt;height:1.45pt;z-index:-25163776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" path="m5768340,l,,,18288r5768340,l5768340,xe" fillcolor="#999" stroked="f">
                <v:path arrowok="t"/>
                <w10:wrap type="topAndBottom" anchorx="page"/>
              </v:shape>
            </w:pict>
          </mc:Fallback>
        </mc:AlternateContent>
      </w:r>
      <w:r w:rsidRPr="00B5742F">
        <w:rPr>
          <w:rFonts w:ascii="Verdana" w:hAnsi="Verdana"/>
          <w:color w:val="0071BB"/>
          <w:szCs w:val="32"/>
        </w:rPr>
        <w:t xml:space="preserve">Wolność </w:t>
      </w:r>
      <w:r w:rsidR="00E91E85">
        <w:rPr>
          <w:rFonts w:ascii="Verdana" w:hAnsi="Verdana"/>
          <w:color w:val="0071BB"/>
          <w:szCs w:val="32"/>
        </w:rPr>
        <w:t xml:space="preserve">wyrażania </w:t>
      </w:r>
      <w:r w:rsidR="00144924">
        <w:rPr>
          <w:rFonts w:ascii="Verdana" w:hAnsi="Verdana"/>
          <w:color w:val="0071BB"/>
          <w:szCs w:val="32"/>
        </w:rPr>
        <w:t>opinii</w:t>
      </w:r>
      <w:r w:rsidR="00144924" w:rsidRPr="00B5742F">
        <w:rPr>
          <w:rFonts w:ascii="Verdana" w:hAnsi="Verdana"/>
          <w:color w:val="0071BB"/>
          <w:szCs w:val="32"/>
        </w:rPr>
        <w:t xml:space="preserve"> (</w:t>
      </w:r>
      <w:r w:rsidRPr="00B5742F">
        <w:rPr>
          <w:rFonts w:ascii="Verdana" w:hAnsi="Verdana"/>
          <w:color w:val="0071BB"/>
          <w:szCs w:val="32"/>
        </w:rPr>
        <w:t>art. 10)</w:t>
      </w:r>
    </w:p>
    <w:p w14:paraId="0656B863" w14:textId="77777777" w:rsidR="000F5B45" w:rsidRPr="00B5742F" w:rsidRDefault="000F5B45" w:rsidP="00E93132">
      <w:pPr>
        <w:pStyle w:val="Nagwek2"/>
        <w:spacing w:before="133"/>
        <w:rPr>
          <w:rFonts w:ascii="Verdana" w:hAnsi="Verdana"/>
          <w:sz w:val="19"/>
          <w:szCs w:val="19"/>
          <w:u w:val="none"/>
        </w:rPr>
      </w:pPr>
      <w:hyperlink r:id="rId94">
        <w:r w:rsidRPr="00B5742F">
          <w:rPr>
            <w:rFonts w:ascii="Verdana" w:hAnsi="Verdana"/>
            <w:color w:val="0071BB"/>
            <w:sz w:val="19"/>
            <w:szCs w:val="19"/>
            <w:u w:color="0071BB"/>
          </w:rPr>
          <w:t>Cypr przeciwko Turcji</w:t>
        </w:r>
      </w:hyperlink>
    </w:p>
    <w:p w14:paraId="47EC5B72" w14:textId="77777777" w:rsidR="000F5B45" w:rsidRPr="00B5742F" w:rsidRDefault="00000000" w:rsidP="00E93132">
      <w:pPr>
        <w:spacing w:before="58"/>
        <w:ind w:left="874"/>
        <w:jc w:val="both"/>
        <w:rPr>
          <w:rFonts w:ascii="Verdana" w:hAnsi="Verdana"/>
          <w:sz w:val="18"/>
        </w:rPr>
      </w:pPr>
      <w:r w:rsidRPr="00B5742F">
        <w:rPr>
          <w:rFonts w:ascii="Verdana" w:hAnsi="Verdana"/>
          <w:color w:val="808080"/>
          <w:sz w:val="17"/>
        </w:rPr>
        <w:t>10 maja 2001 r. (Wielka Izba)</w:t>
      </w:r>
    </w:p>
    <w:p w14:paraId="517D0811" w14:textId="3765D0B6" w:rsidR="000F5B45" w:rsidRPr="00B5742F" w:rsidRDefault="00000000" w:rsidP="00E93132">
      <w:pPr>
        <w:pStyle w:val="Tekstpodstawowy"/>
        <w:spacing w:before="2"/>
        <w:ind w:left="874" w:right="730"/>
        <w:rPr>
          <w:rFonts w:ascii="Verdana" w:hAnsi="Verdana"/>
          <w:spacing w:val="2"/>
          <w:sz w:val="19"/>
          <w:szCs w:val="19"/>
        </w:rPr>
      </w:pPr>
      <w:r w:rsidRPr="00B5742F">
        <w:rPr>
          <w:rFonts w:ascii="Verdana" w:hAnsi="Verdana"/>
          <w:spacing w:val="2"/>
          <w:sz w:val="19"/>
          <w:szCs w:val="19"/>
        </w:rPr>
        <w:t>W sprawie tej, dotyczącej sytuacji panującej w północnej części Cypru od czasu przeprowadzenia przez Turcję operacji wojskowych w lipcu i sierpniu 1974 r. oraz trwającego podziału terytorium Cypru, Cypr zarzucił między innymi naruszenie art. 10 (</w:t>
      </w:r>
      <w:r w:rsidR="00E91E85" w:rsidRPr="00B5742F">
        <w:rPr>
          <w:rFonts w:ascii="Verdana" w:hAnsi="Verdana"/>
          <w:spacing w:val="2"/>
          <w:sz w:val="19"/>
          <w:szCs w:val="19"/>
        </w:rPr>
        <w:t>wolność</w:t>
      </w:r>
      <w:r w:rsidR="00E91E85">
        <w:rPr>
          <w:rFonts w:ascii="Verdana" w:hAnsi="Verdana"/>
          <w:spacing w:val="2"/>
          <w:sz w:val="19"/>
          <w:szCs w:val="19"/>
        </w:rPr>
        <w:t xml:space="preserve"> wyrażania opinii</w:t>
      </w:r>
      <w:r w:rsidRPr="00B5742F">
        <w:rPr>
          <w:rFonts w:ascii="Verdana" w:hAnsi="Verdana"/>
          <w:spacing w:val="2"/>
          <w:sz w:val="19"/>
          <w:szCs w:val="19"/>
        </w:rPr>
        <w:t>) Konwencji w odniesieniu do greckich Cypryjczyków z Karpasu z powodu nadmiernej cenzury podręczników szkolnych.</w:t>
      </w:r>
    </w:p>
    <w:p w14:paraId="44AB6458" w14:textId="2416FD6A" w:rsidR="000F5B45" w:rsidRPr="00B5742F" w:rsidRDefault="00000000" w:rsidP="00E93132">
      <w:pPr>
        <w:pStyle w:val="Tekstpodstawowy"/>
        <w:ind w:left="874" w:right="731"/>
        <w:rPr>
          <w:rFonts w:ascii="Verdana" w:hAnsi="Verdana"/>
          <w:spacing w:val="2"/>
          <w:sz w:val="22"/>
          <w:szCs w:val="22"/>
        </w:rPr>
      </w:pPr>
      <w:r w:rsidRPr="00B5742F">
        <w:rPr>
          <w:rFonts w:ascii="Verdana" w:hAnsi="Verdana"/>
          <w:color w:val="0071BB"/>
          <w:spacing w:val="2"/>
          <w:sz w:val="19"/>
          <w:szCs w:val="19"/>
        </w:rPr>
        <w:t xml:space="preserve">Trybunał uznał, że </w:t>
      </w:r>
      <w:r w:rsidRPr="00B5742F">
        <w:rPr>
          <w:rFonts w:ascii="Verdana" w:hAnsi="Verdana"/>
          <w:b/>
          <w:bCs/>
          <w:color w:val="0071BB"/>
          <w:spacing w:val="2"/>
          <w:sz w:val="19"/>
          <w:szCs w:val="19"/>
        </w:rPr>
        <w:t>doszło do naruszenia</w:t>
      </w:r>
      <w:r w:rsidRPr="00B5742F">
        <w:rPr>
          <w:rFonts w:ascii="Verdana" w:hAnsi="Verdana"/>
          <w:color w:val="0071BB"/>
          <w:spacing w:val="2"/>
          <w:sz w:val="19"/>
          <w:szCs w:val="19"/>
        </w:rPr>
        <w:t xml:space="preserve"> </w:t>
      </w:r>
      <w:r w:rsidRPr="00B5742F">
        <w:rPr>
          <w:rFonts w:ascii="Verdana" w:hAnsi="Verdana"/>
          <w:b/>
          <w:color w:val="0071BB"/>
          <w:spacing w:val="2"/>
          <w:sz w:val="19"/>
          <w:szCs w:val="19"/>
        </w:rPr>
        <w:t xml:space="preserve">art. 10 </w:t>
      </w:r>
      <w:r w:rsidRPr="00B5742F">
        <w:rPr>
          <w:rFonts w:ascii="Verdana" w:hAnsi="Verdana"/>
          <w:color w:val="0071BB"/>
          <w:spacing w:val="2"/>
          <w:sz w:val="19"/>
          <w:szCs w:val="19"/>
        </w:rPr>
        <w:t>(wolność</w:t>
      </w:r>
      <w:r w:rsidR="00144924">
        <w:rPr>
          <w:rFonts w:ascii="Verdana" w:hAnsi="Verdana"/>
          <w:color w:val="0071BB"/>
          <w:spacing w:val="2"/>
          <w:sz w:val="19"/>
          <w:szCs w:val="19"/>
        </w:rPr>
        <w:t xml:space="preserve"> </w:t>
      </w:r>
      <w:r w:rsidR="00E91E85">
        <w:rPr>
          <w:rFonts w:ascii="Verdana" w:hAnsi="Verdana"/>
          <w:color w:val="0071BB"/>
          <w:spacing w:val="2"/>
          <w:sz w:val="19"/>
          <w:szCs w:val="19"/>
        </w:rPr>
        <w:t>wyrażania opinii</w:t>
      </w:r>
      <w:r w:rsidRPr="00B5742F">
        <w:rPr>
          <w:rFonts w:ascii="Verdana" w:hAnsi="Verdana"/>
          <w:color w:val="0071BB"/>
          <w:spacing w:val="2"/>
          <w:sz w:val="19"/>
          <w:szCs w:val="19"/>
        </w:rPr>
        <w:t>) Konwencji w odniesieniu do Greków cypryjskich mieszkających w północnej części Cypru, ponieważ podręczniki przeznaczone do użytku w szkołach podstawowych zostały poddane nadmiernej cenzurze</w:t>
      </w:r>
      <w:r w:rsidRPr="00B5742F">
        <w:rPr>
          <w:rFonts w:ascii="Verdana" w:hAnsi="Verdana"/>
          <w:color w:val="0071BB"/>
          <w:spacing w:val="2"/>
          <w:szCs w:val="22"/>
        </w:rPr>
        <w:t>.</w:t>
      </w:r>
    </w:p>
    <w:p w14:paraId="7E355A95" w14:textId="77777777" w:rsidR="000F5B45" w:rsidRPr="00B5742F" w:rsidRDefault="00000000" w:rsidP="00E93132">
      <w:pPr>
        <w:pStyle w:val="Nagwek1"/>
        <w:spacing w:before="234"/>
        <w:rPr>
          <w:rFonts w:ascii="Verdana" w:hAnsi="Verdana"/>
          <w:sz w:val="32"/>
          <w:szCs w:val="32"/>
        </w:rPr>
      </w:pPr>
      <w:r w:rsidRPr="00B5742F">
        <w:rPr>
          <w:rFonts w:ascii="Verdana" w:hAnsi="Verdana"/>
          <w:noProof/>
          <w:sz w:val="32"/>
          <w:szCs w:val="32"/>
        </w:rPr>
        <mc:AlternateContent>
          <mc:Choice Requires="wps">
            <w:drawing>
              <wp:anchor distT="0" distB="0" distL="0" distR="0" simplePos="0" relativeHeight="251680768" behindDoc="1" locked="0" layoutInCell="1" allowOverlap="1" wp14:anchorId="671C6A70" wp14:editId="482C30D1">
                <wp:simplePos x="0" y="0"/>
                <wp:positionH relativeFrom="page">
                  <wp:posOffset>896111</wp:posOffset>
                </wp:positionH>
                <wp:positionV relativeFrom="paragraph">
                  <wp:posOffset>405045</wp:posOffset>
                </wp:positionV>
                <wp:extent cx="5768340" cy="18415"/>
                <wp:effectExtent l="0" t="0" r="0" b="0"/>
                <wp:wrapTopAndBottom/>
                <wp:docPr id="22" name="Graphic 22"/>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0C8DA22A" id="Graphic 22" o:spid="_x0000_s1026" style="position:absolute;margin-left:70.55pt;margin-top:31.9pt;width:454.2pt;height:1.45pt;z-index:-251635712;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" path="m5768340,l,,,18287r5768340,l5768340,xe" fillcolor="#999" stroked="f">
                <v:path arrowok="t"/>
                <w10:wrap type="topAndBottom" anchorx="page"/>
              </v:shape>
            </w:pict>
          </mc:Fallback>
        </mc:AlternateContent>
      </w:r>
      <w:r w:rsidRPr="00B5742F">
        <w:rPr>
          <w:rFonts w:ascii="Verdana" w:hAnsi="Verdana"/>
          <w:color w:val="0071BB"/>
          <w:szCs w:val="32"/>
        </w:rPr>
        <w:t>Zakaz dyskryminacji (art. 14)</w:t>
      </w:r>
    </w:p>
    <w:p w14:paraId="5FE1056E" w14:textId="77777777" w:rsidR="000F5B45" w:rsidRPr="00B5742F" w:rsidRDefault="00000000" w:rsidP="00E93132">
      <w:pPr>
        <w:spacing w:before="259"/>
        <w:ind w:left="874"/>
        <w:jc w:val="both"/>
        <w:rPr>
          <w:rFonts w:ascii="Verdana" w:hAnsi="Verdana"/>
          <w:sz w:val="28"/>
        </w:rPr>
      </w:pPr>
      <w:r w:rsidRPr="00B5742F">
        <w:rPr>
          <w:rFonts w:ascii="Verdana" w:hAnsi="Verdana"/>
          <w:color w:val="808080"/>
          <w:sz w:val="27"/>
        </w:rPr>
        <w:t>Prawa związane z prz</w:t>
      </w:r>
      <w:r w:rsidRPr="00B5742F">
        <w:rPr>
          <w:rFonts w:ascii="Verdana" w:hAnsi="Verdana"/>
          <w:color w:val="808080"/>
          <w:sz w:val="28"/>
          <w:szCs w:val="24"/>
        </w:rPr>
        <w:t>yna</w:t>
      </w:r>
      <w:r w:rsidRPr="00B5742F">
        <w:rPr>
          <w:rFonts w:ascii="Verdana" w:hAnsi="Verdana"/>
          <w:color w:val="808080"/>
          <w:sz w:val="27"/>
        </w:rPr>
        <w:t>leżnością i dziedziczeniem</w:t>
      </w:r>
    </w:p>
    <w:p w14:paraId="569A3E2D" w14:textId="77777777" w:rsidR="000F5B45" w:rsidRPr="00B5742F" w:rsidRDefault="000F5B45" w:rsidP="00E93132">
      <w:pPr>
        <w:pStyle w:val="Nagwek2"/>
        <w:rPr>
          <w:rFonts w:ascii="Verdana" w:hAnsi="Verdana"/>
          <w:sz w:val="19"/>
          <w:szCs w:val="19"/>
          <w:u w:val="none"/>
        </w:rPr>
      </w:pPr>
      <w:hyperlink r:id="rId95">
        <w:r w:rsidRPr="00B5742F">
          <w:rPr>
            <w:rFonts w:ascii="Verdana" w:hAnsi="Verdana"/>
            <w:color w:val="0071BB"/>
            <w:sz w:val="19"/>
            <w:szCs w:val="19"/>
            <w:u w:color="0071BB"/>
          </w:rPr>
          <w:t>Marckx przeciwko Belgii</w:t>
        </w:r>
      </w:hyperlink>
    </w:p>
    <w:p w14:paraId="76502FCB" w14:textId="707A97D7"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13 czerwca 1979</w:t>
      </w:r>
      <w:r w:rsidR="00B176CB" w:rsidRPr="009749D0">
        <w:rPr>
          <w:rFonts w:ascii="Verdana" w:hAnsi="Verdana"/>
          <w:color w:val="808080"/>
          <w:sz w:val="17"/>
        </w:rPr>
        <w:t xml:space="preserve"> r.</w:t>
      </w:r>
    </w:p>
    <w:p w14:paraId="7D466AB7" w14:textId="77777777" w:rsidR="000F5B45" w:rsidRPr="00B5742F" w:rsidRDefault="00000000" w:rsidP="00E93132">
      <w:pPr>
        <w:pStyle w:val="Tekstpodstawowy"/>
        <w:spacing w:before="1"/>
        <w:ind w:left="874" w:right="727" w:hanging="1"/>
        <w:rPr>
          <w:rFonts w:ascii="Verdana" w:hAnsi="Verdana"/>
          <w:sz w:val="19"/>
          <w:szCs w:val="19"/>
        </w:rPr>
      </w:pPr>
      <w:r w:rsidRPr="00B5742F">
        <w:rPr>
          <w:rFonts w:ascii="Verdana" w:hAnsi="Verdana"/>
          <w:sz w:val="19"/>
          <w:szCs w:val="19"/>
        </w:rPr>
        <w:t>Niezamężna matka z Belgii skarżyła się, że jej i jej córce odmówiono praw przysługujących zamężnym matkom i ich dzieciom: między innymi musiała uznać swoje dziecko (lub wszcząć postępowanie sądowe) w celu ustalenia pochodzenia (zamężne matki mogły powołać się na akt urodzenia); uznanie ograniczało jej możliwość przekazania majątku dziecku i nie tworzyło więzi prawnej między dzieckiem a rodziną matki, jej babcią i ciotką. Jedynie poprzez zawarcie małżeństwa, a następnie adopcję własnej córki (lub przeprowadzenie procesu legitymizacji) mogłaby zapewnić jej takie same prawa jak dziecku z legalnego związku.</w:t>
      </w:r>
    </w:p>
    <w:p w14:paraId="1178E4F2" w14:textId="77777777" w:rsidR="000F5B45" w:rsidRDefault="00000000" w:rsidP="00E93132">
      <w:pPr>
        <w:pStyle w:val="Tekstpodstawowy"/>
        <w:ind w:left="875"/>
        <w:rPr>
          <w:rFonts w:ascii="Verdana" w:hAnsi="Verdana"/>
          <w:color w:val="0071BB"/>
          <w:sz w:val="19"/>
          <w:szCs w:val="19"/>
        </w:rPr>
      </w:pPr>
      <w:r w:rsidRPr="00B5742F">
        <w:rPr>
          <w:rFonts w:ascii="Verdana" w:hAnsi="Verdana"/>
          <w:color w:val="0071BB"/>
          <w:sz w:val="19"/>
          <w:szCs w:val="19"/>
        </w:rPr>
        <w:t xml:space="preserve">Trybunał stwierdził w szczególności, że </w:t>
      </w:r>
      <w:r w:rsidRPr="00B5742F">
        <w:rPr>
          <w:rFonts w:ascii="Verdana" w:hAnsi="Verdana"/>
          <w:b/>
          <w:bCs/>
          <w:color w:val="0071BB"/>
          <w:sz w:val="19"/>
          <w:szCs w:val="19"/>
        </w:rPr>
        <w:t>doszło</w:t>
      </w:r>
      <w:r w:rsidRPr="00B5742F">
        <w:rPr>
          <w:rFonts w:ascii="Verdana" w:hAnsi="Verdana"/>
          <w:color w:val="0071BB"/>
          <w:sz w:val="19"/>
          <w:szCs w:val="19"/>
        </w:rPr>
        <w:t xml:space="preserve"> </w:t>
      </w:r>
      <w:r w:rsidRPr="00B5742F">
        <w:rPr>
          <w:rFonts w:ascii="Verdana" w:hAnsi="Verdana"/>
          <w:b/>
          <w:color w:val="0071BB"/>
          <w:sz w:val="19"/>
          <w:szCs w:val="19"/>
        </w:rPr>
        <w:t>do naruszenia art. 8 (</w:t>
      </w:r>
      <w:r w:rsidRPr="00B5742F">
        <w:rPr>
          <w:rFonts w:ascii="Verdana" w:hAnsi="Verdana"/>
          <w:color w:val="0071BB"/>
          <w:sz w:val="19"/>
          <w:szCs w:val="19"/>
        </w:rPr>
        <w:t xml:space="preserve">prawo do poszanowania życia prywatnego i rodzinnego) Konwencji w orzeczeniu indywidualnym oraz </w:t>
      </w:r>
      <w:r w:rsidRPr="00B5742F">
        <w:rPr>
          <w:rFonts w:ascii="Verdana" w:hAnsi="Verdana"/>
          <w:b/>
          <w:color w:val="0071BB"/>
          <w:sz w:val="19"/>
          <w:szCs w:val="19"/>
        </w:rPr>
        <w:t>naruszenie art. 14 (</w:t>
      </w:r>
      <w:r w:rsidRPr="00B5742F">
        <w:rPr>
          <w:rFonts w:ascii="Verdana" w:hAnsi="Verdana"/>
          <w:color w:val="0071BB"/>
          <w:sz w:val="19"/>
          <w:szCs w:val="19"/>
        </w:rPr>
        <w:t xml:space="preserve">zakaz dyskryminacji) Konwencji </w:t>
      </w:r>
      <w:r w:rsidRPr="00B5742F">
        <w:rPr>
          <w:rFonts w:ascii="Verdana" w:hAnsi="Verdana"/>
          <w:b/>
          <w:color w:val="0071BB"/>
          <w:sz w:val="19"/>
          <w:szCs w:val="19"/>
        </w:rPr>
        <w:t xml:space="preserve">w związku z art. 8 </w:t>
      </w:r>
      <w:r w:rsidRPr="00B5742F">
        <w:rPr>
          <w:rFonts w:ascii="Verdana" w:hAnsi="Verdana"/>
          <w:color w:val="0071BB"/>
          <w:sz w:val="19"/>
          <w:szCs w:val="19"/>
        </w:rPr>
        <w:t>w odniesieniu do obu skarżących, w zakresie ustalenia macierzyństwa drugiej skarżącej, braku więzi prawnej z rodziną matki oraz jej praw do dziedziczenia, a także swobody matki w zakresie rozporządzania swoim majątkiem. W momencie wydania wyroku belgijski parlament rozpatrywał projekt ustawy mającej na celu zniesienie różnic w traktowaniu dzieci rodziców pozostających w związku małżeńskim i niepozostających w związku małżeńskim.</w:t>
      </w:r>
    </w:p>
    <w:p w14:paraId="4AF6B4FA" w14:textId="77777777" w:rsidR="006C701C" w:rsidRPr="00B5742F" w:rsidRDefault="006C701C" w:rsidP="00E93132">
      <w:pPr>
        <w:pStyle w:val="Tekstpodstawowy"/>
        <w:ind w:left="875"/>
        <w:rPr>
          <w:rFonts w:ascii="Verdana" w:hAnsi="Verdana"/>
          <w:sz w:val="19"/>
          <w:szCs w:val="19"/>
        </w:rPr>
      </w:pPr>
    </w:p>
    <w:p w14:paraId="65F3D222" w14:textId="77777777" w:rsidR="000F5B45" w:rsidRPr="00B5742F" w:rsidRDefault="000F5B45" w:rsidP="00E93132">
      <w:pPr>
        <w:pStyle w:val="Tekstpodstawowy"/>
        <w:rPr>
          <w:rFonts w:ascii="Verdana" w:hAnsi="Verdana"/>
        </w:rPr>
        <w:sectPr w:rsidR="000F5B45" w:rsidRPr="00B5742F">
          <w:pgSz w:w="11910" w:h="16840"/>
          <w:pgMar w:top="1460" w:right="708" w:bottom="680" w:left="566" w:header="730" w:footer="497" w:gutter="0"/>
          <w:cols w:space="708"/>
        </w:sectPr>
      </w:pPr>
    </w:p>
    <w:p w14:paraId="55D1415C" w14:textId="77777777" w:rsidR="000F5B45" w:rsidRPr="00B5742F" w:rsidRDefault="000F5B45" w:rsidP="00E93132">
      <w:pPr>
        <w:pStyle w:val="Nagwek2"/>
        <w:spacing w:before="240"/>
        <w:rPr>
          <w:rFonts w:ascii="Verdana" w:hAnsi="Verdana"/>
          <w:sz w:val="19"/>
          <w:szCs w:val="19"/>
          <w:u w:val="none"/>
        </w:rPr>
      </w:pPr>
      <w:hyperlink r:id="rId96">
        <w:r w:rsidRPr="00B5742F">
          <w:rPr>
            <w:rFonts w:ascii="Verdana" w:hAnsi="Verdana"/>
            <w:color w:val="0071BB"/>
            <w:sz w:val="19"/>
            <w:szCs w:val="19"/>
            <w:u w:color="0071BB"/>
          </w:rPr>
          <w:t>Inze przeciwko Austrii</w:t>
        </w:r>
      </w:hyperlink>
    </w:p>
    <w:p w14:paraId="57C54C8C" w14:textId="24285A37" w:rsidR="000F5B45" w:rsidRPr="00B5742F" w:rsidRDefault="00000000" w:rsidP="00E93132">
      <w:pPr>
        <w:spacing w:before="58"/>
        <w:ind w:left="874"/>
        <w:jc w:val="both"/>
        <w:rPr>
          <w:rFonts w:ascii="Verdana" w:hAnsi="Verdana"/>
          <w:sz w:val="18"/>
        </w:rPr>
      </w:pPr>
      <w:r w:rsidRPr="00B5742F">
        <w:rPr>
          <w:rFonts w:ascii="Verdana" w:hAnsi="Verdana"/>
          <w:color w:val="808080"/>
          <w:sz w:val="17"/>
        </w:rPr>
        <w:t>28 października 1987</w:t>
      </w:r>
      <w:r w:rsidR="00B176CB" w:rsidRPr="009749D0">
        <w:rPr>
          <w:rFonts w:ascii="Verdana" w:hAnsi="Verdana"/>
          <w:color w:val="808080"/>
          <w:sz w:val="17"/>
        </w:rPr>
        <w:t xml:space="preserve"> r.</w:t>
      </w:r>
    </w:p>
    <w:p w14:paraId="471686CD" w14:textId="04E93222" w:rsidR="000F5B45" w:rsidRPr="00B5742F" w:rsidRDefault="00E91C91" w:rsidP="00E93132">
      <w:pPr>
        <w:pStyle w:val="Tekstpodstawowy"/>
        <w:spacing w:before="2"/>
        <w:ind w:right="731"/>
        <w:rPr>
          <w:rFonts w:ascii="Verdana" w:hAnsi="Verdana"/>
          <w:spacing w:val="2"/>
          <w:sz w:val="19"/>
          <w:szCs w:val="19"/>
        </w:rPr>
      </w:pPr>
      <w:r>
        <w:rPr>
          <w:rFonts w:ascii="Verdana" w:hAnsi="Verdana"/>
          <w:spacing w:val="2"/>
          <w:sz w:val="19"/>
          <w:szCs w:val="19"/>
        </w:rPr>
        <w:t>Skarżący</w:t>
      </w:r>
      <w:r w:rsidRPr="00B5742F">
        <w:rPr>
          <w:rFonts w:ascii="Verdana" w:hAnsi="Verdana"/>
          <w:spacing w:val="2"/>
          <w:sz w:val="19"/>
          <w:szCs w:val="19"/>
        </w:rPr>
        <w:t xml:space="preserve"> nie miał prawa do dziedziczenia gospodarstwa rolnego swojej matki, która zmarła bez testamentu, ponieważ urodził się poza związkiem małżeńskim. Pomimo tego, że pracował w gospodarstwie do 23 roku życia, całe gospodarstwo odziedziczył jego młodszy przyrodni brat. W wyniku późniejszego postępowania sądowego </w:t>
      </w:r>
      <w:r>
        <w:rPr>
          <w:rFonts w:ascii="Verdana" w:hAnsi="Verdana"/>
          <w:spacing w:val="2"/>
          <w:sz w:val="19"/>
          <w:szCs w:val="19"/>
        </w:rPr>
        <w:t>skarżący</w:t>
      </w:r>
      <w:r w:rsidRPr="00B5742F">
        <w:rPr>
          <w:rFonts w:ascii="Verdana" w:hAnsi="Verdana"/>
          <w:spacing w:val="2"/>
          <w:sz w:val="19"/>
          <w:szCs w:val="19"/>
        </w:rPr>
        <w:t xml:space="preserve"> ostatecznie uzyskał działkę, którą obiecała mu matka za życia.</w:t>
      </w:r>
    </w:p>
    <w:p w14:paraId="463E4E8C" w14:textId="77777777" w:rsidR="000F5B45" w:rsidRPr="00B5742F" w:rsidRDefault="00000000" w:rsidP="00E93132">
      <w:pPr>
        <w:pStyle w:val="Tekstpodstawowy"/>
        <w:ind w:right="726"/>
        <w:rPr>
          <w:rFonts w:ascii="Verdana" w:hAnsi="Verdana"/>
          <w:spacing w:val="2"/>
          <w:sz w:val="19"/>
          <w:szCs w:val="19"/>
        </w:rPr>
      </w:pPr>
      <w:r w:rsidRPr="00B5742F">
        <w:rPr>
          <w:rFonts w:ascii="Verdana" w:hAnsi="Verdana"/>
          <w:color w:val="0071BB"/>
          <w:spacing w:val="2"/>
          <w:sz w:val="19"/>
          <w:szCs w:val="19"/>
        </w:rPr>
        <w:t xml:space="preserve">Trybunał uznał, że </w:t>
      </w:r>
      <w:r w:rsidRPr="00B5742F">
        <w:rPr>
          <w:rFonts w:ascii="Verdana" w:hAnsi="Verdana"/>
          <w:b/>
          <w:bCs/>
          <w:color w:val="0071BB"/>
          <w:spacing w:val="2"/>
          <w:sz w:val="19"/>
          <w:szCs w:val="19"/>
        </w:rPr>
        <w:t>doszło</w:t>
      </w:r>
      <w:r w:rsidRPr="00B5742F">
        <w:rPr>
          <w:rFonts w:ascii="Verdana" w:hAnsi="Verdana"/>
          <w:color w:val="0071BB"/>
          <w:spacing w:val="2"/>
          <w:sz w:val="19"/>
          <w:szCs w:val="19"/>
        </w:rPr>
        <w:t xml:space="preserve"> </w:t>
      </w:r>
      <w:r w:rsidRPr="00B5742F">
        <w:rPr>
          <w:rFonts w:ascii="Verdana" w:hAnsi="Verdana"/>
          <w:b/>
          <w:color w:val="0071BB"/>
          <w:spacing w:val="2"/>
          <w:sz w:val="19"/>
          <w:szCs w:val="19"/>
        </w:rPr>
        <w:t xml:space="preserve">do naruszenia art. 14 </w:t>
      </w:r>
      <w:r w:rsidRPr="00B5742F">
        <w:rPr>
          <w:rFonts w:ascii="Verdana" w:hAnsi="Verdana"/>
          <w:color w:val="0071BB"/>
          <w:spacing w:val="2"/>
          <w:sz w:val="19"/>
          <w:szCs w:val="19"/>
        </w:rPr>
        <w:t xml:space="preserve">(zakaz dyskryminacji) Konwencji </w:t>
      </w:r>
      <w:r w:rsidRPr="00B5742F">
        <w:rPr>
          <w:rFonts w:ascii="Verdana" w:hAnsi="Verdana"/>
          <w:b/>
          <w:color w:val="0071BB"/>
          <w:spacing w:val="2"/>
          <w:sz w:val="19"/>
          <w:szCs w:val="19"/>
        </w:rPr>
        <w:t xml:space="preserve">w związku z art. 1 protokołu nr 1 </w:t>
      </w:r>
      <w:r w:rsidRPr="00B5742F">
        <w:rPr>
          <w:rFonts w:ascii="Verdana" w:hAnsi="Verdana"/>
          <w:color w:val="0071BB"/>
          <w:spacing w:val="2"/>
          <w:sz w:val="19"/>
          <w:szCs w:val="19"/>
        </w:rPr>
        <w:t>(prawo do spokojnego korzystania z własności) do Konwencji. Przypomniawszy, że Konwencja jest żywym instrumentem, który należy interpretować w świetle współczesnych warunków, oraz że kwestia równości dzieci urodzonych w związku małżeńskim i dzieci urodzonych poza związkiem małżeńskim w zakresie ich praw cywilnych ma obecnie duże znaczenie w państwach członkowskich Rady Europy, Trybunał stwierdził w szczególności, że bardzo istotne powody musiałyby zostać przedstawione, aby różnica w traktowaniu ze względu na urodzenie poza związkiem małżeńskim mogła zostać uznana za zgodną z Konwencją.</w:t>
      </w:r>
    </w:p>
    <w:p w14:paraId="5F583629" w14:textId="77777777" w:rsidR="000F5B45" w:rsidRPr="00B5742F" w:rsidRDefault="000F5B45" w:rsidP="00E93132">
      <w:pPr>
        <w:pStyle w:val="Nagwek2"/>
        <w:spacing w:before="105"/>
        <w:ind w:left="873"/>
        <w:rPr>
          <w:rFonts w:ascii="Verdana" w:hAnsi="Verdana"/>
          <w:sz w:val="19"/>
          <w:szCs w:val="19"/>
          <w:u w:val="none"/>
        </w:rPr>
      </w:pPr>
      <w:hyperlink r:id="rId97">
        <w:r w:rsidRPr="00B5742F">
          <w:rPr>
            <w:rFonts w:ascii="Verdana" w:hAnsi="Verdana"/>
            <w:color w:val="0071BB"/>
            <w:sz w:val="19"/>
            <w:szCs w:val="19"/>
            <w:u w:color="0071BB"/>
          </w:rPr>
          <w:t>Mazurek przeciwko Francji</w:t>
        </w:r>
      </w:hyperlink>
    </w:p>
    <w:p w14:paraId="5622B2E9" w14:textId="7D532697" w:rsidR="000F5B45" w:rsidRPr="00B5742F" w:rsidRDefault="00000000" w:rsidP="00E93132">
      <w:pPr>
        <w:spacing w:before="55"/>
        <w:ind w:left="874"/>
        <w:jc w:val="both"/>
        <w:rPr>
          <w:rFonts w:ascii="Verdana" w:hAnsi="Verdana"/>
          <w:sz w:val="18"/>
        </w:rPr>
      </w:pPr>
      <w:r w:rsidRPr="00B5742F">
        <w:rPr>
          <w:rFonts w:ascii="Verdana" w:hAnsi="Verdana"/>
          <w:color w:val="808080"/>
          <w:sz w:val="17"/>
        </w:rPr>
        <w:t>1 lutego 2000</w:t>
      </w:r>
      <w:r w:rsidR="00B2420C">
        <w:rPr>
          <w:rFonts w:ascii="Verdana" w:hAnsi="Verdana"/>
          <w:color w:val="808080"/>
          <w:sz w:val="17"/>
        </w:rPr>
        <w:t xml:space="preserve"> r.</w:t>
      </w:r>
    </w:p>
    <w:p w14:paraId="0C3683B1" w14:textId="46F2766B" w:rsidR="000F5B45" w:rsidRPr="00B5742F" w:rsidRDefault="00E91C91" w:rsidP="00E93132">
      <w:pPr>
        <w:pStyle w:val="Tekstpodstawowy"/>
        <w:spacing w:before="2"/>
        <w:ind w:right="729"/>
        <w:rPr>
          <w:rFonts w:ascii="Verdana" w:hAnsi="Verdana"/>
          <w:spacing w:val="2"/>
          <w:sz w:val="19"/>
          <w:szCs w:val="19"/>
        </w:rPr>
      </w:pPr>
      <w:r>
        <w:rPr>
          <w:rFonts w:ascii="Verdana" w:hAnsi="Verdana"/>
          <w:spacing w:val="2"/>
          <w:sz w:val="19"/>
          <w:szCs w:val="19"/>
        </w:rPr>
        <w:t>Skarżący</w:t>
      </w:r>
      <w:r w:rsidRPr="00B5742F">
        <w:rPr>
          <w:rFonts w:ascii="Verdana" w:hAnsi="Verdana"/>
          <w:spacing w:val="2"/>
          <w:sz w:val="19"/>
          <w:szCs w:val="19"/>
        </w:rPr>
        <w:t xml:space="preserve">, urodzony </w:t>
      </w:r>
      <w:r w:rsidR="00F37AD4">
        <w:rPr>
          <w:rFonts w:ascii="Verdana" w:hAnsi="Verdana"/>
          <w:spacing w:val="2"/>
          <w:sz w:val="19"/>
          <w:szCs w:val="19"/>
        </w:rPr>
        <w:t>w wyniku</w:t>
      </w:r>
      <w:r w:rsidR="00852214">
        <w:rPr>
          <w:rFonts w:ascii="Verdana" w:hAnsi="Verdana"/>
          <w:spacing w:val="2"/>
          <w:sz w:val="19"/>
          <w:szCs w:val="19"/>
        </w:rPr>
        <w:t xml:space="preserve"> cudzołożnego związku</w:t>
      </w:r>
      <w:r w:rsidR="00924807" w:rsidRPr="006C701C">
        <w:rPr>
          <w:rFonts w:ascii="Verdana" w:hAnsi="Verdana"/>
          <w:spacing w:val="2"/>
          <w:sz w:val="19"/>
          <w:szCs w:val="19"/>
        </w:rPr>
        <w:t xml:space="preserve">, miał </w:t>
      </w:r>
      <w:r w:rsidR="00F37AD4">
        <w:rPr>
          <w:rFonts w:ascii="Verdana" w:hAnsi="Verdana"/>
          <w:spacing w:val="2"/>
          <w:sz w:val="19"/>
          <w:szCs w:val="19"/>
        </w:rPr>
        <w:t xml:space="preserve">obniżone o połowę prawo dziedziczenia, </w:t>
      </w:r>
      <w:r w:rsidR="007B7930" w:rsidRPr="007B7930">
        <w:rPr>
          <w:rFonts w:ascii="Verdana" w:hAnsi="Verdana"/>
          <w:spacing w:val="2"/>
          <w:sz w:val="19"/>
          <w:szCs w:val="19"/>
        </w:rPr>
        <w:t xml:space="preserve">ponieważ dziecko uznane (legitymowane) również miało roszczenie do majątku </w:t>
      </w:r>
      <w:r w:rsidR="007B7930">
        <w:rPr>
          <w:rFonts w:ascii="Verdana" w:hAnsi="Verdana"/>
          <w:spacing w:val="2"/>
          <w:sz w:val="19"/>
          <w:szCs w:val="19"/>
        </w:rPr>
        <w:t>ich</w:t>
      </w:r>
      <w:r w:rsidR="007B7930" w:rsidRPr="007B7930">
        <w:rPr>
          <w:rFonts w:ascii="Verdana" w:hAnsi="Verdana"/>
          <w:spacing w:val="2"/>
          <w:sz w:val="19"/>
          <w:szCs w:val="19"/>
        </w:rPr>
        <w:t xml:space="preserve"> matki, zgodnie z prawem obowiązującym w tamtym czasie (1990 r.). </w:t>
      </w:r>
      <w:r w:rsidR="00852214">
        <w:rPr>
          <w:rFonts w:ascii="Verdana" w:hAnsi="Verdana"/>
          <w:spacing w:val="2"/>
          <w:sz w:val="19"/>
          <w:szCs w:val="19"/>
        </w:rPr>
        <w:t>S</w:t>
      </w:r>
      <w:r w:rsidR="007B7930" w:rsidRPr="007B7930">
        <w:rPr>
          <w:rFonts w:ascii="Verdana" w:hAnsi="Verdana"/>
          <w:spacing w:val="2"/>
          <w:sz w:val="19"/>
          <w:szCs w:val="19"/>
        </w:rPr>
        <w:t>karżący podniósł w szczególności zarzut naruszenia</w:t>
      </w:r>
      <w:r w:rsidR="00144924">
        <w:rPr>
          <w:rFonts w:ascii="Verdana" w:hAnsi="Verdana"/>
          <w:spacing w:val="2"/>
          <w:sz w:val="19"/>
          <w:szCs w:val="19"/>
        </w:rPr>
        <w:t xml:space="preserve"> </w:t>
      </w:r>
      <w:r w:rsidRPr="00B5742F">
        <w:rPr>
          <w:rFonts w:ascii="Verdana" w:hAnsi="Verdana"/>
          <w:spacing w:val="2"/>
          <w:sz w:val="19"/>
          <w:szCs w:val="19"/>
        </w:rPr>
        <w:t>jego prawa do spokojnego korzystania z własności.</w:t>
      </w:r>
    </w:p>
    <w:p w14:paraId="2266D81F" w14:textId="188A8257" w:rsidR="000F5B45" w:rsidRPr="00B5742F" w:rsidRDefault="00000000" w:rsidP="00E93132">
      <w:pPr>
        <w:pStyle w:val="Tekstpodstawowy"/>
        <w:rPr>
          <w:rFonts w:ascii="Verdana" w:hAnsi="Verdana"/>
          <w:spacing w:val="2"/>
          <w:sz w:val="19"/>
          <w:szCs w:val="19"/>
        </w:rPr>
      </w:pPr>
      <w:r w:rsidRPr="00B5742F">
        <w:rPr>
          <w:rFonts w:ascii="Verdana" w:hAnsi="Verdana"/>
          <w:color w:val="0071BB"/>
          <w:spacing w:val="2"/>
          <w:sz w:val="19"/>
          <w:szCs w:val="19"/>
        </w:rPr>
        <w:t xml:space="preserve">Trybunał uznał, że doszło </w:t>
      </w:r>
      <w:r w:rsidRPr="00B5742F">
        <w:rPr>
          <w:rFonts w:ascii="Verdana" w:hAnsi="Verdana"/>
          <w:b/>
          <w:color w:val="0071BB"/>
          <w:spacing w:val="2"/>
          <w:sz w:val="19"/>
          <w:szCs w:val="19"/>
        </w:rPr>
        <w:t xml:space="preserve">do naruszenia art. 14 </w:t>
      </w:r>
      <w:r w:rsidRPr="00B5742F">
        <w:rPr>
          <w:rFonts w:ascii="Verdana" w:hAnsi="Verdana"/>
          <w:color w:val="0071BB"/>
          <w:spacing w:val="2"/>
          <w:sz w:val="19"/>
          <w:szCs w:val="19"/>
        </w:rPr>
        <w:t xml:space="preserve">(zakaz dyskryminacji) Konwencji </w:t>
      </w:r>
      <w:r w:rsidRPr="00B5742F">
        <w:rPr>
          <w:rFonts w:ascii="Verdana" w:hAnsi="Verdana"/>
          <w:b/>
          <w:color w:val="0071BB"/>
          <w:spacing w:val="2"/>
          <w:sz w:val="19"/>
          <w:szCs w:val="19"/>
        </w:rPr>
        <w:t>w związku z art. 1 Protokołu nr</w:t>
      </w:r>
      <w:r w:rsidR="00934026" w:rsidRPr="006C701C">
        <w:rPr>
          <w:rFonts w:ascii="Verdana" w:hAnsi="Verdana"/>
          <w:b/>
          <w:color w:val="0071BB"/>
          <w:spacing w:val="2"/>
          <w:sz w:val="19"/>
          <w:szCs w:val="19"/>
        </w:rPr>
        <w:t> </w:t>
      </w:r>
      <w:r w:rsidRPr="00B5742F">
        <w:rPr>
          <w:rFonts w:ascii="Verdana" w:hAnsi="Verdana"/>
          <w:b/>
          <w:color w:val="0071BB"/>
          <w:spacing w:val="2"/>
          <w:sz w:val="19"/>
          <w:szCs w:val="19"/>
        </w:rPr>
        <w:t xml:space="preserve">1 </w:t>
      </w:r>
      <w:r w:rsidRPr="00B5742F">
        <w:rPr>
          <w:rFonts w:ascii="Verdana" w:hAnsi="Verdana"/>
          <w:color w:val="0071BB"/>
          <w:spacing w:val="2"/>
          <w:sz w:val="19"/>
          <w:szCs w:val="19"/>
        </w:rPr>
        <w:t xml:space="preserve">(prawo do spokojnego korzystania z własności) do Konwencji. W odniesieniu do sytuacji w innych państwach członkowskich Rady Europy Trybunał zwrócił szczególną uwagę, wbrew twierdzeniom rządu francuskiego, na wyraźną tendencję do zniesienia dyskryminacji wobec dzieci związków pozamałżeńskich. Trybunał nie mógł pominąć tych zmian w swojej interpretacji – z konieczności ewoluującej – odpowiednich postanowień Konwencji. Trybunał stwierdził ponadto w niniejszej sprawie, że nie ma uzasadnionego powodu do dyskryminacji ze względu na pochodzenie </w:t>
      </w:r>
      <w:r w:rsidRPr="004A3380">
        <w:rPr>
          <w:rFonts w:ascii="Verdana" w:hAnsi="Verdana"/>
          <w:color w:val="0071BB"/>
          <w:spacing w:val="2"/>
          <w:sz w:val="19"/>
          <w:szCs w:val="19"/>
        </w:rPr>
        <w:t xml:space="preserve">z cudzołożnego </w:t>
      </w:r>
      <w:r w:rsidR="00E91E85" w:rsidRPr="00E91E85">
        <w:rPr>
          <w:rFonts w:ascii="Verdana" w:hAnsi="Verdana"/>
          <w:color w:val="0071BB"/>
          <w:spacing w:val="2"/>
          <w:sz w:val="19"/>
          <w:szCs w:val="19"/>
        </w:rPr>
        <w:t>związku</w:t>
      </w:r>
      <w:r w:rsidR="00D04AB0" w:rsidRPr="00D04AB0">
        <w:rPr>
          <w:rFonts w:ascii="Verdana" w:hAnsi="Verdana"/>
          <w:color w:val="0071BB"/>
          <w:spacing w:val="2"/>
          <w:sz w:val="19"/>
          <w:szCs w:val="19"/>
        </w:rPr>
        <w:t xml:space="preserve"> każdym razie dziecku pochodzącemu z takiego związku nie można czynić zarzutu z okoliczności</w:t>
      </w:r>
      <w:r w:rsidRPr="00B5742F">
        <w:rPr>
          <w:rFonts w:ascii="Verdana" w:hAnsi="Verdana"/>
          <w:color w:val="0071BB"/>
          <w:spacing w:val="2"/>
          <w:sz w:val="19"/>
          <w:szCs w:val="19"/>
        </w:rPr>
        <w:t xml:space="preserve">, za które nie ponosi odpowiedzialności. </w:t>
      </w:r>
      <w:r w:rsidR="00EA131F" w:rsidRPr="00EA131F">
        <w:rPr>
          <w:rFonts w:ascii="Verdana" w:hAnsi="Verdana"/>
          <w:color w:val="0071BB"/>
          <w:spacing w:val="2"/>
          <w:sz w:val="19"/>
          <w:szCs w:val="19"/>
        </w:rPr>
        <w:t>Jednakże,</w:t>
      </w:r>
      <w:r w:rsidRPr="00B5742F">
        <w:rPr>
          <w:rFonts w:ascii="Verdana" w:hAnsi="Verdana"/>
          <w:color w:val="0071BB"/>
          <w:spacing w:val="2"/>
          <w:sz w:val="19"/>
          <w:szCs w:val="19"/>
        </w:rPr>
        <w:t xml:space="preserve"> ponieważ skarżący był dzieckiem z cudzołożnego związku, został ukarany w zakresie podziału spadku. Trybunał stwierdził zatem, że nie istniał racjonalny stosunek proporcjonalności między środkami zastosowanymi a celem, który miał zostać osiągnięty.</w:t>
      </w:r>
    </w:p>
    <w:p w14:paraId="5E7DE74A" w14:textId="77777777" w:rsidR="000F5B45" w:rsidRPr="00B5742F" w:rsidRDefault="00000000" w:rsidP="00E93132">
      <w:pPr>
        <w:spacing w:before="42"/>
        <w:ind w:left="873"/>
        <w:rPr>
          <w:rFonts w:ascii="Verdana" w:hAnsi="Verdana"/>
          <w:sz w:val="19"/>
          <w:szCs w:val="19"/>
        </w:rPr>
      </w:pPr>
      <w:r w:rsidRPr="00B5742F">
        <w:rPr>
          <w:rFonts w:ascii="Verdana" w:hAnsi="Verdana"/>
          <w:i/>
          <w:color w:val="404040"/>
          <w:sz w:val="19"/>
          <w:szCs w:val="19"/>
        </w:rPr>
        <w:t>Zob. również</w:t>
      </w:r>
      <w:r w:rsidRPr="00B5742F">
        <w:rPr>
          <w:rFonts w:ascii="Verdana" w:hAnsi="Verdana"/>
          <w:color w:val="404040"/>
          <w:sz w:val="19"/>
          <w:szCs w:val="19"/>
        </w:rPr>
        <w:t xml:space="preserve">: </w:t>
      </w:r>
      <w:hyperlink r:id="rId98">
        <w:r w:rsidR="000F5B45" w:rsidRPr="00B5742F">
          <w:rPr>
            <w:rFonts w:ascii="Verdana" w:hAnsi="Verdana"/>
            <w:b/>
            <w:color w:val="0071BB"/>
            <w:sz w:val="19"/>
            <w:szCs w:val="19"/>
            <w:u w:val="single" w:color="0071BB"/>
          </w:rPr>
          <w:t>Merger i Cros przeciwko Francji</w:t>
        </w:r>
      </w:hyperlink>
      <w:r w:rsidRPr="00B5742F">
        <w:rPr>
          <w:rFonts w:ascii="Verdana" w:hAnsi="Verdana"/>
          <w:color w:val="404040"/>
          <w:sz w:val="19"/>
          <w:szCs w:val="19"/>
        </w:rPr>
        <w:t>, wyrok z dnia 22 grudnia 2004 r.</w:t>
      </w:r>
    </w:p>
    <w:p w14:paraId="1F1EED68" w14:textId="77777777" w:rsidR="000F5B45" w:rsidRPr="00B5742F" w:rsidRDefault="000F5B45" w:rsidP="00E93132">
      <w:pPr>
        <w:pStyle w:val="Nagwek2"/>
        <w:spacing w:before="118"/>
        <w:jc w:val="left"/>
        <w:rPr>
          <w:rFonts w:ascii="Verdana" w:hAnsi="Verdana"/>
          <w:sz w:val="19"/>
          <w:szCs w:val="19"/>
          <w:u w:val="none"/>
        </w:rPr>
      </w:pPr>
      <w:hyperlink r:id="rId99">
        <w:r w:rsidRPr="00B5742F">
          <w:rPr>
            <w:rFonts w:ascii="Verdana" w:hAnsi="Verdana"/>
            <w:color w:val="0071BB"/>
            <w:sz w:val="19"/>
            <w:szCs w:val="19"/>
            <w:u w:color="0071BB"/>
          </w:rPr>
          <w:t>Camp i Bourimi przeciwko Holandii</w:t>
        </w:r>
      </w:hyperlink>
    </w:p>
    <w:p w14:paraId="00867B5D" w14:textId="77777777" w:rsidR="000F5B45" w:rsidRPr="00B5742F" w:rsidRDefault="00000000" w:rsidP="00E93132">
      <w:pPr>
        <w:spacing w:before="56"/>
        <w:ind w:left="874"/>
        <w:rPr>
          <w:rFonts w:ascii="Verdana" w:hAnsi="Verdana"/>
          <w:sz w:val="18"/>
        </w:rPr>
      </w:pPr>
      <w:r w:rsidRPr="00B5742F">
        <w:rPr>
          <w:rFonts w:ascii="Verdana" w:hAnsi="Verdana"/>
          <w:color w:val="808080"/>
          <w:sz w:val="17"/>
        </w:rPr>
        <w:t>3 października 2000 r.</w:t>
      </w:r>
    </w:p>
    <w:p w14:paraId="42374453" w14:textId="01ED1D1C" w:rsidR="000F5B45" w:rsidRPr="00B5742F" w:rsidRDefault="00000000" w:rsidP="00E93132">
      <w:pPr>
        <w:pStyle w:val="Tekstpodstawowy"/>
        <w:spacing w:before="4"/>
        <w:ind w:left="874" w:hanging="1"/>
        <w:rPr>
          <w:rFonts w:ascii="Verdana" w:hAnsi="Verdana"/>
          <w:spacing w:val="2"/>
          <w:sz w:val="19"/>
          <w:szCs w:val="19"/>
        </w:rPr>
      </w:pPr>
      <w:r w:rsidRPr="00B5742F">
        <w:rPr>
          <w:rFonts w:ascii="Verdana" w:hAnsi="Verdana"/>
          <w:spacing w:val="2"/>
          <w:sz w:val="19"/>
          <w:szCs w:val="19"/>
        </w:rPr>
        <w:t xml:space="preserve">Pierwsza </w:t>
      </w:r>
      <w:r w:rsidR="00EA131F">
        <w:rPr>
          <w:rFonts w:ascii="Verdana" w:hAnsi="Verdana"/>
          <w:spacing w:val="2"/>
          <w:sz w:val="19"/>
          <w:szCs w:val="19"/>
        </w:rPr>
        <w:t>skarżąca</w:t>
      </w:r>
      <w:r w:rsidR="00EA131F" w:rsidRPr="00B5742F">
        <w:rPr>
          <w:rFonts w:ascii="Verdana" w:hAnsi="Verdana"/>
          <w:spacing w:val="2"/>
          <w:sz w:val="19"/>
          <w:szCs w:val="19"/>
        </w:rPr>
        <w:t xml:space="preserve"> </w:t>
      </w:r>
      <w:r w:rsidRPr="00B5742F">
        <w:rPr>
          <w:rFonts w:ascii="Verdana" w:hAnsi="Verdana"/>
          <w:spacing w:val="2"/>
          <w:sz w:val="19"/>
          <w:szCs w:val="19"/>
        </w:rPr>
        <w:t xml:space="preserve">i jej syn (drugi </w:t>
      </w:r>
      <w:r w:rsidR="00EA131F">
        <w:rPr>
          <w:rFonts w:ascii="Verdana" w:hAnsi="Verdana"/>
          <w:spacing w:val="2"/>
          <w:sz w:val="19"/>
          <w:szCs w:val="19"/>
        </w:rPr>
        <w:t>skarżący</w:t>
      </w:r>
      <w:r w:rsidRPr="00B5742F">
        <w:rPr>
          <w:rFonts w:ascii="Verdana" w:hAnsi="Verdana"/>
          <w:spacing w:val="2"/>
          <w:sz w:val="19"/>
          <w:szCs w:val="19"/>
        </w:rPr>
        <w:t xml:space="preserve">) musieli wyprowadzić się z domu rodzinnego po śmierci partnera pierwszej </w:t>
      </w:r>
      <w:r w:rsidR="00EA131F">
        <w:rPr>
          <w:rFonts w:ascii="Verdana" w:hAnsi="Verdana"/>
          <w:spacing w:val="2"/>
          <w:sz w:val="19"/>
          <w:szCs w:val="19"/>
        </w:rPr>
        <w:t>skarżącej</w:t>
      </w:r>
      <w:r w:rsidRPr="00B5742F">
        <w:rPr>
          <w:rFonts w:ascii="Verdana" w:hAnsi="Verdana"/>
          <w:spacing w:val="2"/>
          <w:sz w:val="19"/>
          <w:szCs w:val="19"/>
        </w:rPr>
        <w:t>, który zmarł bez pozostawienia testamentu, przed zawarciem małżeństwa z nią i uznaniem dziecka (zgodnie z jego oświadczeniem). Zgodnie z obowiązującym wówczas prawem holenderskim spadek po zmarłym przypadł jego rodzicom i rodzeństwu. Następnie wprowadzili się oni do jego domu. Dziecko zostało później uznane za prawowite, ale ponieważ decyzja nie miała mocy wstecznej, nie zostało ono uznane za spadkobiercę ojca.</w:t>
      </w:r>
    </w:p>
    <w:p w14:paraId="5D44FE11" w14:textId="681FB6AC" w:rsidR="000F5B45" w:rsidRDefault="00000000" w:rsidP="00E93132">
      <w:pPr>
        <w:pStyle w:val="Tekstpodstawowy"/>
        <w:ind w:left="874" w:right="727" w:hanging="1"/>
        <w:rPr>
          <w:rFonts w:ascii="Verdana" w:hAnsi="Verdana"/>
          <w:color w:val="0071BB"/>
          <w:spacing w:val="2"/>
          <w:sz w:val="19"/>
          <w:szCs w:val="19"/>
        </w:rPr>
      </w:pPr>
      <w:r w:rsidRPr="00B5742F">
        <w:rPr>
          <w:rFonts w:ascii="Verdana" w:hAnsi="Verdana"/>
          <w:color w:val="0071BB"/>
          <w:spacing w:val="2"/>
          <w:sz w:val="19"/>
          <w:szCs w:val="19"/>
        </w:rPr>
        <w:t xml:space="preserve">Trybunał uznał, że w odniesieniu do drugiego skarżącego </w:t>
      </w:r>
      <w:r w:rsidRPr="00B5742F">
        <w:rPr>
          <w:rFonts w:ascii="Verdana" w:hAnsi="Verdana"/>
          <w:b/>
          <w:bCs/>
          <w:color w:val="0071BB"/>
          <w:spacing w:val="2"/>
          <w:sz w:val="19"/>
          <w:szCs w:val="19"/>
        </w:rPr>
        <w:t>doszło</w:t>
      </w:r>
      <w:r w:rsidRPr="00B5742F">
        <w:rPr>
          <w:rFonts w:ascii="Verdana" w:hAnsi="Verdana"/>
          <w:color w:val="0071BB"/>
          <w:spacing w:val="2"/>
          <w:sz w:val="19"/>
          <w:szCs w:val="19"/>
        </w:rPr>
        <w:t xml:space="preserve"> </w:t>
      </w:r>
      <w:r w:rsidRPr="00B5742F">
        <w:rPr>
          <w:rFonts w:ascii="Verdana" w:hAnsi="Verdana"/>
          <w:b/>
          <w:color w:val="0071BB"/>
          <w:spacing w:val="2"/>
          <w:sz w:val="19"/>
          <w:szCs w:val="19"/>
        </w:rPr>
        <w:t>do</w:t>
      </w:r>
      <w:r w:rsidRPr="00B5742F">
        <w:rPr>
          <w:rFonts w:ascii="Verdana" w:hAnsi="Verdana"/>
          <w:color w:val="0071BB"/>
          <w:spacing w:val="2"/>
          <w:sz w:val="19"/>
          <w:szCs w:val="19"/>
        </w:rPr>
        <w:t xml:space="preserve"> </w:t>
      </w:r>
      <w:r w:rsidRPr="00B5742F">
        <w:rPr>
          <w:rFonts w:ascii="Verdana" w:hAnsi="Verdana"/>
          <w:b/>
          <w:color w:val="0071BB"/>
          <w:spacing w:val="2"/>
          <w:sz w:val="19"/>
          <w:szCs w:val="19"/>
        </w:rPr>
        <w:t xml:space="preserve">naruszenia art. 14 </w:t>
      </w:r>
      <w:r w:rsidRPr="00B5742F">
        <w:rPr>
          <w:rFonts w:ascii="Verdana" w:hAnsi="Verdana"/>
          <w:color w:val="0071BB"/>
          <w:spacing w:val="2"/>
          <w:sz w:val="19"/>
          <w:szCs w:val="19"/>
        </w:rPr>
        <w:t xml:space="preserve">(zakaz dyskryminacji) </w:t>
      </w:r>
      <w:r w:rsidRPr="00B5742F">
        <w:rPr>
          <w:rFonts w:ascii="Verdana" w:hAnsi="Verdana"/>
          <w:b/>
          <w:color w:val="0071BB"/>
          <w:spacing w:val="2"/>
          <w:sz w:val="19"/>
          <w:szCs w:val="19"/>
        </w:rPr>
        <w:t xml:space="preserve">w związku z art. 8 </w:t>
      </w:r>
      <w:r w:rsidRPr="00B5742F">
        <w:rPr>
          <w:rFonts w:ascii="Verdana" w:hAnsi="Verdana"/>
          <w:color w:val="0071BB"/>
          <w:spacing w:val="2"/>
          <w:sz w:val="19"/>
          <w:szCs w:val="19"/>
        </w:rPr>
        <w:t xml:space="preserve">(prawo do poszanowania życia rodzinnego) Konwencji. Zauważył, że dziecko, które nie uzyskało prawnie uznanych więzi rodzinnych z ojcem aż do momentu uznania go za prawowitego dwa lata po urodzeniu, nie mogło dziedziczyć po ojcu, w przeciwieństwie do dzieci, które miały takie więzi, ponieważ urodziły się w związku małżeńskim lub zostały uznane przez ojca. Stanowiło to niewątpliwie różnicę w traktowaniu osób znajdujących się w podobnej sytuacji, opartą na urodzeniu. Zgodnie z orzecznictwem Trybunału, aby różnica w traktowaniu ze względu na pochodzenie z związku pozamałżeńskiego mogła zostać uznana za zgodną z Konwencją, należy przedstawić bardzo </w:t>
      </w:r>
    </w:p>
    <w:p w14:paraId="232DEC66" w14:textId="77777777" w:rsidR="009249A1" w:rsidRPr="00B5742F" w:rsidRDefault="009249A1" w:rsidP="00E93132">
      <w:pPr>
        <w:pStyle w:val="Tekstpodstawowy"/>
        <w:ind w:left="874" w:right="727" w:hanging="1"/>
        <w:rPr>
          <w:rFonts w:ascii="Verdana" w:hAnsi="Verdana"/>
          <w:spacing w:val="2"/>
          <w:sz w:val="19"/>
          <w:szCs w:val="19"/>
        </w:rPr>
      </w:pPr>
    </w:p>
    <w:p w14:paraId="3AD3B648" w14:textId="77777777" w:rsidR="000F5B45" w:rsidRPr="00B5742F" w:rsidRDefault="000F5B45" w:rsidP="00E93132">
      <w:pPr>
        <w:pStyle w:val="Tekstpodstawowy"/>
        <w:rPr>
          <w:rFonts w:ascii="Verdana" w:hAnsi="Verdana"/>
        </w:rPr>
        <w:sectPr w:rsidR="000F5B45" w:rsidRPr="00B5742F">
          <w:pgSz w:w="11910" w:h="16840"/>
          <w:pgMar w:top="1460" w:right="708" w:bottom="680" w:left="566" w:header="730" w:footer="497" w:gutter="0"/>
          <w:cols w:space="708"/>
        </w:sectPr>
      </w:pPr>
    </w:p>
    <w:p w14:paraId="6704B568" w14:textId="24AD5365" w:rsidR="000F5B45" w:rsidRPr="00B5742F" w:rsidRDefault="009249A1" w:rsidP="00E93132">
      <w:pPr>
        <w:pStyle w:val="Tekstpodstawowy"/>
        <w:spacing w:before="240"/>
        <w:ind w:right="729"/>
        <w:rPr>
          <w:rFonts w:ascii="Verdana" w:hAnsi="Verdana"/>
          <w:spacing w:val="2"/>
          <w:sz w:val="19"/>
          <w:szCs w:val="19"/>
        </w:rPr>
      </w:pPr>
      <w:r w:rsidRPr="00B5742F">
        <w:rPr>
          <w:rFonts w:ascii="Verdana" w:hAnsi="Verdana"/>
          <w:color w:val="0071BB"/>
          <w:spacing w:val="2"/>
          <w:sz w:val="19"/>
          <w:szCs w:val="19"/>
        </w:rPr>
        <w:lastRenderedPageBreak/>
        <w:t xml:space="preserve">istotne </w:t>
      </w:r>
      <w:r w:rsidRPr="009249A1">
        <w:rPr>
          <w:rFonts w:ascii="Verdana" w:hAnsi="Verdana"/>
          <w:color w:val="0071BB"/>
          <w:spacing w:val="2"/>
          <w:sz w:val="19"/>
          <w:szCs w:val="19"/>
        </w:rPr>
        <w:t>powody. Trybunał</w:t>
      </w:r>
      <w:r w:rsidRPr="00B5742F">
        <w:rPr>
          <w:rFonts w:ascii="Verdana" w:hAnsi="Verdana"/>
          <w:color w:val="0071BB"/>
          <w:spacing w:val="2"/>
          <w:sz w:val="19"/>
          <w:szCs w:val="19"/>
        </w:rPr>
        <w:t xml:space="preserve"> zauważył w tym względzie, że nie było świadomej decyzji ze strony zmarłego o nieuznaniu dziecka, </w:t>
      </w:r>
      <w:r w:rsidR="00A118AB" w:rsidRPr="009249A1">
        <w:rPr>
          <w:rFonts w:ascii="Verdana" w:hAnsi="Verdana"/>
          <w:color w:val="0071BB"/>
          <w:spacing w:val="2"/>
          <w:sz w:val="19"/>
          <w:szCs w:val="19"/>
        </w:rPr>
        <w:t xml:space="preserve">z którym w ciąży była </w:t>
      </w:r>
      <w:r w:rsidRPr="00B5742F">
        <w:rPr>
          <w:rFonts w:ascii="Verdana" w:hAnsi="Verdana"/>
          <w:color w:val="0071BB"/>
          <w:spacing w:val="2"/>
          <w:sz w:val="19"/>
          <w:szCs w:val="19"/>
        </w:rPr>
        <w:t xml:space="preserve">skarżąca. Wręcz przeciwnie, zamierzał on poślubić tę kobietę, a dziecko zostało uznane za prawowite właśnie dlatego, że jego przedwczesna śmierć uniemożliwiła zawarcie tego małżeństwa. Sąd nie mógł zatem przyjąć argumentów rządu holenderskiego dotyczących tego, w jaki sposób zmarły mógłby zapobiec obecnej sytuacji swojego </w:t>
      </w:r>
      <w:r w:rsidR="00A118AB" w:rsidRPr="009249A1">
        <w:rPr>
          <w:rFonts w:ascii="Verdana" w:hAnsi="Verdana"/>
          <w:color w:val="0071BB"/>
          <w:spacing w:val="2"/>
          <w:sz w:val="19"/>
          <w:szCs w:val="19"/>
        </w:rPr>
        <w:t>syna</w:t>
      </w:r>
      <w:r w:rsidRPr="00B5742F">
        <w:rPr>
          <w:rFonts w:ascii="Verdana" w:hAnsi="Verdana"/>
          <w:color w:val="0071BB"/>
          <w:spacing w:val="2"/>
          <w:sz w:val="19"/>
          <w:szCs w:val="19"/>
        </w:rPr>
        <w:t xml:space="preserve"> i uznał wykluczenie dziecka z dziedziczenia po ojcu za nieproporcjonalne.</w:t>
      </w:r>
    </w:p>
    <w:p w14:paraId="3AB03B09" w14:textId="77777777" w:rsidR="000F5B45" w:rsidRPr="00B5742F" w:rsidRDefault="000F5B45" w:rsidP="00E93132">
      <w:pPr>
        <w:pStyle w:val="Nagwek2"/>
        <w:ind w:left="873"/>
        <w:rPr>
          <w:rFonts w:ascii="Verdana" w:hAnsi="Verdana"/>
          <w:sz w:val="19"/>
          <w:szCs w:val="19"/>
          <w:u w:val="none"/>
        </w:rPr>
      </w:pPr>
      <w:hyperlink r:id="rId100">
        <w:r w:rsidRPr="00B5742F">
          <w:rPr>
            <w:rFonts w:ascii="Verdana" w:hAnsi="Verdana"/>
            <w:color w:val="0071BB"/>
            <w:sz w:val="19"/>
            <w:szCs w:val="19"/>
            <w:u w:color="0071BB"/>
          </w:rPr>
          <w:t>Pla i Puncernau przeciwko Andorze</w:t>
        </w:r>
      </w:hyperlink>
    </w:p>
    <w:p w14:paraId="15D5A376" w14:textId="77777777" w:rsidR="000F5B45" w:rsidRPr="00B5742F" w:rsidRDefault="00000000" w:rsidP="00E93132">
      <w:pPr>
        <w:spacing w:before="58"/>
        <w:ind w:left="874"/>
        <w:jc w:val="both"/>
        <w:rPr>
          <w:rFonts w:ascii="Verdana" w:hAnsi="Verdana"/>
          <w:sz w:val="18"/>
        </w:rPr>
      </w:pPr>
      <w:r w:rsidRPr="00B5742F">
        <w:rPr>
          <w:rFonts w:ascii="Verdana" w:hAnsi="Verdana"/>
          <w:color w:val="808080"/>
          <w:sz w:val="17"/>
        </w:rPr>
        <w:t>13 lipca 2004 r.</w:t>
      </w:r>
    </w:p>
    <w:p w14:paraId="3FEC9B84" w14:textId="5EB5B385" w:rsidR="000F5B45" w:rsidRPr="00B5742F" w:rsidRDefault="00000000" w:rsidP="00E93132">
      <w:pPr>
        <w:pStyle w:val="Tekstpodstawowy"/>
        <w:spacing w:before="1"/>
        <w:ind w:left="874" w:right="730"/>
        <w:rPr>
          <w:rFonts w:ascii="Verdana" w:hAnsi="Verdana"/>
          <w:spacing w:val="2"/>
          <w:sz w:val="19"/>
          <w:szCs w:val="19"/>
        </w:rPr>
      </w:pPr>
      <w:r w:rsidRPr="00B5742F">
        <w:rPr>
          <w:rFonts w:ascii="Verdana" w:hAnsi="Verdana"/>
          <w:spacing w:val="2"/>
          <w:sz w:val="19"/>
          <w:szCs w:val="19"/>
        </w:rPr>
        <w:t xml:space="preserve">Pierwszy skarżący, adoptowane dziecko, został wydziedziczony, a jego matka, druga skarżąca, utraciła w konsekwencji prawo do dożywotniego użytkowania majątku rodzinnego po tym, jak sądy andorskie zinterpretowały klauzulę </w:t>
      </w:r>
      <w:r w:rsidR="00E73780" w:rsidRPr="009249A1">
        <w:rPr>
          <w:rFonts w:ascii="Verdana" w:hAnsi="Verdana"/>
          <w:spacing w:val="2"/>
          <w:sz w:val="19"/>
          <w:szCs w:val="19"/>
        </w:rPr>
        <w:t xml:space="preserve">zawartą w </w:t>
      </w:r>
      <w:r w:rsidR="00D04AB0" w:rsidRPr="00B5742F">
        <w:rPr>
          <w:rFonts w:ascii="Verdana" w:hAnsi="Verdana"/>
          <w:spacing w:val="2"/>
          <w:sz w:val="19"/>
          <w:szCs w:val="19"/>
        </w:rPr>
        <w:t>testam</w:t>
      </w:r>
      <w:r w:rsidR="00D04AB0" w:rsidRPr="009249A1">
        <w:rPr>
          <w:rFonts w:ascii="Verdana" w:hAnsi="Verdana"/>
          <w:spacing w:val="2"/>
          <w:sz w:val="19"/>
          <w:szCs w:val="19"/>
        </w:rPr>
        <w:t>encie</w:t>
      </w:r>
      <w:r w:rsidRPr="00B5742F">
        <w:rPr>
          <w:rFonts w:ascii="Verdana" w:hAnsi="Verdana"/>
          <w:spacing w:val="2"/>
          <w:sz w:val="19"/>
          <w:szCs w:val="19"/>
        </w:rPr>
        <w:t xml:space="preserve"> – stanowiącą, że spadkobierca musi </w:t>
      </w:r>
      <w:r w:rsidR="00E73780" w:rsidRPr="009249A1">
        <w:rPr>
          <w:rFonts w:ascii="Verdana" w:hAnsi="Verdana"/>
          <w:spacing w:val="2"/>
          <w:sz w:val="19"/>
          <w:szCs w:val="19"/>
        </w:rPr>
        <w:t>pochodzić</w:t>
      </w:r>
      <w:r w:rsidRPr="00B5742F">
        <w:rPr>
          <w:rFonts w:ascii="Verdana" w:hAnsi="Verdana"/>
          <w:spacing w:val="2"/>
          <w:sz w:val="19"/>
          <w:szCs w:val="19"/>
        </w:rPr>
        <w:t xml:space="preserve"> z „</w:t>
      </w:r>
      <w:r w:rsidR="00505CDA">
        <w:rPr>
          <w:rFonts w:ascii="Verdana" w:hAnsi="Verdana"/>
          <w:spacing w:val="2"/>
          <w:sz w:val="19"/>
          <w:szCs w:val="19"/>
        </w:rPr>
        <w:t>zgodnego z prawem</w:t>
      </w:r>
      <w:r w:rsidR="00E73780" w:rsidRPr="009249A1">
        <w:rPr>
          <w:rFonts w:ascii="Verdana" w:hAnsi="Verdana"/>
          <w:spacing w:val="2"/>
          <w:sz w:val="19"/>
          <w:szCs w:val="19"/>
        </w:rPr>
        <w:t xml:space="preserve"> kanonicznego małżeństwa</w:t>
      </w:r>
      <w:r w:rsidRPr="00B5742F">
        <w:rPr>
          <w:rFonts w:ascii="Verdana" w:hAnsi="Verdana"/>
          <w:spacing w:val="2"/>
          <w:sz w:val="19"/>
          <w:szCs w:val="19"/>
        </w:rPr>
        <w:t>” – jako odnoszącą się wyłącznie do dzieci biologicznych.</w:t>
      </w:r>
    </w:p>
    <w:p w14:paraId="7316F2E3" w14:textId="320D28AE" w:rsidR="000F5B45" w:rsidRPr="00B5742F" w:rsidRDefault="00000000" w:rsidP="009249A1">
      <w:pPr>
        <w:pStyle w:val="Tekstpodstawowy"/>
        <w:ind w:left="874" w:right="729"/>
        <w:rPr>
          <w:rFonts w:ascii="Verdana" w:hAnsi="Verdana"/>
          <w:spacing w:val="2"/>
          <w:sz w:val="19"/>
          <w:szCs w:val="19"/>
        </w:rPr>
      </w:pPr>
      <w:r w:rsidRPr="00B5742F">
        <w:rPr>
          <w:rFonts w:ascii="Verdana" w:hAnsi="Verdana"/>
          <w:color w:val="0071BB"/>
          <w:spacing w:val="2"/>
          <w:sz w:val="19"/>
          <w:szCs w:val="19"/>
        </w:rPr>
        <w:t xml:space="preserve">Trybunał uznał, że </w:t>
      </w:r>
      <w:r w:rsidRPr="00B5742F">
        <w:rPr>
          <w:rFonts w:ascii="Verdana" w:hAnsi="Verdana"/>
          <w:b/>
          <w:bCs/>
          <w:color w:val="0071BB"/>
          <w:spacing w:val="2"/>
          <w:sz w:val="19"/>
          <w:szCs w:val="19"/>
        </w:rPr>
        <w:t>doszło</w:t>
      </w:r>
      <w:r w:rsidRPr="00B5742F">
        <w:rPr>
          <w:rFonts w:ascii="Verdana" w:hAnsi="Verdana"/>
          <w:color w:val="0071BB"/>
          <w:spacing w:val="2"/>
          <w:sz w:val="19"/>
          <w:szCs w:val="19"/>
        </w:rPr>
        <w:t xml:space="preserve"> </w:t>
      </w:r>
      <w:r w:rsidRPr="00B5742F">
        <w:rPr>
          <w:rFonts w:ascii="Verdana" w:hAnsi="Verdana"/>
          <w:b/>
          <w:color w:val="0071BB"/>
          <w:spacing w:val="2"/>
          <w:sz w:val="19"/>
          <w:szCs w:val="19"/>
        </w:rPr>
        <w:t xml:space="preserve">do naruszenia art. 14 </w:t>
      </w:r>
      <w:r w:rsidRPr="00B5742F">
        <w:rPr>
          <w:rFonts w:ascii="Verdana" w:hAnsi="Verdana"/>
          <w:color w:val="0071BB"/>
          <w:spacing w:val="2"/>
          <w:sz w:val="19"/>
          <w:szCs w:val="19"/>
        </w:rPr>
        <w:t xml:space="preserve">(zakaz dyskryminacji) </w:t>
      </w:r>
      <w:r w:rsidRPr="00B5742F">
        <w:rPr>
          <w:rFonts w:ascii="Verdana" w:hAnsi="Verdana"/>
          <w:b/>
          <w:color w:val="0071BB"/>
          <w:spacing w:val="2"/>
          <w:sz w:val="19"/>
          <w:szCs w:val="19"/>
        </w:rPr>
        <w:t xml:space="preserve">w związku z art. 8 </w:t>
      </w:r>
      <w:r w:rsidRPr="00B5742F">
        <w:rPr>
          <w:rFonts w:ascii="Verdana" w:hAnsi="Verdana"/>
          <w:color w:val="0071BB"/>
          <w:spacing w:val="2"/>
          <w:sz w:val="19"/>
          <w:szCs w:val="19"/>
        </w:rPr>
        <w:t>(prawo do poszanowania życia prywatnego i rodzinnego) Konwencji. Zauważył, że rodzice pierwszego skarżącego pozostawali w „prawomocnym i kanonicznym związku małżeńskim”, a w spornym testamencie nie było nic, co sugerowałoby wykluczenie dzieci adoptowanych. Orzeczenie sądów krajowych stanowiło „sądowe pozbawienie adoptowanego dziecka praw do dziedziczenia”, co było „rażąco niezgodne z zakazem dyskryminacji” (</w:t>
      </w:r>
      <w:r w:rsidR="009249A1">
        <w:rPr>
          <w:rFonts w:ascii="Verdana" w:hAnsi="Verdana"/>
          <w:color w:val="0071BB"/>
          <w:spacing w:val="2"/>
          <w:sz w:val="19"/>
          <w:szCs w:val="19"/>
        </w:rPr>
        <w:t>§</w:t>
      </w:r>
      <w:r w:rsidRPr="00B5742F">
        <w:rPr>
          <w:rFonts w:ascii="Verdana" w:hAnsi="Verdana"/>
          <w:color w:val="0071BB"/>
          <w:spacing w:val="2"/>
          <w:sz w:val="19"/>
          <w:szCs w:val="19"/>
        </w:rPr>
        <w:t xml:space="preserve"> 59 wyroku).</w:t>
      </w:r>
    </w:p>
    <w:p w14:paraId="5270E9CC" w14:textId="77777777" w:rsidR="000F5B45" w:rsidRPr="00B5742F" w:rsidRDefault="000F5B45" w:rsidP="00E93132">
      <w:pPr>
        <w:pStyle w:val="Nagwek2"/>
        <w:spacing w:before="108"/>
        <w:rPr>
          <w:rFonts w:ascii="Verdana" w:hAnsi="Verdana"/>
          <w:sz w:val="19"/>
          <w:szCs w:val="19"/>
          <w:u w:val="none"/>
        </w:rPr>
      </w:pPr>
      <w:hyperlink r:id="rId101">
        <w:r w:rsidRPr="00B5742F">
          <w:rPr>
            <w:rFonts w:ascii="Verdana" w:hAnsi="Verdana"/>
            <w:color w:val="0071BB"/>
            <w:sz w:val="19"/>
            <w:szCs w:val="19"/>
            <w:u w:color="0071BB"/>
          </w:rPr>
          <w:t>Brauer przeciwko Niemcom</w:t>
        </w:r>
      </w:hyperlink>
    </w:p>
    <w:p w14:paraId="50C61059" w14:textId="6327F614"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28 maja 2009</w:t>
      </w:r>
      <w:r w:rsidR="00E26D58" w:rsidRPr="009749D0">
        <w:rPr>
          <w:rFonts w:ascii="Verdana" w:hAnsi="Verdana"/>
          <w:color w:val="808080"/>
          <w:sz w:val="17"/>
        </w:rPr>
        <w:t xml:space="preserve"> r.</w:t>
      </w:r>
    </w:p>
    <w:p w14:paraId="596E0CFC" w14:textId="1073F48B" w:rsidR="000F5B45" w:rsidRPr="00B5742F" w:rsidRDefault="00EA131F" w:rsidP="00E93132">
      <w:pPr>
        <w:pStyle w:val="Tekstpodstawowy"/>
        <w:spacing w:before="1"/>
        <w:rPr>
          <w:rFonts w:ascii="Verdana" w:hAnsi="Verdana"/>
          <w:spacing w:val="2"/>
          <w:sz w:val="19"/>
          <w:szCs w:val="19"/>
        </w:rPr>
      </w:pPr>
      <w:r>
        <w:rPr>
          <w:rFonts w:ascii="Verdana" w:hAnsi="Verdana"/>
          <w:spacing w:val="2"/>
          <w:sz w:val="19"/>
          <w:szCs w:val="19"/>
        </w:rPr>
        <w:t>Skarżąca</w:t>
      </w:r>
      <w:r w:rsidRPr="00B5742F">
        <w:rPr>
          <w:rFonts w:ascii="Verdana" w:hAnsi="Verdana"/>
          <w:spacing w:val="2"/>
          <w:sz w:val="19"/>
          <w:szCs w:val="19"/>
        </w:rPr>
        <w:t xml:space="preserve"> nie mogła odziedziczyć majątku po ojcu, który uznał ją na mocy przepisów dotyczących dzieci urodzonych poza związkiem małżeńskim przed dniem 1 lipca 1949 r. Równe prawa do dziedziczenia przysługujące na mocy prawa byłej Niemieckiej Republiki Demokratycznej (gdzie </w:t>
      </w:r>
      <w:r>
        <w:rPr>
          <w:rFonts w:ascii="Verdana" w:hAnsi="Verdana"/>
          <w:spacing w:val="2"/>
          <w:sz w:val="19"/>
          <w:szCs w:val="19"/>
        </w:rPr>
        <w:t>skarżąca</w:t>
      </w:r>
      <w:r w:rsidRPr="00B5742F">
        <w:rPr>
          <w:rFonts w:ascii="Verdana" w:hAnsi="Verdana"/>
          <w:spacing w:val="2"/>
          <w:sz w:val="19"/>
          <w:szCs w:val="19"/>
        </w:rPr>
        <w:t xml:space="preserve"> mieszkała przez większość swojego życia) nie miały zastosowania, ponieważ jej ojciec mieszkał w Republice Federalnej Niemiec w momencie zjednoczenia Niemiec. </w:t>
      </w:r>
      <w:r>
        <w:rPr>
          <w:rFonts w:ascii="Verdana" w:hAnsi="Verdana"/>
          <w:spacing w:val="2"/>
          <w:sz w:val="19"/>
          <w:szCs w:val="19"/>
        </w:rPr>
        <w:t>Skarżąca</w:t>
      </w:r>
      <w:r w:rsidRPr="00B5742F">
        <w:rPr>
          <w:rFonts w:ascii="Verdana" w:hAnsi="Verdana"/>
          <w:spacing w:val="2"/>
          <w:sz w:val="19"/>
          <w:szCs w:val="19"/>
        </w:rPr>
        <w:t xml:space="preserve"> </w:t>
      </w:r>
      <w:r>
        <w:rPr>
          <w:rFonts w:ascii="Verdana" w:hAnsi="Verdana"/>
          <w:spacing w:val="2"/>
          <w:sz w:val="19"/>
          <w:szCs w:val="19"/>
        </w:rPr>
        <w:t xml:space="preserve">zarzuciła, </w:t>
      </w:r>
      <w:r w:rsidRPr="00EA131F">
        <w:rPr>
          <w:rFonts w:ascii="Verdana" w:hAnsi="Verdana"/>
          <w:spacing w:val="2"/>
          <w:sz w:val="19"/>
          <w:szCs w:val="19"/>
        </w:rPr>
        <w:t>że</w:t>
      </w:r>
      <w:r w:rsidRPr="00B5742F">
        <w:rPr>
          <w:rFonts w:ascii="Verdana" w:hAnsi="Verdana"/>
          <w:spacing w:val="2"/>
          <w:sz w:val="19"/>
          <w:szCs w:val="19"/>
        </w:rPr>
        <w:t xml:space="preserve"> po śmierci ojca pozbawienie jej wszelkich praw do jego majątku stanowiło dyskryminujące traktowanie i było całkowicie nieproporcjonalne.</w:t>
      </w:r>
    </w:p>
    <w:p w14:paraId="6DF4F38A" w14:textId="7BB4EE8C" w:rsidR="000F5B45" w:rsidRPr="00B5742F" w:rsidRDefault="00000000" w:rsidP="00E93132">
      <w:pPr>
        <w:pStyle w:val="Tekstpodstawowy"/>
        <w:ind w:right="731"/>
        <w:rPr>
          <w:rFonts w:ascii="Verdana" w:hAnsi="Verdana"/>
          <w:spacing w:val="2"/>
          <w:sz w:val="19"/>
          <w:szCs w:val="19"/>
        </w:rPr>
      </w:pPr>
      <w:r w:rsidRPr="00B5742F">
        <w:rPr>
          <w:rFonts w:ascii="Verdana" w:hAnsi="Verdana"/>
          <w:color w:val="0071BB"/>
          <w:spacing w:val="2"/>
          <w:sz w:val="19"/>
          <w:szCs w:val="19"/>
        </w:rPr>
        <w:t xml:space="preserve">Trybunał uznał, że </w:t>
      </w:r>
      <w:r w:rsidRPr="00B5742F">
        <w:rPr>
          <w:rFonts w:ascii="Verdana" w:hAnsi="Verdana"/>
          <w:b/>
          <w:bCs/>
          <w:color w:val="0071BB"/>
          <w:spacing w:val="2"/>
          <w:sz w:val="19"/>
          <w:szCs w:val="19"/>
        </w:rPr>
        <w:t xml:space="preserve">doszło </w:t>
      </w:r>
      <w:r w:rsidRPr="00B5742F">
        <w:rPr>
          <w:rFonts w:ascii="Verdana" w:hAnsi="Verdana"/>
          <w:b/>
          <w:color w:val="0071BB"/>
          <w:spacing w:val="2"/>
          <w:sz w:val="19"/>
          <w:szCs w:val="19"/>
        </w:rPr>
        <w:t xml:space="preserve">do naruszenia art. 14 </w:t>
      </w:r>
      <w:r w:rsidRPr="00B5742F">
        <w:rPr>
          <w:rFonts w:ascii="Verdana" w:hAnsi="Verdana"/>
          <w:color w:val="0071BB"/>
          <w:spacing w:val="2"/>
          <w:sz w:val="19"/>
          <w:szCs w:val="19"/>
        </w:rPr>
        <w:t xml:space="preserve">(zakaz dyskryminacji) </w:t>
      </w:r>
      <w:r w:rsidRPr="00B5742F">
        <w:rPr>
          <w:rFonts w:ascii="Verdana" w:hAnsi="Verdana"/>
          <w:b/>
          <w:color w:val="0071BB"/>
          <w:spacing w:val="2"/>
          <w:sz w:val="19"/>
          <w:szCs w:val="19"/>
        </w:rPr>
        <w:t xml:space="preserve">w związku z art. 8 </w:t>
      </w:r>
      <w:r w:rsidRPr="00B5742F">
        <w:rPr>
          <w:rFonts w:ascii="Verdana" w:hAnsi="Verdana"/>
          <w:color w:val="0071BB"/>
          <w:spacing w:val="2"/>
          <w:sz w:val="19"/>
          <w:szCs w:val="19"/>
        </w:rPr>
        <w:t>(prawo do poszanowania życia prywatnego i rodzinnego) Konwencji. Nie znalazł żadnych podstaw, które uzasadniałyby obecnie taką dyskryminację ze względu na urodzenie poza związkiem małżeńskim, zwłaszcza że pozbawienie skarżącej wszelkich ustawowych praw do dziedziczenia</w:t>
      </w:r>
      <w:r w:rsidR="00522F49">
        <w:rPr>
          <w:rFonts w:ascii="Verdana" w:hAnsi="Verdana"/>
          <w:color w:val="0071BB"/>
          <w:spacing w:val="2"/>
          <w:sz w:val="19"/>
          <w:szCs w:val="19"/>
        </w:rPr>
        <w:t xml:space="preserve"> </w:t>
      </w:r>
      <w:r w:rsidR="00522F49" w:rsidRPr="00522F49">
        <w:rPr>
          <w:rFonts w:ascii="Verdana" w:hAnsi="Verdana"/>
          <w:color w:val="0071BB"/>
          <w:spacing w:val="2"/>
          <w:sz w:val="19"/>
          <w:szCs w:val="19"/>
        </w:rPr>
        <w:t>dyskryminowało</w:t>
      </w:r>
      <w:r w:rsidR="00144924">
        <w:rPr>
          <w:rFonts w:ascii="Verdana" w:hAnsi="Verdana"/>
          <w:color w:val="0071BB"/>
          <w:spacing w:val="2"/>
          <w:sz w:val="19"/>
          <w:szCs w:val="19"/>
        </w:rPr>
        <w:t xml:space="preserve"> </w:t>
      </w:r>
      <w:r w:rsidR="00E26D58" w:rsidRPr="004A3380">
        <w:rPr>
          <w:rFonts w:ascii="Verdana" w:hAnsi="Verdana"/>
          <w:color w:val="0071BB"/>
          <w:spacing w:val="2"/>
          <w:sz w:val="19"/>
          <w:szCs w:val="19"/>
        </w:rPr>
        <w:t>ją</w:t>
      </w:r>
      <w:r w:rsidRPr="00B5742F">
        <w:rPr>
          <w:rFonts w:ascii="Verdana" w:hAnsi="Verdana"/>
          <w:color w:val="0071BB"/>
          <w:spacing w:val="2"/>
          <w:sz w:val="19"/>
          <w:szCs w:val="19"/>
        </w:rPr>
        <w:t xml:space="preserve"> w stopniu większym niż w innych podobnych sprawach rozpatrywanych przez Trybunał.</w:t>
      </w:r>
    </w:p>
    <w:p w14:paraId="692FE6B9" w14:textId="77777777" w:rsidR="000F5B45" w:rsidRPr="00B5742F" w:rsidRDefault="000F5B45" w:rsidP="00E93132">
      <w:pPr>
        <w:pStyle w:val="Nagwek2"/>
        <w:spacing w:before="107"/>
        <w:ind w:left="873"/>
        <w:rPr>
          <w:rFonts w:ascii="Verdana" w:hAnsi="Verdana"/>
          <w:sz w:val="19"/>
          <w:szCs w:val="19"/>
          <w:u w:val="none"/>
        </w:rPr>
      </w:pPr>
      <w:hyperlink r:id="rId102">
        <w:r w:rsidRPr="00B5742F">
          <w:rPr>
            <w:rFonts w:ascii="Verdana" w:hAnsi="Verdana"/>
            <w:color w:val="0071BB"/>
            <w:sz w:val="19"/>
            <w:szCs w:val="19"/>
            <w:u w:color="0071BB"/>
          </w:rPr>
          <w:t>Fabris przeciwko Francji</w:t>
        </w:r>
      </w:hyperlink>
    </w:p>
    <w:p w14:paraId="6DB32F21" w14:textId="77777777"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7 lutego 2013 r. (Wielka Izba)</w:t>
      </w:r>
    </w:p>
    <w:p w14:paraId="0E2402B9" w14:textId="47D30B8B" w:rsidR="000F5B45" w:rsidRPr="00B5742F" w:rsidRDefault="00EA131F" w:rsidP="00E93132">
      <w:pPr>
        <w:pStyle w:val="Tekstpodstawowy"/>
        <w:spacing w:before="1"/>
        <w:ind w:left="874"/>
        <w:rPr>
          <w:rFonts w:ascii="Verdana" w:hAnsi="Verdana"/>
          <w:spacing w:val="6"/>
          <w:sz w:val="19"/>
          <w:szCs w:val="19"/>
        </w:rPr>
      </w:pPr>
      <w:r>
        <w:rPr>
          <w:rFonts w:ascii="Verdana" w:hAnsi="Verdana"/>
          <w:spacing w:val="6"/>
          <w:sz w:val="19"/>
          <w:szCs w:val="19"/>
        </w:rPr>
        <w:t>Skarżący</w:t>
      </w:r>
      <w:r w:rsidRPr="00B5742F">
        <w:rPr>
          <w:rFonts w:ascii="Verdana" w:hAnsi="Verdana"/>
          <w:spacing w:val="6"/>
          <w:sz w:val="19"/>
          <w:szCs w:val="19"/>
        </w:rPr>
        <w:t xml:space="preserve"> urodził się w 1943 r. w wyniku związku swojego ojca z zamężną kobietą, która była już matką dwojga dzieci z </w:t>
      </w:r>
      <w:r w:rsidR="00522F49">
        <w:rPr>
          <w:rFonts w:ascii="Verdana" w:hAnsi="Verdana"/>
          <w:spacing w:val="6"/>
          <w:sz w:val="19"/>
          <w:szCs w:val="19"/>
        </w:rPr>
        <w:t xml:space="preserve">jej </w:t>
      </w:r>
      <w:r w:rsidRPr="00B5742F">
        <w:rPr>
          <w:rFonts w:ascii="Verdana" w:hAnsi="Verdana"/>
          <w:spacing w:val="6"/>
          <w:sz w:val="19"/>
          <w:szCs w:val="19"/>
        </w:rPr>
        <w:t>małżeństwa. W wieku 40 lat został sądowo uznany za „nieślubne” dziecko tej kobiety. Po śmierci matki w 1994 r. wystąpił o uchylenie podziału</w:t>
      </w:r>
      <w:r w:rsidRPr="00B5742F">
        <w:rPr>
          <w:rFonts w:ascii="Verdana" w:hAnsi="Verdana"/>
          <w:i/>
          <w:spacing w:val="6"/>
          <w:sz w:val="19"/>
          <w:szCs w:val="19"/>
        </w:rPr>
        <w:t xml:space="preserve"> </w:t>
      </w:r>
      <w:r w:rsidRPr="00B5742F">
        <w:rPr>
          <w:rFonts w:ascii="Verdana" w:hAnsi="Verdana"/>
          <w:iCs/>
          <w:spacing w:val="6"/>
          <w:sz w:val="19"/>
          <w:szCs w:val="19"/>
        </w:rPr>
        <w:t>między żyjącymi</w:t>
      </w:r>
      <w:r w:rsidRPr="00B5742F">
        <w:rPr>
          <w:rFonts w:ascii="Verdana" w:hAnsi="Verdana"/>
          <w:spacing w:val="6"/>
          <w:sz w:val="19"/>
          <w:szCs w:val="19"/>
        </w:rPr>
        <w:t xml:space="preserve">, domagając się udziału w spadku równego udziałowi obdarowanych, czyli dzieciom matki z prawem do dziedziczenia ustawowego. W wyroku z września 2004 r. </w:t>
      </w:r>
      <w:r w:rsidRPr="00B5742F">
        <w:rPr>
          <w:rFonts w:ascii="Verdana" w:hAnsi="Verdana"/>
          <w:iCs/>
          <w:spacing w:val="6"/>
          <w:sz w:val="19"/>
          <w:szCs w:val="19"/>
        </w:rPr>
        <w:t>sąd pierwszej instancji</w:t>
      </w:r>
      <w:r w:rsidRPr="00B5742F">
        <w:rPr>
          <w:rFonts w:ascii="Verdana" w:hAnsi="Verdana"/>
          <w:i/>
          <w:spacing w:val="6"/>
          <w:sz w:val="19"/>
          <w:szCs w:val="19"/>
        </w:rPr>
        <w:t xml:space="preserve"> </w:t>
      </w:r>
      <w:r w:rsidRPr="00B5742F">
        <w:rPr>
          <w:rFonts w:ascii="Verdana" w:hAnsi="Verdana"/>
          <w:spacing w:val="6"/>
          <w:sz w:val="19"/>
          <w:szCs w:val="19"/>
        </w:rPr>
        <w:t>uznał skargę skarżącego za dopuszczalną i uwzględnił jego żądanie co do istoty sprawy. W wyniku odwołania dzieci prawowitych sąd apelacyjny uchylił wyrok sądu niższej instancji.</w:t>
      </w:r>
      <w:r w:rsidR="00144924">
        <w:rPr>
          <w:rFonts w:ascii="Verdana" w:hAnsi="Verdana"/>
          <w:spacing w:val="6"/>
          <w:sz w:val="19"/>
          <w:szCs w:val="19"/>
        </w:rPr>
        <w:t xml:space="preserve"> </w:t>
      </w:r>
      <w:r w:rsidR="00451B18">
        <w:rPr>
          <w:rFonts w:ascii="Verdana" w:hAnsi="Verdana"/>
          <w:spacing w:val="6"/>
          <w:sz w:val="19"/>
          <w:szCs w:val="19"/>
        </w:rPr>
        <w:t>Skarżący</w:t>
      </w:r>
      <w:r w:rsidR="00451B18" w:rsidRPr="00451B18">
        <w:rPr>
          <w:rFonts w:ascii="Verdana" w:hAnsi="Verdana"/>
          <w:spacing w:val="6"/>
          <w:sz w:val="19"/>
          <w:szCs w:val="19"/>
        </w:rPr>
        <w:t xml:space="preserve"> bezskutecznie wniósł skargę kasacyjną</w:t>
      </w:r>
      <w:r w:rsidRPr="00B5742F">
        <w:rPr>
          <w:rFonts w:ascii="Verdana" w:hAnsi="Verdana"/>
          <w:spacing w:val="6"/>
          <w:sz w:val="19"/>
          <w:szCs w:val="19"/>
        </w:rPr>
        <w:t xml:space="preserve">. </w:t>
      </w:r>
      <w:r w:rsidR="00451B18" w:rsidRPr="00451B18">
        <w:rPr>
          <w:rFonts w:ascii="Verdana" w:hAnsi="Verdana"/>
          <w:spacing w:val="6"/>
          <w:sz w:val="19"/>
          <w:szCs w:val="19"/>
        </w:rPr>
        <w:t>Przed Trybunałem skarżący zarzucił, że nie mógł skorzystać z ustawy z 2001 roku, która przyznała dzieciom „urodzonym z cudzołóstwa” identyczne prawa spadkowe jak dzieciom pochodzącym z małżeństwa</w:t>
      </w:r>
      <w:r w:rsidRPr="00B5742F">
        <w:rPr>
          <w:rFonts w:ascii="Verdana" w:hAnsi="Verdana"/>
          <w:spacing w:val="6"/>
          <w:sz w:val="19"/>
          <w:szCs w:val="19"/>
        </w:rPr>
        <w:t xml:space="preserve">, uchwalonej po wydaniu przez Trybunał wyroku w </w:t>
      </w:r>
      <w:r w:rsidRPr="00B5742F">
        <w:rPr>
          <w:rFonts w:ascii="Verdana" w:hAnsi="Verdana"/>
          <w:i/>
          <w:spacing w:val="6"/>
          <w:sz w:val="19"/>
          <w:szCs w:val="19"/>
        </w:rPr>
        <w:t xml:space="preserve">sprawie Mazurek przeciwko Francji </w:t>
      </w:r>
      <w:r w:rsidRPr="00B5742F">
        <w:rPr>
          <w:rFonts w:ascii="Verdana" w:hAnsi="Verdana"/>
          <w:spacing w:val="6"/>
          <w:sz w:val="19"/>
          <w:szCs w:val="19"/>
        </w:rPr>
        <w:t>z dnia 1 lutego 2000 r. (zob. powyżej).</w:t>
      </w:r>
    </w:p>
    <w:p w14:paraId="2572E6B3" w14:textId="01DE0BE0" w:rsidR="000F5B45" w:rsidRPr="00AD7ED6" w:rsidRDefault="00000000" w:rsidP="00AD7ED6">
      <w:pPr>
        <w:ind w:left="874" w:right="732"/>
        <w:jc w:val="both"/>
        <w:rPr>
          <w:rFonts w:ascii="Verdana" w:hAnsi="Verdana"/>
          <w:color w:val="0071BB"/>
          <w:spacing w:val="6"/>
          <w:sz w:val="19"/>
          <w:szCs w:val="19"/>
        </w:rPr>
      </w:pPr>
      <w:r w:rsidRPr="00B5742F">
        <w:rPr>
          <w:rFonts w:ascii="Verdana" w:hAnsi="Verdana"/>
          <w:color w:val="0071BB"/>
          <w:spacing w:val="6"/>
          <w:sz w:val="19"/>
          <w:szCs w:val="19"/>
        </w:rPr>
        <w:t xml:space="preserve">Trybunał Praw Człowieka w orzekł, że w sprawie </w:t>
      </w:r>
      <w:r w:rsidRPr="00B5742F">
        <w:rPr>
          <w:rFonts w:ascii="Verdana" w:hAnsi="Verdana"/>
          <w:b/>
          <w:bCs/>
          <w:color w:val="0071BB"/>
          <w:spacing w:val="6"/>
          <w:sz w:val="19"/>
          <w:szCs w:val="19"/>
        </w:rPr>
        <w:t>doszło do</w:t>
      </w:r>
      <w:r w:rsidRPr="00B5742F">
        <w:rPr>
          <w:rFonts w:ascii="Verdana" w:hAnsi="Verdana"/>
          <w:color w:val="0071BB"/>
          <w:spacing w:val="6"/>
          <w:sz w:val="19"/>
          <w:szCs w:val="19"/>
        </w:rPr>
        <w:t xml:space="preserve"> </w:t>
      </w:r>
      <w:r w:rsidRPr="00B5742F">
        <w:rPr>
          <w:rFonts w:ascii="Verdana" w:hAnsi="Verdana"/>
          <w:b/>
          <w:color w:val="0071BB"/>
          <w:spacing w:val="6"/>
          <w:sz w:val="19"/>
          <w:szCs w:val="19"/>
        </w:rPr>
        <w:t xml:space="preserve">naruszenia art. 14 </w:t>
      </w:r>
      <w:r w:rsidRPr="00B5742F">
        <w:rPr>
          <w:rFonts w:ascii="Verdana" w:hAnsi="Verdana"/>
          <w:color w:val="0071BB"/>
          <w:spacing w:val="6"/>
          <w:sz w:val="19"/>
          <w:szCs w:val="19"/>
        </w:rPr>
        <w:t xml:space="preserve">(zakaz </w:t>
      </w:r>
      <w:r w:rsidR="00365EE3" w:rsidRPr="00AD7ED6">
        <w:rPr>
          <w:rFonts w:ascii="Verdana" w:hAnsi="Verdana"/>
          <w:color w:val="0071BB"/>
          <w:spacing w:val="6"/>
          <w:sz w:val="19"/>
          <w:szCs w:val="19"/>
        </w:rPr>
        <w:t xml:space="preserve">dyskryminacji) </w:t>
      </w:r>
      <w:r w:rsidRPr="00B5742F">
        <w:rPr>
          <w:rFonts w:ascii="Verdana" w:hAnsi="Verdana"/>
          <w:b/>
          <w:color w:val="0071BB"/>
          <w:spacing w:val="6"/>
          <w:sz w:val="19"/>
          <w:szCs w:val="19"/>
        </w:rPr>
        <w:t>odjętych w połączeniu z art. 1</w:t>
      </w:r>
      <w:r w:rsidRPr="00B5742F">
        <w:rPr>
          <w:rFonts w:ascii="Verdana" w:hAnsi="Verdana"/>
          <w:color w:val="0071BB"/>
          <w:spacing w:val="6"/>
          <w:sz w:val="19"/>
          <w:szCs w:val="19"/>
        </w:rPr>
        <w:t xml:space="preserve"> (ochrona własności)</w:t>
      </w:r>
      <w:r w:rsidR="00365EE3" w:rsidRPr="00AD7ED6">
        <w:rPr>
          <w:rFonts w:ascii="Verdana" w:hAnsi="Verdana"/>
          <w:color w:val="0071BB"/>
          <w:spacing w:val="6"/>
          <w:sz w:val="19"/>
          <w:szCs w:val="19"/>
        </w:rPr>
        <w:t xml:space="preserve"> </w:t>
      </w:r>
      <w:r w:rsidRPr="00B5742F">
        <w:rPr>
          <w:rFonts w:ascii="Verdana" w:hAnsi="Verdana"/>
          <w:b/>
          <w:color w:val="0071BB"/>
          <w:spacing w:val="6"/>
          <w:sz w:val="19"/>
          <w:szCs w:val="19"/>
        </w:rPr>
        <w:t xml:space="preserve">Protokołu nr 1 </w:t>
      </w:r>
      <w:r w:rsidRPr="00B5742F">
        <w:rPr>
          <w:rFonts w:ascii="Verdana" w:hAnsi="Verdana"/>
          <w:color w:val="0071BB"/>
          <w:spacing w:val="6"/>
          <w:sz w:val="19"/>
          <w:szCs w:val="19"/>
        </w:rPr>
        <w:t xml:space="preserve">do Konwencji. W szczególności stwierdził, że </w:t>
      </w:r>
      <w:r w:rsidR="00EA131F" w:rsidRPr="00EA131F">
        <w:rPr>
          <w:rFonts w:ascii="Verdana" w:hAnsi="Verdana"/>
          <w:color w:val="0071BB"/>
          <w:spacing w:val="6"/>
          <w:sz w:val="19"/>
          <w:szCs w:val="19"/>
        </w:rPr>
        <w:t>uzasadniony</w:t>
      </w:r>
      <w:r w:rsidR="00EA131F">
        <w:rPr>
          <w:rFonts w:ascii="Verdana" w:hAnsi="Verdana"/>
          <w:color w:val="0071BB"/>
          <w:spacing w:val="6"/>
          <w:sz w:val="19"/>
          <w:szCs w:val="19"/>
        </w:rPr>
        <w:t xml:space="preserve"> </w:t>
      </w:r>
      <w:r w:rsidR="00451B18" w:rsidRPr="00EA131F">
        <w:rPr>
          <w:rFonts w:ascii="Verdana" w:hAnsi="Verdana"/>
          <w:color w:val="0071BB"/>
          <w:spacing w:val="6"/>
          <w:sz w:val="19"/>
          <w:szCs w:val="19"/>
        </w:rPr>
        <w:t>cel</w:t>
      </w:r>
      <w:r w:rsidR="00451B18" w:rsidRPr="00B5742F">
        <w:rPr>
          <w:rFonts w:ascii="Verdana" w:hAnsi="Verdana"/>
          <w:color w:val="0071BB"/>
          <w:spacing w:val="6"/>
          <w:sz w:val="19"/>
          <w:szCs w:val="19"/>
        </w:rPr>
        <w:t xml:space="preserve"> </w:t>
      </w:r>
      <w:r w:rsidR="00451B18">
        <w:rPr>
          <w:rFonts w:ascii="Verdana" w:hAnsi="Verdana"/>
          <w:color w:val="0071BB"/>
          <w:spacing w:val="6"/>
          <w:sz w:val="19"/>
          <w:szCs w:val="19"/>
        </w:rPr>
        <w:t>ochrony</w:t>
      </w:r>
      <w:r w:rsidR="00AD7ED6">
        <w:rPr>
          <w:rFonts w:ascii="Verdana" w:hAnsi="Verdana"/>
          <w:color w:val="0071BB"/>
          <w:spacing w:val="6"/>
          <w:sz w:val="19"/>
          <w:szCs w:val="19"/>
        </w:rPr>
        <w:t xml:space="preserve">  </w:t>
      </w:r>
      <w:r w:rsidRPr="00B5742F">
        <w:rPr>
          <w:rFonts w:ascii="Verdana" w:hAnsi="Verdana"/>
          <w:color w:val="0071BB"/>
          <w:spacing w:val="6"/>
          <w:sz w:val="19"/>
          <w:szCs w:val="19"/>
        </w:rPr>
        <w:t xml:space="preserve"> praw</w:t>
      </w:r>
      <w:r w:rsidR="00AD7ED6">
        <w:rPr>
          <w:rFonts w:ascii="Verdana" w:hAnsi="Verdana"/>
          <w:color w:val="0071BB"/>
          <w:spacing w:val="6"/>
          <w:sz w:val="19"/>
          <w:szCs w:val="19"/>
        </w:rPr>
        <w:t xml:space="preserve">  </w:t>
      </w:r>
      <w:r w:rsidRPr="00B5742F">
        <w:rPr>
          <w:rFonts w:ascii="Verdana" w:hAnsi="Verdana"/>
          <w:color w:val="0071BB"/>
          <w:spacing w:val="6"/>
          <w:sz w:val="19"/>
          <w:szCs w:val="19"/>
        </w:rPr>
        <w:t xml:space="preserve"> spadkowych </w:t>
      </w:r>
    </w:p>
    <w:p w14:paraId="59D30FA6" w14:textId="77777777" w:rsidR="00365EE3" w:rsidRPr="00B5742F" w:rsidRDefault="00365EE3" w:rsidP="00365EE3">
      <w:pPr>
        <w:ind w:left="874" w:right="732"/>
        <w:jc w:val="both"/>
        <w:rPr>
          <w:rFonts w:ascii="Verdana" w:hAnsi="Verdana"/>
          <w:spacing w:val="6"/>
        </w:rPr>
      </w:pPr>
    </w:p>
    <w:p w14:paraId="44091AA6" w14:textId="77777777" w:rsidR="000F5B45" w:rsidRPr="00B5742F" w:rsidRDefault="000F5B45" w:rsidP="00E93132">
      <w:pPr>
        <w:pStyle w:val="Tekstpodstawowy"/>
        <w:rPr>
          <w:rFonts w:ascii="Verdana" w:hAnsi="Verdana"/>
        </w:rPr>
        <w:sectPr w:rsidR="000F5B45" w:rsidRPr="00B5742F">
          <w:pgSz w:w="11910" w:h="16840"/>
          <w:pgMar w:top="1460" w:right="708" w:bottom="680" w:left="566" w:header="730" w:footer="497" w:gutter="0"/>
          <w:cols w:space="708"/>
        </w:sectPr>
      </w:pPr>
    </w:p>
    <w:p w14:paraId="2C501FEF" w14:textId="066EAC37" w:rsidR="000F5B45" w:rsidRPr="00B5742F" w:rsidRDefault="00AD7ED6" w:rsidP="00E93132">
      <w:pPr>
        <w:pStyle w:val="Tekstpodstawowy"/>
        <w:spacing w:before="242"/>
        <w:ind w:left="874"/>
        <w:rPr>
          <w:rFonts w:ascii="Verdana" w:hAnsi="Verdana"/>
          <w:sz w:val="19"/>
          <w:szCs w:val="19"/>
        </w:rPr>
      </w:pPr>
      <w:r w:rsidRPr="00B5742F">
        <w:rPr>
          <w:rFonts w:ascii="Verdana" w:hAnsi="Verdana"/>
          <w:color w:val="0071BB"/>
          <w:spacing w:val="2"/>
          <w:sz w:val="19"/>
          <w:szCs w:val="19"/>
        </w:rPr>
        <w:lastRenderedPageBreak/>
        <w:t>przyrodniego brata i przyrodniej siostry skarżącego nie</w:t>
      </w:r>
      <w:r w:rsidRPr="00AD7ED6">
        <w:rPr>
          <w:rFonts w:ascii="Verdana" w:hAnsi="Verdana"/>
          <w:color w:val="0071BB"/>
          <w:spacing w:val="2"/>
          <w:sz w:val="19"/>
          <w:szCs w:val="19"/>
        </w:rPr>
        <w:t xml:space="preserve"> </w:t>
      </w:r>
      <w:r>
        <w:rPr>
          <w:rFonts w:ascii="Verdana" w:hAnsi="Verdana"/>
          <w:color w:val="0071BB"/>
          <w:spacing w:val="2"/>
          <w:sz w:val="19"/>
          <w:szCs w:val="19"/>
        </w:rPr>
        <w:t>p</w:t>
      </w:r>
      <w:r w:rsidR="00365EE3" w:rsidRPr="00B5742F">
        <w:rPr>
          <w:rFonts w:ascii="Verdana" w:hAnsi="Verdana"/>
          <w:color w:val="0071BB"/>
          <w:spacing w:val="2"/>
          <w:sz w:val="19"/>
          <w:szCs w:val="19"/>
        </w:rPr>
        <w:t xml:space="preserve">rzeważał nad roszczeniem skarżącego udziału w majątku spadkowym po matce, a </w:t>
      </w:r>
      <w:r w:rsidR="00725569" w:rsidRPr="00AD7ED6">
        <w:rPr>
          <w:rFonts w:ascii="Verdana" w:hAnsi="Verdana"/>
          <w:color w:val="0071BB"/>
          <w:spacing w:val="2"/>
          <w:sz w:val="19"/>
          <w:szCs w:val="19"/>
        </w:rPr>
        <w:t>różnica</w:t>
      </w:r>
      <w:r w:rsidR="00365EE3" w:rsidRPr="00B5742F">
        <w:rPr>
          <w:rFonts w:ascii="Verdana" w:hAnsi="Verdana"/>
          <w:color w:val="0071BB"/>
          <w:spacing w:val="2"/>
          <w:sz w:val="19"/>
          <w:szCs w:val="19"/>
        </w:rPr>
        <w:t xml:space="preserve"> w traktowaniu jego </w:t>
      </w:r>
      <w:r w:rsidR="00725569" w:rsidRPr="00AD7ED6">
        <w:rPr>
          <w:rFonts w:ascii="Verdana" w:hAnsi="Verdana"/>
          <w:color w:val="0071BB"/>
          <w:spacing w:val="2"/>
          <w:sz w:val="19"/>
          <w:szCs w:val="19"/>
        </w:rPr>
        <w:t>osoby</w:t>
      </w:r>
      <w:r w:rsidR="00365EE3" w:rsidRPr="00B5742F">
        <w:rPr>
          <w:rFonts w:ascii="Verdana" w:hAnsi="Verdana"/>
          <w:color w:val="0071BB"/>
          <w:spacing w:val="2"/>
          <w:sz w:val="19"/>
          <w:szCs w:val="19"/>
        </w:rPr>
        <w:t xml:space="preserve"> była dyskryminacją, gdyż nie </w:t>
      </w:r>
      <w:r w:rsidR="00725569" w:rsidRPr="00AD7ED6">
        <w:rPr>
          <w:rFonts w:ascii="Verdana" w:hAnsi="Verdana"/>
          <w:color w:val="0071BB"/>
          <w:spacing w:val="2"/>
          <w:sz w:val="19"/>
          <w:szCs w:val="19"/>
        </w:rPr>
        <w:t>miała</w:t>
      </w:r>
      <w:r w:rsidR="00365EE3" w:rsidRPr="00B5742F">
        <w:rPr>
          <w:rFonts w:ascii="Verdana" w:hAnsi="Verdana"/>
          <w:color w:val="0071BB"/>
          <w:spacing w:val="2"/>
          <w:sz w:val="19"/>
          <w:szCs w:val="19"/>
        </w:rPr>
        <w:t xml:space="preserve"> obiektywnego ani</w:t>
      </w:r>
      <w:r w:rsidR="00144924">
        <w:rPr>
          <w:rFonts w:ascii="Verdana" w:hAnsi="Verdana"/>
          <w:color w:val="0071BB"/>
          <w:spacing w:val="2"/>
          <w:sz w:val="19"/>
          <w:szCs w:val="19"/>
        </w:rPr>
        <w:t xml:space="preserve"> </w:t>
      </w:r>
      <w:r w:rsidR="00E91E85">
        <w:rPr>
          <w:rFonts w:ascii="Verdana" w:hAnsi="Verdana"/>
          <w:color w:val="0071BB"/>
          <w:spacing w:val="2"/>
          <w:sz w:val="19"/>
          <w:szCs w:val="19"/>
        </w:rPr>
        <w:t>uzasadnionego wytłumaczenia</w:t>
      </w:r>
      <w:r w:rsidR="00365EE3" w:rsidRPr="00B5742F">
        <w:rPr>
          <w:rFonts w:ascii="Verdana" w:hAnsi="Verdana"/>
          <w:color w:val="0071BB"/>
          <w:spacing w:val="2"/>
          <w:sz w:val="19"/>
          <w:szCs w:val="19"/>
        </w:rPr>
        <w:t>.</w:t>
      </w:r>
      <w:r w:rsidR="00365EE3" w:rsidRPr="00B5742F">
        <w:rPr>
          <w:rFonts w:ascii="Verdana" w:hAnsi="Verdana"/>
          <w:color w:val="0071BB"/>
          <w:sz w:val="19"/>
          <w:szCs w:val="19"/>
        </w:rPr>
        <w:t xml:space="preserve"> </w:t>
      </w:r>
      <w:hyperlink w:anchor="_bookmark5" w:history="1">
        <w:r w:rsidR="000F5B45" w:rsidRPr="00B5742F">
          <w:rPr>
            <w:rFonts w:ascii="Verdana" w:hAnsi="Verdana"/>
            <w:color w:val="0071BB"/>
            <w:position w:val="7"/>
            <w:sz w:val="16"/>
            <w:szCs w:val="16"/>
          </w:rPr>
          <w:t>6</w:t>
        </w:r>
      </w:hyperlink>
      <w:r w:rsidR="00365EE3" w:rsidRPr="00B5742F">
        <w:rPr>
          <w:rFonts w:ascii="Verdana" w:hAnsi="Verdana"/>
          <w:color w:val="0071BB"/>
          <w:sz w:val="19"/>
          <w:szCs w:val="19"/>
        </w:rPr>
        <w:t xml:space="preserve"> .</w:t>
      </w:r>
    </w:p>
    <w:p w14:paraId="18E5CE32" w14:textId="77777777" w:rsidR="000F5B45" w:rsidRPr="00B5742F" w:rsidRDefault="00000000" w:rsidP="00E93132">
      <w:pPr>
        <w:spacing w:before="59"/>
        <w:ind w:left="873"/>
        <w:rPr>
          <w:rFonts w:ascii="Verdana" w:hAnsi="Verdana"/>
          <w:sz w:val="19"/>
          <w:szCs w:val="19"/>
        </w:rPr>
      </w:pPr>
      <w:r w:rsidRPr="00B5742F">
        <w:rPr>
          <w:rFonts w:ascii="Verdana" w:hAnsi="Verdana"/>
          <w:i/>
          <w:color w:val="404040"/>
          <w:sz w:val="19"/>
          <w:szCs w:val="19"/>
        </w:rPr>
        <w:t>Zob. również</w:t>
      </w:r>
      <w:r w:rsidRPr="00B5742F">
        <w:rPr>
          <w:rFonts w:ascii="Verdana" w:hAnsi="Verdana"/>
          <w:color w:val="404040"/>
          <w:sz w:val="19"/>
          <w:szCs w:val="19"/>
        </w:rPr>
        <w:t xml:space="preserve">: </w:t>
      </w:r>
      <w:hyperlink r:id="rId103">
        <w:r w:rsidR="000F5B45" w:rsidRPr="00B5742F">
          <w:rPr>
            <w:rFonts w:ascii="Verdana" w:hAnsi="Verdana"/>
            <w:b/>
            <w:color w:val="0071BB"/>
            <w:sz w:val="19"/>
            <w:szCs w:val="19"/>
            <w:u w:val="single" w:color="0071BB"/>
          </w:rPr>
          <w:t>Quilichini przeciwko Francji</w:t>
        </w:r>
      </w:hyperlink>
      <w:r w:rsidRPr="00B5742F">
        <w:rPr>
          <w:rFonts w:ascii="Verdana" w:hAnsi="Verdana"/>
          <w:color w:val="404040"/>
          <w:sz w:val="19"/>
          <w:szCs w:val="19"/>
        </w:rPr>
        <w:t>, wyrok z dnia 14 marca 2019 r.</w:t>
      </w:r>
    </w:p>
    <w:p w14:paraId="43241ABF" w14:textId="77777777" w:rsidR="000F5B45" w:rsidRPr="00B5742F" w:rsidRDefault="000F5B45" w:rsidP="00E93132">
      <w:pPr>
        <w:pStyle w:val="Nagwek2"/>
        <w:spacing w:before="121"/>
        <w:jc w:val="left"/>
        <w:rPr>
          <w:rFonts w:ascii="Verdana" w:hAnsi="Verdana"/>
          <w:sz w:val="19"/>
          <w:szCs w:val="19"/>
          <w:u w:val="none"/>
        </w:rPr>
      </w:pPr>
      <w:hyperlink r:id="rId104">
        <w:r w:rsidRPr="00B5742F">
          <w:rPr>
            <w:rFonts w:ascii="Verdana" w:hAnsi="Verdana"/>
            <w:color w:val="0071BB"/>
            <w:sz w:val="19"/>
            <w:szCs w:val="19"/>
            <w:u w:color="0071BB"/>
          </w:rPr>
          <w:t>Mitzinger przeciwko Niemcom</w:t>
        </w:r>
      </w:hyperlink>
    </w:p>
    <w:p w14:paraId="5B22EF45" w14:textId="77777777" w:rsidR="000F5B45" w:rsidRPr="00B5742F" w:rsidRDefault="00000000" w:rsidP="00E93132">
      <w:pPr>
        <w:spacing w:before="56"/>
        <w:ind w:left="874"/>
        <w:rPr>
          <w:rFonts w:ascii="Verdana" w:hAnsi="Verdana"/>
          <w:sz w:val="18"/>
        </w:rPr>
      </w:pPr>
      <w:r w:rsidRPr="00B5742F">
        <w:rPr>
          <w:rFonts w:ascii="Verdana" w:hAnsi="Verdana"/>
          <w:color w:val="808080"/>
          <w:sz w:val="17"/>
        </w:rPr>
        <w:t>9 lutego 2017 r.</w:t>
      </w:r>
    </w:p>
    <w:p w14:paraId="66421AC2" w14:textId="502074B8" w:rsidR="000F5B45" w:rsidRPr="00B5742F" w:rsidRDefault="00000000" w:rsidP="00E93132">
      <w:pPr>
        <w:pStyle w:val="Tekstpodstawowy"/>
        <w:spacing w:before="1"/>
        <w:ind w:right="730"/>
        <w:rPr>
          <w:rFonts w:ascii="Verdana" w:hAnsi="Verdana"/>
          <w:spacing w:val="4"/>
          <w:sz w:val="19"/>
          <w:szCs w:val="19"/>
        </w:rPr>
      </w:pPr>
      <w:r w:rsidRPr="00B5742F">
        <w:rPr>
          <w:rFonts w:ascii="Verdana" w:hAnsi="Verdana"/>
          <w:spacing w:val="4"/>
          <w:sz w:val="19"/>
          <w:szCs w:val="19"/>
        </w:rPr>
        <w:t>Wnosząca skargę w niniejszej sprawie twierdziła, że nie mogła dochodzić swoich praw spadkowych po śmierci ojca w 2009 r., ponieważ urodziła się poza związkiem małżeńskim i przed terminem granicznym przewidzianym w przepisach obowiązujących w tamtym czasie. Warto zauważyć, że dzieci urodzone poza związkiem małżeńskim przed dniem 1 lipca 1949</w:t>
      </w:r>
      <w:r w:rsidR="009C75DE">
        <w:rPr>
          <w:rFonts w:ascii="Verdana" w:hAnsi="Verdana"/>
          <w:spacing w:val="4"/>
          <w:sz w:val="19"/>
          <w:szCs w:val="19"/>
        </w:rPr>
        <w:t> </w:t>
      </w:r>
      <w:r w:rsidRPr="00B5742F">
        <w:rPr>
          <w:rFonts w:ascii="Verdana" w:hAnsi="Verdana"/>
          <w:spacing w:val="4"/>
          <w:sz w:val="19"/>
          <w:szCs w:val="19"/>
        </w:rPr>
        <w:t>r. były pozbawione wszelkich ustawowych praw do dziedziczenia oraz prawa do rekompensaty finansowej.</w:t>
      </w:r>
    </w:p>
    <w:p w14:paraId="11096583" w14:textId="54A353ED" w:rsidR="000F5B45" w:rsidRPr="00B5742F" w:rsidRDefault="00000000" w:rsidP="00E93132">
      <w:pPr>
        <w:pStyle w:val="Tekstpodstawowy"/>
        <w:ind w:left="872"/>
        <w:rPr>
          <w:rFonts w:ascii="Verdana" w:hAnsi="Verdana"/>
          <w:spacing w:val="4"/>
          <w:sz w:val="19"/>
          <w:szCs w:val="19"/>
        </w:rPr>
      </w:pPr>
      <w:r w:rsidRPr="00B5742F">
        <w:rPr>
          <w:rFonts w:ascii="Verdana" w:hAnsi="Verdana"/>
          <w:color w:val="0071BB"/>
          <w:spacing w:val="4"/>
          <w:sz w:val="19"/>
          <w:szCs w:val="19"/>
        </w:rPr>
        <w:t xml:space="preserve">Trybunał uznał, że doszło </w:t>
      </w:r>
      <w:r w:rsidRPr="00B5742F">
        <w:rPr>
          <w:rFonts w:ascii="Verdana" w:hAnsi="Verdana"/>
          <w:b/>
          <w:color w:val="0071BB"/>
          <w:spacing w:val="4"/>
          <w:sz w:val="19"/>
          <w:szCs w:val="19"/>
        </w:rPr>
        <w:t xml:space="preserve">do naruszenia art. 14 </w:t>
      </w:r>
      <w:r w:rsidRPr="00B5742F">
        <w:rPr>
          <w:rFonts w:ascii="Verdana" w:hAnsi="Verdana"/>
          <w:color w:val="0071BB"/>
          <w:spacing w:val="4"/>
          <w:sz w:val="19"/>
          <w:szCs w:val="19"/>
        </w:rPr>
        <w:t xml:space="preserve">(zakaz dyskryminacji) </w:t>
      </w:r>
      <w:r w:rsidRPr="00B5742F">
        <w:rPr>
          <w:rFonts w:ascii="Verdana" w:hAnsi="Verdana"/>
          <w:b/>
          <w:color w:val="0071BB"/>
          <w:spacing w:val="4"/>
          <w:sz w:val="19"/>
          <w:szCs w:val="19"/>
        </w:rPr>
        <w:t xml:space="preserve">w związku z art. 8 </w:t>
      </w:r>
      <w:r w:rsidRPr="00B5742F">
        <w:rPr>
          <w:rFonts w:ascii="Verdana" w:hAnsi="Verdana"/>
          <w:color w:val="0071BB"/>
          <w:spacing w:val="4"/>
          <w:sz w:val="19"/>
          <w:szCs w:val="19"/>
        </w:rPr>
        <w:t xml:space="preserve">(prawo do poszanowania życia prywatnego i rodzinnego) Konwencji. Stwierdził, że cele, do których dążyło odmienne traktowanie skarżącego, a mianowicie zachowanie pewności prawa oraz ochrona zmarłego i jego rodziny, były uzasadnione. Jednakże Trybunał nie uznał, że wyłączenie dzieci urodzonych poza związkiem małżeńskim przed upływem określonego terminu przewidzianego w przepisach stanowiło środek proporcjonalny do osiągnięcia zamierzonych celów. Decydujące znaczenie dla tego wniosku miał fakt, że ojciec skarżącej uznał ją za swoją córkę. Ponadto skarżąca regularnie odwiedzała ojca i jego żonę. Świadomość </w:t>
      </w:r>
      <w:r w:rsidR="0028507D">
        <w:rPr>
          <w:rFonts w:ascii="Verdana" w:hAnsi="Verdana"/>
          <w:color w:val="0071BB"/>
          <w:spacing w:val="4"/>
          <w:sz w:val="19"/>
          <w:szCs w:val="19"/>
        </w:rPr>
        <w:t>żony o istnieniu skarżącej</w:t>
      </w:r>
      <w:r w:rsidRPr="00B5742F">
        <w:rPr>
          <w:rFonts w:ascii="Verdana" w:hAnsi="Verdana"/>
          <w:color w:val="0071BB"/>
          <w:spacing w:val="4"/>
          <w:sz w:val="19"/>
          <w:szCs w:val="19"/>
        </w:rPr>
        <w:t>, a także fakt, że przepisy pozwalały dzieciom urodzonym w związku małżeńskim i pozamałżeńskim po upływie terminu granicznego na dziedziczenie, musiały zatem mieć wpływ na oczekiwania skarżącej wobec majątku męża. W każdym razie, jak zauważył Trybunał, orzecznictwo europejskie i reformy ustawodawstwa krajowego wykazały wyraźną tendencję do eliminowania wszelkiej dyskryminacji w zakresie praw do dziedziczenia dzieci urodzonych poza związkiem małżeńskim.</w:t>
      </w:r>
    </w:p>
    <w:p w14:paraId="30880EAF" w14:textId="77777777" w:rsidR="000F5B45" w:rsidRPr="00B5742F" w:rsidRDefault="00000000" w:rsidP="00E93132">
      <w:pPr>
        <w:pStyle w:val="Nagwek1"/>
        <w:spacing w:before="223"/>
        <w:jc w:val="left"/>
        <w:rPr>
          <w:rFonts w:ascii="Verdana" w:hAnsi="Verdana"/>
          <w:sz w:val="32"/>
          <w:szCs w:val="32"/>
        </w:rPr>
      </w:pPr>
      <w:r w:rsidRPr="00B5742F">
        <w:rPr>
          <w:rFonts w:ascii="Verdana" w:hAnsi="Verdana"/>
          <w:color w:val="808080"/>
          <w:szCs w:val="32"/>
        </w:rPr>
        <w:t>Obywatelstwo</w:t>
      </w:r>
    </w:p>
    <w:p w14:paraId="6EA81CF9" w14:textId="77777777" w:rsidR="000F5B45" w:rsidRPr="00B5742F" w:rsidRDefault="000F5B45" w:rsidP="00E93132">
      <w:pPr>
        <w:pStyle w:val="Nagwek2"/>
        <w:rPr>
          <w:rFonts w:ascii="Verdana" w:hAnsi="Verdana"/>
          <w:sz w:val="19"/>
          <w:szCs w:val="19"/>
          <w:u w:val="none"/>
        </w:rPr>
      </w:pPr>
      <w:hyperlink r:id="rId105">
        <w:r w:rsidRPr="00B5742F">
          <w:rPr>
            <w:rFonts w:ascii="Verdana" w:hAnsi="Verdana"/>
            <w:color w:val="0071BB"/>
            <w:sz w:val="19"/>
            <w:szCs w:val="19"/>
            <w:u w:color="0071BB"/>
          </w:rPr>
          <w:t>Genovese przeciwko Malcie</w:t>
        </w:r>
      </w:hyperlink>
    </w:p>
    <w:p w14:paraId="426C6EA6" w14:textId="0C25B1D9" w:rsidR="000F5B45" w:rsidRPr="00B5742F" w:rsidRDefault="00000000" w:rsidP="00E93132">
      <w:pPr>
        <w:spacing w:before="58"/>
        <w:ind w:left="874"/>
        <w:jc w:val="both"/>
        <w:rPr>
          <w:rFonts w:ascii="Verdana" w:hAnsi="Verdana"/>
          <w:sz w:val="18"/>
        </w:rPr>
      </w:pPr>
      <w:r w:rsidRPr="00B5742F">
        <w:rPr>
          <w:rFonts w:ascii="Verdana" w:hAnsi="Verdana"/>
          <w:color w:val="808080"/>
          <w:sz w:val="17"/>
        </w:rPr>
        <w:t>11 października 2011</w:t>
      </w:r>
      <w:r w:rsidR="00725569" w:rsidRPr="009749D0">
        <w:rPr>
          <w:rFonts w:ascii="Verdana" w:hAnsi="Verdana"/>
          <w:color w:val="808080"/>
          <w:sz w:val="17"/>
        </w:rPr>
        <w:t xml:space="preserve"> r.</w:t>
      </w:r>
    </w:p>
    <w:p w14:paraId="54DDA940" w14:textId="66B512F3" w:rsidR="000F5B45" w:rsidRPr="00B5742F" w:rsidRDefault="00EA131F" w:rsidP="00E93132">
      <w:pPr>
        <w:pStyle w:val="Tekstpodstawowy"/>
        <w:spacing w:before="1"/>
        <w:ind w:right="729"/>
        <w:rPr>
          <w:rFonts w:ascii="Verdana" w:hAnsi="Verdana"/>
          <w:spacing w:val="4"/>
          <w:sz w:val="19"/>
          <w:szCs w:val="19"/>
        </w:rPr>
      </w:pPr>
      <w:r>
        <w:rPr>
          <w:rFonts w:ascii="Verdana" w:hAnsi="Verdana"/>
          <w:spacing w:val="4"/>
          <w:sz w:val="19"/>
          <w:szCs w:val="19"/>
        </w:rPr>
        <w:t>Skarżący</w:t>
      </w:r>
      <w:r w:rsidRPr="00B5742F">
        <w:rPr>
          <w:rFonts w:ascii="Verdana" w:hAnsi="Verdana"/>
          <w:spacing w:val="4"/>
          <w:sz w:val="19"/>
          <w:szCs w:val="19"/>
        </w:rPr>
        <w:t xml:space="preserve"> urodził się poza związkiem małżeńskim brytyjskiej matki i maltańskiego ojca. Po ustaleniu ojcostwa</w:t>
      </w:r>
      <w:r w:rsidR="00725569" w:rsidRPr="0067337F">
        <w:rPr>
          <w:rFonts w:ascii="Verdana" w:hAnsi="Verdana"/>
          <w:spacing w:val="4"/>
          <w:sz w:val="19"/>
          <w:szCs w:val="19"/>
        </w:rPr>
        <w:t xml:space="preserve">, matka </w:t>
      </w:r>
      <w:r>
        <w:rPr>
          <w:rFonts w:ascii="Verdana" w:hAnsi="Verdana"/>
          <w:spacing w:val="4"/>
          <w:sz w:val="19"/>
          <w:szCs w:val="19"/>
        </w:rPr>
        <w:t>skarżącego</w:t>
      </w:r>
      <w:r w:rsidRPr="00B5742F">
        <w:rPr>
          <w:rFonts w:ascii="Verdana" w:hAnsi="Verdana"/>
          <w:spacing w:val="4"/>
          <w:sz w:val="19"/>
          <w:szCs w:val="19"/>
        </w:rPr>
        <w:t xml:space="preserve"> </w:t>
      </w:r>
      <w:r w:rsidR="00725569" w:rsidRPr="0067337F">
        <w:rPr>
          <w:rFonts w:ascii="Verdana" w:hAnsi="Verdana"/>
          <w:spacing w:val="4"/>
          <w:sz w:val="19"/>
          <w:szCs w:val="19"/>
        </w:rPr>
        <w:t>złożyła</w:t>
      </w:r>
      <w:r w:rsidR="00725569" w:rsidRPr="00B5742F">
        <w:rPr>
          <w:rFonts w:ascii="Verdana" w:hAnsi="Verdana"/>
          <w:spacing w:val="4"/>
          <w:sz w:val="19"/>
          <w:szCs w:val="19"/>
        </w:rPr>
        <w:t xml:space="preserve"> </w:t>
      </w:r>
      <w:r w:rsidRPr="00B5742F">
        <w:rPr>
          <w:rFonts w:ascii="Verdana" w:hAnsi="Verdana"/>
          <w:spacing w:val="4"/>
          <w:sz w:val="19"/>
          <w:szCs w:val="19"/>
        </w:rPr>
        <w:t>wniosek o przyznanie jej synowi obywatelstwa maltańskiego. Wniosek został odrzucony na podstawie tego, że obywatelstwa maltańskiego nie można przyznać nieślubnemu dziecku, którego matka nie jest obywatelką Malty.</w:t>
      </w:r>
    </w:p>
    <w:p w14:paraId="56B2D903" w14:textId="6AC0CD5F" w:rsidR="000F5B45" w:rsidRPr="00B5742F" w:rsidRDefault="00000000" w:rsidP="00E93132">
      <w:pPr>
        <w:pStyle w:val="Tekstpodstawowy"/>
        <w:rPr>
          <w:rFonts w:ascii="Verdana" w:hAnsi="Verdana"/>
          <w:spacing w:val="4"/>
          <w:sz w:val="19"/>
          <w:szCs w:val="19"/>
        </w:rPr>
      </w:pPr>
      <w:r w:rsidRPr="00B5742F">
        <w:rPr>
          <w:rFonts w:ascii="Verdana" w:hAnsi="Verdana"/>
          <w:color w:val="0071BB"/>
          <w:spacing w:val="4"/>
          <w:sz w:val="19"/>
          <w:szCs w:val="19"/>
        </w:rPr>
        <w:t xml:space="preserve">Trybunał uznał, że doszło </w:t>
      </w:r>
      <w:r w:rsidRPr="00B5742F">
        <w:rPr>
          <w:rFonts w:ascii="Verdana" w:hAnsi="Verdana"/>
          <w:b/>
          <w:color w:val="0071BB"/>
          <w:spacing w:val="4"/>
          <w:sz w:val="19"/>
          <w:szCs w:val="19"/>
        </w:rPr>
        <w:t xml:space="preserve">do naruszenia art. 14 </w:t>
      </w:r>
      <w:r w:rsidRPr="00B5742F">
        <w:rPr>
          <w:rFonts w:ascii="Verdana" w:hAnsi="Verdana"/>
          <w:color w:val="0071BB"/>
          <w:spacing w:val="4"/>
          <w:sz w:val="19"/>
          <w:szCs w:val="19"/>
        </w:rPr>
        <w:t xml:space="preserve">(zakaz dyskryminacji) </w:t>
      </w:r>
      <w:r w:rsidRPr="00B5742F">
        <w:rPr>
          <w:rFonts w:ascii="Verdana" w:hAnsi="Verdana"/>
          <w:b/>
          <w:color w:val="0071BB"/>
          <w:spacing w:val="4"/>
          <w:sz w:val="19"/>
          <w:szCs w:val="19"/>
        </w:rPr>
        <w:t xml:space="preserve">w związku z art. 8 </w:t>
      </w:r>
      <w:r w:rsidRPr="00B5742F">
        <w:rPr>
          <w:rFonts w:ascii="Verdana" w:hAnsi="Verdana"/>
          <w:color w:val="0071BB"/>
          <w:spacing w:val="4"/>
          <w:sz w:val="19"/>
          <w:szCs w:val="19"/>
        </w:rPr>
        <w:t xml:space="preserve">(prawo do poszanowania życia prywatnego) Konwencji. W szczególności zauważył, że </w:t>
      </w:r>
      <w:hyperlink r:id="rId106">
        <w:r w:rsidR="00144924">
          <w:rPr>
            <w:rFonts w:ascii="Verdana" w:hAnsi="Verdana"/>
            <w:color w:val="0071BB"/>
            <w:spacing w:val="4"/>
            <w:sz w:val="19"/>
            <w:szCs w:val="19"/>
            <w:u w:val="single" w:color="0071BB"/>
          </w:rPr>
          <w:t>E</w:t>
        </w:r>
        <w:r w:rsidR="000F5B45" w:rsidRPr="00B5742F">
          <w:rPr>
            <w:rFonts w:ascii="Verdana" w:hAnsi="Verdana"/>
            <w:color w:val="0071BB"/>
            <w:spacing w:val="4"/>
            <w:sz w:val="19"/>
            <w:szCs w:val="19"/>
            <w:u w:val="single" w:color="0071BB"/>
          </w:rPr>
          <w:t xml:space="preserve">uropejska </w:t>
        </w:r>
        <w:r w:rsidR="00144924">
          <w:rPr>
            <w:rFonts w:ascii="Verdana" w:hAnsi="Verdana"/>
            <w:color w:val="0071BB"/>
            <w:spacing w:val="4"/>
            <w:sz w:val="19"/>
            <w:szCs w:val="19"/>
            <w:u w:val="single" w:color="0071BB"/>
          </w:rPr>
          <w:t>K</w:t>
        </w:r>
        <w:r w:rsidR="000F5B45" w:rsidRPr="00B5742F">
          <w:rPr>
            <w:rFonts w:ascii="Verdana" w:hAnsi="Verdana"/>
            <w:color w:val="0071BB"/>
            <w:spacing w:val="4"/>
            <w:sz w:val="19"/>
            <w:szCs w:val="19"/>
            <w:u w:val="single" w:color="0071BB"/>
          </w:rPr>
          <w:t>onwencja</w:t>
        </w:r>
      </w:hyperlink>
      <w:r w:rsidRPr="00B5742F">
        <w:rPr>
          <w:rFonts w:ascii="Verdana" w:hAnsi="Verdana"/>
          <w:color w:val="0071BB"/>
          <w:spacing w:val="4"/>
          <w:sz w:val="19"/>
          <w:szCs w:val="19"/>
        </w:rPr>
        <w:t xml:space="preserve"> </w:t>
      </w:r>
      <w:hyperlink r:id="rId107">
        <w:r w:rsidR="000F5B45" w:rsidRPr="00B5742F">
          <w:rPr>
            <w:rFonts w:ascii="Verdana" w:hAnsi="Verdana"/>
            <w:color w:val="0071BB"/>
            <w:spacing w:val="4"/>
            <w:sz w:val="19"/>
            <w:szCs w:val="19"/>
            <w:u w:val="single" w:color="0071BB"/>
          </w:rPr>
          <w:t xml:space="preserve">z 1975 r. o </w:t>
        </w:r>
      </w:hyperlink>
      <w:hyperlink r:id="rId108">
        <w:r w:rsidR="000F5B45" w:rsidRPr="00B5742F">
          <w:rPr>
            <w:rFonts w:ascii="Verdana" w:hAnsi="Verdana"/>
            <w:color w:val="0071BB"/>
            <w:spacing w:val="4"/>
            <w:sz w:val="19"/>
            <w:szCs w:val="19"/>
            <w:u w:val="single" w:color="0071BB"/>
          </w:rPr>
          <w:t>statusie</w:t>
        </w:r>
      </w:hyperlink>
      <w:hyperlink r:id="rId109">
        <w:r w:rsidR="000F5B45" w:rsidRPr="00B5742F">
          <w:rPr>
            <w:rFonts w:ascii="Verdana" w:hAnsi="Verdana"/>
            <w:color w:val="0071BB"/>
            <w:spacing w:val="4"/>
            <w:sz w:val="19"/>
            <w:szCs w:val="19"/>
            <w:u w:val="single" w:color="0071BB"/>
          </w:rPr>
          <w:t xml:space="preserve"> prawnym </w:t>
        </w:r>
      </w:hyperlink>
      <w:hyperlink r:id="rId110">
        <w:r w:rsidR="000F5B45" w:rsidRPr="00B5742F">
          <w:rPr>
            <w:rFonts w:ascii="Verdana" w:hAnsi="Verdana"/>
            <w:color w:val="0071BB"/>
            <w:spacing w:val="4"/>
            <w:sz w:val="19"/>
            <w:szCs w:val="19"/>
            <w:u w:val="single" w:color="0071BB"/>
          </w:rPr>
          <w:t>dzieci urodzonych poza związkiem małżeńskim</w:t>
        </w:r>
      </w:hyperlink>
      <w:r w:rsidRPr="00B5742F">
        <w:rPr>
          <w:rFonts w:ascii="Verdana" w:hAnsi="Verdana"/>
          <w:color w:val="0071BB"/>
          <w:spacing w:val="4"/>
          <w:sz w:val="19"/>
          <w:szCs w:val="19"/>
        </w:rPr>
        <w:t xml:space="preserve"> obowiązuje w ponad 20 krajach europejskich i powtórzył, że bardzo istotne powody musiałyby zostać przedstawione, aby uzasadnić arbitralną różnicę w traktowaniu ze względu na pochodzenie. Skarżący znajdował się w sytuacji analogicznej do innych dzieci, których ojciec posiadał obywatelstwo maltańskie, a matka obywatelstwo innego państwa. Jedynym czynnikiem odróżniającym, który uniemożliwił mu nabycie obywatelstwa, był fakt, że urodził się poza związkiem małżeńskim. Trybunał nie uznał za przekonujący argument rządu maltańskiego, że dzieci urodzone w związku małżeńskim mają związek z rodzicami wynikający z małżeństwa rodziców, który nie istnieje w przypadku dzieci urodzonych poza związkiem małżeńskim. Właśnie takie rozróżnienie w traktowaniu oparte na takiej więzi było zabronione w art. 14 Konwencji, chyba że było to obiektywnie uzasadnione. Ponadto Trybunał nie mógł przyjąć argumentu, że podczas gdy matka jest zawsze </w:t>
      </w:r>
      <w:r w:rsidR="000A55EB">
        <w:rPr>
          <w:rFonts w:ascii="Verdana" w:hAnsi="Verdana"/>
          <w:color w:val="0071BB"/>
          <w:spacing w:val="4"/>
          <w:sz w:val="19"/>
          <w:szCs w:val="19"/>
        </w:rPr>
        <w:t>znana</w:t>
      </w:r>
      <w:r w:rsidRPr="00B5742F">
        <w:rPr>
          <w:rFonts w:ascii="Verdana" w:hAnsi="Verdana"/>
          <w:color w:val="0071BB"/>
          <w:spacing w:val="4"/>
          <w:sz w:val="19"/>
          <w:szCs w:val="19"/>
        </w:rPr>
        <w:t xml:space="preserve">, ojciec nie jest. W przypadku </w:t>
      </w:r>
    </w:p>
    <w:p w14:paraId="263C1CFC" w14:textId="77777777" w:rsidR="000F5B45" w:rsidRPr="00B5742F" w:rsidRDefault="00000000" w:rsidP="00E93132">
      <w:pPr>
        <w:pStyle w:val="Tekstpodstawowy"/>
        <w:spacing w:before="3"/>
        <w:ind w:left="0" w:right="0"/>
        <w:jc w:val="left"/>
        <w:rPr>
          <w:rFonts w:ascii="Verdana" w:hAnsi="Verdana"/>
          <w:sz w:val="10"/>
        </w:rPr>
      </w:pPr>
      <w:r w:rsidRPr="00B5742F">
        <w:rPr>
          <w:rFonts w:ascii="Verdana" w:hAnsi="Verdana"/>
          <w:noProof/>
          <w:sz w:val="10"/>
        </w:rPr>
        <mc:AlternateContent>
          <mc:Choice Requires="wps">
            <w:drawing>
              <wp:anchor distT="0" distB="0" distL="0" distR="0" simplePos="0" relativeHeight="251682816" behindDoc="1" locked="0" layoutInCell="1" allowOverlap="1" wp14:anchorId="62598B81" wp14:editId="2049BBF1">
                <wp:simplePos x="0" y="0"/>
                <wp:positionH relativeFrom="page">
                  <wp:posOffset>914400</wp:posOffset>
                </wp:positionH>
                <wp:positionV relativeFrom="paragraph">
                  <wp:posOffset>94726</wp:posOffset>
                </wp:positionV>
                <wp:extent cx="1828800" cy="7620"/>
                <wp:effectExtent l="0" t="0" r="0" b="0"/>
                <wp:wrapTopAndBottom/>
                <wp:docPr id="23" name="Graphic 23"/>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C549DDF" id="Graphic 23" o:spid="_x0000_s1026" style="position:absolute;margin-left:1in;margin-top:7.45pt;width:2in;height:.6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" path="m1828800,l,,,7607r1828800,l1828800,xe" fillcolor="black" stroked="f">
                <v:path arrowok="t"/>
                <w10:wrap type="topAndBottom" anchorx="page"/>
              </v:shape>
            </w:pict>
          </mc:Fallback>
        </mc:AlternateContent>
      </w:r>
    </w:p>
    <w:p w14:paraId="6B30C1AA" w14:textId="7C0A0B66" w:rsidR="000F5B45" w:rsidRPr="00B5742F" w:rsidRDefault="0028507D" w:rsidP="00E93132">
      <w:pPr>
        <w:spacing w:before="107"/>
        <w:ind w:left="874" w:right="726"/>
        <w:jc w:val="both"/>
        <w:rPr>
          <w:rFonts w:ascii="Verdana" w:hAnsi="Verdana"/>
          <w:sz w:val="18"/>
          <w:szCs w:val="24"/>
        </w:rPr>
      </w:pPr>
      <w:bookmarkStart w:id="5" w:name="_bookmark5"/>
      <w:bookmarkEnd w:id="5"/>
      <w:r w:rsidRPr="00B5742F">
        <w:rPr>
          <w:rFonts w:ascii="Verdana" w:hAnsi="Verdana"/>
          <w:sz w:val="16"/>
          <w:szCs w:val="24"/>
          <w:vertAlign w:val="superscript"/>
        </w:rPr>
        <w:t>6</w:t>
      </w:r>
      <w:r w:rsidRPr="00B5742F">
        <w:rPr>
          <w:rFonts w:ascii="Verdana" w:hAnsi="Verdana"/>
          <w:sz w:val="16"/>
          <w:szCs w:val="24"/>
        </w:rPr>
        <w:t xml:space="preserve">Zob. również, w odniesieniu do tej samej sprawy, </w:t>
      </w:r>
      <w:hyperlink r:id="rId111">
        <w:r w:rsidR="000F5B45" w:rsidRPr="00B5742F">
          <w:rPr>
            <w:rFonts w:ascii="Verdana" w:hAnsi="Verdana"/>
            <w:color w:val="0071BB"/>
            <w:sz w:val="16"/>
            <w:szCs w:val="24"/>
            <w:u w:val="single" w:color="0071BB"/>
          </w:rPr>
          <w:t>wyrok</w:t>
        </w:r>
      </w:hyperlink>
      <w:r w:rsidRPr="00B5742F">
        <w:rPr>
          <w:rFonts w:ascii="Verdana" w:hAnsi="Verdana"/>
          <w:sz w:val="16"/>
          <w:szCs w:val="24"/>
        </w:rPr>
        <w:t xml:space="preserve"> Wielkiej Izby z dnia 28 czerwca 2013 r. w sprawie słusznej satysfakcji. W wyroku tym Trybunał formalnie odnotował polubowne rozstrzygnięcie sporu między rządem francuskim a skarżącym i postanowił wykreślić pozostałą część sprawy z wykazu spraw, zgodnie z art. 39 Konwencji.</w:t>
      </w:r>
    </w:p>
    <w:p w14:paraId="7B21C629" w14:textId="77777777" w:rsidR="000F5B45" w:rsidRPr="009749D0" w:rsidRDefault="000F5B45" w:rsidP="00E93132">
      <w:pPr>
        <w:jc w:val="both"/>
        <w:rPr>
          <w:rFonts w:ascii="Verdana" w:hAnsi="Verdana"/>
          <w:sz w:val="16"/>
        </w:rPr>
      </w:pPr>
    </w:p>
    <w:p w14:paraId="488299F5" w14:textId="77777777" w:rsidR="00725569" w:rsidRPr="00B5742F" w:rsidRDefault="00725569" w:rsidP="00E93132">
      <w:pPr>
        <w:jc w:val="both"/>
        <w:rPr>
          <w:rFonts w:ascii="Verdana" w:hAnsi="Verdana"/>
          <w:sz w:val="16"/>
        </w:rPr>
        <w:sectPr w:rsidR="00725569" w:rsidRPr="00B5742F">
          <w:pgSz w:w="11910" w:h="16840"/>
          <w:pgMar w:top="1460" w:right="708" w:bottom="680" w:left="566" w:header="730" w:footer="497" w:gutter="0"/>
          <w:cols w:space="708"/>
        </w:sectPr>
      </w:pPr>
    </w:p>
    <w:p w14:paraId="555927F1" w14:textId="2EEAAC71" w:rsidR="000F5B45" w:rsidRPr="00B5742F" w:rsidRDefault="00AD7ED6" w:rsidP="00E93132">
      <w:pPr>
        <w:pStyle w:val="Tekstpodstawowy"/>
        <w:spacing w:before="240"/>
        <w:ind w:right="730"/>
        <w:rPr>
          <w:rFonts w:ascii="Verdana" w:hAnsi="Verdana"/>
          <w:spacing w:val="4"/>
          <w:sz w:val="19"/>
          <w:szCs w:val="19"/>
        </w:rPr>
      </w:pPr>
      <w:r w:rsidRPr="00B5742F">
        <w:rPr>
          <w:rFonts w:ascii="Verdana" w:hAnsi="Verdana"/>
          <w:color w:val="0071BB"/>
          <w:spacing w:val="4"/>
          <w:sz w:val="19"/>
          <w:szCs w:val="19"/>
        </w:rPr>
        <w:lastRenderedPageBreak/>
        <w:t>skarżącego jego ojciec był</w:t>
      </w:r>
      <w:r w:rsidRPr="0067337F">
        <w:rPr>
          <w:rFonts w:ascii="Verdana" w:hAnsi="Verdana"/>
          <w:color w:val="0071BB"/>
          <w:spacing w:val="4"/>
          <w:sz w:val="19"/>
          <w:szCs w:val="19"/>
        </w:rPr>
        <w:t xml:space="preserve"> </w:t>
      </w:r>
      <w:r w:rsidRPr="00B5742F">
        <w:rPr>
          <w:rFonts w:ascii="Verdana" w:hAnsi="Verdana"/>
          <w:color w:val="0071BB"/>
          <w:spacing w:val="4"/>
          <w:sz w:val="19"/>
          <w:szCs w:val="19"/>
        </w:rPr>
        <w:t>znan</w:t>
      </w:r>
      <w:r w:rsidR="0067337F" w:rsidRPr="0067337F">
        <w:rPr>
          <w:rFonts w:ascii="Verdana" w:hAnsi="Verdana"/>
          <w:color w:val="0071BB"/>
          <w:spacing w:val="4"/>
          <w:sz w:val="19"/>
          <w:szCs w:val="19"/>
        </w:rPr>
        <w:t>y</w:t>
      </w:r>
      <w:r w:rsidRPr="00B5742F">
        <w:rPr>
          <w:rFonts w:ascii="Verdana" w:hAnsi="Verdana"/>
          <w:color w:val="0071BB"/>
          <w:spacing w:val="4"/>
          <w:sz w:val="19"/>
          <w:szCs w:val="19"/>
        </w:rPr>
        <w:t xml:space="preserve"> i został wpisan</w:t>
      </w:r>
      <w:r w:rsidR="0067337F" w:rsidRPr="0067337F">
        <w:rPr>
          <w:rFonts w:ascii="Verdana" w:hAnsi="Verdana"/>
          <w:color w:val="0071BB"/>
          <w:spacing w:val="4"/>
          <w:sz w:val="19"/>
          <w:szCs w:val="19"/>
        </w:rPr>
        <w:t>y</w:t>
      </w:r>
      <w:r w:rsidRPr="00B5742F">
        <w:rPr>
          <w:rFonts w:ascii="Verdana" w:hAnsi="Verdana"/>
          <w:color w:val="0071BB"/>
          <w:spacing w:val="4"/>
          <w:sz w:val="19"/>
          <w:szCs w:val="19"/>
        </w:rPr>
        <w:t xml:space="preserve"> do aktu urodzenia, jednak rozróżnienie wynikające z ustawy o obywatelstwie utrzymało się. W związku z tym nie podano żadnych racjonalnych ani obiektywnych powodów uzasadniających takie odmienne traktowanie.</w:t>
      </w:r>
    </w:p>
    <w:p w14:paraId="585E1D85" w14:textId="77777777" w:rsidR="000F5B45" w:rsidRPr="00B5742F" w:rsidRDefault="00000000" w:rsidP="00E93132">
      <w:pPr>
        <w:pStyle w:val="Nagwek1"/>
        <w:spacing w:before="243"/>
        <w:jc w:val="left"/>
        <w:rPr>
          <w:rFonts w:ascii="Verdana" w:hAnsi="Verdana"/>
          <w:spacing w:val="2"/>
        </w:rPr>
      </w:pPr>
      <w:r w:rsidRPr="00B5742F">
        <w:rPr>
          <w:rFonts w:ascii="Verdana" w:hAnsi="Verdana"/>
          <w:color w:val="808080"/>
          <w:spacing w:val="2"/>
        </w:rPr>
        <w:t>Edukacja</w:t>
      </w:r>
    </w:p>
    <w:p w14:paraId="2D9F5068" w14:textId="77777777" w:rsidR="000F5B45" w:rsidRPr="00B5742F" w:rsidRDefault="000F5B45" w:rsidP="00E93132">
      <w:pPr>
        <w:pStyle w:val="Nagwek2"/>
        <w:ind w:right="729"/>
        <w:rPr>
          <w:rFonts w:ascii="Verdana" w:hAnsi="Verdana"/>
          <w:sz w:val="19"/>
          <w:szCs w:val="19"/>
          <w:u w:val="none"/>
        </w:rPr>
      </w:pPr>
      <w:hyperlink r:id="rId112">
        <w:r w:rsidRPr="00B5742F">
          <w:rPr>
            <w:rFonts w:ascii="Verdana" w:hAnsi="Verdana"/>
            <w:color w:val="0071BB"/>
            <w:sz w:val="19"/>
            <w:szCs w:val="19"/>
            <w:u w:color="0071BB"/>
          </w:rPr>
          <w:t xml:space="preserve">Sprawa „dotycząca niektórych aspektów przepisów dotyczących używania języków w </w:t>
        </w:r>
      </w:hyperlink>
      <w:hyperlink r:id="rId113">
        <w:r w:rsidRPr="00B5742F">
          <w:rPr>
            <w:rFonts w:ascii="Verdana" w:hAnsi="Verdana"/>
            <w:color w:val="0071BB"/>
            <w:sz w:val="19"/>
            <w:szCs w:val="19"/>
            <w:u w:color="0071BB"/>
          </w:rPr>
          <w:t>edukacji w Belgii” przeciwko Belgii (sprawa językowa w Belgii)</w:t>
        </w:r>
      </w:hyperlink>
    </w:p>
    <w:p w14:paraId="53DC7E7F" w14:textId="279EF71A" w:rsidR="000F5B45" w:rsidRPr="00B5742F" w:rsidRDefault="00000000" w:rsidP="00E93132">
      <w:pPr>
        <w:spacing w:before="57"/>
        <w:ind w:left="874"/>
        <w:jc w:val="both"/>
        <w:rPr>
          <w:rFonts w:ascii="Verdana" w:hAnsi="Verdana"/>
          <w:sz w:val="18"/>
        </w:rPr>
      </w:pPr>
      <w:r w:rsidRPr="00B5742F">
        <w:rPr>
          <w:rFonts w:ascii="Verdana" w:hAnsi="Verdana"/>
          <w:color w:val="808080"/>
          <w:sz w:val="17"/>
        </w:rPr>
        <w:t>23 lipca 1968</w:t>
      </w:r>
      <w:r w:rsidR="00B2420C">
        <w:rPr>
          <w:rFonts w:ascii="Verdana" w:hAnsi="Verdana"/>
          <w:color w:val="808080"/>
          <w:sz w:val="17"/>
        </w:rPr>
        <w:t xml:space="preserve"> r.</w:t>
      </w:r>
    </w:p>
    <w:p w14:paraId="4CEDAA5F" w14:textId="0193AA08" w:rsidR="000F5B45" w:rsidRPr="00B5742F" w:rsidRDefault="00EA131F" w:rsidP="00E93132">
      <w:pPr>
        <w:pStyle w:val="Tekstpodstawowy"/>
        <w:spacing w:before="1"/>
        <w:ind w:left="874" w:right="730" w:hanging="1"/>
        <w:rPr>
          <w:rFonts w:ascii="Verdana" w:hAnsi="Verdana"/>
          <w:spacing w:val="4"/>
          <w:sz w:val="19"/>
          <w:szCs w:val="19"/>
        </w:rPr>
      </w:pPr>
      <w:r>
        <w:rPr>
          <w:rFonts w:ascii="Verdana" w:hAnsi="Verdana"/>
          <w:spacing w:val="4"/>
          <w:sz w:val="19"/>
          <w:szCs w:val="19"/>
        </w:rPr>
        <w:t>Skarżący</w:t>
      </w:r>
      <w:r w:rsidRPr="00B5742F">
        <w:rPr>
          <w:rFonts w:ascii="Verdana" w:hAnsi="Verdana"/>
          <w:spacing w:val="4"/>
          <w:sz w:val="19"/>
          <w:szCs w:val="19"/>
        </w:rPr>
        <w:t>, rodzice ponad 800 dzieci francuskojęzycznych mieszkających w niektórych (głównie niderlandzko</w:t>
      </w:r>
      <w:r w:rsidR="00144924">
        <w:rPr>
          <w:rFonts w:ascii="Verdana" w:hAnsi="Verdana"/>
          <w:spacing w:val="4"/>
          <w:sz w:val="19"/>
          <w:szCs w:val="19"/>
        </w:rPr>
        <w:t>-</w:t>
      </w:r>
      <w:r w:rsidRPr="00B5742F">
        <w:rPr>
          <w:rFonts w:ascii="Verdana" w:hAnsi="Verdana"/>
          <w:spacing w:val="4"/>
          <w:sz w:val="19"/>
          <w:szCs w:val="19"/>
        </w:rPr>
        <w:t>języcznych) częściach Belgii, skarżyli się, że ich dzieciom odmówiono dostępu do edukacji w języku francuskim.</w:t>
      </w:r>
    </w:p>
    <w:p w14:paraId="54ADEF5A" w14:textId="77777777" w:rsidR="000F5B45" w:rsidRPr="00B5742F" w:rsidRDefault="00000000" w:rsidP="00E93132">
      <w:pPr>
        <w:pStyle w:val="Tekstpodstawowy"/>
        <w:ind w:left="874"/>
        <w:rPr>
          <w:rFonts w:ascii="Verdana" w:hAnsi="Verdana"/>
          <w:spacing w:val="4"/>
          <w:sz w:val="19"/>
          <w:szCs w:val="19"/>
        </w:rPr>
      </w:pPr>
      <w:r w:rsidRPr="00B5742F">
        <w:rPr>
          <w:rFonts w:ascii="Verdana" w:hAnsi="Verdana"/>
          <w:color w:val="0071BB"/>
          <w:spacing w:val="4"/>
          <w:sz w:val="19"/>
          <w:szCs w:val="19"/>
        </w:rPr>
        <w:t xml:space="preserve">Trybunał uznał, że odmowa dostępu niektórych dzieci do szkół francuskojęzycznych o specjalnym statusie w sześciu gminach na obrzeżach Brukseli z powodu faktu, że ich rodzice mieszkali poza tymi gminami, </w:t>
      </w:r>
      <w:r w:rsidRPr="00B5742F">
        <w:rPr>
          <w:rFonts w:ascii="Verdana" w:hAnsi="Verdana"/>
          <w:b/>
          <w:bCs/>
          <w:color w:val="0071BB"/>
          <w:spacing w:val="4"/>
          <w:sz w:val="19"/>
          <w:szCs w:val="19"/>
        </w:rPr>
        <w:t>stanowiła</w:t>
      </w:r>
      <w:r w:rsidRPr="00B5742F">
        <w:rPr>
          <w:rFonts w:ascii="Verdana" w:hAnsi="Verdana"/>
          <w:color w:val="0071BB"/>
          <w:spacing w:val="4"/>
          <w:sz w:val="19"/>
          <w:szCs w:val="19"/>
        </w:rPr>
        <w:t xml:space="preserve"> </w:t>
      </w:r>
      <w:r w:rsidRPr="00B5742F">
        <w:rPr>
          <w:rFonts w:ascii="Verdana" w:hAnsi="Verdana"/>
          <w:b/>
          <w:color w:val="0071BB"/>
          <w:spacing w:val="4"/>
          <w:sz w:val="19"/>
          <w:szCs w:val="19"/>
        </w:rPr>
        <w:t xml:space="preserve">naruszenie art. 14 </w:t>
      </w:r>
      <w:r w:rsidRPr="00B5742F">
        <w:rPr>
          <w:rFonts w:ascii="Verdana" w:hAnsi="Verdana"/>
          <w:color w:val="0071BB"/>
          <w:spacing w:val="4"/>
          <w:sz w:val="19"/>
          <w:szCs w:val="19"/>
        </w:rPr>
        <w:t xml:space="preserve">(zakaz dyskryminacji) Konwencji </w:t>
      </w:r>
      <w:r w:rsidRPr="00B5742F">
        <w:rPr>
          <w:rFonts w:ascii="Verdana" w:hAnsi="Verdana"/>
          <w:b/>
          <w:color w:val="0071BB"/>
          <w:spacing w:val="4"/>
          <w:sz w:val="19"/>
          <w:szCs w:val="19"/>
        </w:rPr>
        <w:t xml:space="preserve">w związku z art. 2 </w:t>
      </w:r>
      <w:r w:rsidRPr="00B5742F">
        <w:rPr>
          <w:rFonts w:ascii="Verdana" w:hAnsi="Verdana"/>
          <w:color w:val="0071BB"/>
          <w:spacing w:val="4"/>
          <w:sz w:val="19"/>
          <w:szCs w:val="19"/>
        </w:rPr>
        <w:t>(prawo do edukacji) protokołu nr 1 do Konwencji. Jednakże Trybunał stwierdził również, że Konwencja nie gwarantuje dziecku prawa do edukacji państwowej lub dotowanej przez państwo w języku rodziców.</w:t>
      </w:r>
    </w:p>
    <w:p w14:paraId="2FC43EAA" w14:textId="10DC9486" w:rsidR="000F5B45" w:rsidRPr="00B5742F" w:rsidRDefault="000F5B45" w:rsidP="00E93132">
      <w:pPr>
        <w:pStyle w:val="Nagwek2"/>
        <w:spacing w:before="127"/>
        <w:rPr>
          <w:rFonts w:ascii="Verdana" w:hAnsi="Verdana"/>
          <w:sz w:val="19"/>
          <w:szCs w:val="19"/>
          <w:u w:val="none"/>
        </w:rPr>
      </w:pPr>
      <w:hyperlink r:id="rId114">
        <w:r w:rsidRPr="00B5742F">
          <w:rPr>
            <w:rFonts w:ascii="Verdana" w:hAnsi="Verdana"/>
            <w:color w:val="0071BB"/>
            <w:sz w:val="19"/>
            <w:szCs w:val="19"/>
            <w:u w:color="0071BB"/>
          </w:rPr>
          <w:t xml:space="preserve">D.H. i </w:t>
        </w:r>
        <w:r w:rsidR="00C671AE" w:rsidRPr="0067337F">
          <w:rPr>
            <w:rFonts w:ascii="Verdana" w:hAnsi="Verdana"/>
            <w:color w:val="0071BB"/>
            <w:sz w:val="19"/>
            <w:szCs w:val="19"/>
            <w:u w:color="0071BB"/>
          </w:rPr>
          <w:t>I</w:t>
        </w:r>
        <w:r w:rsidRPr="00B5742F">
          <w:rPr>
            <w:rFonts w:ascii="Verdana" w:hAnsi="Verdana"/>
            <w:color w:val="0071BB"/>
            <w:sz w:val="19"/>
            <w:szCs w:val="19"/>
            <w:u w:color="0071BB"/>
          </w:rPr>
          <w:t>nni przeciwko Republice Czeskiej (nr 57325/00)</w:t>
        </w:r>
      </w:hyperlink>
    </w:p>
    <w:p w14:paraId="16A4D9F9" w14:textId="17445B50"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13 listopada 2007 r. (</w:t>
      </w:r>
      <w:r w:rsidR="0067337F">
        <w:rPr>
          <w:rFonts w:ascii="Verdana" w:hAnsi="Verdana"/>
          <w:color w:val="808080"/>
          <w:sz w:val="17"/>
        </w:rPr>
        <w:t>W</w:t>
      </w:r>
      <w:r w:rsidRPr="00B5742F">
        <w:rPr>
          <w:rFonts w:ascii="Verdana" w:hAnsi="Verdana"/>
          <w:color w:val="808080"/>
          <w:sz w:val="17"/>
        </w:rPr>
        <w:t xml:space="preserve">ielka </w:t>
      </w:r>
      <w:r w:rsidR="0067337F">
        <w:rPr>
          <w:rFonts w:ascii="Verdana" w:hAnsi="Verdana"/>
          <w:color w:val="808080"/>
          <w:sz w:val="17"/>
        </w:rPr>
        <w:t>I</w:t>
      </w:r>
      <w:r w:rsidRPr="00B5742F">
        <w:rPr>
          <w:rFonts w:ascii="Verdana" w:hAnsi="Verdana"/>
          <w:color w:val="808080"/>
          <w:sz w:val="17"/>
        </w:rPr>
        <w:t>zba)</w:t>
      </w:r>
    </w:p>
    <w:p w14:paraId="4D4AF39B" w14:textId="28644EDA" w:rsidR="000F5B45" w:rsidRPr="00B5742F" w:rsidRDefault="00000000" w:rsidP="00E93132">
      <w:pPr>
        <w:pStyle w:val="Tekstpodstawowy"/>
        <w:spacing w:before="1"/>
        <w:ind w:left="874" w:right="729" w:hanging="1"/>
        <w:rPr>
          <w:rFonts w:ascii="Verdana" w:hAnsi="Verdana"/>
          <w:spacing w:val="4"/>
          <w:sz w:val="19"/>
          <w:szCs w:val="19"/>
        </w:rPr>
      </w:pPr>
      <w:r w:rsidRPr="00B5742F">
        <w:rPr>
          <w:rFonts w:ascii="Verdana" w:hAnsi="Verdana"/>
          <w:spacing w:val="4"/>
          <w:sz w:val="19"/>
          <w:szCs w:val="19"/>
        </w:rPr>
        <w:t>Sprawa dotyczyła 18 dzieci romskich, wszystkich obywateli Czech, które w latach 1996–1999 zostały umieszczone w szkołach dla dzieci ze specjalnymi potrzebami, w tym z</w:t>
      </w:r>
      <w:r w:rsidR="000A55EB">
        <w:rPr>
          <w:rFonts w:ascii="Verdana" w:hAnsi="Verdana"/>
          <w:spacing w:val="4"/>
          <w:sz w:val="19"/>
          <w:szCs w:val="19"/>
        </w:rPr>
        <w:t xml:space="preserve"> </w:t>
      </w:r>
      <w:r w:rsidR="00C671AE" w:rsidRPr="0067337F">
        <w:rPr>
          <w:rFonts w:ascii="Verdana" w:hAnsi="Verdana"/>
          <w:spacing w:val="4"/>
          <w:sz w:val="19"/>
          <w:szCs w:val="19"/>
        </w:rPr>
        <w:t>niepełnosprawnością umysłową lub społeczną</w:t>
      </w:r>
      <w:r w:rsidRPr="00B5742F">
        <w:rPr>
          <w:rFonts w:ascii="Verdana" w:hAnsi="Verdana"/>
          <w:spacing w:val="4"/>
          <w:sz w:val="19"/>
          <w:szCs w:val="19"/>
        </w:rPr>
        <w:t>. Skarżący twierdzili, że funkcjonował dwutorowy system edukacyjny, w ramach którego segregacja dzieci romskich do takich szkół – realizujących uproszczony program nauczania – była niemal automatyczna.</w:t>
      </w:r>
    </w:p>
    <w:p w14:paraId="4F706C75" w14:textId="77777777" w:rsidR="000F5B45" w:rsidRPr="00B5742F" w:rsidRDefault="00000000" w:rsidP="00E93132">
      <w:pPr>
        <w:pStyle w:val="Tekstpodstawowy"/>
        <w:ind w:left="874" w:right="727"/>
        <w:rPr>
          <w:rFonts w:ascii="Verdana" w:hAnsi="Verdana"/>
          <w:spacing w:val="4"/>
          <w:sz w:val="19"/>
          <w:szCs w:val="19"/>
        </w:rPr>
      </w:pPr>
      <w:r w:rsidRPr="00B5742F">
        <w:rPr>
          <w:rFonts w:ascii="Verdana" w:hAnsi="Verdana"/>
          <w:color w:val="0071BB"/>
          <w:spacing w:val="4"/>
          <w:sz w:val="19"/>
          <w:szCs w:val="19"/>
        </w:rPr>
        <w:t xml:space="preserve">Trybunał zauważył, że w tamtym czasie większość dzieci uczęszczających do szkół specjalnych w Czechach była pochodzenia romskiego. Dzieci romskie o przeciętnej lub ponadprzeciętnej inteligencji często kierowano do tych szkół na podstawie testów psychologicznych, które nie były dostosowane do osób ich pochodzenia etnicznego. Trybunał stwierdził, że obowiązujące wówczas przepisy miały nieproporcjonalnie niekorzystny wpływ na dzieci romskie, </w:t>
      </w:r>
      <w:r w:rsidRPr="00B5742F">
        <w:rPr>
          <w:rFonts w:ascii="Verdana" w:hAnsi="Verdana"/>
          <w:b/>
          <w:color w:val="0071BB"/>
          <w:spacing w:val="4"/>
          <w:sz w:val="19"/>
          <w:szCs w:val="19"/>
        </w:rPr>
        <w:t>co stanowiło naruszenie art. 14 (</w:t>
      </w:r>
      <w:r w:rsidRPr="00B5742F">
        <w:rPr>
          <w:rFonts w:ascii="Verdana" w:hAnsi="Verdana"/>
          <w:color w:val="0071BB"/>
          <w:spacing w:val="4"/>
          <w:sz w:val="19"/>
          <w:szCs w:val="19"/>
        </w:rPr>
        <w:t xml:space="preserve">zakaz dyskryminacji) Konwencji </w:t>
      </w:r>
      <w:r w:rsidRPr="00B5742F">
        <w:rPr>
          <w:rFonts w:ascii="Verdana" w:hAnsi="Verdana"/>
          <w:b/>
          <w:color w:val="0071BB"/>
          <w:spacing w:val="4"/>
          <w:sz w:val="19"/>
          <w:szCs w:val="19"/>
        </w:rPr>
        <w:t>w związku z art. 2 (</w:t>
      </w:r>
      <w:r w:rsidRPr="00B5742F">
        <w:rPr>
          <w:rFonts w:ascii="Verdana" w:hAnsi="Verdana"/>
          <w:color w:val="0071BB"/>
          <w:spacing w:val="4"/>
          <w:sz w:val="19"/>
          <w:szCs w:val="19"/>
        </w:rPr>
        <w:t xml:space="preserve">prawo do edukacji) </w:t>
      </w:r>
      <w:r w:rsidRPr="00B5742F">
        <w:rPr>
          <w:rFonts w:ascii="Verdana" w:hAnsi="Verdana"/>
          <w:b/>
          <w:color w:val="0071BB"/>
          <w:spacing w:val="4"/>
          <w:sz w:val="19"/>
          <w:szCs w:val="19"/>
        </w:rPr>
        <w:t xml:space="preserve">protokołu nr 1 </w:t>
      </w:r>
      <w:r w:rsidRPr="00B5742F">
        <w:rPr>
          <w:rFonts w:ascii="Verdana" w:hAnsi="Verdana"/>
          <w:color w:val="0071BB"/>
          <w:spacing w:val="4"/>
          <w:sz w:val="19"/>
          <w:szCs w:val="19"/>
        </w:rPr>
        <w:t>do Konwencji.</w:t>
      </w:r>
    </w:p>
    <w:p w14:paraId="26FD949B" w14:textId="154AD372" w:rsidR="000F5B45" w:rsidRPr="00B5742F" w:rsidRDefault="000F5B45" w:rsidP="00E93132">
      <w:pPr>
        <w:pStyle w:val="Nagwek2"/>
        <w:spacing w:before="104"/>
        <w:rPr>
          <w:rFonts w:ascii="Verdana" w:hAnsi="Verdana"/>
          <w:sz w:val="19"/>
          <w:szCs w:val="19"/>
          <w:u w:val="none"/>
        </w:rPr>
      </w:pPr>
      <w:hyperlink r:id="rId115">
        <w:r w:rsidRPr="00B5742F">
          <w:rPr>
            <w:rFonts w:ascii="Verdana" w:hAnsi="Verdana"/>
            <w:color w:val="0071BB"/>
            <w:sz w:val="19"/>
            <w:szCs w:val="19"/>
            <w:u w:color="0071BB"/>
          </w:rPr>
          <w:t xml:space="preserve">Oršuš i </w:t>
        </w:r>
        <w:r w:rsidR="00D46B9E" w:rsidRPr="0067337F">
          <w:rPr>
            <w:rFonts w:ascii="Verdana" w:hAnsi="Verdana"/>
            <w:color w:val="0071BB"/>
            <w:sz w:val="19"/>
            <w:szCs w:val="19"/>
            <w:u w:color="0071BB"/>
          </w:rPr>
          <w:t>I</w:t>
        </w:r>
        <w:r w:rsidRPr="00B5742F">
          <w:rPr>
            <w:rFonts w:ascii="Verdana" w:hAnsi="Verdana"/>
            <w:color w:val="0071BB"/>
            <w:sz w:val="19"/>
            <w:szCs w:val="19"/>
            <w:u w:color="0071BB"/>
          </w:rPr>
          <w:t>nni przeciwko Chorwacji</w:t>
        </w:r>
      </w:hyperlink>
    </w:p>
    <w:p w14:paraId="693AB873" w14:textId="430F1150" w:rsidR="000F5B45" w:rsidRPr="00B5742F" w:rsidRDefault="00000000" w:rsidP="00E93132">
      <w:pPr>
        <w:spacing w:before="60"/>
        <w:ind w:left="874"/>
        <w:jc w:val="both"/>
        <w:rPr>
          <w:rFonts w:ascii="Verdana" w:hAnsi="Verdana"/>
          <w:sz w:val="18"/>
        </w:rPr>
      </w:pPr>
      <w:r w:rsidRPr="00B5742F">
        <w:rPr>
          <w:rFonts w:ascii="Verdana" w:hAnsi="Verdana"/>
          <w:color w:val="808080"/>
          <w:sz w:val="17"/>
        </w:rPr>
        <w:t>16 marca 2010 r. (</w:t>
      </w:r>
      <w:r w:rsidR="00A675AD" w:rsidRPr="009749D0">
        <w:rPr>
          <w:rFonts w:ascii="Verdana" w:hAnsi="Verdana"/>
          <w:color w:val="808080"/>
          <w:sz w:val="17"/>
        </w:rPr>
        <w:t>W</w:t>
      </w:r>
      <w:r w:rsidRPr="00B5742F">
        <w:rPr>
          <w:rFonts w:ascii="Verdana" w:hAnsi="Verdana"/>
          <w:color w:val="808080"/>
          <w:sz w:val="17"/>
        </w:rPr>
        <w:t xml:space="preserve">ielka </w:t>
      </w:r>
      <w:r w:rsidR="00A675AD" w:rsidRPr="009749D0">
        <w:rPr>
          <w:rFonts w:ascii="Verdana" w:hAnsi="Verdana"/>
          <w:color w:val="808080"/>
          <w:sz w:val="17"/>
        </w:rPr>
        <w:t>I</w:t>
      </w:r>
      <w:r w:rsidRPr="00B5742F">
        <w:rPr>
          <w:rFonts w:ascii="Verdana" w:hAnsi="Verdana"/>
          <w:color w:val="808080"/>
          <w:sz w:val="17"/>
        </w:rPr>
        <w:t>zba)</w:t>
      </w:r>
    </w:p>
    <w:p w14:paraId="0CC3122F" w14:textId="77777777" w:rsidR="000F5B45" w:rsidRPr="00B5742F" w:rsidRDefault="00000000" w:rsidP="00E93132">
      <w:pPr>
        <w:pStyle w:val="Tekstpodstawowy"/>
        <w:spacing w:before="1"/>
        <w:ind w:left="874" w:right="727"/>
        <w:rPr>
          <w:rFonts w:ascii="Verdana" w:hAnsi="Verdana"/>
          <w:spacing w:val="4"/>
          <w:sz w:val="19"/>
          <w:szCs w:val="19"/>
        </w:rPr>
      </w:pPr>
      <w:r w:rsidRPr="00B5742F">
        <w:rPr>
          <w:rFonts w:ascii="Verdana" w:hAnsi="Verdana"/>
          <w:spacing w:val="4"/>
          <w:sz w:val="19"/>
          <w:szCs w:val="19"/>
        </w:rPr>
        <w:t>Sprawa dotyczyła piętnastu obywateli Chorwacji pochodzenia romskiego, którzy skarżyli się, że w okresie nauki szkolnej byli ofiarami dyskryminacji rasowej, ponieważ zostali przydzieleni do klas przeznaczonych wyłącznie dla Romów, co spowodowało u nich szkody edukacyjne, psychiczne i emocjonalne.</w:t>
      </w:r>
    </w:p>
    <w:p w14:paraId="329D58F6" w14:textId="18EE9354" w:rsidR="000F5B45" w:rsidRPr="00B5742F" w:rsidRDefault="00000000" w:rsidP="00E93132">
      <w:pPr>
        <w:pStyle w:val="Tekstpodstawowy"/>
        <w:ind w:right="729"/>
        <w:rPr>
          <w:rFonts w:ascii="Verdana" w:hAnsi="Verdana"/>
          <w:spacing w:val="4"/>
          <w:sz w:val="19"/>
          <w:szCs w:val="19"/>
        </w:rPr>
      </w:pPr>
      <w:r w:rsidRPr="00B5742F">
        <w:rPr>
          <w:rFonts w:ascii="Verdana" w:hAnsi="Verdana"/>
          <w:color w:val="0071BB"/>
          <w:spacing w:val="4"/>
          <w:sz w:val="19"/>
          <w:szCs w:val="19"/>
        </w:rPr>
        <w:t xml:space="preserve">Mimo że niniejsza sprawa różniła się od </w:t>
      </w:r>
      <w:r w:rsidRPr="00B5742F">
        <w:rPr>
          <w:rFonts w:ascii="Verdana" w:hAnsi="Verdana"/>
          <w:i/>
          <w:color w:val="0071BB"/>
          <w:spacing w:val="4"/>
          <w:sz w:val="19"/>
          <w:szCs w:val="19"/>
        </w:rPr>
        <w:t xml:space="preserve">sprawy D.H. i </w:t>
      </w:r>
      <w:r w:rsidR="00766D18" w:rsidRPr="0067337F">
        <w:rPr>
          <w:rFonts w:ascii="Verdana" w:hAnsi="Verdana"/>
          <w:i/>
          <w:color w:val="0071BB"/>
          <w:spacing w:val="4"/>
          <w:sz w:val="19"/>
          <w:szCs w:val="19"/>
        </w:rPr>
        <w:t>I</w:t>
      </w:r>
      <w:r w:rsidRPr="00B5742F">
        <w:rPr>
          <w:rFonts w:ascii="Verdana" w:hAnsi="Verdana"/>
          <w:i/>
          <w:color w:val="0071BB"/>
          <w:spacing w:val="4"/>
          <w:sz w:val="19"/>
          <w:szCs w:val="19"/>
        </w:rPr>
        <w:t xml:space="preserve">nni przeciwko Republice Czeskiej </w:t>
      </w:r>
      <w:r w:rsidRPr="00B5742F">
        <w:rPr>
          <w:rFonts w:ascii="Verdana" w:hAnsi="Verdana"/>
          <w:color w:val="0071BB"/>
          <w:spacing w:val="4"/>
          <w:sz w:val="19"/>
          <w:szCs w:val="19"/>
        </w:rPr>
        <w:t>(patrz powyżej) tym, że w obu szkołach nie było ogólnej polityki automatycznego umieszczania uczniów romskich w oddzielnych klasach, powszechnie uznano, że wiele państw europejskich napotyka poważne trudności w zapewnieniu odpowiedniego wykształcenia dzieciom romskim. W niniejszej sprawie Trybunał zauważył, że do klas specjalnych w przedmiotowych szkołach umieszczono wyłącznie dzieci romskie.</w:t>
      </w:r>
      <w:r w:rsidR="00144924">
        <w:rPr>
          <w:rFonts w:ascii="Verdana" w:hAnsi="Verdana"/>
          <w:color w:val="0071BB"/>
          <w:spacing w:val="4"/>
          <w:sz w:val="19"/>
          <w:szCs w:val="19"/>
        </w:rPr>
        <w:t xml:space="preserve"> </w:t>
      </w:r>
      <w:r w:rsidR="000164FF" w:rsidRPr="000164FF">
        <w:rPr>
          <w:rFonts w:ascii="Verdana" w:hAnsi="Verdana"/>
          <w:color w:val="0071BB"/>
          <w:spacing w:val="4"/>
          <w:sz w:val="19"/>
          <w:szCs w:val="19"/>
        </w:rPr>
        <w:t>Rząd chorwacki uzasadniał segregację niewystarczającą znajomością języka chorwackiego przez uczniów</w:t>
      </w:r>
      <w:r w:rsidRPr="00B5742F">
        <w:rPr>
          <w:rFonts w:ascii="Verdana" w:hAnsi="Verdana"/>
          <w:color w:val="0071BB"/>
          <w:spacing w:val="4"/>
          <w:sz w:val="19"/>
          <w:szCs w:val="19"/>
        </w:rPr>
        <w:t xml:space="preserve">; jednakże testy decydujące o umieszczeniu ich w takich klasach nie koncentrowały się konkretnie na umiejętnościach językowych, program nauczania realizowany następnie nie był ukierunkowany na problemy językowe, a postępy dzieci nie były wyraźnie monitorowane. Umieszczenie skarżących w klasach przeznaczonych wyłącznie dla Romów było zatem nieuzasadnione i </w:t>
      </w:r>
      <w:r w:rsidRPr="00B5742F">
        <w:rPr>
          <w:rFonts w:ascii="Verdana" w:hAnsi="Verdana"/>
          <w:b/>
          <w:color w:val="0071BB"/>
          <w:spacing w:val="4"/>
          <w:sz w:val="19"/>
          <w:szCs w:val="19"/>
        </w:rPr>
        <w:t>stanowiło naruszenie art. 14 (</w:t>
      </w:r>
      <w:r w:rsidRPr="00B5742F">
        <w:rPr>
          <w:rFonts w:ascii="Verdana" w:hAnsi="Verdana"/>
          <w:color w:val="0071BB"/>
          <w:spacing w:val="4"/>
          <w:sz w:val="19"/>
          <w:szCs w:val="19"/>
        </w:rPr>
        <w:t xml:space="preserve">zakaz dyskryminacji) Konwencji </w:t>
      </w:r>
      <w:r w:rsidRPr="00B5742F">
        <w:rPr>
          <w:rFonts w:ascii="Verdana" w:hAnsi="Verdana"/>
          <w:b/>
          <w:color w:val="0071BB"/>
          <w:spacing w:val="4"/>
          <w:sz w:val="19"/>
          <w:szCs w:val="19"/>
        </w:rPr>
        <w:t>w związku z art. 2 (</w:t>
      </w:r>
      <w:r w:rsidRPr="00B5742F">
        <w:rPr>
          <w:rFonts w:ascii="Verdana" w:hAnsi="Verdana"/>
          <w:color w:val="0071BB"/>
          <w:spacing w:val="4"/>
          <w:sz w:val="19"/>
          <w:szCs w:val="19"/>
        </w:rPr>
        <w:t xml:space="preserve">prawo do edukacji) </w:t>
      </w:r>
      <w:r w:rsidRPr="00B5742F">
        <w:rPr>
          <w:rFonts w:ascii="Verdana" w:hAnsi="Verdana"/>
          <w:b/>
          <w:color w:val="0071BB"/>
          <w:spacing w:val="4"/>
          <w:sz w:val="19"/>
          <w:szCs w:val="19"/>
        </w:rPr>
        <w:t xml:space="preserve">protokołu nr 1 </w:t>
      </w:r>
      <w:r w:rsidRPr="00B5742F">
        <w:rPr>
          <w:rFonts w:ascii="Verdana" w:hAnsi="Verdana"/>
          <w:color w:val="0071BB"/>
          <w:spacing w:val="4"/>
          <w:sz w:val="19"/>
          <w:szCs w:val="19"/>
        </w:rPr>
        <w:t>do Konwencji.</w:t>
      </w:r>
    </w:p>
    <w:p w14:paraId="596A9E92" w14:textId="156F2838" w:rsidR="000F5B45" w:rsidRPr="0067337F" w:rsidRDefault="00000000" w:rsidP="00E93132">
      <w:pPr>
        <w:spacing w:before="45"/>
        <w:ind w:left="874" w:right="731"/>
        <w:jc w:val="both"/>
        <w:rPr>
          <w:rFonts w:ascii="Verdana" w:hAnsi="Verdana"/>
          <w:sz w:val="19"/>
          <w:szCs w:val="19"/>
        </w:rPr>
      </w:pPr>
      <w:r w:rsidRPr="00B5742F">
        <w:rPr>
          <w:rFonts w:ascii="Verdana" w:hAnsi="Verdana"/>
          <w:i/>
          <w:color w:val="404040"/>
          <w:sz w:val="19"/>
          <w:szCs w:val="19"/>
        </w:rPr>
        <w:t xml:space="preserve">Zob. również: </w:t>
      </w:r>
      <w:hyperlink r:id="rId116">
        <w:r w:rsidR="000F5B45" w:rsidRPr="00B5742F">
          <w:rPr>
            <w:rFonts w:ascii="Verdana" w:hAnsi="Verdana"/>
            <w:b/>
            <w:color w:val="0071BB"/>
            <w:sz w:val="19"/>
            <w:szCs w:val="19"/>
            <w:u w:val="single" w:color="0071BB"/>
          </w:rPr>
          <w:t xml:space="preserve">Sampanis i </w:t>
        </w:r>
        <w:r w:rsidR="00A675AD" w:rsidRPr="0067337F">
          <w:rPr>
            <w:rFonts w:ascii="Verdana" w:hAnsi="Verdana"/>
            <w:b/>
            <w:color w:val="0071BB"/>
            <w:sz w:val="19"/>
            <w:szCs w:val="19"/>
            <w:u w:val="single" w:color="0071BB"/>
          </w:rPr>
          <w:t>I</w:t>
        </w:r>
        <w:r w:rsidR="000F5B45" w:rsidRPr="00B5742F">
          <w:rPr>
            <w:rFonts w:ascii="Verdana" w:hAnsi="Verdana"/>
            <w:b/>
            <w:color w:val="0071BB"/>
            <w:sz w:val="19"/>
            <w:szCs w:val="19"/>
            <w:u w:val="single" w:color="0071BB"/>
          </w:rPr>
          <w:t>nni przeciwko Grecji</w:t>
        </w:r>
      </w:hyperlink>
      <w:r w:rsidRPr="00B5742F">
        <w:rPr>
          <w:rFonts w:ascii="Verdana" w:hAnsi="Verdana"/>
          <w:color w:val="404040"/>
          <w:sz w:val="19"/>
          <w:szCs w:val="19"/>
        </w:rPr>
        <w:t xml:space="preserve">, wyrok z dnia 5 czerwca 2008 r.; </w:t>
      </w:r>
      <w:hyperlink r:id="rId117">
        <w:r w:rsidR="000F5B45" w:rsidRPr="00B5742F">
          <w:rPr>
            <w:rFonts w:ascii="Verdana" w:hAnsi="Verdana"/>
            <w:b/>
            <w:color w:val="0071BB"/>
            <w:sz w:val="19"/>
            <w:szCs w:val="19"/>
            <w:u w:val="single" w:color="0071BB"/>
          </w:rPr>
          <w:t xml:space="preserve">Horvàth i </w:t>
        </w:r>
      </w:hyperlink>
      <w:hyperlink r:id="rId118">
        <w:r w:rsidR="000F5B45" w:rsidRPr="00B5742F">
          <w:rPr>
            <w:rFonts w:ascii="Verdana" w:hAnsi="Verdana"/>
            <w:b/>
            <w:color w:val="0071BB"/>
            <w:sz w:val="19"/>
            <w:szCs w:val="19"/>
            <w:u w:val="single" w:color="0071BB"/>
          </w:rPr>
          <w:t>Vadàzi przeciwko Węgrom</w:t>
        </w:r>
      </w:hyperlink>
      <w:r w:rsidRPr="00B5742F">
        <w:rPr>
          <w:rFonts w:ascii="Verdana" w:hAnsi="Verdana"/>
          <w:color w:val="404040"/>
          <w:sz w:val="19"/>
          <w:szCs w:val="19"/>
        </w:rPr>
        <w:t xml:space="preserve">, postanowienie o dopuszczalności z dnia 9 listopada 2010 r.; </w:t>
      </w:r>
    </w:p>
    <w:p w14:paraId="7F7DE328" w14:textId="77777777" w:rsidR="0067337F" w:rsidRPr="00B5742F" w:rsidRDefault="0067337F" w:rsidP="00E93132">
      <w:pPr>
        <w:spacing w:before="45"/>
        <w:ind w:left="874" w:right="731"/>
        <w:jc w:val="both"/>
        <w:rPr>
          <w:rFonts w:ascii="Verdana" w:hAnsi="Verdana"/>
          <w:b/>
          <w:szCs w:val="24"/>
        </w:rPr>
      </w:pPr>
    </w:p>
    <w:p w14:paraId="6A5232A2" w14:textId="77777777" w:rsidR="000F5B45" w:rsidRPr="00B5742F" w:rsidRDefault="000F5B45" w:rsidP="00E93132">
      <w:pPr>
        <w:jc w:val="both"/>
        <w:rPr>
          <w:rFonts w:ascii="Verdana" w:hAnsi="Verdana"/>
          <w:b/>
          <w:sz w:val="20"/>
        </w:rPr>
        <w:sectPr w:rsidR="000F5B45" w:rsidRPr="00B5742F">
          <w:pgSz w:w="11910" w:h="16840"/>
          <w:pgMar w:top="1460" w:right="708" w:bottom="680" w:left="566" w:header="730" w:footer="497" w:gutter="0"/>
          <w:cols w:space="708"/>
        </w:sectPr>
      </w:pPr>
    </w:p>
    <w:p w14:paraId="6E6D6AC2" w14:textId="2E86B35A" w:rsidR="000F5B45" w:rsidRPr="00B5742F" w:rsidRDefault="0067337F" w:rsidP="00E93132">
      <w:pPr>
        <w:spacing w:before="240"/>
        <w:ind w:left="874" w:right="729"/>
        <w:jc w:val="both"/>
        <w:rPr>
          <w:rFonts w:ascii="Verdana" w:hAnsi="Verdana"/>
          <w:spacing w:val="2"/>
          <w:sz w:val="19"/>
          <w:szCs w:val="19"/>
        </w:rPr>
      </w:pPr>
      <w:hyperlink r:id="rId119">
        <w:r w:rsidRPr="00B5742F">
          <w:rPr>
            <w:rStyle w:val="Hipercze"/>
            <w:rFonts w:ascii="Verdana" w:hAnsi="Verdana"/>
            <w:color w:val="0070C0"/>
            <w:spacing w:val="2"/>
            <w:szCs w:val="19"/>
          </w:rPr>
          <w:t>Sampani i</w:t>
        </w:r>
      </w:hyperlink>
      <w:r w:rsidRPr="0067337F">
        <w:rPr>
          <w:rFonts w:ascii="Verdana" w:hAnsi="Verdana"/>
          <w:spacing w:val="2"/>
          <w:sz w:val="19"/>
          <w:szCs w:val="19"/>
        </w:rPr>
        <w:t xml:space="preserve"> </w:t>
      </w:r>
      <w:hyperlink r:id="rId120">
        <w:r w:rsidRPr="0067337F">
          <w:rPr>
            <w:rFonts w:ascii="Verdana" w:hAnsi="Verdana"/>
            <w:b/>
            <w:color w:val="0071BB"/>
            <w:spacing w:val="2"/>
            <w:sz w:val="19"/>
            <w:szCs w:val="19"/>
            <w:u w:val="single" w:color="0071BB"/>
          </w:rPr>
          <w:t>I</w:t>
        </w:r>
        <w:r w:rsidR="000F5B45" w:rsidRPr="00B5742F">
          <w:rPr>
            <w:rFonts w:ascii="Verdana" w:hAnsi="Verdana"/>
            <w:b/>
            <w:color w:val="0071BB"/>
            <w:spacing w:val="2"/>
            <w:sz w:val="19"/>
            <w:szCs w:val="19"/>
            <w:u w:val="single" w:color="0071BB"/>
          </w:rPr>
          <w:t>nni przeciwko Grecji</w:t>
        </w:r>
      </w:hyperlink>
      <w:r w:rsidR="000F5B45" w:rsidRPr="00B5742F">
        <w:rPr>
          <w:rFonts w:ascii="Verdana" w:hAnsi="Verdana"/>
          <w:color w:val="404040"/>
          <w:spacing w:val="2"/>
          <w:sz w:val="19"/>
          <w:szCs w:val="19"/>
        </w:rPr>
        <w:t xml:space="preserve">, wyrok z dnia 11 grudnia 2012 r.; </w:t>
      </w:r>
      <w:hyperlink r:id="rId121">
        <w:r w:rsidR="000F5B45" w:rsidRPr="00B5742F">
          <w:rPr>
            <w:rFonts w:ascii="Verdana" w:hAnsi="Verdana"/>
            <w:b/>
            <w:color w:val="0071BB"/>
            <w:spacing w:val="2"/>
            <w:sz w:val="19"/>
            <w:szCs w:val="19"/>
            <w:u w:val="single" w:color="0071BB"/>
          </w:rPr>
          <w:t>Horváth i Kiss przeciwko Węgrom</w:t>
        </w:r>
      </w:hyperlink>
      <w:r w:rsidR="000F5B45" w:rsidRPr="00B5742F">
        <w:rPr>
          <w:rFonts w:ascii="Verdana" w:hAnsi="Verdana"/>
          <w:color w:val="404040"/>
          <w:spacing w:val="2"/>
          <w:sz w:val="19"/>
          <w:szCs w:val="19"/>
        </w:rPr>
        <w:t xml:space="preserve">, wyrok z dnia 29 stycznia 2013 r.; </w:t>
      </w:r>
      <w:hyperlink r:id="rId122">
        <w:r w:rsidR="000F5B45" w:rsidRPr="00B5742F">
          <w:rPr>
            <w:rFonts w:ascii="Verdana" w:hAnsi="Verdana"/>
            <w:b/>
            <w:color w:val="0071BB"/>
            <w:spacing w:val="2"/>
            <w:sz w:val="19"/>
            <w:szCs w:val="19"/>
            <w:u w:val="single" w:color="0071BB"/>
          </w:rPr>
          <w:t xml:space="preserve">Lavida i </w:t>
        </w:r>
        <w:r w:rsidR="00766D18" w:rsidRPr="0067337F">
          <w:rPr>
            <w:rFonts w:ascii="Verdana" w:hAnsi="Verdana"/>
            <w:b/>
            <w:color w:val="0071BB"/>
            <w:spacing w:val="2"/>
            <w:sz w:val="19"/>
            <w:szCs w:val="19"/>
            <w:u w:val="single" w:color="0071BB"/>
          </w:rPr>
          <w:t>I</w:t>
        </w:r>
        <w:r w:rsidR="000F5B45" w:rsidRPr="00B5742F">
          <w:rPr>
            <w:rFonts w:ascii="Verdana" w:hAnsi="Verdana"/>
            <w:b/>
            <w:color w:val="0071BB"/>
            <w:spacing w:val="2"/>
            <w:sz w:val="19"/>
            <w:szCs w:val="19"/>
            <w:u w:val="single" w:color="0071BB"/>
          </w:rPr>
          <w:t>nni przeciwko Grecji</w:t>
        </w:r>
      </w:hyperlink>
      <w:r w:rsidR="000F5B45" w:rsidRPr="00B5742F">
        <w:rPr>
          <w:rFonts w:ascii="Verdana" w:hAnsi="Verdana"/>
          <w:color w:val="404040"/>
          <w:spacing w:val="2"/>
          <w:sz w:val="19"/>
          <w:szCs w:val="19"/>
        </w:rPr>
        <w:t xml:space="preserve">, wyrok z dnia 28 maja 2013 r.; oraz nota informacyjna </w:t>
      </w:r>
      <w:hyperlink r:id="rId123">
        <w:r w:rsidR="00766D18" w:rsidRPr="004A3380">
          <w:rPr>
            <w:rFonts w:ascii="Verdana" w:hAnsi="Verdana"/>
            <w:b/>
            <w:color w:val="0071BB"/>
            <w:spacing w:val="2"/>
            <w:sz w:val="19"/>
            <w:szCs w:val="19"/>
            <w:u w:val="single" w:color="0071BB"/>
          </w:rPr>
          <w:t>„Romowie i Wędrowcy</w:t>
        </w:r>
      </w:hyperlink>
      <w:r w:rsidR="00766D18" w:rsidRPr="0067337F">
        <w:rPr>
          <w:rFonts w:ascii="Verdana" w:hAnsi="Verdana"/>
          <w:spacing w:val="2"/>
          <w:sz w:val="19"/>
          <w:szCs w:val="19"/>
        </w:rPr>
        <w:t xml:space="preserve"> </w:t>
      </w:r>
      <w:r w:rsidR="000F5B45" w:rsidRPr="00B5742F">
        <w:rPr>
          <w:rFonts w:ascii="Verdana" w:hAnsi="Verdana"/>
          <w:color w:val="404040"/>
          <w:spacing w:val="2"/>
          <w:sz w:val="19"/>
          <w:szCs w:val="19"/>
        </w:rPr>
        <w:t>”.</w:t>
      </w:r>
    </w:p>
    <w:p w14:paraId="76A5829E" w14:textId="009B4231" w:rsidR="000F5B45" w:rsidRPr="00B5742F" w:rsidRDefault="000F5B45" w:rsidP="00E93132">
      <w:pPr>
        <w:pStyle w:val="Nagwek2"/>
        <w:spacing w:before="117"/>
        <w:rPr>
          <w:rFonts w:ascii="Verdana" w:hAnsi="Verdana"/>
          <w:sz w:val="19"/>
          <w:szCs w:val="19"/>
          <w:u w:val="none"/>
        </w:rPr>
      </w:pPr>
      <w:hyperlink r:id="rId124">
        <w:r w:rsidRPr="00B5742F">
          <w:rPr>
            <w:rFonts w:ascii="Verdana" w:hAnsi="Verdana"/>
            <w:color w:val="0071BB"/>
            <w:sz w:val="19"/>
            <w:szCs w:val="19"/>
            <w:u w:color="0071BB"/>
          </w:rPr>
          <w:t xml:space="preserve">Ádám i </w:t>
        </w:r>
        <w:r w:rsidR="00766D18" w:rsidRPr="00B5742F">
          <w:rPr>
            <w:rFonts w:ascii="Verdana" w:hAnsi="Verdana"/>
            <w:color w:val="0071BB"/>
            <w:sz w:val="19"/>
            <w:szCs w:val="19"/>
            <w:u w:color="0071BB"/>
          </w:rPr>
          <w:t>I</w:t>
        </w:r>
        <w:r w:rsidRPr="00B5742F">
          <w:rPr>
            <w:rFonts w:ascii="Verdana" w:hAnsi="Verdana"/>
            <w:color w:val="0071BB"/>
            <w:sz w:val="19"/>
            <w:szCs w:val="19"/>
            <w:u w:color="0071BB"/>
          </w:rPr>
          <w:t>nni przeciwko Rumunii</w:t>
        </w:r>
      </w:hyperlink>
    </w:p>
    <w:p w14:paraId="4690E833" w14:textId="77777777" w:rsidR="000F5B45" w:rsidRPr="00B5742F" w:rsidRDefault="00000000" w:rsidP="00E93132">
      <w:pPr>
        <w:spacing w:before="58"/>
        <w:ind w:left="874"/>
        <w:jc w:val="both"/>
        <w:rPr>
          <w:rFonts w:ascii="Verdana" w:hAnsi="Verdana"/>
          <w:sz w:val="18"/>
        </w:rPr>
      </w:pPr>
      <w:r w:rsidRPr="00B5742F">
        <w:rPr>
          <w:rFonts w:ascii="Verdana" w:hAnsi="Verdana"/>
          <w:color w:val="808080"/>
          <w:sz w:val="17"/>
        </w:rPr>
        <w:t>13 października 2020 r.</w:t>
      </w:r>
    </w:p>
    <w:p w14:paraId="4028CFA8" w14:textId="2F7E30A0" w:rsidR="000F5B45" w:rsidRPr="00B5742F" w:rsidRDefault="00EA131F" w:rsidP="00E93132">
      <w:pPr>
        <w:pStyle w:val="Tekstpodstawowy"/>
        <w:spacing w:before="2"/>
        <w:ind w:right="730"/>
        <w:rPr>
          <w:rFonts w:ascii="Verdana" w:hAnsi="Verdana"/>
          <w:spacing w:val="4"/>
          <w:sz w:val="19"/>
          <w:szCs w:val="19"/>
        </w:rPr>
      </w:pPr>
      <w:r>
        <w:rPr>
          <w:rFonts w:ascii="Verdana" w:hAnsi="Verdana"/>
          <w:spacing w:val="4"/>
          <w:sz w:val="19"/>
          <w:szCs w:val="19"/>
        </w:rPr>
        <w:t>Skarżący</w:t>
      </w:r>
      <w:r w:rsidRPr="00B5742F">
        <w:rPr>
          <w:rFonts w:ascii="Verdana" w:hAnsi="Verdana"/>
          <w:spacing w:val="4"/>
          <w:sz w:val="19"/>
          <w:szCs w:val="19"/>
        </w:rPr>
        <w:t>, należący do mniejszości węgierskiej, odbyli edukację w swoim języku ojczystym. Aby uzyskać świadectwo ukończenia szkoły średniej, musieli przystąpić do egzaminów z języka rumuńskiego i węgierskiego, co oznaczało, że musieli zdawać o dwa egzaminy więcej ni</w:t>
      </w:r>
      <w:r w:rsidR="00843A8F" w:rsidRPr="0067337F">
        <w:rPr>
          <w:rFonts w:ascii="Verdana" w:hAnsi="Verdana"/>
          <w:spacing w:val="4"/>
          <w:sz w:val="19"/>
          <w:szCs w:val="19"/>
        </w:rPr>
        <w:t>ż etniczni Rumuni</w:t>
      </w:r>
      <w:r w:rsidRPr="00B5742F">
        <w:rPr>
          <w:rFonts w:ascii="Verdana" w:hAnsi="Verdana"/>
          <w:spacing w:val="4"/>
          <w:sz w:val="19"/>
          <w:szCs w:val="19"/>
        </w:rPr>
        <w:t xml:space="preserve">. Skargi dotyczyły dyskryminacji </w:t>
      </w:r>
      <w:r>
        <w:rPr>
          <w:rFonts w:ascii="Verdana" w:hAnsi="Verdana"/>
          <w:spacing w:val="4"/>
          <w:sz w:val="19"/>
          <w:szCs w:val="19"/>
        </w:rPr>
        <w:t>skarżących</w:t>
      </w:r>
      <w:r w:rsidRPr="00B5742F">
        <w:rPr>
          <w:rFonts w:ascii="Verdana" w:hAnsi="Verdana"/>
          <w:spacing w:val="4"/>
          <w:sz w:val="19"/>
          <w:szCs w:val="19"/>
        </w:rPr>
        <w:t xml:space="preserve"> jako członków mniejszości węgierskiej podczas egzaminów końcowych – musieli oni zdawać więcej egzaminów niż Rumuni (</w:t>
      </w:r>
      <w:r w:rsidRPr="004A3380">
        <w:rPr>
          <w:rFonts w:ascii="Verdana" w:hAnsi="Verdana"/>
          <w:spacing w:val="4"/>
          <w:sz w:val="19"/>
          <w:szCs w:val="19"/>
        </w:rPr>
        <w:t>dwa egzaminy z języka węgierskiego</w:t>
      </w:r>
      <w:r w:rsidRPr="00B5742F">
        <w:rPr>
          <w:rFonts w:ascii="Verdana" w:hAnsi="Verdana"/>
          <w:spacing w:val="4"/>
          <w:sz w:val="19"/>
          <w:szCs w:val="19"/>
        </w:rPr>
        <w:t>) w tym samym czasie, a egzaminy z języka rumuńskiego były dla nich trudne, ponieważ nie był to ich język ojczysty.</w:t>
      </w:r>
    </w:p>
    <w:p w14:paraId="78B345C8" w14:textId="171C3342" w:rsidR="000F5B45" w:rsidRPr="00B5742F" w:rsidRDefault="00000000" w:rsidP="00E93132">
      <w:pPr>
        <w:pStyle w:val="Tekstpodstawowy"/>
        <w:ind w:left="874" w:right="729"/>
        <w:rPr>
          <w:rFonts w:ascii="Verdana" w:hAnsi="Verdana"/>
          <w:spacing w:val="4"/>
          <w:sz w:val="19"/>
          <w:szCs w:val="19"/>
        </w:rPr>
      </w:pPr>
      <w:r w:rsidRPr="00B5742F">
        <w:rPr>
          <w:rFonts w:ascii="Verdana" w:hAnsi="Verdana"/>
          <w:color w:val="0071BB"/>
          <w:spacing w:val="4"/>
          <w:sz w:val="19"/>
          <w:szCs w:val="19"/>
        </w:rPr>
        <w:t xml:space="preserve">Trybunał uznał, że </w:t>
      </w:r>
      <w:r w:rsidRPr="00B5742F">
        <w:rPr>
          <w:rFonts w:ascii="Verdana" w:hAnsi="Verdana"/>
          <w:b/>
          <w:color w:val="0071BB"/>
          <w:spacing w:val="4"/>
          <w:sz w:val="19"/>
          <w:szCs w:val="19"/>
        </w:rPr>
        <w:t xml:space="preserve">nie </w:t>
      </w:r>
      <w:r w:rsidRPr="00B5742F">
        <w:rPr>
          <w:rFonts w:ascii="Verdana" w:hAnsi="Verdana"/>
          <w:b/>
          <w:bCs/>
          <w:color w:val="0071BB"/>
          <w:spacing w:val="4"/>
          <w:sz w:val="19"/>
          <w:szCs w:val="19"/>
        </w:rPr>
        <w:t>doszło</w:t>
      </w:r>
      <w:r w:rsidRPr="00B5742F">
        <w:rPr>
          <w:rFonts w:ascii="Verdana" w:hAnsi="Verdana"/>
          <w:color w:val="0071BB"/>
          <w:spacing w:val="4"/>
          <w:sz w:val="19"/>
          <w:szCs w:val="19"/>
        </w:rPr>
        <w:t xml:space="preserve"> </w:t>
      </w:r>
      <w:r w:rsidRPr="00B5742F">
        <w:rPr>
          <w:rFonts w:ascii="Verdana" w:hAnsi="Verdana"/>
          <w:b/>
          <w:color w:val="0071BB"/>
          <w:spacing w:val="4"/>
          <w:sz w:val="19"/>
          <w:szCs w:val="19"/>
        </w:rPr>
        <w:t xml:space="preserve">do naruszenia art. 1 </w:t>
      </w:r>
      <w:r w:rsidRPr="00B5742F">
        <w:rPr>
          <w:rFonts w:ascii="Verdana" w:hAnsi="Verdana"/>
          <w:color w:val="0071BB"/>
          <w:spacing w:val="4"/>
          <w:sz w:val="19"/>
          <w:szCs w:val="19"/>
        </w:rPr>
        <w:t xml:space="preserve">(ogólny zakaz dyskryminacji) </w:t>
      </w:r>
      <w:r w:rsidRPr="00B5742F">
        <w:rPr>
          <w:rFonts w:ascii="Verdana" w:hAnsi="Verdana"/>
          <w:b/>
          <w:color w:val="0071BB"/>
          <w:spacing w:val="4"/>
          <w:sz w:val="19"/>
          <w:szCs w:val="19"/>
        </w:rPr>
        <w:t xml:space="preserve">protokołu nr 12 </w:t>
      </w:r>
      <w:r w:rsidRPr="00B5742F">
        <w:rPr>
          <w:rFonts w:ascii="Verdana" w:hAnsi="Verdana"/>
          <w:color w:val="0071BB"/>
          <w:spacing w:val="4"/>
          <w:sz w:val="19"/>
          <w:szCs w:val="19"/>
        </w:rPr>
        <w:t xml:space="preserve">do Konwencji, stwierdzając, że ani treść programu nauczania, ani harmonogram egzaminów nie spowodowały naruszenia praw skarżących. W szczególności zauważył, że w niniejszej sprawie nie podważono znaczenia nauki języka urzędowego państwa dla członków mniejszości narodowej ani wynikającej z tego potrzeby oceny ich znajomości tego języka w ramach egzaminu maturalnego. Nie należało również do jego roli decydowanie o tym, jakie przedmioty powinny być sprawdzane ani w jakiej kolejności, co leżało w gestii państw („margines </w:t>
      </w:r>
      <w:r w:rsidR="004F24BF">
        <w:rPr>
          <w:rFonts w:ascii="Verdana" w:hAnsi="Verdana"/>
          <w:color w:val="0071BB"/>
          <w:spacing w:val="4"/>
          <w:sz w:val="19"/>
          <w:szCs w:val="19"/>
        </w:rPr>
        <w:t>oceny</w:t>
      </w:r>
      <w:r w:rsidRPr="00B5742F">
        <w:rPr>
          <w:rFonts w:ascii="Verdana" w:hAnsi="Verdana"/>
          <w:color w:val="0071BB"/>
          <w:spacing w:val="4"/>
          <w:sz w:val="19"/>
          <w:szCs w:val="19"/>
        </w:rPr>
        <w:t>”). Ponadto dodatkowe egzaminy, do których musieli przystąpić skarżący, wynikały z ich własnej decyzji o podjęciu nauki w języku ojczystym.</w:t>
      </w:r>
    </w:p>
    <w:p w14:paraId="1088FD20" w14:textId="10480D43" w:rsidR="000F5B45" w:rsidRPr="00B5742F" w:rsidRDefault="000F5B45" w:rsidP="00E93132">
      <w:pPr>
        <w:pStyle w:val="Nagwek2"/>
        <w:spacing w:before="102"/>
        <w:rPr>
          <w:rFonts w:ascii="Verdana" w:hAnsi="Verdana"/>
          <w:sz w:val="19"/>
          <w:szCs w:val="19"/>
          <w:u w:val="none"/>
        </w:rPr>
      </w:pPr>
      <w:hyperlink r:id="rId125">
        <w:r w:rsidRPr="00B5742F">
          <w:rPr>
            <w:rFonts w:ascii="Verdana" w:hAnsi="Verdana"/>
            <w:color w:val="0071BB"/>
            <w:sz w:val="19"/>
            <w:szCs w:val="19"/>
            <w:u w:color="0071BB"/>
          </w:rPr>
          <w:t xml:space="preserve">X i </w:t>
        </w:r>
        <w:r w:rsidR="00A86C49" w:rsidRPr="0067337F">
          <w:rPr>
            <w:rFonts w:ascii="Verdana" w:hAnsi="Verdana"/>
            <w:color w:val="0071BB"/>
            <w:sz w:val="19"/>
            <w:szCs w:val="19"/>
            <w:u w:color="0071BB"/>
          </w:rPr>
          <w:t>I</w:t>
        </w:r>
        <w:r w:rsidRPr="00B5742F">
          <w:rPr>
            <w:rFonts w:ascii="Verdana" w:hAnsi="Verdana"/>
            <w:color w:val="0071BB"/>
            <w:sz w:val="19"/>
            <w:szCs w:val="19"/>
            <w:u w:color="0071BB"/>
          </w:rPr>
          <w:t>nni przeciwko Albanii (nr 73548/17 i 45521/19)</w:t>
        </w:r>
      </w:hyperlink>
    </w:p>
    <w:p w14:paraId="726364A7" w14:textId="058142D8" w:rsidR="000F5B45" w:rsidRPr="00B5742F" w:rsidRDefault="00000000" w:rsidP="00E93132">
      <w:pPr>
        <w:spacing w:before="55"/>
        <w:ind w:left="874"/>
        <w:jc w:val="both"/>
        <w:rPr>
          <w:rFonts w:ascii="Verdana" w:hAnsi="Verdana"/>
          <w:sz w:val="18"/>
        </w:rPr>
      </w:pPr>
      <w:r w:rsidRPr="00B5742F">
        <w:rPr>
          <w:rFonts w:ascii="Verdana" w:hAnsi="Verdana"/>
          <w:color w:val="808080"/>
          <w:sz w:val="17"/>
        </w:rPr>
        <w:t>31 maja 2022</w:t>
      </w:r>
      <w:r w:rsidR="00A86C49" w:rsidRPr="009749D0">
        <w:rPr>
          <w:rFonts w:ascii="Verdana" w:hAnsi="Verdana"/>
          <w:color w:val="808080"/>
          <w:sz w:val="17"/>
        </w:rPr>
        <w:t xml:space="preserve"> r.</w:t>
      </w:r>
    </w:p>
    <w:p w14:paraId="6A194510" w14:textId="1396CD9E" w:rsidR="000F5B45" w:rsidRPr="00B5742F" w:rsidRDefault="00000000" w:rsidP="00E93132">
      <w:pPr>
        <w:pStyle w:val="Tekstpodstawowy"/>
        <w:spacing w:before="4"/>
        <w:rPr>
          <w:rFonts w:ascii="Verdana" w:hAnsi="Verdana"/>
          <w:spacing w:val="4"/>
        </w:rPr>
      </w:pPr>
      <w:r w:rsidRPr="00B5742F">
        <w:rPr>
          <w:rFonts w:ascii="Verdana" w:hAnsi="Verdana"/>
          <w:spacing w:val="4"/>
          <w:sz w:val="19"/>
        </w:rPr>
        <w:t>Skarżący, obywatele Albanii pochodzenia romskiego i egipskiego, tworzący różne gospodarstwa domowe, skarżyli się na dyskryminację i segregację w edukacji swoich dzieci ze względu na nadmierną reprezentację uczniów egipskich i romskich w szkole podstawowej „Naim Frashëri” w Korczy, do której uczęszcza</w:t>
      </w:r>
      <w:r w:rsidR="003D1D77">
        <w:rPr>
          <w:rFonts w:ascii="Verdana" w:hAnsi="Verdana"/>
          <w:spacing w:val="4"/>
          <w:sz w:val="19"/>
        </w:rPr>
        <w:t>ły</w:t>
      </w:r>
      <w:r w:rsidR="00144924">
        <w:rPr>
          <w:rFonts w:ascii="Verdana" w:hAnsi="Verdana"/>
          <w:spacing w:val="4"/>
          <w:sz w:val="19"/>
        </w:rPr>
        <w:t xml:space="preserve"> </w:t>
      </w:r>
      <w:r w:rsidRPr="00B5742F">
        <w:rPr>
          <w:rFonts w:ascii="Verdana" w:hAnsi="Verdana"/>
          <w:spacing w:val="4"/>
          <w:sz w:val="19"/>
        </w:rPr>
        <w:t>ich dzieci. Twierdzili oni, że złożyli skargę do władz w tej sprawie, a komisarz ds. ochrony przed dyskryminacją nakazał następnie Ministerstwu Edukacji i Sportu podjęcie „natychmiastowych działań w celu poprawy sytuacji i zmiany proporcji” między uczniami romskimi/egipskimi a innymi uczniami uczęszczającymi do tej szkoły. Skarżący twierdzili, że sytuacja nie została rozwiązana.</w:t>
      </w:r>
    </w:p>
    <w:p w14:paraId="667B7451" w14:textId="3731716C" w:rsidR="000F5B45" w:rsidRPr="00B5742F" w:rsidRDefault="00000000" w:rsidP="00E93132">
      <w:pPr>
        <w:pStyle w:val="Tekstpodstawowy"/>
        <w:rPr>
          <w:rFonts w:ascii="Verdana" w:hAnsi="Verdana"/>
          <w:spacing w:val="4"/>
        </w:rPr>
      </w:pPr>
      <w:r w:rsidRPr="00B5742F">
        <w:rPr>
          <w:rFonts w:ascii="Verdana" w:hAnsi="Verdana"/>
          <w:color w:val="0071BB"/>
          <w:spacing w:val="4"/>
          <w:sz w:val="19"/>
        </w:rPr>
        <w:t xml:space="preserve">Trybunał uznał, że w niniejszej sprawie </w:t>
      </w:r>
      <w:r w:rsidRPr="00B5742F">
        <w:rPr>
          <w:rFonts w:ascii="Verdana" w:hAnsi="Verdana"/>
          <w:b/>
          <w:bCs/>
          <w:color w:val="0071BB"/>
          <w:spacing w:val="4"/>
          <w:sz w:val="19"/>
        </w:rPr>
        <w:t xml:space="preserve">doszło </w:t>
      </w:r>
      <w:r w:rsidRPr="00B5742F">
        <w:rPr>
          <w:rFonts w:ascii="Verdana" w:hAnsi="Verdana"/>
          <w:b/>
          <w:color w:val="0071BB"/>
          <w:spacing w:val="4"/>
          <w:sz w:val="19"/>
        </w:rPr>
        <w:t xml:space="preserve">do naruszenia art. 1 </w:t>
      </w:r>
      <w:r w:rsidRPr="00B5742F">
        <w:rPr>
          <w:rFonts w:ascii="Verdana" w:hAnsi="Verdana"/>
          <w:color w:val="0071BB"/>
          <w:spacing w:val="4"/>
          <w:sz w:val="19"/>
        </w:rPr>
        <w:t xml:space="preserve">(ogólny zakaz dyskryminacji) </w:t>
      </w:r>
      <w:r w:rsidRPr="00B5742F">
        <w:rPr>
          <w:rFonts w:ascii="Verdana" w:hAnsi="Verdana"/>
          <w:b/>
          <w:color w:val="0071BB"/>
          <w:spacing w:val="4"/>
          <w:sz w:val="19"/>
        </w:rPr>
        <w:t xml:space="preserve">protokołu nr 12 </w:t>
      </w:r>
      <w:r w:rsidRPr="00B5742F">
        <w:rPr>
          <w:rFonts w:ascii="Verdana" w:hAnsi="Verdana"/>
          <w:color w:val="0071BB"/>
          <w:spacing w:val="4"/>
          <w:sz w:val="19"/>
        </w:rPr>
        <w:t xml:space="preserve">do Konwencji, stwierdzając, że państwo nie wdrożyło środków mających na celu zniesienie segregacji. Przypomniał w szczególności, że już wcześniej stwierdził naruszenie zakazu dyskryminacji w podobnym kontekście w </w:t>
      </w:r>
      <w:r w:rsidRPr="00B5742F">
        <w:rPr>
          <w:rFonts w:ascii="Verdana" w:hAnsi="Verdana"/>
          <w:i/>
          <w:color w:val="0071BB"/>
          <w:spacing w:val="4"/>
          <w:sz w:val="19"/>
        </w:rPr>
        <w:t xml:space="preserve">sprawie Lavida i </w:t>
      </w:r>
      <w:r w:rsidR="00A86C49" w:rsidRPr="0067337F">
        <w:rPr>
          <w:rFonts w:ascii="Verdana" w:hAnsi="Verdana"/>
          <w:i/>
          <w:color w:val="0071BB"/>
          <w:spacing w:val="4"/>
          <w:sz w:val="19"/>
        </w:rPr>
        <w:t>I</w:t>
      </w:r>
      <w:r w:rsidRPr="00B5742F">
        <w:rPr>
          <w:rFonts w:ascii="Verdana" w:hAnsi="Verdana"/>
          <w:i/>
          <w:color w:val="0071BB"/>
          <w:spacing w:val="4"/>
          <w:sz w:val="19"/>
        </w:rPr>
        <w:t xml:space="preserve">nni przeciwko Grecji </w:t>
      </w:r>
      <w:r w:rsidRPr="00B5742F">
        <w:rPr>
          <w:rFonts w:ascii="Verdana" w:hAnsi="Verdana"/>
          <w:color w:val="0071BB"/>
          <w:spacing w:val="4"/>
          <w:sz w:val="19"/>
        </w:rPr>
        <w:t>(zob. powyżej). Stwierdził, że podobnie w niniejszej sprawie opóźnienia i niewdrożenie odpowiednich środków znoszących segregację nie mogą być uznane za obiektywnie uzasadnione i racjonalne. Na podstawie</w:t>
      </w:r>
      <w:r w:rsidRPr="00B5742F">
        <w:rPr>
          <w:rFonts w:ascii="Verdana" w:hAnsi="Verdana"/>
          <w:b/>
          <w:color w:val="0071BB"/>
          <w:spacing w:val="4"/>
          <w:sz w:val="19"/>
        </w:rPr>
        <w:t xml:space="preserve"> art. 46 (</w:t>
      </w:r>
      <w:r w:rsidRPr="00B5742F">
        <w:rPr>
          <w:rFonts w:ascii="Verdana" w:hAnsi="Verdana"/>
          <w:color w:val="0071BB"/>
          <w:spacing w:val="4"/>
          <w:sz w:val="19"/>
        </w:rPr>
        <w:t>moc wiążąca i wykonanie wyroków) Konwencji Trybunał zauważył ponadto, że Albania musi podjąć środki w celu położenia kresu dyskryminacji uczniów romskich i egipskich w szkole „Naim Frashëri”, zgodnie z decyzją komisarza.</w:t>
      </w:r>
    </w:p>
    <w:p w14:paraId="292A2AC8" w14:textId="7ED90AE8" w:rsidR="000F5B45" w:rsidRPr="00B5742F" w:rsidRDefault="000F5B45" w:rsidP="00E93132">
      <w:pPr>
        <w:pStyle w:val="Nagwek2"/>
        <w:spacing w:before="97"/>
        <w:ind w:left="873"/>
        <w:rPr>
          <w:rFonts w:ascii="Verdana" w:hAnsi="Verdana"/>
          <w:u w:val="none"/>
        </w:rPr>
      </w:pPr>
      <w:hyperlink r:id="rId126">
        <w:r w:rsidRPr="00B5742F">
          <w:rPr>
            <w:rFonts w:ascii="Verdana" w:hAnsi="Verdana"/>
            <w:color w:val="0071BB"/>
            <w:sz w:val="19"/>
            <w:u w:color="0071BB"/>
          </w:rPr>
          <w:t xml:space="preserve">Elmazova i </w:t>
        </w:r>
        <w:r w:rsidR="00A86C49" w:rsidRPr="009749D0">
          <w:rPr>
            <w:rFonts w:ascii="Verdana" w:hAnsi="Verdana"/>
            <w:color w:val="0071BB"/>
            <w:sz w:val="19"/>
            <w:u w:color="0071BB"/>
          </w:rPr>
          <w:t>I</w:t>
        </w:r>
        <w:r w:rsidRPr="00B5742F">
          <w:rPr>
            <w:rFonts w:ascii="Verdana" w:hAnsi="Verdana"/>
            <w:color w:val="0071BB"/>
            <w:sz w:val="19"/>
            <w:u w:color="0071BB"/>
          </w:rPr>
          <w:t>nni przeciwko Macedonii Północnej</w:t>
        </w:r>
      </w:hyperlink>
    </w:p>
    <w:p w14:paraId="51B80EF3" w14:textId="5362EC22"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13 grudnia 2022</w:t>
      </w:r>
      <w:r w:rsidR="00A86C49" w:rsidRPr="009749D0">
        <w:rPr>
          <w:rFonts w:ascii="Verdana" w:hAnsi="Verdana"/>
          <w:color w:val="808080"/>
          <w:sz w:val="17"/>
        </w:rPr>
        <w:t xml:space="preserve"> r.</w:t>
      </w:r>
    </w:p>
    <w:p w14:paraId="1D226762" w14:textId="77777777" w:rsidR="000F5B45" w:rsidRPr="00B5742F" w:rsidRDefault="00000000" w:rsidP="00E93132">
      <w:pPr>
        <w:pStyle w:val="Tekstpodstawowy"/>
        <w:spacing w:before="3"/>
        <w:ind w:left="874"/>
        <w:rPr>
          <w:rFonts w:ascii="Verdana" w:hAnsi="Verdana"/>
          <w:spacing w:val="4"/>
        </w:rPr>
      </w:pPr>
      <w:r w:rsidRPr="00B5742F">
        <w:rPr>
          <w:rFonts w:ascii="Verdana" w:hAnsi="Verdana"/>
          <w:spacing w:val="4"/>
          <w:sz w:val="19"/>
        </w:rPr>
        <w:t>Sprawa dotyczyła domniemanej segregacji uczniów pochodzenia romskiego i macedońskiego, którzy byli w przeważającej większości umieszczani w różnych szkołach w miastach Bitola należących do tego samego obwodu szkolnego, a także rzekomo w różnych klasach w Shtip. Skarżący, uczniowie i ich rodzice, zarzucali segregację bez obiektywnego i uzasadnionego powodu.</w:t>
      </w:r>
    </w:p>
    <w:p w14:paraId="4BE4CBAE" w14:textId="67845BD7" w:rsidR="000F5B45" w:rsidRDefault="00000000" w:rsidP="00E93132">
      <w:pPr>
        <w:ind w:left="873" w:right="731"/>
        <w:jc w:val="both"/>
        <w:rPr>
          <w:rFonts w:ascii="Verdana" w:hAnsi="Verdana"/>
          <w:color w:val="0071BB"/>
          <w:spacing w:val="4"/>
          <w:sz w:val="19"/>
        </w:rPr>
      </w:pPr>
      <w:r w:rsidRPr="00B5742F">
        <w:rPr>
          <w:rFonts w:ascii="Verdana" w:hAnsi="Verdana"/>
          <w:color w:val="0071BB"/>
          <w:spacing w:val="4"/>
          <w:sz w:val="19"/>
        </w:rPr>
        <w:t xml:space="preserve">Trybunał uznał, że w niniejszej sprawie </w:t>
      </w:r>
      <w:r w:rsidRPr="00B5742F">
        <w:rPr>
          <w:rFonts w:ascii="Verdana" w:hAnsi="Verdana"/>
          <w:b/>
          <w:bCs/>
          <w:color w:val="0071BB"/>
          <w:spacing w:val="4"/>
          <w:sz w:val="19"/>
        </w:rPr>
        <w:t>doszło</w:t>
      </w:r>
      <w:r w:rsidRPr="00B5742F">
        <w:rPr>
          <w:rFonts w:ascii="Verdana" w:hAnsi="Verdana"/>
          <w:color w:val="0071BB"/>
          <w:spacing w:val="4"/>
          <w:sz w:val="19"/>
        </w:rPr>
        <w:t xml:space="preserve"> </w:t>
      </w:r>
      <w:r w:rsidRPr="00B5742F">
        <w:rPr>
          <w:rFonts w:ascii="Verdana" w:hAnsi="Verdana"/>
          <w:b/>
          <w:color w:val="0071BB"/>
          <w:spacing w:val="4"/>
          <w:sz w:val="19"/>
        </w:rPr>
        <w:t>do</w:t>
      </w:r>
      <w:r w:rsidRPr="00B5742F">
        <w:rPr>
          <w:rFonts w:ascii="Verdana" w:hAnsi="Verdana"/>
          <w:color w:val="0071BB"/>
          <w:spacing w:val="4"/>
          <w:sz w:val="19"/>
        </w:rPr>
        <w:t xml:space="preserve"> </w:t>
      </w:r>
      <w:r w:rsidRPr="00B5742F">
        <w:rPr>
          <w:rFonts w:ascii="Verdana" w:hAnsi="Verdana"/>
          <w:b/>
          <w:color w:val="0071BB"/>
          <w:spacing w:val="4"/>
          <w:sz w:val="19"/>
        </w:rPr>
        <w:t xml:space="preserve">naruszenia art. 14 </w:t>
      </w:r>
      <w:r w:rsidRPr="00B5742F">
        <w:rPr>
          <w:rFonts w:ascii="Verdana" w:hAnsi="Verdana"/>
          <w:color w:val="0071BB"/>
          <w:spacing w:val="4"/>
          <w:sz w:val="19"/>
        </w:rPr>
        <w:t xml:space="preserve">(zakaz dyskryminacji) Konwencji </w:t>
      </w:r>
      <w:r w:rsidRPr="00B5742F">
        <w:rPr>
          <w:rFonts w:ascii="Verdana" w:hAnsi="Verdana"/>
          <w:b/>
          <w:color w:val="0071BB"/>
          <w:spacing w:val="4"/>
          <w:sz w:val="19"/>
        </w:rPr>
        <w:t>w związku z art.</w:t>
      </w:r>
      <w:r w:rsidR="00A86C49" w:rsidRPr="0067337F">
        <w:rPr>
          <w:rFonts w:ascii="Verdana" w:hAnsi="Verdana"/>
          <w:b/>
          <w:color w:val="0071BB"/>
          <w:spacing w:val="4"/>
          <w:sz w:val="19"/>
        </w:rPr>
        <w:t> </w:t>
      </w:r>
      <w:r w:rsidRPr="00B5742F">
        <w:rPr>
          <w:rFonts w:ascii="Verdana" w:hAnsi="Verdana"/>
          <w:b/>
          <w:color w:val="0071BB"/>
          <w:spacing w:val="4"/>
          <w:sz w:val="19"/>
        </w:rPr>
        <w:t xml:space="preserve">2 </w:t>
      </w:r>
      <w:r w:rsidRPr="00B5742F">
        <w:rPr>
          <w:rFonts w:ascii="Verdana" w:hAnsi="Verdana"/>
          <w:color w:val="0071BB"/>
          <w:spacing w:val="4"/>
          <w:sz w:val="19"/>
        </w:rPr>
        <w:t xml:space="preserve">(prawo do edukacji) </w:t>
      </w:r>
      <w:r w:rsidRPr="00B5742F">
        <w:rPr>
          <w:rFonts w:ascii="Verdana" w:hAnsi="Verdana"/>
          <w:b/>
          <w:color w:val="0071BB"/>
          <w:spacing w:val="4"/>
          <w:sz w:val="19"/>
        </w:rPr>
        <w:t xml:space="preserve">protokołu nr 1 </w:t>
      </w:r>
      <w:r w:rsidRPr="00B5742F">
        <w:rPr>
          <w:rFonts w:ascii="Verdana" w:hAnsi="Verdana"/>
          <w:color w:val="0071BB"/>
          <w:spacing w:val="4"/>
          <w:sz w:val="19"/>
        </w:rPr>
        <w:t>do Konwencji, stwierdzając, że nawet jeśli ze strony państwa nie było zamiaru dyskryminacji,</w:t>
      </w:r>
    </w:p>
    <w:p w14:paraId="0B0B2359" w14:textId="77777777" w:rsidR="0067337F" w:rsidRPr="00B5742F" w:rsidRDefault="0067337F" w:rsidP="00E93132">
      <w:pPr>
        <w:ind w:left="873" w:right="731"/>
        <w:jc w:val="both"/>
        <w:rPr>
          <w:rFonts w:ascii="Verdana" w:hAnsi="Verdana"/>
          <w:spacing w:val="4"/>
          <w:sz w:val="20"/>
        </w:rPr>
      </w:pPr>
    </w:p>
    <w:p w14:paraId="2366AB14" w14:textId="77777777" w:rsidR="000F5B45" w:rsidRPr="00B5742F" w:rsidRDefault="000F5B45" w:rsidP="00E93132">
      <w:pPr>
        <w:jc w:val="both"/>
        <w:rPr>
          <w:rFonts w:ascii="Verdana" w:hAnsi="Verdana"/>
          <w:sz w:val="20"/>
        </w:rPr>
        <w:sectPr w:rsidR="000F5B45" w:rsidRPr="00B5742F">
          <w:pgSz w:w="11910" w:h="16840"/>
          <w:pgMar w:top="1460" w:right="708" w:bottom="680" w:left="566" w:header="730" w:footer="497" w:gutter="0"/>
          <w:cols w:space="708"/>
        </w:sectPr>
      </w:pPr>
    </w:p>
    <w:p w14:paraId="34BDE214" w14:textId="4A11762B" w:rsidR="000F5B45" w:rsidRPr="00B5742F" w:rsidRDefault="00F13CAA" w:rsidP="00E93132">
      <w:pPr>
        <w:pStyle w:val="Tekstpodstawowy"/>
        <w:spacing w:before="240"/>
        <w:ind w:left="874" w:hanging="1"/>
        <w:rPr>
          <w:rFonts w:ascii="Verdana" w:hAnsi="Verdana"/>
        </w:rPr>
      </w:pPr>
      <w:r>
        <w:rPr>
          <w:rFonts w:ascii="Verdana" w:hAnsi="Verdana"/>
          <w:color w:val="0071BB"/>
          <w:sz w:val="19"/>
        </w:rPr>
        <w:lastRenderedPageBreak/>
        <w:t>s</w:t>
      </w:r>
      <w:r w:rsidRPr="00B5742F">
        <w:rPr>
          <w:rFonts w:ascii="Verdana" w:hAnsi="Verdana"/>
          <w:color w:val="0071BB"/>
          <w:sz w:val="19"/>
        </w:rPr>
        <w:t xml:space="preserve">ytuacja faktyczna – uczniowie szkół podstawowych pochodzenia romskiego byli kierowani do innych szkół i klas niż uczniowie pochodzenia macedońskiego – nie miała obiektywnego uzasadnienia i stanowiła segregację edukacyjną. Trybunał uznał ponadto, że należy podjąć środki w celu zapewnienia zniesienia segregacji uczniów romskich w szkołach w niniejszej sprawie na podstawie </w:t>
      </w:r>
      <w:r w:rsidRPr="00B5742F">
        <w:rPr>
          <w:rFonts w:ascii="Verdana" w:hAnsi="Verdana"/>
          <w:b/>
          <w:color w:val="0071BB"/>
          <w:sz w:val="19"/>
        </w:rPr>
        <w:t>art. 46 (</w:t>
      </w:r>
      <w:r w:rsidRPr="00B5742F">
        <w:rPr>
          <w:rFonts w:ascii="Verdana" w:hAnsi="Verdana"/>
          <w:color w:val="0071BB"/>
          <w:sz w:val="19"/>
        </w:rPr>
        <w:t>moc wiążąca i wykonanie wyroków) Konwencji. W tym względzie Trybunał ponownie podkreślił znaczenie społeczeństwa wolnego od segregacji rasowej oraz fakt, że edukacja integracyjna jest najwłaściwszym środkiem gwarantującym podstawowe zasady powszechności i niedyskryminacji w korzystaniu z prawa do edukacji.</w:t>
      </w:r>
    </w:p>
    <w:p w14:paraId="7396DB80" w14:textId="77777777" w:rsidR="000F5B45" w:rsidRPr="00B5742F" w:rsidRDefault="000F5B45" w:rsidP="00E93132">
      <w:pPr>
        <w:pStyle w:val="Nagwek2"/>
        <w:spacing w:before="112"/>
        <w:rPr>
          <w:rFonts w:ascii="Verdana" w:hAnsi="Verdana"/>
          <w:sz w:val="19"/>
          <w:szCs w:val="19"/>
          <w:u w:val="none"/>
        </w:rPr>
      </w:pPr>
      <w:hyperlink r:id="rId127">
        <w:r w:rsidRPr="00B5742F">
          <w:rPr>
            <w:rFonts w:ascii="Verdana" w:hAnsi="Verdana"/>
            <w:color w:val="0071BB"/>
            <w:sz w:val="19"/>
            <w:szCs w:val="19"/>
            <w:u w:color="0071BB"/>
          </w:rPr>
          <w:t>Szolcsán przeciwko Węgrom</w:t>
        </w:r>
      </w:hyperlink>
    </w:p>
    <w:p w14:paraId="7D6FAD37" w14:textId="20257F03" w:rsidR="000F5B45" w:rsidRPr="00B5742F" w:rsidRDefault="00000000" w:rsidP="00E93132">
      <w:pPr>
        <w:spacing w:before="53"/>
        <w:ind w:left="874"/>
        <w:jc w:val="both"/>
        <w:rPr>
          <w:rFonts w:ascii="Verdana" w:hAnsi="Verdana"/>
          <w:position w:val="6"/>
          <w:sz w:val="12"/>
        </w:rPr>
      </w:pPr>
      <w:r w:rsidRPr="00B5742F">
        <w:rPr>
          <w:rFonts w:ascii="Verdana" w:hAnsi="Verdana"/>
          <w:color w:val="808080"/>
          <w:sz w:val="17"/>
        </w:rPr>
        <w:t>30 marca 2023 r</w:t>
      </w:r>
      <w:r w:rsidR="008701C9" w:rsidRPr="009749D0">
        <w:rPr>
          <w:rFonts w:ascii="Verdana" w:hAnsi="Verdana"/>
          <w:color w:val="808080"/>
          <w:sz w:val="17"/>
        </w:rPr>
        <w:t>.</w:t>
      </w:r>
      <w:hyperlink w:anchor="_bookmark6" w:history="1">
        <w:r w:rsidR="000F5B45" w:rsidRPr="00B5742F">
          <w:rPr>
            <w:rFonts w:ascii="Verdana" w:hAnsi="Verdana"/>
            <w:color w:val="808080"/>
            <w:position w:val="6"/>
            <w:sz w:val="11"/>
          </w:rPr>
          <w:t>. (7)</w:t>
        </w:r>
      </w:hyperlink>
    </w:p>
    <w:p w14:paraId="40551097" w14:textId="77777777" w:rsidR="000F5B45" w:rsidRPr="00B5742F" w:rsidRDefault="00000000" w:rsidP="00E93132">
      <w:pPr>
        <w:pStyle w:val="Tekstpodstawowy"/>
        <w:spacing w:before="1"/>
        <w:rPr>
          <w:rFonts w:ascii="Verdana" w:hAnsi="Verdana"/>
          <w:spacing w:val="4"/>
          <w:sz w:val="19"/>
          <w:szCs w:val="19"/>
        </w:rPr>
      </w:pPr>
      <w:r w:rsidRPr="00B5742F">
        <w:rPr>
          <w:rFonts w:ascii="Verdana" w:hAnsi="Verdana"/>
          <w:spacing w:val="4"/>
          <w:sz w:val="19"/>
          <w:szCs w:val="19"/>
        </w:rPr>
        <w:t>Sprawa dotyczyła edukacji skarżącego w szkole podstawowej, do której uczęszczały prawie wyłącznie dzieci romskie. Jego wniosek o przeniesienie do innej szkoły w sąsiednim mieście został odrzucony, ponieważ nie mieszkał on w rejonie objętym rekrutacją tej szkoły. Twierdził jednak, że około jedna czwarta uczniów tej szkoły mieszkała w tej samej miejscowości co on, która znajdowała się w niewielkiej odległości, ponieważ można było do niej dojechać środkami transportu publicznego w pięć minut. Twierdził, że program nauczania w szkole, do której uczęszczał, był słaby i że pozbawiono go odpowiedniego wykształcenia.</w:t>
      </w:r>
    </w:p>
    <w:p w14:paraId="1A6A4334" w14:textId="77777777" w:rsidR="000F5B45" w:rsidRPr="00B5742F" w:rsidRDefault="00000000" w:rsidP="00E93132">
      <w:pPr>
        <w:pStyle w:val="Tekstpodstawowy"/>
        <w:ind w:right="727"/>
        <w:rPr>
          <w:rFonts w:ascii="Verdana" w:hAnsi="Verdana"/>
          <w:spacing w:val="4"/>
          <w:sz w:val="19"/>
          <w:szCs w:val="19"/>
        </w:rPr>
      </w:pPr>
      <w:r w:rsidRPr="00B5742F">
        <w:rPr>
          <w:rFonts w:ascii="Verdana" w:hAnsi="Verdana"/>
          <w:color w:val="0071BB"/>
          <w:spacing w:val="4"/>
          <w:sz w:val="19"/>
          <w:szCs w:val="19"/>
        </w:rPr>
        <w:t xml:space="preserve">Trybunał uznał, że </w:t>
      </w:r>
      <w:r w:rsidRPr="00B5742F">
        <w:rPr>
          <w:rFonts w:ascii="Verdana" w:hAnsi="Verdana"/>
          <w:b/>
          <w:bCs/>
          <w:color w:val="0071BB"/>
          <w:spacing w:val="4"/>
          <w:sz w:val="19"/>
          <w:szCs w:val="19"/>
        </w:rPr>
        <w:t xml:space="preserve">doszło </w:t>
      </w:r>
      <w:r w:rsidRPr="00B5742F">
        <w:rPr>
          <w:rFonts w:ascii="Verdana" w:hAnsi="Verdana"/>
          <w:b/>
          <w:color w:val="0071BB"/>
          <w:spacing w:val="4"/>
          <w:sz w:val="19"/>
          <w:szCs w:val="19"/>
        </w:rPr>
        <w:t>do</w:t>
      </w:r>
      <w:r w:rsidRPr="00B5742F">
        <w:rPr>
          <w:rFonts w:ascii="Verdana" w:hAnsi="Verdana"/>
          <w:color w:val="0071BB"/>
          <w:spacing w:val="4"/>
          <w:sz w:val="19"/>
          <w:szCs w:val="19"/>
        </w:rPr>
        <w:t xml:space="preserve"> </w:t>
      </w:r>
      <w:r w:rsidRPr="00B5742F">
        <w:rPr>
          <w:rFonts w:ascii="Verdana" w:hAnsi="Verdana"/>
          <w:b/>
          <w:color w:val="0071BB"/>
          <w:spacing w:val="4"/>
          <w:sz w:val="19"/>
          <w:szCs w:val="19"/>
        </w:rPr>
        <w:t xml:space="preserve">naruszenia art. 14 </w:t>
      </w:r>
      <w:r w:rsidRPr="00B5742F">
        <w:rPr>
          <w:rFonts w:ascii="Verdana" w:hAnsi="Verdana"/>
          <w:color w:val="0071BB"/>
          <w:spacing w:val="4"/>
          <w:sz w:val="19"/>
          <w:szCs w:val="19"/>
        </w:rPr>
        <w:t xml:space="preserve">(zakaz dyskryminacji) Konwencji </w:t>
      </w:r>
      <w:r w:rsidRPr="00B5742F">
        <w:rPr>
          <w:rFonts w:ascii="Verdana" w:hAnsi="Verdana"/>
          <w:b/>
          <w:color w:val="0071BB"/>
          <w:spacing w:val="4"/>
          <w:sz w:val="19"/>
          <w:szCs w:val="19"/>
        </w:rPr>
        <w:t xml:space="preserve">w związku z art. 2 </w:t>
      </w:r>
      <w:r w:rsidRPr="00B5742F">
        <w:rPr>
          <w:rFonts w:ascii="Verdana" w:hAnsi="Verdana"/>
          <w:color w:val="0071BB"/>
          <w:spacing w:val="4"/>
          <w:sz w:val="19"/>
          <w:szCs w:val="19"/>
        </w:rPr>
        <w:t xml:space="preserve">(prawo do edukacji) </w:t>
      </w:r>
      <w:r w:rsidRPr="00B5742F">
        <w:rPr>
          <w:rFonts w:ascii="Verdana" w:hAnsi="Verdana"/>
          <w:b/>
          <w:color w:val="0071BB"/>
          <w:spacing w:val="4"/>
          <w:sz w:val="19"/>
          <w:szCs w:val="19"/>
        </w:rPr>
        <w:t xml:space="preserve">protokołu nr 1 </w:t>
      </w:r>
      <w:r w:rsidRPr="00B5742F">
        <w:rPr>
          <w:rFonts w:ascii="Verdana" w:hAnsi="Verdana"/>
          <w:color w:val="0071BB"/>
          <w:spacing w:val="4"/>
          <w:sz w:val="19"/>
          <w:szCs w:val="19"/>
        </w:rPr>
        <w:t xml:space="preserve">do Konwencji. Stwierdził, że fakt, iż szkoła skarżącego była uczęszczana prawie wyłącznie przez dzieci romskie, stanowił segregację i powtórzył, że kształcenie dzieci romskich w oddzielnych klasach lub szkołach bez podjęcia odpowiednich środków w celu wyeliminowania nierówności jest niezgodne z obowiązkiem państwa do niedyskryminowania ze względu na rasę lub pochodzenie etniczne. W niniejszej sprawie Trybunał orzekł na </w:t>
      </w:r>
      <w:r w:rsidRPr="00B5742F">
        <w:rPr>
          <w:rFonts w:ascii="Verdana" w:hAnsi="Verdana"/>
          <w:b/>
          <w:color w:val="0071BB"/>
          <w:spacing w:val="4"/>
          <w:sz w:val="19"/>
          <w:szCs w:val="19"/>
        </w:rPr>
        <w:t>podstawie art. 46 (</w:t>
      </w:r>
      <w:r w:rsidRPr="00B5742F">
        <w:rPr>
          <w:rFonts w:ascii="Verdana" w:hAnsi="Verdana"/>
          <w:color w:val="0071BB"/>
          <w:spacing w:val="4"/>
          <w:sz w:val="19"/>
          <w:szCs w:val="19"/>
        </w:rPr>
        <w:t xml:space="preserve">moc wiążąca i wykonanie) Konwencji, że państwo węgierskie musi przyjąć środki nie tylko w celu położenia kresu segregacji uczniów romskich w tej konkretnej szkole, ale także w celu zapewnienia opracowania polityki mającej na celu zaprzestanie segregacji w edukacji, zgodnie z zaleceniem piątego sprawozdania </w:t>
      </w:r>
      <w:hyperlink r:id="rId128">
        <w:r w:rsidR="000F5B45" w:rsidRPr="00B5742F">
          <w:rPr>
            <w:rFonts w:ascii="Verdana" w:hAnsi="Verdana"/>
            <w:color w:val="0071BB"/>
            <w:spacing w:val="4"/>
            <w:sz w:val="19"/>
            <w:szCs w:val="19"/>
            <w:u w:val="single" w:color="0071BB"/>
          </w:rPr>
          <w:t>Europejskiej Komisji przeciwko Rasizmowi i Nietolerancji (ECRI)</w:t>
        </w:r>
      </w:hyperlink>
      <w:r w:rsidRPr="00B5742F">
        <w:rPr>
          <w:rFonts w:ascii="Verdana" w:hAnsi="Verdana"/>
          <w:color w:val="0071BB"/>
          <w:spacing w:val="4"/>
          <w:sz w:val="19"/>
          <w:szCs w:val="19"/>
        </w:rPr>
        <w:t xml:space="preserve"> dotyczącego Węgier</w:t>
      </w:r>
      <w:hyperlink r:id="rId129">
        <w:r w:rsidR="000F5B45" w:rsidRPr="00B5742F">
          <w:rPr>
            <w:rFonts w:ascii="Verdana" w:hAnsi="Verdana"/>
            <w:color w:val="0071BB"/>
            <w:spacing w:val="4"/>
            <w:sz w:val="19"/>
            <w:szCs w:val="19"/>
            <w:u w:val="single" w:color="0071BB"/>
          </w:rPr>
          <w:t>.</w:t>
        </w:r>
      </w:hyperlink>
    </w:p>
    <w:p w14:paraId="79A0ED44" w14:textId="77777777" w:rsidR="000F5B45" w:rsidRPr="00B5742F" w:rsidRDefault="000F5B45" w:rsidP="00E93132">
      <w:pPr>
        <w:pStyle w:val="Nagwek2"/>
        <w:spacing w:before="101"/>
        <w:rPr>
          <w:rFonts w:ascii="Verdana" w:hAnsi="Verdana"/>
          <w:spacing w:val="4"/>
          <w:sz w:val="19"/>
          <w:szCs w:val="19"/>
          <w:u w:val="none"/>
        </w:rPr>
      </w:pPr>
      <w:hyperlink r:id="rId130">
        <w:r w:rsidRPr="00B5742F">
          <w:rPr>
            <w:rFonts w:ascii="Verdana" w:hAnsi="Verdana"/>
            <w:color w:val="0071BB"/>
            <w:spacing w:val="4"/>
            <w:sz w:val="19"/>
            <w:szCs w:val="19"/>
            <w:u w:color="0071BB"/>
          </w:rPr>
          <w:t>T.H. V. Bułgaria (nr 46519/20)</w:t>
        </w:r>
      </w:hyperlink>
    </w:p>
    <w:p w14:paraId="2DBB3F91" w14:textId="65E2ED60" w:rsidR="000F5B45" w:rsidRPr="00B5742F" w:rsidRDefault="00000000" w:rsidP="00E93132">
      <w:pPr>
        <w:spacing w:before="53"/>
        <w:ind w:left="874"/>
        <w:jc w:val="both"/>
        <w:rPr>
          <w:rFonts w:ascii="Verdana" w:hAnsi="Verdana"/>
          <w:position w:val="6"/>
          <w:sz w:val="12"/>
        </w:rPr>
      </w:pPr>
      <w:r w:rsidRPr="00B5742F">
        <w:rPr>
          <w:rFonts w:ascii="Verdana" w:hAnsi="Verdana"/>
          <w:color w:val="808080"/>
          <w:sz w:val="17"/>
        </w:rPr>
        <w:t>11 kwietnia 2023 r</w:t>
      </w:r>
      <w:r w:rsidR="008701C9" w:rsidRPr="009749D0">
        <w:rPr>
          <w:rFonts w:ascii="Verdana" w:hAnsi="Verdana"/>
          <w:color w:val="808080"/>
          <w:sz w:val="17"/>
        </w:rPr>
        <w:t>.</w:t>
      </w:r>
      <w:hyperlink w:anchor="_bookmark7" w:history="1">
        <w:r w:rsidR="000F5B45" w:rsidRPr="00B5742F">
          <w:rPr>
            <w:rFonts w:ascii="Verdana" w:hAnsi="Verdana"/>
            <w:color w:val="808080"/>
            <w:position w:val="6"/>
            <w:sz w:val="11"/>
          </w:rPr>
          <w:t>. (8)</w:t>
        </w:r>
      </w:hyperlink>
    </w:p>
    <w:p w14:paraId="03826CE1" w14:textId="77777777" w:rsidR="000F5B45" w:rsidRPr="00B5742F" w:rsidRDefault="00000000" w:rsidP="00E93132">
      <w:pPr>
        <w:pStyle w:val="Tekstpodstawowy"/>
        <w:spacing w:before="1"/>
        <w:ind w:left="874" w:hanging="1"/>
        <w:rPr>
          <w:rFonts w:ascii="Verdana" w:hAnsi="Verdana"/>
          <w:spacing w:val="4"/>
        </w:rPr>
      </w:pPr>
      <w:r w:rsidRPr="00B5742F">
        <w:rPr>
          <w:rFonts w:ascii="Verdana" w:hAnsi="Verdana"/>
          <w:spacing w:val="4"/>
          <w:sz w:val="19"/>
        </w:rPr>
        <w:t>W 2012 r. u skarżącego, wówczas ośmioletniego chłopca z zaburzeniami zachowania, zdiagnozowano nadpobudliwość psychoruchową oraz „specyficzne zaburzenia rozwoju umiejętności szkolnych”. Sprawa dotyczyła zarzutu skarżącego, że w ciągu pierwszych dwóch lat nauki w szkole podstawowej był dyskryminowany przez nauczycieli i dyrektora szkoły ze względu na swoją niepełnosprawność. Skarżący przerwał naukę w tej szkole w drugiej klasie i ukończył szkołę podstawową w innej szkole ogólnodostępnej. Skarżący twierdził w szczególności, że pracownicy jego pierwszej szkoły podstawowej nękali go i traktowali tak samo jak uczniów pełnosprawnych, ponieważ zakładali, że jego zachowanie wynikało z niewłaściwego wychowania. Skarżył się, że w rezultacie szkoła nie dostosowała programu nauczania do jego specjalnych potrzeb edukacyjnych.</w:t>
      </w:r>
    </w:p>
    <w:p w14:paraId="3D97A6FD" w14:textId="52260730" w:rsidR="000F5B45" w:rsidRPr="00B5742F" w:rsidRDefault="00000000" w:rsidP="00E93132">
      <w:pPr>
        <w:pStyle w:val="Tekstpodstawowy"/>
        <w:ind w:right="729"/>
        <w:rPr>
          <w:rFonts w:ascii="Verdana" w:hAnsi="Verdana"/>
          <w:spacing w:val="4"/>
        </w:rPr>
      </w:pPr>
      <w:r w:rsidRPr="00B5742F">
        <w:rPr>
          <w:rFonts w:ascii="Verdana" w:hAnsi="Verdana"/>
          <w:color w:val="0071BB"/>
          <w:spacing w:val="4"/>
          <w:sz w:val="19"/>
        </w:rPr>
        <w:t xml:space="preserve">Trybunał uznał, że </w:t>
      </w:r>
      <w:r w:rsidRPr="00B5742F">
        <w:rPr>
          <w:rFonts w:ascii="Verdana" w:hAnsi="Verdana"/>
          <w:b/>
          <w:color w:val="0071BB"/>
          <w:spacing w:val="4"/>
          <w:sz w:val="19"/>
        </w:rPr>
        <w:t xml:space="preserve">nie </w:t>
      </w:r>
      <w:r w:rsidRPr="00B5742F">
        <w:rPr>
          <w:rFonts w:ascii="Verdana" w:hAnsi="Verdana"/>
          <w:b/>
          <w:bCs/>
          <w:color w:val="0071BB"/>
          <w:spacing w:val="4"/>
          <w:sz w:val="19"/>
        </w:rPr>
        <w:t>doszło</w:t>
      </w:r>
      <w:r w:rsidRPr="00B5742F">
        <w:rPr>
          <w:rFonts w:ascii="Verdana" w:hAnsi="Verdana"/>
          <w:color w:val="0071BB"/>
          <w:spacing w:val="4"/>
          <w:sz w:val="19"/>
        </w:rPr>
        <w:t xml:space="preserve"> </w:t>
      </w:r>
      <w:r w:rsidRPr="00B5742F">
        <w:rPr>
          <w:rFonts w:ascii="Verdana" w:hAnsi="Verdana"/>
          <w:b/>
          <w:color w:val="0071BB"/>
          <w:spacing w:val="4"/>
          <w:sz w:val="19"/>
        </w:rPr>
        <w:t xml:space="preserve">do naruszenia art. 14 </w:t>
      </w:r>
      <w:r w:rsidRPr="00B5742F">
        <w:rPr>
          <w:rFonts w:ascii="Verdana" w:hAnsi="Verdana"/>
          <w:color w:val="0071BB"/>
          <w:spacing w:val="4"/>
          <w:sz w:val="19"/>
        </w:rPr>
        <w:t xml:space="preserve">(zakaz dyskryminacji) Konwencji </w:t>
      </w:r>
      <w:r w:rsidRPr="00B5742F">
        <w:rPr>
          <w:rFonts w:ascii="Verdana" w:hAnsi="Verdana"/>
          <w:b/>
          <w:color w:val="0071BB"/>
          <w:spacing w:val="4"/>
          <w:sz w:val="19"/>
        </w:rPr>
        <w:t xml:space="preserve">w związku z art. 2 </w:t>
      </w:r>
      <w:r w:rsidRPr="00B5742F">
        <w:rPr>
          <w:rFonts w:ascii="Verdana" w:hAnsi="Verdana"/>
          <w:color w:val="0071BB"/>
          <w:spacing w:val="4"/>
          <w:sz w:val="19"/>
        </w:rPr>
        <w:t xml:space="preserve">(prawo do </w:t>
      </w:r>
      <w:r w:rsidR="009311D6" w:rsidRPr="00F13CAA">
        <w:rPr>
          <w:rFonts w:ascii="Verdana" w:hAnsi="Verdana"/>
          <w:color w:val="0071BB"/>
          <w:spacing w:val="4"/>
          <w:sz w:val="19"/>
        </w:rPr>
        <w:t xml:space="preserve">edukacji) </w:t>
      </w:r>
      <w:r w:rsidRPr="00F13CAA">
        <w:rPr>
          <w:rFonts w:ascii="Verdana" w:hAnsi="Verdana"/>
          <w:b/>
          <w:color w:val="0071BB"/>
          <w:spacing w:val="4"/>
          <w:sz w:val="19"/>
        </w:rPr>
        <w:t xml:space="preserve">z Protokół nr 1 </w:t>
      </w:r>
      <w:r w:rsidRPr="00F13CAA">
        <w:rPr>
          <w:rFonts w:ascii="Verdana" w:hAnsi="Verdana"/>
          <w:color w:val="0071BB"/>
          <w:spacing w:val="4"/>
          <w:sz w:val="19"/>
        </w:rPr>
        <w:t>do</w:t>
      </w:r>
      <w:r w:rsidR="009311D6" w:rsidRPr="00F13CAA">
        <w:rPr>
          <w:rFonts w:ascii="Verdana" w:hAnsi="Verdana"/>
          <w:color w:val="0071BB"/>
          <w:spacing w:val="4"/>
          <w:sz w:val="19"/>
        </w:rPr>
        <w:t xml:space="preserve"> </w:t>
      </w:r>
      <w:r w:rsidRPr="00F13CAA">
        <w:rPr>
          <w:rFonts w:ascii="Verdana" w:hAnsi="Verdana"/>
          <w:color w:val="0071BB"/>
          <w:spacing w:val="4"/>
          <w:sz w:val="19"/>
        </w:rPr>
        <w:t xml:space="preserve">Konwencja w odniesieniu do skarżącego. W szczególności, po zbadaniu poszczególnych zdarzeń w porządku chronologicznym, sąd stwierdził, że na podstawie dostępnych dowodów nie można uznać, że działania dyrektora szkoły lub nauczyciela </w:t>
      </w:r>
      <w:r w:rsidR="00EA131F">
        <w:rPr>
          <w:rFonts w:ascii="Verdana" w:hAnsi="Verdana"/>
          <w:color w:val="0071BB"/>
          <w:spacing w:val="4"/>
          <w:sz w:val="19"/>
        </w:rPr>
        <w:t>skarżącego</w:t>
      </w:r>
      <w:r w:rsidR="00EA131F" w:rsidRPr="00F13CAA">
        <w:rPr>
          <w:rFonts w:ascii="Verdana" w:hAnsi="Verdana"/>
          <w:color w:val="0071BB"/>
          <w:spacing w:val="4"/>
          <w:sz w:val="19"/>
        </w:rPr>
        <w:t xml:space="preserve"> </w:t>
      </w:r>
      <w:r w:rsidRPr="00F13CAA">
        <w:rPr>
          <w:rFonts w:ascii="Verdana" w:hAnsi="Verdana"/>
          <w:color w:val="0071BB"/>
          <w:spacing w:val="4"/>
          <w:sz w:val="19"/>
        </w:rPr>
        <w:t>były nieuzasadnione, nieuzasadnione lub nieproporcjonalne.   Sąd zauważył również, że nie można stwierdzić, aby dyrektor szkoły i nauczyciel</w:t>
      </w:r>
      <w:r w:rsidR="00A07B4F">
        <w:rPr>
          <w:rFonts w:ascii="Verdana" w:hAnsi="Verdana"/>
          <w:color w:val="0071BB"/>
          <w:spacing w:val="4"/>
          <w:sz w:val="19"/>
        </w:rPr>
        <w:t xml:space="preserve"> przymknęli oczy </w:t>
      </w:r>
      <w:r w:rsidRPr="00F13CAA">
        <w:rPr>
          <w:rFonts w:ascii="Verdana" w:hAnsi="Verdana"/>
          <w:color w:val="0071BB"/>
          <w:spacing w:val="4"/>
          <w:sz w:val="19"/>
        </w:rPr>
        <w:t xml:space="preserve">na niepełnosprawność </w:t>
      </w:r>
      <w:r w:rsidR="00EA131F">
        <w:rPr>
          <w:rFonts w:ascii="Verdana" w:hAnsi="Verdana"/>
          <w:color w:val="0071BB"/>
          <w:spacing w:val="4"/>
          <w:sz w:val="19"/>
        </w:rPr>
        <w:t>skarżącego</w:t>
      </w:r>
      <w:r w:rsidRPr="00F13CAA">
        <w:rPr>
          <w:rFonts w:ascii="Verdana" w:hAnsi="Verdana"/>
          <w:color w:val="0071BB"/>
          <w:spacing w:val="4"/>
          <w:sz w:val="19"/>
        </w:rPr>
        <w:t xml:space="preserve"> oraz jego wynikające z tego specjalne </w:t>
      </w:r>
      <w:r w:rsidR="00A07B4F" w:rsidRPr="00F13CAA">
        <w:rPr>
          <w:rFonts w:ascii="Verdana" w:hAnsi="Verdana"/>
          <w:color w:val="0071BB"/>
          <w:spacing w:val="4"/>
          <w:sz w:val="19"/>
        </w:rPr>
        <w:t>potrzeby; wydaje</w:t>
      </w:r>
      <w:r w:rsidRPr="00F13CAA">
        <w:rPr>
          <w:rFonts w:ascii="Verdana" w:hAnsi="Verdana"/>
          <w:color w:val="0071BB"/>
          <w:spacing w:val="4"/>
          <w:sz w:val="19"/>
        </w:rPr>
        <w:t xml:space="preserve"> się, że dokonali oni szeregu uzasadnionych dostosowań na jego rzecz.</w:t>
      </w:r>
    </w:p>
    <w:p w14:paraId="7DEE1B09" w14:textId="77777777" w:rsidR="000F5B45" w:rsidRPr="00B5742F" w:rsidRDefault="00000000" w:rsidP="00E93132">
      <w:pPr>
        <w:pStyle w:val="Tekstpodstawowy"/>
        <w:ind w:left="0" w:right="0"/>
        <w:jc w:val="left"/>
        <w:rPr>
          <w:rFonts w:ascii="Verdana" w:hAnsi="Verdana"/>
          <w:sz w:val="19"/>
        </w:rPr>
      </w:pPr>
      <w:r w:rsidRPr="00B5742F">
        <w:rPr>
          <w:rFonts w:ascii="Verdana" w:hAnsi="Verdana"/>
          <w:noProof/>
          <w:sz w:val="19"/>
        </w:rPr>
        <mc:AlternateContent>
          <mc:Choice Requires="wps">
            <w:drawing>
              <wp:anchor distT="0" distB="0" distL="0" distR="0" simplePos="0" relativeHeight="251684864" behindDoc="1" locked="0" layoutInCell="1" allowOverlap="1" wp14:anchorId="47BBCB7E" wp14:editId="0A7A6A6E">
                <wp:simplePos x="0" y="0"/>
                <wp:positionH relativeFrom="page">
                  <wp:posOffset>914400</wp:posOffset>
                </wp:positionH>
                <wp:positionV relativeFrom="paragraph">
                  <wp:posOffset>162708</wp:posOffset>
                </wp:positionV>
                <wp:extent cx="1828800" cy="7620"/>
                <wp:effectExtent l="0" t="0" r="0" b="0"/>
                <wp:wrapTopAndBottom/>
                <wp:docPr id="24" name="Graphic 24"/>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4F85EAB" id="Graphic 24" o:spid="_x0000_s1026" style="position:absolute;margin-left:1in;margin-top:12.8pt;width:2in;height:.6pt;z-index:-251631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" path="m1828800,l,,,7607r1828800,l1828800,xe" fillcolor="black" stroked="f">
                <v:path arrowok="t"/>
                <w10:wrap type="topAndBottom" anchorx="page"/>
              </v:shape>
            </w:pict>
          </mc:Fallback>
        </mc:AlternateContent>
      </w:r>
    </w:p>
    <w:p w14:paraId="32903463" w14:textId="0799D5C3" w:rsidR="000F5B45" w:rsidRPr="00B5742F" w:rsidRDefault="00000000" w:rsidP="00E93132">
      <w:pPr>
        <w:spacing w:before="107"/>
        <w:ind w:left="873" w:right="435"/>
        <w:rPr>
          <w:rFonts w:ascii="Verdana" w:hAnsi="Verdana"/>
          <w:sz w:val="16"/>
        </w:rPr>
      </w:pPr>
      <w:bookmarkStart w:id="6" w:name="_bookmark6"/>
      <w:bookmarkEnd w:id="6"/>
      <w:r w:rsidRPr="00B5742F">
        <w:rPr>
          <w:rFonts w:ascii="Verdana" w:hAnsi="Verdana"/>
          <w:sz w:val="15"/>
          <w:vertAlign w:val="superscript"/>
        </w:rPr>
        <w:t>7</w:t>
      </w:r>
      <w:r w:rsidRPr="00B5742F">
        <w:rPr>
          <w:rFonts w:ascii="Verdana" w:hAnsi="Verdana"/>
          <w:sz w:val="15"/>
        </w:rPr>
        <w:t xml:space="preserve"> Niniejszy wyrok stanie się </w:t>
      </w:r>
      <w:r w:rsidR="00144924">
        <w:rPr>
          <w:rFonts w:ascii="Verdana" w:hAnsi="Verdana"/>
          <w:sz w:val="15"/>
        </w:rPr>
        <w:t>ostateczny</w:t>
      </w:r>
      <w:r w:rsidRPr="00B5742F">
        <w:rPr>
          <w:rFonts w:ascii="Verdana" w:hAnsi="Verdana"/>
          <w:sz w:val="15"/>
        </w:rPr>
        <w:t xml:space="preserve"> w okolicznościach określonych w art. 44 § 2 (wyroki </w:t>
      </w:r>
      <w:r w:rsidR="00144924">
        <w:rPr>
          <w:rFonts w:ascii="Verdana" w:hAnsi="Verdana"/>
          <w:sz w:val="15"/>
        </w:rPr>
        <w:t>ostateczne</w:t>
      </w:r>
      <w:r w:rsidRPr="00B5742F">
        <w:rPr>
          <w:rFonts w:ascii="Verdana" w:hAnsi="Verdana"/>
          <w:sz w:val="15"/>
        </w:rPr>
        <w:t xml:space="preserve">) </w:t>
      </w:r>
      <w:hyperlink r:id="rId131">
        <w:r w:rsidR="000F5B45" w:rsidRPr="00B5742F">
          <w:rPr>
            <w:rFonts w:ascii="Verdana" w:hAnsi="Verdana"/>
            <w:color w:val="0071BB"/>
            <w:sz w:val="15"/>
            <w:u w:val="single" w:color="0071BB"/>
          </w:rPr>
          <w:t>Europejskiej</w:t>
        </w:r>
      </w:hyperlink>
      <w:r w:rsidRPr="00B5742F">
        <w:rPr>
          <w:rFonts w:ascii="Verdana" w:hAnsi="Verdana"/>
          <w:sz w:val="15"/>
        </w:rPr>
        <w:t xml:space="preserve"> </w:t>
      </w:r>
      <w:hyperlink r:id="rId132">
        <w:r w:rsidR="000F5B45" w:rsidRPr="00B5742F">
          <w:rPr>
            <w:rFonts w:ascii="Verdana" w:hAnsi="Verdana"/>
            <w:color w:val="0071BB"/>
            <w:sz w:val="15"/>
            <w:u w:val="single" w:color="0071BB"/>
          </w:rPr>
          <w:t>Konwencji Praw Człowieka</w:t>
        </w:r>
      </w:hyperlink>
      <w:r w:rsidRPr="00B5742F">
        <w:rPr>
          <w:rFonts w:ascii="Verdana" w:hAnsi="Verdana"/>
          <w:sz w:val="15"/>
        </w:rPr>
        <w:t>.</w:t>
      </w:r>
    </w:p>
    <w:p w14:paraId="61368737" w14:textId="5EE851D5" w:rsidR="000F5B45" w:rsidRDefault="00404DC1" w:rsidP="00E93132">
      <w:pPr>
        <w:ind w:left="874"/>
        <w:rPr>
          <w:rFonts w:ascii="Verdana" w:hAnsi="Verdana"/>
          <w:sz w:val="15"/>
        </w:rPr>
      </w:pPr>
      <w:bookmarkStart w:id="7" w:name="_bookmark7"/>
      <w:bookmarkEnd w:id="7"/>
      <w:r w:rsidRPr="00B5742F">
        <w:rPr>
          <w:rFonts w:ascii="Verdana" w:hAnsi="Verdana"/>
          <w:sz w:val="15"/>
          <w:vertAlign w:val="superscript"/>
        </w:rPr>
        <w:t>8</w:t>
      </w:r>
      <w:r w:rsidRPr="00B5742F">
        <w:rPr>
          <w:rFonts w:ascii="Verdana" w:hAnsi="Verdana"/>
          <w:sz w:val="15"/>
        </w:rPr>
        <w:t xml:space="preserve"> Niniejszy wyrok stanie się </w:t>
      </w:r>
      <w:r w:rsidR="00144924">
        <w:rPr>
          <w:rFonts w:ascii="Verdana" w:hAnsi="Verdana"/>
          <w:sz w:val="15"/>
        </w:rPr>
        <w:t>ostateczny</w:t>
      </w:r>
      <w:r w:rsidRPr="00B5742F">
        <w:rPr>
          <w:rFonts w:ascii="Verdana" w:hAnsi="Verdana"/>
          <w:sz w:val="15"/>
        </w:rPr>
        <w:t xml:space="preserve"> w okolicznościach określonych w art. 44 § 2 </w:t>
      </w:r>
      <w:hyperlink r:id="rId133">
        <w:r w:rsidR="000F5B45" w:rsidRPr="00B5742F">
          <w:rPr>
            <w:rFonts w:ascii="Verdana" w:hAnsi="Verdana"/>
            <w:color w:val="0071BB"/>
            <w:sz w:val="15"/>
            <w:u w:val="single" w:color="0071BB"/>
          </w:rPr>
          <w:t>Konwencji</w:t>
        </w:r>
      </w:hyperlink>
      <w:r w:rsidRPr="00B5742F">
        <w:rPr>
          <w:rFonts w:ascii="Verdana" w:hAnsi="Verdana"/>
          <w:sz w:val="15"/>
        </w:rPr>
        <w:t>.</w:t>
      </w:r>
    </w:p>
    <w:p w14:paraId="2091AADB" w14:textId="77777777" w:rsidR="009C75DE" w:rsidRPr="00B5742F" w:rsidRDefault="009C75DE" w:rsidP="00E93132">
      <w:pPr>
        <w:ind w:left="874"/>
        <w:rPr>
          <w:rFonts w:ascii="Verdana" w:hAnsi="Verdana"/>
          <w:sz w:val="16"/>
        </w:rPr>
      </w:pPr>
    </w:p>
    <w:p w14:paraId="03EE2D3D" w14:textId="77777777" w:rsidR="000F5B45" w:rsidRPr="00B5742F" w:rsidRDefault="000F5B45" w:rsidP="00E93132">
      <w:pPr>
        <w:rPr>
          <w:rFonts w:ascii="Verdana" w:hAnsi="Verdana"/>
          <w:sz w:val="16"/>
        </w:rPr>
        <w:sectPr w:rsidR="000F5B45" w:rsidRPr="00B5742F">
          <w:pgSz w:w="11910" w:h="16840"/>
          <w:pgMar w:top="1460" w:right="708" w:bottom="680" w:left="566" w:header="730" w:footer="497" w:gutter="0"/>
          <w:cols w:space="708"/>
        </w:sectPr>
      </w:pPr>
    </w:p>
    <w:p w14:paraId="634A31FC" w14:textId="77777777" w:rsidR="000F5B45" w:rsidRPr="00B5742F" w:rsidRDefault="00000000" w:rsidP="00E93132">
      <w:pPr>
        <w:pStyle w:val="Nagwek1"/>
        <w:spacing w:before="246"/>
        <w:jc w:val="left"/>
        <w:rPr>
          <w:rFonts w:ascii="Verdana" w:hAnsi="Verdana"/>
          <w:sz w:val="32"/>
          <w:szCs w:val="32"/>
        </w:rPr>
      </w:pPr>
      <w:r w:rsidRPr="00B5742F">
        <w:rPr>
          <w:rFonts w:ascii="Verdana" w:hAnsi="Verdana"/>
          <w:color w:val="808080"/>
          <w:szCs w:val="32"/>
        </w:rPr>
        <w:lastRenderedPageBreak/>
        <w:t>Nazwisko</w:t>
      </w:r>
    </w:p>
    <w:p w14:paraId="306C6C8F" w14:textId="77777777" w:rsidR="000F5B45" w:rsidRPr="00B5742F" w:rsidRDefault="000F5B45" w:rsidP="00E93132">
      <w:pPr>
        <w:pStyle w:val="Nagwek2"/>
        <w:rPr>
          <w:rFonts w:ascii="Verdana" w:hAnsi="Verdana"/>
          <w:sz w:val="19"/>
          <w:szCs w:val="19"/>
          <w:u w:val="none"/>
        </w:rPr>
      </w:pPr>
      <w:hyperlink r:id="rId134">
        <w:r w:rsidRPr="00B5742F">
          <w:rPr>
            <w:rFonts w:ascii="Verdana" w:hAnsi="Verdana"/>
            <w:color w:val="0071BB"/>
            <w:sz w:val="19"/>
            <w:szCs w:val="19"/>
            <w:u w:color="0071BB"/>
          </w:rPr>
          <w:t>León Madrid przeciwko Hiszpanii</w:t>
        </w:r>
      </w:hyperlink>
    </w:p>
    <w:p w14:paraId="4A8D85E3" w14:textId="6A91097F" w:rsidR="000F5B45" w:rsidRPr="00B5742F" w:rsidRDefault="00000000" w:rsidP="00E93132">
      <w:pPr>
        <w:spacing w:before="58"/>
        <w:ind w:left="874"/>
        <w:jc w:val="both"/>
        <w:rPr>
          <w:rFonts w:ascii="Verdana" w:hAnsi="Verdana"/>
          <w:sz w:val="18"/>
        </w:rPr>
      </w:pPr>
      <w:r w:rsidRPr="00B5742F">
        <w:rPr>
          <w:rFonts w:ascii="Verdana" w:hAnsi="Verdana"/>
          <w:color w:val="808080"/>
          <w:sz w:val="17"/>
        </w:rPr>
        <w:t>26 października 2021</w:t>
      </w:r>
      <w:r w:rsidR="00B2420C">
        <w:rPr>
          <w:rFonts w:ascii="Verdana" w:hAnsi="Verdana"/>
          <w:color w:val="808080"/>
          <w:sz w:val="17"/>
        </w:rPr>
        <w:t xml:space="preserve"> r.</w:t>
      </w:r>
    </w:p>
    <w:p w14:paraId="32562A6F" w14:textId="7787D840" w:rsidR="000F5B45" w:rsidRPr="00B5742F" w:rsidRDefault="00000000" w:rsidP="009567AA">
      <w:pPr>
        <w:pStyle w:val="Tekstpodstawowy"/>
        <w:tabs>
          <w:tab w:val="left" w:pos="1560"/>
        </w:tabs>
        <w:spacing w:before="2"/>
        <w:ind w:left="874" w:hanging="1"/>
        <w:rPr>
          <w:rFonts w:ascii="Verdana" w:hAnsi="Verdana"/>
          <w:spacing w:val="4"/>
        </w:rPr>
      </w:pPr>
      <w:r w:rsidRPr="00B5742F">
        <w:rPr>
          <w:rFonts w:ascii="Verdana" w:hAnsi="Verdana"/>
          <w:spacing w:val="4"/>
          <w:sz w:val="19"/>
        </w:rPr>
        <w:t xml:space="preserve">Sprawa dotyczyła </w:t>
      </w:r>
      <w:r w:rsidR="002624C0">
        <w:rPr>
          <w:rFonts w:ascii="Verdana" w:hAnsi="Verdana"/>
          <w:spacing w:val="4"/>
          <w:sz w:val="19"/>
        </w:rPr>
        <w:t>skargi</w:t>
      </w:r>
      <w:r w:rsidRPr="00B5742F">
        <w:rPr>
          <w:rFonts w:ascii="Verdana" w:hAnsi="Verdana"/>
          <w:spacing w:val="4"/>
          <w:sz w:val="19"/>
        </w:rPr>
        <w:t xml:space="preserve"> skarżącej o zmianę kolejności nazwisk, pod którymi zarejestrowano jej nieletnią córkę (urodzoną w 2005 r.). W tamtym czasie prawo hiszpańskie stanowiło, że w przypadku braku porozumienia między rodzicami dziecko nosi nazwisko ojca, a po nim nazwisko matki. Skarżąca twierdziła, że przepis ten ma charakter dyskryminujący.</w:t>
      </w:r>
    </w:p>
    <w:p w14:paraId="2EA6BD6A" w14:textId="13646676" w:rsidR="000F5B45" w:rsidRPr="00B5742F" w:rsidRDefault="00000000" w:rsidP="009567AA">
      <w:pPr>
        <w:pStyle w:val="Tekstpodstawowy"/>
        <w:tabs>
          <w:tab w:val="left" w:pos="1560"/>
        </w:tabs>
        <w:ind w:right="727"/>
        <w:rPr>
          <w:rFonts w:ascii="Verdana" w:hAnsi="Verdana"/>
          <w:spacing w:val="4"/>
        </w:rPr>
      </w:pPr>
      <w:r w:rsidRPr="00B5742F">
        <w:rPr>
          <w:rFonts w:ascii="Verdana" w:hAnsi="Verdana"/>
          <w:color w:val="0071BB"/>
          <w:spacing w:val="4"/>
          <w:sz w:val="19"/>
        </w:rPr>
        <w:t xml:space="preserve">Trybunał uznał, że </w:t>
      </w:r>
      <w:r w:rsidRPr="00B5742F">
        <w:rPr>
          <w:rFonts w:ascii="Verdana" w:hAnsi="Verdana"/>
          <w:b/>
          <w:bCs/>
          <w:color w:val="0071BB"/>
          <w:spacing w:val="4"/>
          <w:sz w:val="19"/>
        </w:rPr>
        <w:t>doszło</w:t>
      </w:r>
      <w:r w:rsidRPr="00B5742F">
        <w:rPr>
          <w:rFonts w:ascii="Verdana" w:hAnsi="Verdana"/>
          <w:color w:val="0071BB"/>
          <w:spacing w:val="4"/>
          <w:sz w:val="19"/>
        </w:rPr>
        <w:t xml:space="preserve"> </w:t>
      </w:r>
      <w:r w:rsidRPr="00B5742F">
        <w:rPr>
          <w:rFonts w:ascii="Verdana" w:hAnsi="Verdana"/>
          <w:b/>
          <w:color w:val="0071BB"/>
          <w:spacing w:val="4"/>
          <w:sz w:val="19"/>
        </w:rPr>
        <w:t>do</w:t>
      </w:r>
      <w:r w:rsidRPr="00B5742F">
        <w:rPr>
          <w:rFonts w:ascii="Verdana" w:hAnsi="Verdana"/>
          <w:color w:val="0071BB"/>
          <w:spacing w:val="4"/>
          <w:sz w:val="19"/>
        </w:rPr>
        <w:t xml:space="preserve"> </w:t>
      </w:r>
      <w:r w:rsidRPr="00B5742F">
        <w:rPr>
          <w:rFonts w:ascii="Verdana" w:hAnsi="Verdana"/>
          <w:b/>
          <w:color w:val="0071BB"/>
          <w:spacing w:val="4"/>
          <w:sz w:val="19"/>
        </w:rPr>
        <w:t xml:space="preserve">naruszenia art. 14 </w:t>
      </w:r>
      <w:r w:rsidRPr="00B5742F">
        <w:rPr>
          <w:rFonts w:ascii="Verdana" w:hAnsi="Verdana"/>
          <w:color w:val="0071BB"/>
          <w:spacing w:val="4"/>
          <w:sz w:val="19"/>
        </w:rPr>
        <w:t xml:space="preserve">(zakaz dyskryminacji) </w:t>
      </w:r>
      <w:r w:rsidRPr="00B5742F">
        <w:rPr>
          <w:rFonts w:ascii="Verdana" w:hAnsi="Verdana"/>
          <w:b/>
          <w:color w:val="0071BB"/>
          <w:spacing w:val="4"/>
          <w:sz w:val="19"/>
        </w:rPr>
        <w:t xml:space="preserve">w związku z art. 8 </w:t>
      </w:r>
      <w:r w:rsidRPr="00B5742F">
        <w:rPr>
          <w:rFonts w:ascii="Verdana" w:hAnsi="Verdana"/>
          <w:color w:val="0071BB"/>
          <w:spacing w:val="4"/>
          <w:sz w:val="19"/>
        </w:rPr>
        <w:t>(prawo do poszanowania życia prywatnego) Konwencji, stwierdzając, że powody podane przez rząd hiszpański nie były wystarczająco obiektywne i uzasadnione, aby uzasadnić odmienne traktowanie skarżącego. W szczególności automatyczny charakter stosowania prawa w tamtym czasie – który uniemożliwił sądom krajowym uwzględnienie szczególnych okoliczności sprawy – nie mógł, zdaniem Trybunału, być skutecznie uzasadniony na podstawie Konwencji</w:t>
      </w:r>
      <w:r w:rsidR="009567AA">
        <w:rPr>
          <w:rFonts w:ascii="Verdana" w:hAnsi="Verdana"/>
          <w:color w:val="0071BB"/>
          <w:spacing w:val="4"/>
          <w:sz w:val="19"/>
        </w:rPr>
        <w:t xml:space="preserve">. </w:t>
      </w:r>
      <w:r w:rsidRPr="00B5742F">
        <w:rPr>
          <w:rFonts w:ascii="Verdana" w:hAnsi="Verdana"/>
          <w:color w:val="0071BB"/>
          <w:spacing w:val="4"/>
          <w:sz w:val="19"/>
        </w:rPr>
        <w:t xml:space="preserve">Chociaż zasada, zgodnie z którą nazwisko ojca powinno być umieszczane jako pierwsze w przypadku braku porozumienia między rodzicami, może okazać się konieczna w praktyce </w:t>
      </w:r>
      <w:r w:rsidR="00843D08" w:rsidRPr="00F13CAA">
        <w:rPr>
          <w:rFonts w:ascii="Verdana" w:hAnsi="Verdana"/>
          <w:color w:val="0071BB"/>
          <w:spacing w:val="4"/>
          <w:sz w:val="19"/>
        </w:rPr>
        <w:t>i nie być sama w sobie niezgodna z</w:t>
      </w:r>
      <w:r w:rsidR="00CD3632">
        <w:rPr>
          <w:rFonts w:ascii="Verdana" w:hAnsi="Verdana"/>
          <w:color w:val="0071BB"/>
          <w:spacing w:val="4"/>
          <w:sz w:val="19"/>
        </w:rPr>
        <w:t xml:space="preserve"> </w:t>
      </w:r>
      <w:r w:rsidRPr="00B5742F">
        <w:rPr>
          <w:rFonts w:ascii="Verdana" w:hAnsi="Verdana"/>
          <w:color w:val="0071BB"/>
          <w:spacing w:val="4"/>
          <w:sz w:val="19"/>
        </w:rPr>
        <w:t>Konwencj</w:t>
      </w:r>
      <w:r w:rsidR="00843D08" w:rsidRPr="00F13CAA">
        <w:rPr>
          <w:rFonts w:ascii="Verdana" w:hAnsi="Verdana"/>
          <w:color w:val="0071BB"/>
          <w:spacing w:val="4"/>
          <w:sz w:val="19"/>
        </w:rPr>
        <w:t>ą,</w:t>
      </w:r>
      <w:r w:rsidR="00CD3632">
        <w:rPr>
          <w:rFonts w:ascii="Verdana" w:hAnsi="Verdana"/>
          <w:color w:val="0071BB"/>
          <w:spacing w:val="4"/>
          <w:sz w:val="19"/>
        </w:rPr>
        <w:t xml:space="preserve"> to </w:t>
      </w:r>
      <w:r w:rsidR="00843D08" w:rsidRPr="00F13CAA">
        <w:rPr>
          <w:rFonts w:ascii="Verdana" w:hAnsi="Verdana"/>
          <w:color w:val="0071BB"/>
          <w:spacing w:val="4"/>
          <w:sz w:val="19"/>
        </w:rPr>
        <w:t>brak możliwości</w:t>
      </w:r>
      <w:r w:rsidR="00843D08" w:rsidRPr="00B5742F">
        <w:rPr>
          <w:rFonts w:ascii="Verdana" w:hAnsi="Verdana"/>
          <w:color w:val="0071BB"/>
          <w:spacing w:val="4"/>
          <w:sz w:val="19"/>
        </w:rPr>
        <w:t xml:space="preserve"> </w:t>
      </w:r>
      <w:r w:rsidRPr="00B5742F">
        <w:rPr>
          <w:rFonts w:ascii="Verdana" w:hAnsi="Verdana"/>
          <w:color w:val="0071BB"/>
          <w:spacing w:val="4"/>
          <w:sz w:val="19"/>
        </w:rPr>
        <w:t xml:space="preserve">uzyskania </w:t>
      </w:r>
      <w:r w:rsidR="00404DC1" w:rsidRPr="00B5742F">
        <w:rPr>
          <w:rFonts w:ascii="Verdana" w:hAnsi="Verdana"/>
          <w:color w:val="0071BB"/>
          <w:spacing w:val="4"/>
          <w:sz w:val="19"/>
        </w:rPr>
        <w:t>odstępstwa był</w:t>
      </w:r>
      <w:r w:rsidRPr="00B5742F">
        <w:rPr>
          <w:rFonts w:ascii="Verdana" w:hAnsi="Verdana"/>
          <w:color w:val="0071BB"/>
          <w:spacing w:val="4"/>
          <w:sz w:val="19"/>
        </w:rPr>
        <w:t xml:space="preserve"> </w:t>
      </w:r>
      <w:r w:rsidR="008A1C26" w:rsidRPr="00B5742F">
        <w:rPr>
          <w:rFonts w:ascii="Verdana" w:hAnsi="Verdana"/>
          <w:color w:val="0071BB"/>
          <w:spacing w:val="4"/>
          <w:sz w:val="19"/>
        </w:rPr>
        <w:t>nadmiernie rygorystyczny</w:t>
      </w:r>
      <w:r w:rsidRPr="00B5742F">
        <w:rPr>
          <w:rFonts w:ascii="Verdana" w:hAnsi="Verdana"/>
          <w:color w:val="0071BB"/>
          <w:spacing w:val="4"/>
          <w:sz w:val="19"/>
        </w:rPr>
        <w:t xml:space="preserve"> i dyskryminując</w:t>
      </w:r>
      <w:r w:rsidR="00843D08" w:rsidRPr="00F13CAA">
        <w:rPr>
          <w:rFonts w:ascii="Verdana" w:hAnsi="Verdana"/>
          <w:color w:val="0071BB"/>
          <w:spacing w:val="4"/>
          <w:sz w:val="19"/>
        </w:rPr>
        <w:t>y</w:t>
      </w:r>
      <w:r w:rsidRPr="00B5742F">
        <w:rPr>
          <w:rFonts w:ascii="Verdana" w:hAnsi="Verdana"/>
          <w:color w:val="0071BB"/>
          <w:spacing w:val="4"/>
          <w:sz w:val="19"/>
        </w:rPr>
        <w:t xml:space="preserve"> wobec kobiet. Ponadto, chociaż umieszczenie nazwiska ojca na pierwszym miejscu może służyć pewności prawnej, to ten sam </w:t>
      </w:r>
      <w:r w:rsidR="00CD3632" w:rsidRPr="00B5742F">
        <w:rPr>
          <w:rFonts w:ascii="Verdana" w:hAnsi="Verdana"/>
          <w:color w:val="0071BB"/>
          <w:spacing w:val="4"/>
          <w:sz w:val="19"/>
        </w:rPr>
        <w:t>cel mógłby</w:t>
      </w:r>
      <w:r w:rsidRPr="00B5742F">
        <w:rPr>
          <w:rFonts w:ascii="Verdana" w:hAnsi="Verdana"/>
          <w:color w:val="0071BB"/>
          <w:spacing w:val="4"/>
          <w:sz w:val="19"/>
        </w:rPr>
        <w:t xml:space="preserve"> zostać osiągnięty poprzez umieszczenie nazwiska matki w tej pozycji.</w:t>
      </w:r>
    </w:p>
    <w:p w14:paraId="4DBD6439" w14:textId="77777777" w:rsidR="000F5B45" w:rsidRPr="00B5742F" w:rsidRDefault="00000000" w:rsidP="00E93132">
      <w:pPr>
        <w:pStyle w:val="Nagwek1"/>
        <w:spacing w:before="224"/>
        <w:jc w:val="left"/>
        <w:rPr>
          <w:rFonts w:ascii="Verdana" w:hAnsi="Verdana"/>
          <w:sz w:val="32"/>
          <w:szCs w:val="32"/>
        </w:rPr>
      </w:pPr>
      <w:r w:rsidRPr="00B5742F">
        <w:rPr>
          <w:rFonts w:ascii="Verdana" w:hAnsi="Verdana"/>
          <w:noProof/>
          <w:sz w:val="32"/>
          <w:szCs w:val="32"/>
        </w:rPr>
        <mc:AlternateContent>
          <mc:Choice Requires="wps">
            <w:drawing>
              <wp:anchor distT="0" distB="0" distL="0" distR="0" simplePos="0" relativeHeight="251686912" behindDoc="1" locked="0" layoutInCell="1" allowOverlap="1" wp14:anchorId="1551C6A5" wp14:editId="7D3E62C2">
                <wp:simplePos x="0" y="0"/>
                <wp:positionH relativeFrom="page">
                  <wp:posOffset>896111</wp:posOffset>
                </wp:positionH>
                <wp:positionV relativeFrom="paragraph">
                  <wp:posOffset>398503</wp:posOffset>
                </wp:positionV>
                <wp:extent cx="5768340" cy="18415"/>
                <wp:effectExtent l="0" t="0" r="0" b="0"/>
                <wp:wrapTopAndBottom/>
                <wp:docPr id="25" name="Graphic 25"/>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0CC7BA53" id="Graphic 25" o:spid="_x0000_s1026" style="position:absolute;margin-left:70.55pt;margin-top:31.4pt;width:454.2pt;height:1.4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" path="m5768340,l,,,18287r5768340,l5768340,xe" fillcolor="#999" stroked="f">
                <v:path arrowok="t"/>
                <w10:wrap type="topAndBottom" anchorx="page"/>
              </v:shape>
            </w:pict>
          </mc:Fallback>
        </mc:AlternateContent>
      </w:r>
      <w:r w:rsidRPr="00B5742F">
        <w:rPr>
          <w:rFonts w:ascii="Verdana" w:hAnsi="Verdana"/>
          <w:color w:val="0071BB"/>
          <w:szCs w:val="32"/>
        </w:rPr>
        <w:t>Ochrona własności (art. 1 protokołu nr 1)</w:t>
      </w:r>
    </w:p>
    <w:p w14:paraId="75BABAF1" w14:textId="77777777" w:rsidR="000F5B45" w:rsidRPr="00B5742F" w:rsidRDefault="000F5B45" w:rsidP="00E93132">
      <w:pPr>
        <w:pStyle w:val="Nagwek2"/>
        <w:spacing w:before="133"/>
        <w:rPr>
          <w:rFonts w:ascii="Verdana" w:hAnsi="Verdana"/>
          <w:sz w:val="19"/>
          <w:szCs w:val="19"/>
          <w:u w:val="none"/>
        </w:rPr>
      </w:pPr>
      <w:hyperlink r:id="rId135">
        <w:r w:rsidRPr="00B5742F">
          <w:rPr>
            <w:rFonts w:ascii="Verdana" w:hAnsi="Verdana"/>
            <w:color w:val="0071BB"/>
            <w:sz w:val="19"/>
            <w:szCs w:val="19"/>
            <w:u w:color="0071BB"/>
          </w:rPr>
          <w:t>S.L. i J.L. przeciwko Chorwacji (nr 13712/11)</w:t>
        </w:r>
      </w:hyperlink>
    </w:p>
    <w:p w14:paraId="17A2A065" w14:textId="77777777"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7 maja 2015 r.</w:t>
      </w:r>
    </w:p>
    <w:p w14:paraId="54F00B72" w14:textId="5B5F0643" w:rsidR="000F5B45" w:rsidRPr="00B5742F" w:rsidRDefault="00000000" w:rsidP="00E93132">
      <w:pPr>
        <w:pStyle w:val="Tekstpodstawowy"/>
        <w:spacing w:before="1"/>
        <w:ind w:left="874" w:right="727"/>
        <w:rPr>
          <w:rFonts w:ascii="Verdana" w:hAnsi="Verdana"/>
          <w:spacing w:val="4"/>
        </w:rPr>
      </w:pPr>
      <w:r w:rsidRPr="00B5742F">
        <w:rPr>
          <w:rFonts w:ascii="Verdana" w:hAnsi="Verdana"/>
          <w:spacing w:val="4"/>
          <w:sz w:val="19"/>
        </w:rPr>
        <w:t xml:space="preserve">Sprawa dotyczyła umowy wymiany nadmorskiej willi na mniej wartościowe mieszkanie. Centrum Opieki Społecznej musiało wyrazić zgodę na tę transakcję, ponieważ właściciele willi – dwójka skarżących – byli nieletni. Centrum Opieki Społecznej wyraziło zgodę na proponowaną wymianę bez dokładnego zbadania szczególnych okoliczności sprawy ani sytuacji rodziny. Adwokat reprezentujący rodziców dzieci był jednocześnie zięciem pierwotnego właściciela mieszkania. Przed sądem </w:t>
      </w:r>
      <w:r w:rsidR="00EA131F">
        <w:rPr>
          <w:rFonts w:ascii="Verdana" w:hAnsi="Verdana"/>
          <w:spacing w:val="4"/>
          <w:sz w:val="19"/>
        </w:rPr>
        <w:t>skarżący</w:t>
      </w:r>
      <w:r w:rsidR="00EA131F" w:rsidRPr="00B5742F">
        <w:rPr>
          <w:rFonts w:ascii="Verdana" w:hAnsi="Verdana"/>
          <w:spacing w:val="4"/>
          <w:sz w:val="19"/>
        </w:rPr>
        <w:t xml:space="preserve"> </w:t>
      </w:r>
      <w:r w:rsidRPr="00B5742F">
        <w:rPr>
          <w:rFonts w:ascii="Verdana" w:hAnsi="Verdana"/>
          <w:spacing w:val="4"/>
          <w:sz w:val="19"/>
        </w:rPr>
        <w:t>zarzucili państwu chorwackiemu, że poprzez Centrum Opieki Społecznej nie zapewniło im odpowiedniej ochrony interesów jako właścicielom willi, której wartość znacznie przewyższała wartość mieszkania, które otrzymali w zamian.</w:t>
      </w:r>
    </w:p>
    <w:p w14:paraId="17F3FC91" w14:textId="77777777" w:rsidR="000F5B45" w:rsidRPr="00B5742F" w:rsidRDefault="00000000" w:rsidP="00E93132">
      <w:pPr>
        <w:pStyle w:val="Tekstpodstawowy"/>
        <w:ind w:left="874" w:right="729"/>
        <w:rPr>
          <w:rFonts w:ascii="Verdana" w:hAnsi="Verdana"/>
          <w:spacing w:val="4"/>
        </w:rPr>
      </w:pPr>
      <w:r w:rsidRPr="00B5742F">
        <w:rPr>
          <w:rFonts w:ascii="Verdana" w:hAnsi="Verdana"/>
          <w:color w:val="0071BB"/>
          <w:spacing w:val="4"/>
          <w:sz w:val="19"/>
        </w:rPr>
        <w:t xml:space="preserve">Głównym zagadnieniem w tej sprawie było to, czy państwo uwzględniło najlepszy interes dzieci, zgadzając się na zamianę nieruchomości. Jako osoby małoletnie, ich interesy powinny były być chronione przez państwo, w szczególności przez ośrodek pomocy społecznej, a sądy cywilne miały obowiązek zbadać zarzuty dotyczące umowy zamiany, które budziły wątpliwości co do zgodności z konstytucyjnym obowiązkiem państwa w zakresie ochrony dzieci. Trybunał uznał, że w sprawie skarżących </w:t>
      </w:r>
      <w:r w:rsidRPr="00B5742F">
        <w:rPr>
          <w:rFonts w:ascii="Verdana" w:hAnsi="Verdana"/>
          <w:b/>
          <w:bCs/>
          <w:color w:val="0071BB"/>
          <w:spacing w:val="4"/>
          <w:sz w:val="19"/>
        </w:rPr>
        <w:t>doszło</w:t>
      </w:r>
      <w:r w:rsidRPr="00B5742F">
        <w:rPr>
          <w:rFonts w:ascii="Verdana" w:hAnsi="Verdana"/>
          <w:color w:val="0071BB"/>
          <w:spacing w:val="4"/>
          <w:sz w:val="19"/>
        </w:rPr>
        <w:t xml:space="preserve"> </w:t>
      </w:r>
      <w:r w:rsidRPr="00B5742F">
        <w:rPr>
          <w:rFonts w:ascii="Verdana" w:hAnsi="Verdana"/>
          <w:b/>
          <w:color w:val="0071BB"/>
          <w:spacing w:val="4"/>
          <w:sz w:val="19"/>
        </w:rPr>
        <w:t>do naruszenia art. 1 (</w:t>
      </w:r>
      <w:r w:rsidRPr="00B5742F">
        <w:rPr>
          <w:rFonts w:ascii="Verdana" w:hAnsi="Verdana"/>
          <w:color w:val="0071BB"/>
          <w:spacing w:val="4"/>
          <w:sz w:val="19"/>
        </w:rPr>
        <w:t xml:space="preserve">ochrona własności) </w:t>
      </w:r>
      <w:r w:rsidRPr="00B5742F">
        <w:rPr>
          <w:rFonts w:ascii="Verdana" w:hAnsi="Verdana"/>
          <w:b/>
          <w:color w:val="0071BB"/>
          <w:spacing w:val="4"/>
          <w:sz w:val="19"/>
        </w:rPr>
        <w:t xml:space="preserve">protokołu nr 1 </w:t>
      </w:r>
      <w:r w:rsidRPr="00B5742F">
        <w:rPr>
          <w:rFonts w:ascii="Verdana" w:hAnsi="Verdana"/>
          <w:color w:val="0071BB"/>
          <w:spacing w:val="4"/>
          <w:sz w:val="19"/>
        </w:rPr>
        <w:t>do Konwencji, stwierdzając, że władze krajowe nie podjęły niezbędnych środków w celu ochrony interesów majątkowych dzieci w umowie zamiany nieruchomości ani nie zapewniły im rozsądnej możliwości skutecznego zakwestionowania tej umowy.</w:t>
      </w:r>
    </w:p>
    <w:p w14:paraId="062D0C96" w14:textId="77777777" w:rsidR="000F5B45" w:rsidRPr="00B5742F" w:rsidRDefault="00000000" w:rsidP="00E93132">
      <w:pPr>
        <w:pStyle w:val="Nagwek1"/>
        <w:jc w:val="left"/>
        <w:rPr>
          <w:rFonts w:ascii="Verdana" w:hAnsi="Verdana"/>
          <w:sz w:val="32"/>
          <w:szCs w:val="32"/>
        </w:rPr>
      </w:pPr>
      <w:r w:rsidRPr="00B5742F">
        <w:rPr>
          <w:rFonts w:ascii="Verdana" w:hAnsi="Verdana"/>
          <w:noProof/>
          <w:sz w:val="32"/>
          <w:szCs w:val="32"/>
        </w:rPr>
        <mc:AlternateContent>
          <mc:Choice Requires="wps">
            <w:drawing>
              <wp:anchor distT="0" distB="0" distL="0" distR="0" simplePos="0" relativeHeight="251688960" behindDoc="1" locked="0" layoutInCell="1" allowOverlap="1" wp14:anchorId="5D5F9CDE" wp14:editId="3811DC2C">
                <wp:simplePos x="0" y="0"/>
                <wp:positionH relativeFrom="page">
                  <wp:posOffset>896111</wp:posOffset>
                </wp:positionH>
                <wp:positionV relativeFrom="paragraph">
                  <wp:posOffset>398945</wp:posOffset>
                </wp:positionV>
                <wp:extent cx="5768340" cy="18415"/>
                <wp:effectExtent l="0" t="0" r="0" b="0"/>
                <wp:wrapTopAndBottom/>
                <wp:docPr id="26" name="Graphic 26"/>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2919B9DA" id="Graphic 26" o:spid="_x0000_s1026" style="position:absolute;margin-left:70.55pt;margin-top:31.4pt;width:454.2pt;height:1.45pt;z-index:-25162752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" path="m5768340,l,,,18287r5768340,l5768340,xe" fillcolor="#999" stroked="f">
                <v:path arrowok="t"/>
                <w10:wrap type="topAndBottom" anchorx="page"/>
              </v:shape>
            </w:pict>
          </mc:Fallback>
        </mc:AlternateContent>
      </w:r>
      <w:r w:rsidRPr="00B5742F">
        <w:rPr>
          <w:rFonts w:ascii="Verdana" w:hAnsi="Verdana"/>
          <w:color w:val="0071BB"/>
          <w:szCs w:val="32"/>
        </w:rPr>
        <w:t>Prawo do edukacji (art. 2 protokołu nr 1)</w:t>
      </w:r>
    </w:p>
    <w:p w14:paraId="09489C08" w14:textId="77777777" w:rsidR="000F5B45" w:rsidRPr="00B5742F" w:rsidRDefault="000F5B45" w:rsidP="00E93132">
      <w:pPr>
        <w:pStyle w:val="Nagwek2"/>
        <w:spacing w:before="130"/>
        <w:jc w:val="left"/>
        <w:rPr>
          <w:rFonts w:ascii="Verdana" w:hAnsi="Verdana"/>
          <w:b w:val="0"/>
          <w:position w:val="7"/>
          <w:sz w:val="19"/>
          <w:szCs w:val="19"/>
          <w:u w:val="none"/>
        </w:rPr>
      </w:pPr>
      <w:hyperlink r:id="rId136">
        <w:r w:rsidRPr="00B5742F">
          <w:rPr>
            <w:rFonts w:ascii="Verdana" w:hAnsi="Verdana"/>
            <w:color w:val="0071BB"/>
            <w:sz w:val="19"/>
            <w:szCs w:val="19"/>
            <w:u w:color="0071BB"/>
          </w:rPr>
          <w:t>Timishev przeciwko Rosji</w:t>
        </w:r>
      </w:hyperlink>
      <w:hyperlink w:anchor="_bookmark8" w:history="1">
        <w:r w:rsidRPr="00B5742F">
          <w:rPr>
            <w:rFonts w:ascii="Verdana" w:hAnsi="Verdana"/>
            <w:b w:val="0"/>
            <w:color w:val="0D0D0D"/>
            <w:position w:val="7"/>
            <w:sz w:val="14"/>
            <w:szCs w:val="14"/>
            <w:u w:val="none"/>
          </w:rPr>
          <w:t>9</w:t>
        </w:r>
      </w:hyperlink>
    </w:p>
    <w:p w14:paraId="41968199" w14:textId="07E27500" w:rsidR="000F5B45" w:rsidRPr="00B5742F" w:rsidRDefault="00000000" w:rsidP="00E93132">
      <w:pPr>
        <w:spacing w:before="56"/>
        <w:ind w:left="874"/>
        <w:rPr>
          <w:rFonts w:ascii="Verdana" w:hAnsi="Verdana"/>
          <w:sz w:val="18"/>
        </w:rPr>
      </w:pPr>
      <w:r w:rsidRPr="00B5742F">
        <w:rPr>
          <w:rFonts w:ascii="Verdana" w:hAnsi="Verdana"/>
          <w:color w:val="808080"/>
          <w:sz w:val="17"/>
        </w:rPr>
        <w:t>13 grudnia 2005</w:t>
      </w:r>
      <w:r w:rsidR="006A14C7" w:rsidRPr="009749D0">
        <w:rPr>
          <w:rFonts w:ascii="Verdana" w:hAnsi="Verdana"/>
          <w:color w:val="808080"/>
          <w:sz w:val="17"/>
        </w:rPr>
        <w:t xml:space="preserve"> r.</w:t>
      </w:r>
    </w:p>
    <w:p w14:paraId="45F6A83E" w14:textId="6DE76D97" w:rsidR="000F5B45" w:rsidRPr="00B5742F" w:rsidRDefault="00000000" w:rsidP="00E93132">
      <w:pPr>
        <w:pStyle w:val="Tekstpodstawowy"/>
        <w:spacing w:before="1"/>
        <w:ind w:left="874" w:right="0"/>
        <w:jc w:val="left"/>
        <w:rPr>
          <w:rFonts w:ascii="Verdana" w:hAnsi="Verdana"/>
          <w:spacing w:val="4"/>
        </w:rPr>
      </w:pPr>
      <w:r w:rsidRPr="00B5742F">
        <w:rPr>
          <w:rFonts w:ascii="Verdana" w:hAnsi="Verdana"/>
          <w:spacing w:val="4"/>
          <w:sz w:val="19"/>
        </w:rPr>
        <w:t xml:space="preserve">Dzieci skarżącego, w wieku siedmiu i dziewięciu lat, zostały wykluczone ze szkoły, do której </w:t>
      </w:r>
    </w:p>
    <w:p w14:paraId="22A12E50" w14:textId="77777777" w:rsidR="000F5B45" w:rsidRPr="00B5742F" w:rsidRDefault="00000000" w:rsidP="00E93132">
      <w:pPr>
        <w:pStyle w:val="Tekstpodstawowy"/>
        <w:spacing w:before="5"/>
        <w:ind w:left="0" w:right="0"/>
        <w:jc w:val="left"/>
        <w:rPr>
          <w:rFonts w:ascii="Verdana" w:hAnsi="Verdana"/>
          <w:sz w:val="18"/>
        </w:rPr>
      </w:pPr>
      <w:r w:rsidRPr="00B5742F">
        <w:rPr>
          <w:rFonts w:ascii="Verdana" w:hAnsi="Verdana"/>
          <w:noProof/>
          <w:sz w:val="18"/>
        </w:rPr>
        <mc:AlternateContent>
          <mc:Choice Requires="wps">
            <w:drawing>
              <wp:anchor distT="0" distB="0" distL="0" distR="0" simplePos="0" relativeHeight="251691008" behindDoc="1" locked="0" layoutInCell="1" allowOverlap="1" wp14:anchorId="20385090" wp14:editId="2B777037">
                <wp:simplePos x="0" y="0"/>
                <wp:positionH relativeFrom="page">
                  <wp:posOffset>914400</wp:posOffset>
                </wp:positionH>
                <wp:positionV relativeFrom="paragraph">
                  <wp:posOffset>158015</wp:posOffset>
                </wp:positionV>
                <wp:extent cx="1828800" cy="7620"/>
                <wp:effectExtent l="0" t="0" r="0" b="0"/>
                <wp:wrapTopAndBottom/>
                <wp:docPr id="27" name="Graphic 27"/>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33D28F2" id="Graphic 27" o:spid="_x0000_s1026" style="position:absolute;margin-left:1in;margin-top:12.45pt;width:2in;height:.6pt;z-index:-2516254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" path="m1828800,l,,,7620r1828800,l1828800,xe" fillcolor="black" stroked="f">
                <v:path arrowok="t"/>
                <w10:wrap type="topAndBottom" anchorx="page"/>
              </v:shape>
            </w:pict>
          </mc:Fallback>
        </mc:AlternateContent>
      </w:r>
    </w:p>
    <w:p w14:paraId="1C7A7A19" w14:textId="71AC17C6" w:rsidR="000F5B45" w:rsidRPr="00B5742F" w:rsidRDefault="00000000" w:rsidP="00E93132">
      <w:pPr>
        <w:spacing w:before="104"/>
        <w:ind w:left="874"/>
        <w:rPr>
          <w:rFonts w:ascii="Verdana" w:hAnsi="Verdana"/>
          <w:sz w:val="16"/>
        </w:rPr>
      </w:pPr>
      <w:bookmarkStart w:id="8" w:name="_bookmark8"/>
      <w:bookmarkEnd w:id="8"/>
      <w:r w:rsidRPr="00B5742F">
        <w:rPr>
          <w:rFonts w:ascii="Verdana" w:hAnsi="Verdana"/>
          <w:sz w:val="15"/>
          <w:vertAlign w:val="superscript"/>
        </w:rPr>
        <w:t>9</w:t>
      </w:r>
      <w:r w:rsidRPr="00B5742F">
        <w:rPr>
          <w:rFonts w:ascii="Verdana" w:hAnsi="Verdana"/>
          <w:sz w:val="15"/>
        </w:rPr>
        <w:t xml:space="preserve"> W dniu 16 września 2022 r. Federacja Rosyjska przestała być stroną konwencji.</w:t>
      </w:r>
    </w:p>
    <w:p w14:paraId="21AACC0E" w14:textId="77777777" w:rsidR="000F5B45" w:rsidRPr="00B5742F" w:rsidRDefault="000F5B45" w:rsidP="00E93132">
      <w:pPr>
        <w:rPr>
          <w:rFonts w:ascii="Verdana" w:hAnsi="Verdana"/>
          <w:sz w:val="16"/>
        </w:rPr>
        <w:sectPr w:rsidR="000F5B45" w:rsidRPr="00B5742F">
          <w:pgSz w:w="11910" w:h="16840"/>
          <w:pgMar w:top="1460" w:right="708" w:bottom="680" w:left="566" w:header="730" w:footer="497" w:gutter="0"/>
          <w:cols w:space="708"/>
        </w:sectPr>
      </w:pPr>
    </w:p>
    <w:p w14:paraId="3062E6B1" w14:textId="428753E1" w:rsidR="000F5B45" w:rsidRPr="00B5742F" w:rsidRDefault="00F13CAA" w:rsidP="00E93132">
      <w:pPr>
        <w:pStyle w:val="Tekstpodstawowy"/>
        <w:spacing w:before="240"/>
        <w:ind w:left="874" w:right="730"/>
        <w:rPr>
          <w:rFonts w:ascii="Verdana" w:hAnsi="Verdana"/>
          <w:spacing w:val="4"/>
        </w:rPr>
      </w:pPr>
      <w:r w:rsidRPr="009567AA">
        <w:rPr>
          <w:rFonts w:ascii="Verdana" w:hAnsi="Verdana"/>
          <w:spacing w:val="4"/>
          <w:sz w:val="19"/>
          <w:szCs w:val="22"/>
        </w:rPr>
        <w:lastRenderedPageBreak/>
        <w:t xml:space="preserve"> </w:t>
      </w:r>
      <w:r w:rsidRPr="00B5742F">
        <w:rPr>
          <w:rFonts w:ascii="Verdana" w:hAnsi="Verdana"/>
          <w:spacing w:val="4"/>
          <w:sz w:val="19"/>
        </w:rPr>
        <w:t>uczęszczały</w:t>
      </w:r>
      <w:r w:rsidRPr="009567AA" w:rsidDel="006A14C7">
        <w:rPr>
          <w:rFonts w:ascii="Verdana" w:hAnsi="Verdana"/>
          <w:spacing w:val="4"/>
          <w:sz w:val="19"/>
        </w:rPr>
        <w:t xml:space="preserve"> </w:t>
      </w:r>
      <w:r w:rsidRPr="00B5742F">
        <w:rPr>
          <w:rFonts w:ascii="Verdana" w:hAnsi="Verdana"/>
          <w:spacing w:val="4"/>
          <w:sz w:val="19"/>
        </w:rPr>
        <w:t xml:space="preserve">przez dwa lata, ponieważ ich ojciec, Czeczen, nie był zameldowany w mieście (Nalczyk w Republice Kabardyno-Bałkarii w Rosji), w którym mieszkali, i nie posiadał już karty migranta, którą </w:t>
      </w:r>
      <w:r w:rsidR="006A14C7" w:rsidRPr="009567AA">
        <w:rPr>
          <w:rFonts w:ascii="Verdana" w:hAnsi="Verdana"/>
          <w:spacing w:val="4"/>
          <w:sz w:val="19"/>
        </w:rPr>
        <w:t xml:space="preserve">był zobowiązany </w:t>
      </w:r>
      <w:r w:rsidR="00CD3632" w:rsidRPr="009567AA">
        <w:rPr>
          <w:rFonts w:ascii="Verdana" w:hAnsi="Verdana"/>
          <w:spacing w:val="4"/>
          <w:sz w:val="19"/>
        </w:rPr>
        <w:t>zwrócić</w:t>
      </w:r>
      <w:r w:rsidRPr="00B5742F">
        <w:rPr>
          <w:rFonts w:ascii="Verdana" w:hAnsi="Verdana"/>
          <w:spacing w:val="4"/>
          <w:sz w:val="19"/>
        </w:rPr>
        <w:t xml:space="preserve"> zamian za odszkodowanie za mienie utracone w Czeczenii.</w:t>
      </w:r>
    </w:p>
    <w:p w14:paraId="5D38D137" w14:textId="0B9F279E" w:rsidR="000F5B45" w:rsidRPr="00B5742F" w:rsidRDefault="00E52A85" w:rsidP="00E93132">
      <w:pPr>
        <w:pStyle w:val="Tekstpodstawowy"/>
        <w:ind w:firstLine="1"/>
        <w:rPr>
          <w:rFonts w:ascii="Verdana" w:hAnsi="Verdana"/>
          <w:spacing w:val="4"/>
        </w:rPr>
      </w:pPr>
      <w:r w:rsidRPr="009567AA">
        <w:rPr>
          <w:rFonts w:ascii="Verdana" w:hAnsi="Verdana"/>
          <w:color w:val="0071BB"/>
          <w:spacing w:val="4"/>
          <w:sz w:val="19"/>
        </w:rPr>
        <w:t>Trybunał</w:t>
      </w:r>
      <w:r w:rsidRPr="00B5742F">
        <w:rPr>
          <w:rFonts w:ascii="Verdana" w:hAnsi="Verdana"/>
          <w:color w:val="0071BB"/>
          <w:spacing w:val="4"/>
          <w:sz w:val="19"/>
        </w:rPr>
        <w:t xml:space="preserve"> zauważył, że dzieci skarżącego nie zostały przyjęte do szkoły, do której uczęszczały przez ostatnie dwa lata. Rząd rosyjski nie zakwestionował twierdzenia, że prawdziwym powodem odmowy było zrzeczenie się przez skarżącego karty migranta, co spowodowało utratę przez niego statusu mieszkańca miasta Nalczyk. Rząd potwierdził jednak, że prawo rosyjskie </w:t>
      </w:r>
      <w:r w:rsidR="00A24F56" w:rsidRPr="009567AA">
        <w:rPr>
          <w:rFonts w:ascii="Verdana" w:hAnsi="Verdana"/>
          <w:color w:val="0071BB"/>
          <w:spacing w:val="4"/>
          <w:sz w:val="19"/>
        </w:rPr>
        <w:t>nie dopuszcza, aby prawo dziecka do nauki było uzależnione od miejsca zameldowania rodziców</w:t>
      </w:r>
      <w:r w:rsidRPr="00B5742F">
        <w:rPr>
          <w:rFonts w:ascii="Verdana" w:hAnsi="Verdana"/>
          <w:color w:val="0071BB"/>
          <w:spacing w:val="4"/>
          <w:sz w:val="19"/>
        </w:rPr>
        <w:t xml:space="preserve">. W związku z tym dzieci skarżącego zostały pozbawione prawa do edukacji przewidzianego w prawie krajowym. Ponieważ prawo rosyjskie nie pozwala na uzależnienie dostępu dzieci do edukacji od rejestracji miejsca zamieszkania rodziców, Trybunał uznał, że </w:t>
      </w:r>
      <w:r w:rsidRPr="00B5742F">
        <w:rPr>
          <w:rFonts w:ascii="Verdana" w:hAnsi="Verdana"/>
          <w:b/>
          <w:bCs/>
          <w:color w:val="0071BB"/>
          <w:spacing w:val="4"/>
          <w:sz w:val="19"/>
        </w:rPr>
        <w:t>doszło</w:t>
      </w:r>
      <w:r w:rsidRPr="00B5742F">
        <w:rPr>
          <w:rFonts w:ascii="Verdana" w:hAnsi="Verdana"/>
          <w:color w:val="0071BB"/>
          <w:spacing w:val="4"/>
          <w:sz w:val="19"/>
        </w:rPr>
        <w:t xml:space="preserve"> </w:t>
      </w:r>
      <w:r w:rsidRPr="00B5742F">
        <w:rPr>
          <w:rFonts w:ascii="Verdana" w:hAnsi="Verdana"/>
          <w:b/>
          <w:color w:val="0071BB"/>
          <w:spacing w:val="4"/>
          <w:sz w:val="19"/>
        </w:rPr>
        <w:t>do naruszenia art. 2 (</w:t>
      </w:r>
      <w:r w:rsidRPr="00B5742F">
        <w:rPr>
          <w:rFonts w:ascii="Verdana" w:hAnsi="Verdana"/>
          <w:color w:val="0071BB"/>
          <w:spacing w:val="4"/>
          <w:sz w:val="19"/>
        </w:rPr>
        <w:t xml:space="preserve">prawo do edukacji) </w:t>
      </w:r>
      <w:r w:rsidRPr="00B5742F">
        <w:rPr>
          <w:rFonts w:ascii="Verdana" w:hAnsi="Verdana"/>
          <w:b/>
          <w:color w:val="0071BB"/>
          <w:spacing w:val="4"/>
          <w:sz w:val="19"/>
        </w:rPr>
        <w:t xml:space="preserve">protokołu nr 1 </w:t>
      </w:r>
      <w:r w:rsidRPr="00B5742F">
        <w:rPr>
          <w:rFonts w:ascii="Verdana" w:hAnsi="Verdana"/>
          <w:color w:val="0071BB"/>
          <w:spacing w:val="4"/>
          <w:sz w:val="19"/>
        </w:rPr>
        <w:t>do Konwencji.</w:t>
      </w:r>
    </w:p>
    <w:p w14:paraId="67BF1EAB" w14:textId="73BF9C48" w:rsidR="000F5B45" w:rsidRPr="00B5742F" w:rsidRDefault="000F5B45" w:rsidP="00E93132">
      <w:pPr>
        <w:pStyle w:val="Nagwek2"/>
        <w:spacing w:before="133"/>
        <w:ind w:left="873"/>
        <w:rPr>
          <w:rFonts w:ascii="Verdana" w:hAnsi="Verdana"/>
          <w:u w:val="none"/>
        </w:rPr>
      </w:pPr>
      <w:hyperlink r:id="rId137">
        <w:r w:rsidRPr="00B5742F">
          <w:rPr>
            <w:rFonts w:ascii="Verdana" w:hAnsi="Verdana"/>
            <w:color w:val="0071BB"/>
            <w:sz w:val="19"/>
            <w:u w:color="0071BB"/>
          </w:rPr>
          <w:t xml:space="preserve">Folgerø i </w:t>
        </w:r>
        <w:r w:rsidR="00A24F56" w:rsidRPr="009749D0">
          <w:rPr>
            <w:rFonts w:ascii="Verdana" w:hAnsi="Verdana"/>
            <w:color w:val="0071BB"/>
            <w:sz w:val="19"/>
            <w:u w:color="0071BB"/>
          </w:rPr>
          <w:t>I</w:t>
        </w:r>
        <w:r w:rsidRPr="00B5742F">
          <w:rPr>
            <w:rFonts w:ascii="Verdana" w:hAnsi="Verdana"/>
            <w:color w:val="0071BB"/>
            <w:sz w:val="19"/>
            <w:u w:color="0071BB"/>
          </w:rPr>
          <w:t>nni przeciwko Norwegii</w:t>
        </w:r>
      </w:hyperlink>
    </w:p>
    <w:p w14:paraId="2A087158" w14:textId="77777777"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29 czerwca 2007 r. (Wielka Izba)</w:t>
      </w:r>
    </w:p>
    <w:p w14:paraId="20F1140A" w14:textId="77777777" w:rsidR="000F5B45" w:rsidRPr="00B5742F" w:rsidRDefault="00000000" w:rsidP="00E93132">
      <w:pPr>
        <w:pStyle w:val="Tekstpodstawowy"/>
        <w:spacing w:before="1"/>
        <w:ind w:left="874" w:right="730"/>
        <w:rPr>
          <w:rFonts w:ascii="Verdana" w:hAnsi="Verdana"/>
          <w:spacing w:val="4"/>
        </w:rPr>
      </w:pPr>
      <w:r w:rsidRPr="00B5742F">
        <w:rPr>
          <w:rFonts w:ascii="Verdana" w:hAnsi="Verdana"/>
          <w:spacing w:val="4"/>
          <w:sz w:val="19"/>
        </w:rPr>
        <w:t>W 1997 r. zmieniono program nauczania w norweskich szkołach podstawowych, zastępując dwa odrębne przedmioty – chrześcijaństwo i filozofię życia – jednym przedmiotem obejmującym chrześcijaństwo, religię i filozofię, znanym jako KRL. Członkowie Norweskiego Stowarzyszenia Humanistycznego, skarżący, bezskutecznie starali się o całkowite zwolnienie swoich dzieci z udziału w zajęciach z KRL. Przed Trybunałem skarżący zarzucali w szczególności, że odmowa całkowitego zwolnienia przez władze uniemożliwiła im zapewnienie dzieciom edukacji zgodnej z ich przekonaniami religijnymi i filozoficznymi.</w:t>
      </w:r>
    </w:p>
    <w:p w14:paraId="5B9A79A8" w14:textId="77777777" w:rsidR="000F5B45" w:rsidRPr="00B5742F" w:rsidRDefault="00000000" w:rsidP="00E93132">
      <w:pPr>
        <w:pStyle w:val="Tekstpodstawowy"/>
        <w:ind w:right="729"/>
        <w:rPr>
          <w:rFonts w:ascii="Verdana" w:hAnsi="Verdana"/>
          <w:spacing w:val="4"/>
        </w:rPr>
      </w:pPr>
      <w:r w:rsidRPr="00B5742F">
        <w:rPr>
          <w:rFonts w:ascii="Verdana" w:hAnsi="Verdana"/>
          <w:color w:val="0071BB"/>
          <w:spacing w:val="4"/>
          <w:sz w:val="19"/>
        </w:rPr>
        <w:t xml:space="preserve">Trybunał uznał, że </w:t>
      </w:r>
      <w:r w:rsidRPr="00B5742F">
        <w:rPr>
          <w:rFonts w:ascii="Verdana" w:hAnsi="Verdana"/>
          <w:b/>
          <w:bCs/>
          <w:color w:val="0071BB"/>
          <w:spacing w:val="4"/>
          <w:sz w:val="19"/>
        </w:rPr>
        <w:t>doszło</w:t>
      </w:r>
      <w:r w:rsidRPr="00B5742F">
        <w:rPr>
          <w:rFonts w:ascii="Verdana" w:hAnsi="Verdana"/>
          <w:color w:val="0071BB"/>
          <w:spacing w:val="4"/>
          <w:sz w:val="19"/>
        </w:rPr>
        <w:t xml:space="preserve"> </w:t>
      </w:r>
      <w:r w:rsidRPr="00B5742F">
        <w:rPr>
          <w:rFonts w:ascii="Verdana" w:hAnsi="Verdana"/>
          <w:b/>
          <w:color w:val="0071BB"/>
          <w:spacing w:val="4"/>
          <w:sz w:val="19"/>
        </w:rPr>
        <w:t xml:space="preserve">do naruszenia art. 2 </w:t>
      </w:r>
      <w:r w:rsidRPr="00B5742F">
        <w:rPr>
          <w:rFonts w:ascii="Verdana" w:hAnsi="Verdana"/>
          <w:color w:val="0071BB"/>
          <w:spacing w:val="4"/>
          <w:sz w:val="19"/>
        </w:rPr>
        <w:t xml:space="preserve">(prawo do edukacji) </w:t>
      </w:r>
      <w:r w:rsidRPr="00B5742F">
        <w:rPr>
          <w:rFonts w:ascii="Verdana" w:hAnsi="Verdana"/>
          <w:b/>
          <w:color w:val="0071BB"/>
          <w:spacing w:val="4"/>
          <w:sz w:val="19"/>
        </w:rPr>
        <w:t xml:space="preserve">protokołu nr 1 </w:t>
      </w:r>
      <w:r w:rsidRPr="00B5742F">
        <w:rPr>
          <w:rFonts w:ascii="Verdana" w:hAnsi="Verdana"/>
          <w:color w:val="0071BB"/>
          <w:spacing w:val="4"/>
          <w:sz w:val="19"/>
        </w:rPr>
        <w:t>do Konwencji. W szczególności stwierdził, że program nauczania KRL nadawał przeważające znaczenie chrześcijaństwu, stwierdzając, że celem edukacji na poziomie podstawowym i gimnazjalnym jest wychowanie uczniów w duchu chrześcijańskim i moralnym. Możliwość zwolnienia dzieci z niektórych części programu nauczania mogła stanowić dla zainteresowanych rodziców poważne obciążenie, narażając ich na nieuzasadnione ujawnienie życia prywatnego, a potencjalny konflikt mógł zniechęcić ich do składania takich wniosków. Jednocześnie Trybunał zwrócił uwagę, że intencja wprowadzenia nowego przedmiotu, polegająca na tym, że poprzez nauczanie chrześcijaństwa wraz z innymi religiami i filozofiami możliwe będzie zapewnienie otwartego i integracyjnego środowiska szkolnego, była zasadniczo zgodna z zasadami pluralizmu i obiektywności zawartymi w art. 2 protokołu nr 1.</w:t>
      </w:r>
    </w:p>
    <w:p w14:paraId="5039FA72" w14:textId="77777777" w:rsidR="000F5B45" w:rsidRPr="00B5742F" w:rsidRDefault="000F5B45" w:rsidP="00E93132">
      <w:pPr>
        <w:pStyle w:val="Nagwek2"/>
        <w:spacing w:before="100"/>
        <w:rPr>
          <w:rFonts w:ascii="Verdana" w:hAnsi="Verdana"/>
          <w:u w:val="none"/>
        </w:rPr>
      </w:pPr>
      <w:hyperlink r:id="rId138">
        <w:r w:rsidRPr="00B5742F">
          <w:rPr>
            <w:rFonts w:ascii="Verdana" w:hAnsi="Verdana"/>
            <w:color w:val="0071BB"/>
            <w:sz w:val="19"/>
            <w:u w:color="0071BB"/>
          </w:rPr>
          <w:t>Hasan i Eylem Zengin przeciwko Turcji</w:t>
        </w:r>
      </w:hyperlink>
    </w:p>
    <w:p w14:paraId="5B49CE24" w14:textId="77777777" w:rsidR="000F5B45" w:rsidRPr="00B5742F" w:rsidRDefault="00000000" w:rsidP="00E93132">
      <w:pPr>
        <w:spacing w:before="55"/>
        <w:ind w:left="874"/>
        <w:jc w:val="both"/>
        <w:rPr>
          <w:rFonts w:ascii="Verdana" w:hAnsi="Verdana"/>
          <w:sz w:val="18"/>
        </w:rPr>
      </w:pPr>
      <w:r w:rsidRPr="00B5742F">
        <w:rPr>
          <w:rFonts w:ascii="Verdana" w:hAnsi="Verdana"/>
          <w:color w:val="808080"/>
          <w:sz w:val="17"/>
        </w:rPr>
        <w:t>9 października 2007 r.</w:t>
      </w:r>
    </w:p>
    <w:p w14:paraId="3976160B" w14:textId="7499A8C4" w:rsidR="000F5B45" w:rsidRPr="00B5742F" w:rsidRDefault="00000000" w:rsidP="00E93132">
      <w:pPr>
        <w:pStyle w:val="Tekstpodstawowy"/>
        <w:spacing w:before="1"/>
        <w:ind w:right="730"/>
        <w:rPr>
          <w:rFonts w:ascii="Verdana" w:hAnsi="Verdana"/>
          <w:spacing w:val="4"/>
        </w:rPr>
      </w:pPr>
      <w:r w:rsidRPr="00B5742F">
        <w:rPr>
          <w:rFonts w:ascii="Verdana" w:hAnsi="Verdana"/>
          <w:spacing w:val="4"/>
          <w:sz w:val="19"/>
        </w:rPr>
        <w:t xml:space="preserve">Wskazując, że jego </w:t>
      </w:r>
      <w:r w:rsidRPr="00B5742F">
        <w:rPr>
          <w:rFonts w:ascii="Verdana" w:hAnsi="Verdana"/>
          <w:b/>
          <w:bCs/>
          <w:spacing w:val="4"/>
          <w:sz w:val="19"/>
        </w:rPr>
        <w:t>rodzina wyznaje alewick</w:t>
      </w:r>
      <w:r w:rsidR="006B19CF" w:rsidRPr="009567AA">
        <w:rPr>
          <w:rFonts w:ascii="Verdana" w:hAnsi="Verdana"/>
          <w:b/>
          <w:bCs/>
          <w:spacing w:val="4"/>
          <w:sz w:val="19"/>
        </w:rPr>
        <w:t>i</w:t>
      </w:r>
      <w:r w:rsidRPr="00B5742F">
        <w:rPr>
          <w:rFonts w:ascii="Verdana" w:hAnsi="Verdana"/>
          <w:b/>
          <w:bCs/>
          <w:spacing w:val="4"/>
          <w:sz w:val="19"/>
        </w:rPr>
        <w:t xml:space="preserve"> </w:t>
      </w:r>
      <w:r w:rsidR="00110B0D" w:rsidRPr="00B5742F">
        <w:rPr>
          <w:rFonts w:ascii="Verdana" w:hAnsi="Verdana"/>
          <w:b/>
          <w:bCs/>
          <w:spacing w:val="4"/>
          <w:sz w:val="19"/>
        </w:rPr>
        <w:t>od</w:t>
      </w:r>
      <w:r w:rsidR="00110B0D" w:rsidRPr="009567AA">
        <w:rPr>
          <w:rFonts w:ascii="Verdana" w:hAnsi="Verdana"/>
          <w:b/>
          <w:bCs/>
          <w:spacing w:val="4"/>
          <w:sz w:val="19"/>
        </w:rPr>
        <w:t>ł</w:t>
      </w:r>
      <w:r w:rsidR="006B19CF" w:rsidRPr="009567AA">
        <w:rPr>
          <w:rFonts w:ascii="Verdana" w:hAnsi="Verdana"/>
          <w:b/>
          <w:bCs/>
          <w:spacing w:val="4"/>
          <w:sz w:val="19"/>
        </w:rPr>
        <w:t>am</w:t>
      </w:r>
      <w:r w:rsidR="00110B0D" w:rsidRPr="00B5742F">
        <w:rPr>
          <w:rFonts w:ascii="Verdana" w:hAnsi="Verdana"/>
          <w:b/>
          <w:bCs/>
          <w:spacing w:val="4"/>
          <w:sz w:val="19"/>
        </w:rPr>
        <w:t xml:space="preserve"> </w:t>
      </w:r>
      <w:r w:rsidRPr="00B5742F">
        <w:rPr>
          <w:rFonts w:ascii="Verdana" w:hAnsi="Verdana"/>
          <w:b/>
          <w:bCs/>
          <w:spacing w:val="4"/>
          <w:sz w:val="19"/>
        </w:rPr>
        <w:t xml:space="preserve">islamu </w:t>
      </w:r>
      <w:r w:rsidRPr="00B5742F">
        <w:rPr>
          <w:rFonts w:ascii="Verdana" w:hAnsi="Verdana"/>
          <w:spacing w:val="4"/>
          <w:sz w:val="19"/>
        </w:rPr>
        <w:t>(nieortodoksyjn</w:t>
      </w:r>
      <w:r w:rsidR="006B19CF" w:rsidRPr="009567AA">
        <w:rPr>
          <w:rFonts w:ascii="Verdana" w:hAnsi="Verdana"/>
          <w:spacing w:val="4"/>
          <w:sz w:val="19"/>
        </w:rPr>
        <w:t>a</w:t>
      </w:r>
      <w:r w:rsidRPr="00B5742F">
        <w:rPr>
          <w:rFonts w:ascii="Verdana" w:hAnsi="Verdana"/>
          <w:spacing w:val="4"/>
          <w:sz w:val="19"/>
        </w:rPr>
        <w:t xml:space="preserve"> mniejszość islamu), skarżący zwrócił się w 2001 r. z wnioskiem o zwolnienie jego córki z zajęć z kultury religijnej i etyki w szkole państwowej w Stambule, do której uczęszczała. Jego wnioski zostały </w:t>
      </w:r>
      <w:r w:rsidR="00110B0D" w:rsidRPr="009567AA">
        <w:rPr>
          <w:rFonts w:ascii="Verdana" w:hAnsi="Verdana"/>
          <w:spacing w:val="4"/>
          <w:sz w:val="19"/>
        </w:rPr>
        <w:t>odrzucone</w:t>
      </w:r>
      <w:r w:rsidRPr="00B5742F">
        <w:rPr>
          <w:rFonts w:ascii="Verdana" w:hAnsi="Verdana"/>
          <w:spacing w:val="4"/>
          <w:sz w:val="19"/>
        </w:rPr>
        <w:t xml:space="preserve">, </w:t>
      </w:r>
      <w:r w:rsidR="00CD3632" w:rsidRPr="00B5742F">
        <w:rPr>
          <w:rFonts w:ascii="Verdana" w:hAnsi="Verdana"/>
          <w:spacing w:val="4"/>
          <w:sz w:val="19"/>
        </w:rPr>
        <w:t>ostat</w:t>
      </w:r>
      <w:r w:rsidR="00CD3632" w:rsidRPr="009567AA">
        <w:rPr>
          <w:rFonts w:ascii="Verdana" w:hAnsi="Verdana"/>
          <w:spacing w:val="4"/>
          <w:sz w:val="19"/>
        </w:rPr>
        <w:t>ecznie</w:t>
      </w:r>
      <w:r w:rsidRPr="00B5742F">
        <w:rPr>
          <w:rFonts w:ascii="Verdana" w:hAnsi="Verdana"/>
          <w:spacing w:val="4"/>
          <w:sz w:val="19"/>
        </w:rPr>
        <w:t xml:space="preserve"> w postępowaniu odwoławczym przed Najwyższym Sądem Administracyjnym. Skarżący zarzucali w szczególności sposób nauczania kultury religijnej i etyki w szkole państwowej, a mianowicie z perspektywy gloryfikującej sunnicką interpretację wiary i tradycji islamu, bez podawania szczegółowych informacji na temat innych religii.</w:t>
      </w:r>
    </w:p>
    <w:p w14:paraId="02386B1B" w14:textId="77777777" w:rsidR="000F5B45" w:rsidRPr="00B5742F" w:rsidRDefault="00000000" w:rsidP="00E93132">
      <w:pPr>
        <w:pStyle w:val="Tekstpodstawowy"/>
        <w:rPr>
          <w:rFonts w:ascii="Verdana" w:hAnsi="Verdana"/>
          <w:spacing w:val="4"/>
        </w:rPr>
      </w:pPr>
      <w:r w:rsidRPr="00B5742F">
        <w:rPr>
          <w:rFonts w:ascii="Verdana" w:hAnsi="Verdana"/>
          <w:color w:val="0071BB"/>
          <w:spacing w:val="4"/>
          <w:sz w:val="19"/>
        </w:rPr>
        <w:t xml:space="preserve">Trybunał uznał, że </w:t>
      </w:r>
      <w:r w:rsidRPr="00B5742F">
        <w:rPr>
          <w:rFonts w:ascii="Verdana" w:hAnsi="Verdana"/>
          <w:b/>
          <w:bCs/>
          <w:color w:val="0071BB"/>
          <w:spacing w:val="4"/>
          <w:sz w:val="19"/>
        </w:rPr>
        <w:t>doszło</w:t>
      </w:r>
      <w:r w:rsidRPr="00B5742F">
        <w:rPr>
          <w:rFonts w:ascii="Verdana" w:hAnsi="Verdana"/>
          <w:color w:val="0071BB"/>
          <w:spacing w:val="4"/>
          <w:sz w:val="19"/>
        </w:rPr>
        <w:t xml:space="preserve"> </w:t>
      </w:r>
      <w:r w:rsidRPr="00B5742F">
        <w:rPr>
          <w:rFonts w:ascii="Verdana" w:hAnsi="Verdana"/>
          <w:b/>
          <w:color w:val="0071BB"/>
          <w:spacing w:val="4"/>
          <w:sz w:val="19"/>
        </w:rPr>
        <w:t>do</w:t>
      </w:r>
      <w:r w:rsidRPr="00B5742F">
        <w:rPr>
          <w:rFonts w:ascii="Verdana" w:hAnsi="Verdana"/>
          <w:color w:val="0071BB"/>
          <w:spacing w:val="4"/>
          <w:sz w:val="19"/>
        </w:rPr>
        <w:t xml:space="preserve"> </w:t>
      </w:r>
      <w:r w:rsidRPr="00B5742F">
        <w:rPr>
          <w:rFonts w:ascii="Verdana" w:hAnsi="Verdana"/>
          <w:b/>
          <w:color w:val="0071BB"/>
          <w:spacing w:val="4"/>
          <w:sz w:val="19"/>
        </w:rPr>
        <w:t xml:space="preserve">naruszenia art. 2 </w:t>
      </w:r>
      <w:r w:rsidRPr="00B5742F">
        <w:rPr>
          <w:rFonts w:ascii="Verdana" w:hAnsi="Verdana"/>
          <w:color w:val="0071BB"/>
          <w:spacing w:val="4"/>
          <w:sz w:val="19"/>
        </w:rPr>
        <w:t xml:space="preserve">(prawo do edukacji) </w:t>
      </w:r>
      <w:r w:rsidRPr="00B5742F">
        <w:rPr>
          <w:rFonts w:ascii="Verdana" w:hAnsi="Verdana"/>
          <w:b/>
          <w:color w:val="0071BB"/>
          <w:spacing w:val="4"/>
          <w:sz w:val="19"/>
        </w:rPr>
        <w:t xml:space="preserve">protokołu nr 1 </w:t>
      </w:r>
      <w:r w:rsidRPr="00B5742F">
        <w:rPr>
          <w:rFonts w:ascii="Verdana" w:hAnsi="Verdana"/>
          <w:color w:val="0071BB"/>
          <w:spacing w:val="4"/>
          <w:sz w:val="19"/>
        </w:rPr>
        <w:t>do Konwencji. Po zbadaniu wytycznych tureckiego Ministerstwa Edukacji dotyczących lekcji kultury religijnej i etyki oraz podręczników szkolnych, stwierdził w szczególności, że program nauczania nadawał większe znaczenie wiedzy o islamie niż o innych religiach i filozofiach oraz zawierał szczegółowe instrukcje dotyczące głównych zasad wiary muzułmańskiej, w tym jej obrzędów kulturowych. Chociaż dzieci wyznania chrześcijańskiego lub żydowskiego mogły być zwolnione z lekcji kultury religijnej i etyki, lekcje te były obowiązkowe dla dzieci muzułmańskich, w tym wyznających alewizm.</w:t>
      </w:r>
    </w:p>
    <w:p w14:paraId="4971ACBF" w14:textId="77777777" w:rsidR="000F5B45" w:rsidRPr="00B5742F" w:rsidRDefault="000F5B45" w:rsidP="00E93132">
      <w:pPr>
        <w:pStyle w:val="Tekstpodstawowy"/>
        <w:rPr>
          <w:rFonts w:ascii="Verdana" w:hAnsi="Verdana"/>
        </w:rPr>
        <w:sectPr w:rsidR="000F5B45" w:rsidRPr="00B5742F">
          <w:pgSz w:w="11910" w:h="16840"/>
          <w:pgMar w:top="1460" w:right="708" w:bottom="680" w:left="566" w:header="730" w:footer="497" w:gutter="0"/>
          <w:cols w:space="708"/>
        </w:sectPr>
      </w:pPr>
    </w:p>
    <w:p w14:paraId="28FCEF3C" w14:textId="77777777" w:rsidR="000F5B45" w:rsidRPr="00B5742F" w:rsidRDefault="00000000" w:rsidP="00E93132">
      <w:pPr>
        <w:pStyle w:val="Tekstpodstawowy"/>
        <w:spacing w:before="240"/>
        <w:ind w:right="729"/>
        <w:rPr>
          <w:rFonts w:ascii="Verdana" w:hAnsi="Verdana"/>
          <w:spacing w:val="4"/>
        </w:rPr>
      </w:pPr>
      <w:r w:rsidRPr="00B5742F">
        <w:rPr>
          <w:rFonts w:ascii="Verdana" w:hAnsi="Verdana"/>
          <w:color w:val="0071BB"/>
          <w:spacing w:val="4"/>
          <w:sz w:val="19"/>
        </w:rPr>
        <w:lastRenderedPageBreak/>
        <w:t xml:space="preserve">Na podstawie </w:t>
      </w:r>
      <w:r w:rsidRPr="00B5742F">
        <w:rPr>
          <w:rFonts w:ascii="Verdana" w:hAnsi="Verdana"/>
          <w:b/>
          <w:color w:val="0071BB"/>
          <w:spacing w:val="4"/>
          <w:sz w:val="19"/>
        </w:rPr>
        <w:t xml:space="preserve">art. 46 </w:t>
      </w:r>
      <w:r w:rsidRPr="00B5742F">
        <w:rPr>
          <w:rFonts w:ascii="Verdana" w:hAnsi="Verdana"/>
          <w:color w:val="0071BB"/>
          <w:spacing w:val="4"/>
          <w:sz w:val="19"/>
        </w:rPr>
        <w:t>(moc wiążąca i wykonywanie wyroków) Konwencji Trybunał stwierdził ponadto, że stwierdzone naruszenie wynikało z problemu związanego z wdrożeniem programu nauczania religii w Turcji oraz brakiem odpowiednich metod zapewnienia poszanowania przekonań rodziców. W związku z tym uznał, że dostosowanie tureckiego systemu edukacji i ustawodawstwa krajowego do art. 2 protokołu nr 1 do Konwencji stanowiłoby odpowiednią formę zadośćuczynienia.</w:t>
      </w:r>
    </w:p>
    <w:p w14:paraId="0A72A518" w14:textId="77777777" w:rsidR="000F5B45" w:rsidRPr="00B5742F" w:rsidRDefault="000F5B45" w:rsidP="00E93132">
      <w:pPr>
        <w:pStyle w:val="Nagwek2"/>
        <w:ind w:left="873"/>
        <w:rPr>
          <w:rFonts w:ascii="Verdana" w:hAnsi="Verdana"/>
          <w:u w:val="none"/>
        </w:rPr>
      </w:pPr>
      <w:hyperlink r:id="rId139">
        <w:r w:rsidRPr="00B5742F">
          <w:rPr>
            <w:rFonts w:ascii="Verdana" w:hAnsi="Verdana"/>
            <w:color w:val="0071BB"/>
            <w:sz w:val="19"/>
            <w:u w:color="0071BB"/>
          </w:rPr>
          <w:t>Ali przeciwko Zjednoczonemu Królestwu</w:t>
        </w:r>
      </w:hyperlink>
    </w:p>
    <w:p w14:paraId="6B344A74" w14:textId="63A4018A" w:rsidR="000F5B45" w:rsidRPr="00B5742F" w:rsidRDefault="00000000" w:rsidP="00E93132">
      <w:pPr>
        <w:spacing w:before="58"/>
        <w:ind w:left="874"/>
        <w:jc w:val="both"/>
        <w:rPr>
          <w:rFonts w:ascii="Verdana" w:hAnsi="Verdana"/>
          <w:sz w:val="18"/>
        </w:rPr>
      </w:pPr>
      <w:r w:rsidRPr="00B5742F">
        <w:rPr>
          <w:rFonts w:ascii="Verdana" w:hAnsi="Verdana"/>
          <w:color w:val="808080"/>
          <w:sz w:val="17"/>
        </w:rPr>
        <w:t>11 stycznia 2011</w:t>
      </w:r>
      <w:r w:rsidR="006B19CF" w:rsidRPr="009749D0">
        <w:rPr>
          <w:rFonts w:ascii="Verdana" w:hAnsi="Verdana"/>
          <w:color w:val="808080"/>
          <w:sz w:val="17"/>
        </w:rPr>
        <w:t xml:space="preserve"> r.</w:t>
      </w:r>
    </w:p>
    <w:p w14:paraId="501941F2" w14:textId="17EEEA52" w:rsidR="000F5B45" w:rsidRPr="00B5742F" w:rsidRDefault="006B19CF" w:rsidP="00E93132">
      <w:pPr>
        <w:pStyle w:val="Tekstpodstawowy"/>
        <w:spacing w:before="1"/>
        <w:ind w:left="874" w:right="727" w:hanging="1"/>
        <w:rPr>
          <w:rFonts w:ascii="Verdana" w:hAnsi="Verdana"/>
          <w:spacing w:val="4"/>
        </w:rPr>
      </w:pPr>
      <w:r w:rsidRPr="009567AA">
        <w:rPr>
          <w:rFonts w:ascii="Verdana" w:hAnsi="Verdana"/>
          <w:spacing w:val="4"/>
          <w:sz w:val="19"/>
        </w:rPr>
        <w:t>Skarżący</w:t>
      </w:r>
      <w:r w:rsidRPr="00B5742F">
        <w:rPr>
          <w:rFonts w:ascii="Verdana" w:hAnsi="Verdana"/>
          <w:spacing w:val="4"/>
          <w:sz w:val="19"/>
        </w:rPr>
        <w:t xml:space="preserve"> został wykluczony ze szkoły podczas policyjnego śledztwa w sprawie pożaru w jego szkole, ponieważ w odpowiednim czasie znajdował się w pobliżu. Zaproponowano mu alternatywną formę nauki, a po umorzeniu postępowania karnego przeciwko niemu jego rodzice zostali zaproszeni na spotkanie ze szkołą w celu omówienia jego reintegracji. Nie stawili się oni na spotkanie, a także opóźnili podjęcie decyzji, czy chcą, aby chłopiec powrócił do szkoły. Jego miejsce zajęło inne dziecko.</w:t>
      </w:r>
    </w:p>
    <w:p w14:paraId="7403B9DA" w14:textId="0DBB69D4" w:rsidR="000F5B45" w:rsidRPr="00B5742F" w:rsidRDefault="00000000" w:rsidP="00E93132">
      <w:pPr>
        <w:pStyle w:val="Tekstpodstawowy"/>
        <w:ind w:left="874" w:right="727" w:hanging="1"/>
        <w:rPr>
          <w:rFonts w:ascii="Verdana" w:hAnsi="Verdana"/>
          <w:spacing w:val="4"/>
        </w:rPr>
      </w:pPr>
      <w:r w:rsidRPr="00B5742F">
        <w:rPr>
          <w:rFonts w:ascii="Verdana" w:hAnsi="Verdana"/>
          <w:color w:val="0071BB"/>
          <w:spacing w:val="4"/>
          <w:sz w:val="19"/>
        </w:rPr>
        <w:t xml:space="preserve">Trybunał zauważył, że prawo do edukacji wynikające z Konwencji obejmuje dostęp do instytucji edukacyjnej, a także prawo do uzyskania, zgodnie z przepisami obowiązującymi w każdym państwie, oficjalnego </w:t>
      </w:r>
      <w:r w:rsidRPr="004A3380">
        <w:rPr>
          <w:rFonts w:ascii="Verdana" w:hAnsi="Verdana"/>
          <w:color w:val="0071BB"/>
          <w:spacing w:val="4"/>
          <w:sz w:val="19"/>
        </w:rPr>
        <w:t>uznania</w:t>
      </w:r>
      <w:r w:rsidRPr="00844CDC">
        <w:rPr>
          <w:rFonts w:ascii="Verdana" w:hAnsi="Verdana"/>
          <w:color w:val="0071BB"/>
          <w:spacing w:val="4"/>
          <w:sz w:val="19"/>
        </w:rPr>
        <w:t xml:space="preserve"> </w:t>
      </w:r>
      <w:r w:rsidR="00844CDC" w:rsidRPr="004A3380">
        <w:rPr>
          <w:rFonts w:ascii="Verdana" w:hAnsi="Verdana"/>
          <w:color w:val="0071BB"/>
          <w:spacing w:val="4"/>
          <w:sz w:val="19"/>
        </w:rPr>
        <w:t>ukończonej</w:t>
      </w:r>
      <w:r w:rsidRPr="004A3380">
        <w:rPr>
          <w:rFonts w:ascii="Verdana" w:hAnsi="Verdana"/>
          <w:color w:val="0071BB"/>
          <w:spacing w:val="4"/>
          <w:sz w:val="19"/>
        </w:rPr>
        <w:t xml:space="preserve"> </w:t>
      </w:r>
      <w:r w:rsidR="001226A3" w:rsidRPr="009567AA">
        <w:rPr>
          <w:rFonts w:ascii="Verdana" w:hAnsi="Verdana"/>
          <w:color w:val="0071BB"/>
          <w:spacing w:val="4"/>
          <w:sz w:val="19"/>
        </w:rPr>
        <w:t>edukacji</w:t>
      </w:r>
      <w:r w:rsidRPr="00B5742F">
        <w:rPr>
          <w:rFonts w:ascii="Verdana" w:hAnsi="Verdana"/>
          <w:color w:val="0071BB"/>
          <w:spacing w:val="4"/>
          <w:sz w:val="19"/>
        </w:rPr>
        <w:t xml:space="preserve">. Wszelkie ograniczenia tego prawa muszą być przewidywalne </w:t>
      </w:r>
      <w:r w:rsidR="00A90B9D" w:rsidRPr="00B5742F">
        <w:rPr>
          <w:rFonts w:ascii="Verdana" w:hAnsi="Verdana"/>
          <w:color w:val="0071BB"/>
          <w:spacing w:val="4"/>
          <w:sz w:val="19"/>
        </w:rPr>
        <w:t>dla</w:t>
      </w:r>
      <w:r w:rsidR="00A90B9D" w:rsidRPr="009567AA">
        <w:rPr>
          <w:rFonts w:ascii="Verdana" w:hAnsi="Verdana"/>
          <w:color w:val="0071BB"/>
          <w:spacing w:val="4"/>
          <w:sz w:val="19"/>
        </w:rPr>
        <w:t xml:space="preserve"> zainteresowanych</w:t>
      </w:r>
      <w:r w:rsidR="001226A3" w:rsidRPr="009567AA">
        <w:rPr>
          <w:rFonts w:ascii="Verdana" w:hAnsi="Verdana"/>
          <w:color w:val="0071BB"/>
          <w:spacing w:val="4"/>
          <w:sz w:val="19"/>
        </w:rPr>
        <w:t xml:space="preserve"> oraz realizować prawnie uzasadniony cel.</w:t>
      </w:r>
      <w:r w:rsidR="008A1C26">
        <w:rPr>
          <w:rFonts w:ascii="Verdana" w:hAnsi="Verdana"/>
          <w:color w:val="0071BB"/>
          <w:spacing w:val="4"/>
          <w:sz w:val="19"/>
        </w:rPr>
        <w:t xml:space="preserve"> </w:t>
      </w:r>
      <w:r w:rsidRPr="00B5742F">
        <w:rPr>
          <w:rFonts w:ascii="Verdana" w:hAnsi="Verdana"/>
          <w:color w:val="0071BB"/>
          <w:spacing w:val="4"/>
          <w:sz w:val="19"/>
        </w:rPr>
        <w:t xml:space="preserve">Jednocześnie prawo do edukacji nie oznacza koniecznie prawa dostępu do konkretnej instytucji edukacyjnej i co do zasady nie wyklucza środków dyscyplinarnych, takich jak zawieszenie lub wydalenie, mających na celu przestrzeganie przepisów wewnętrznych. W niniejszej sprawie Trybunał uznał, że wykluczenie skarżącego nie stanowiło odmowy prawa do edukacji. W szczególności było ono wynikiem toczącego się postępowania karnego i jako takie służyło uzasadnionemu celowi. Zostało również podjęte zgodnie z ustawą z 1998 r., a zatem było przewidywalne. Ponadto skarżący został wykluczony tylko tymczasowo, do czasu zakończenia postępowania karnego w sprawie pożaru. Jego rodzice zostali zaproszeni na spotkanie mające na celu ułatwienie jego reintegracji, ale nie wzięli w nim udziału. Gdyby to zrobili, reintegracja ich syna byłaby prawdopodobna. Ponadto </w:t>
      </w:r>
      <w:r w:rsidR="00EA131F" w:rsidRPr="00AD05DC">
        <w:rPr>
          <w:rFonts w:ascii="Verdana" w:hAnsi="Verdana"/>
          <w:color w:val="0071BB"/>
          <w:spacing w:val="4"/>
          <w:sz w:val="19"/>
        </w:rPr>
        <w:t>skarżąc</w:t>
      </w:r>
      <w:r w:rsidR="00AD05DC">
        <w:rPr>
          <w:rFonts w:ascii="Verdana" w:hAnsi="Verdana"/>
          <w:color w:val="0071BB"/>
          <w:spacing w:val="4"/>
          <w:sz w:val="19"/>
        </w:rPr>
        <w:t xml:space="preserve">emu </w:t>
      </w:r>
      <w:r w:rsidRPr="00B5742F">
        <w:rPr>
          <w:rFonts w:ascii="Verdana" w:hAnsi="Verdana"/>
          <w:color w:val="0071BB"/>
          <w:spacing w:val="4"/>
          <w:sz w:val="19"/>
        </w:rPr>
        <w:t xml:space="preserve">zaproponowano alternatywną edukację w okresie wykluczenia, ale nie skorzystał on z tej oferty. W związku z tym Trybunał uznał, że wykluczenie </w:t>
      </w:r>
      <w:r w:rsidR="00AD05DC">
        <w:rPr>
          <w:rFonts w:ascii="Verdana" w:hAnsi="Verdana"/>
          <w:color w:val="0071BB"/>
          <w:spacing w:val="4"/>
          <w:sz w:val="19"/>
        </w:rPr>
        <w:t>skarżącego</w:t>
      </w:r>
      <w:r w:rsidR="00AD05DC" w:rsidRPr="00B5742F">
        <w:rPr>
          <w:rFonts w:ascii="Verdana" w:hAnsi="Verdana"/>
          <w:color w:val="0071BB"/>
          <w:spacing w:val="4"/>
          <w:sz w:val="19"/>
        </w:rPr>
        <w:t xml:space="preserve"> </w:t>
      </w:r>
      <w:r w:rsidRPr="00B5742F">
        <w:rPr>
          <w:rFonts w:ascii="Verdana" w:hAnsi="Verdana"/>
          <w:color w:val="0071BB"/>
          <w:spacing w:val="4"/>
          <w:sz w:val="19"/>
        </w:rPr>
        <w:t xml:space="preserve">było proporcjonalne do uzasadnionego celu i nie naruszyło jego prawa do edukacji. </w:t>
      </w:r>
      <w:r w:rsidRPr="00B5742F">
        <w:rPr>
          <w:rFonts w:ascii="Verdana" w:hAnsi="Verdana"/>
          <w:b/>
          <w:color w:val="0071BB"/>
          <w:spacing w:val="4"/>
          <w:sz w:val="19"/>
        </w:rPr>
        <w:t>Nie</w:t>
      </w:r>
      <w:r w:rsidRPr="00B5742F">
        <w:rPr>
          <w:rFonts w:ascii="Verdana" w:hAnsi="Verdana"/>
          <w:color w:val="0071BB"/>
          <w:spacing w:val="4"/>
          <w:sz w:val="19"/>
        </w:rPr>
        <w:t xml:space="preserve"> </w:t>
      </w:r>
      <w:r w:rsidRPr="00B5742F">
        <w:rPr>
          <w:rFonts w:ascii="Verdana" w:hAnsi="Verdana"/>
          <w:b/>
          <w:bCs/>
          <w:color w:val="0071BB"/>
          <w:spacing w:val="4"/>
          <w:sz w:val="19"/>
        </w:rPr>
        <w:t>doszło</w:t>
      </w:r>
      <w:r w:rsidRPr="00B5742F">
        <w:rPr>
          <w:rFonts w:ascii="Verdana" w:hAnsi="Verdana"/>
          <w:color w:val="0071BB"/>
          <w:spacing w:val="4"/>
          <w:sz w:val="19"/>
        </w:rPr>
        <w:t xml:space="preserve"> zatem </w:t>
      </w:r>
      <w:r w:rsidRPr="00B5742F">
        <w:rPr>
          <w:rFonts w:ascii="Verdana" w:hAnsi="Verdana"/>
          <w:b/>
          <w:color w:val="0071BB"/>
          <w:spacing w:val="4"/>
          <w:sz w:val="19"/>
        </w:rPr>
        <w:t>do naruszenia art. 2 (</w:t>
      </w:r>
      <w:r w:rsidRPr="00B5742F">
        <w:rPr>
          <w:rFonts w:ascii="Verdana" w:hAnsi="Verdana"/>
          <w:color w:val="0071BB"/>
          <w:spacing w:val="4"/>
          <w:sz w:val="19"/>
        </w:rPr>
        <w:t xml:space="preserve">prawo do edukacji) </w:t>
      </w:r>
      <w:r w:rsidRPr="00B5742F">
        <w:rPr>
          <w:rFonts w:ascii="Verdana" w:hAnsi="Verdana"/>
          <w:b/>
          <w:color w:val="0071BB"/>
          <w:spacing w:val="4"/>
          <w:sz w:val="19"/>
        </w:rPr>
        <w:t xml:space="preserve">protokołu nr 1 </w:t>
      </w:r>
      <w:r w:rsidRPr="00B5742F">
        <w:rPr>
          <w:rFonts w:ascii="Verdana" w:hAnsi="Verdana"/>
          <w:color w:val="0071BB"/>
          <w:spacing w:val="4"/>
          <w:sz w:val="19"/>
        </w:rPr>
        <w:t>do Konwencji.</w:t>
      </w:r>
    </w:p>
    <w:p w14:paraId="4DFDD156" w14:textId="1B27F66E" w:rsidR="000F5B45" w:rsidRPr="00B5742F" w:rsidRDefault="000F5B45" w:rsidP="00E93132">
      <w:pPr>
        <w:pStyle w:val="Nagwek2"/>
        <w:spacing w:before="91"/>
        <w:ind w:left="875"/>
        <w:rPr>
          <w:rFonts w:ascii="Verdana" w:hAnsi="Verdana"/>
          <w:b w:val="0"/>
          <w:position w:val="7"/>
          <w:sz w:val="13"/>
          <w:u w:val="none"/>
        </w:rPr>
      </w:pPr>
      <w:hyperlink r:id="rId140">
        <w:r w:rsidRPr="00B5742F">
          <w:rPr>
            <w:rFonts w:ascii="Verdana" w:hAnsi="Verdana"/>
            <w:color w:val="0071BB"/>
            <w:sz w:val="19"/>
            <w:u w:color="0071BB"/>
          </w:rPr>
          <w:t xml:space="preserve">Catan i </w:t>
        </w:r>
        <w:r w:rsidR="00421627" w:rsidRPr="009749D0">
          <w:rPr>
            <w:rFonts w:ascii="Verdana" w:hAnsi="Verdana"/>
            <w:color w:val="0071BB"/>
            <w:sz w:val="19"/>
            <w:u w:color="0071BB"/>
          </w:rPr>
          <w:t>I</w:t>
        </w:r>
        <w:r w:rsidRPr="00B5742F">
          <w:rPr>
            <w:rFonts w:ascii="Verdana" w:hAnsi="Verdana"/>
            <w:color w:val="0071BB"/>
            <w:sz w:val="19"/>
            <w:u w:color="0071BB"/>
          </w:rPr>
          <w:t>nni przeciwko Republice Mołdawii i Rosji</w:t>
        </w:r>
      </w:hyperlink>
      <w:hyperlink w:anchor="_bookmark9" w:history="1">
        <w:r w:rsidRPr="00B5742F">
          <w:rPr>
            <w:rFonts w:ascii="Verdana" w:hAnsi="Verdana"/>
            <w:b w:val="0"/>
            <w:color w:val="0D0D0D"/>
            <w:position w:val="7"/>
            <w:sz w:val="12"/>
            <w:u w:val="none"/>
          </w:rPr>
          <w:t>10</w:t>
        </w:r>
      </w:hyperlink>
    </w:p>
    <w:p w14:paraId="1D54B4E0" w14:textId="26737614" w:rsidR="000F5B45" w:rsidRPr="00B5742F" w:rsidRDefault="00000000" w:rsidP="00E93132">
      <w:pPr>
        <w:spacing w:before="55"/>
        <w:ind w:left="874"/>
        <w:jc w:val="both"/>
        <w:rPr>
          <w:rFonts w:ascii="Verdana" w:hAnsi="Verdana"/>
          <w:sz w:val="18"/>
        </w:rPr>
      </w:pPr>
      <w:r w:rsidRPr="00B5742F">
        <w:rPr>
          <w:rFonts w:ascii="Verdana" w:hAnsi="Verdana"/>
          <w:color w:val="808080"/>
          <w:sz w:val="17"/>
        </w:rPr>
        <w:t>19 października 2012 r. (</w:t>
      </w:r>
      <w:r w:rsidR="00421627" w:rsidRPr="009749D0">
        <w:rPr>
          <w:rFonts w:ascii="Verdana" w:hAnsi="Verdana"/>
          <w:color w:val="808080"/>
          <w:sz w:val="17"/>
        </w:rPr>
        <w:t>W</w:t>
      </w:r>
      <w:r w:rsidRPr="00B5742F">
        <w:rPr>
          <w:rFonts w:ascii="Verdana" w:hAnsi="Verdana"/>
          <w:color w:val="808080"/>
          <w:sz w:val="17"/>
        </w:rPr>
        <w:t xml:space="preserve">ielka </w:t>
      </w:r>
      <w:r w:rsidR="00421627" w:rsidRPr="009749D0">
        <w:rPr>
          <w:rFonts w:ascii="Verdana" w:hAnsi="Verdana"/>
          <w:color w:val="808080"/>
          <w:sz w:val="17"/>
        </w:rPr>
        <w:t>I</w:t>
      </w:r>
      <w:r w:rsidRPr="00B5742F">
        <w:rPr>
          <w:rFonts w:ascii="Verdana" w:hAnsi="Verdana"/>
          <w:color w:val="808080"/>
          <w:sz w:val="17"/>
        </w:rPr>
        <w:t>zba)</w:t>
      </w:r>
    </w:p>
    <w:p w14:paraId="55ABA6AD" w14:textId="77777777" w:rsidR="000F5B45" w:rsidRPr="00B5742F" w:rsidRDefault="00000000" w:rsidP="00E93132">
      <w:pPr>
        <w:pStyle w:val="Tekstpodstawowy"/>
        <w:spacing w:before="1"/>
        <w:ind w:right="730"/>
        <w:rPr>
          <w:rFonts w:ascii="Verdana" w:hAnsi="Verdana"/>
          <w:spacing w:val="4"/>
        </w:rPr>
      </w:pPr>
      <w:r w:rsidRPr="00B5742F">
        <w:rPr>
          <w:rFonts w:ascii="Verdana" w:hAnsi="Verdana"/>
          <w:spacing w:val="4"/>
          <w:sz w:val="19"/>
        </w:rPr>
        <w:t>Sprawa dotyczyła skargi dzieci i rodziców ze społeczności mołdawskiej w Naddniestrzu na skutki polityki językowej przyjętej w 1992 i 1994 r. przez separatystyczny reżim, zakazującej używania alfabetu łacińskiego w szkołach, oraz na środki podjęte w celu egzekwowania tej polityki. Środki te obejmowały przymusowe wysiedlenie uczniów i nauczycieli ze szkół mołdawskich/rumuńskich, a także zamknięcie tych szkół i ponowne otwarcie ich w innych lokalach.</w:t>
      </w:r>
    </w:p>
    <w:p w14:paraId="3526289E" w14:textId="77777777" w:rsidR="000F5B45" w:rsidRPr="00B5742F" w:rsidRDefault="00000000" w:rsidP="00E93132">
      <w:pPr>
        <w:pStyle w:val="Tekstpodstawowy"/>
        <w:rPr>
          <w:rFonts w:ascii="Verdana" w:hAnsi="Verdana"/>
          <w:spacing w:val="4"/>
        </w:rPr>
      </w:pPr>
      <w:r w:rsidRPr="00B5742F">
        <w:rPr>
          <w:rFonts w:ascii="Verdana" w:hAnsi="Verdana"/>
          <w:color w:val="0071BB"/>
          <w:spacing w:val="4"/>
          <w:sz w:val="19"/>
        </w:rPr>
        <w:t xml:space="preserve">Trybunał uznał, że </w:t>
      </w:r>
      <w:r w:rsidRPr="00B5742F">
        <w:rPr>
          <w:rFonts w:ascii="Verdana" w:hAnsi="Verdana"/>
          <w:b/>
          <w:color w:val="0071BB"/>
          <w:spacing w:val="4"/>
          <w:sz w:val="19"/>
        </w:rPr>
        <w:t xml:space="preserve">nie </w:t>
      </w:r>
      <w:r w:rsidRPr="00B5742F">
        <w:rPr>
          <w:rFonts w:ascii="Verdana" w:hAnsi="Verdana"/>
          <w:b/>
          <w:bCs/>
          <w:color w:val="0071BB"/>
          <w:spacing w:val="4"/>
          <w:sz w:val="19"/>
        </w:rPr>
        <w:t>doszło</w:t>
      </w:r>
      <w:r w:rsidRPr="00B5742F">
        <w:rPr>
          <w:rFonts w:ascii="Verdana" w:hAnsi="Verdana"/>
          <w:color w:val="0071BB"/>
          <w:spacing w:val="4"/>
          <w:sz w:val="19"/>
        </w:rPr>
        <w:t xml:space="preserve"> </w:t>
      </w:r>
      <w:r w:rsidRPr="00B5742F">
        <w:rPr>
          <w:rFonts w:ascii="Verdana" w:hAnsi="Verdana"/>
          <w:b/>
          <w:color w:val="0071BB"/>
          <w:spacing w:val="4"/>
          <w:sz w:val="19"/>
        </w:rPr>
        <w:t xml:space="preserve">do naruszenia art. 2 </w:t>
      </w:r>
      <w:r w:rsidRPr="00B5742F">
        <w:rPr>
          <w:rFonts w:ascii="Verdana" w:hAnsi="Verdana"/>
          <w:color w:val="0071BB"/>
          <w:spacing w:val="4"/>
          <w:sz w:val="19"/>
        </w:rPr>
        <w:t xml:space="preserve">(prawo do edukacji) </w:t>
      </w:r>
      <w:r w:rsidRPr="00B5742F">
        <w:rPr>
          <w:rFonts w:ascii="Verdana" w:hAnsi="Verdana"/>
          <w:b/>
          <w:color w:val="0071BB"/>
          <w:spacing w:val="4"/>
          <w:sz w:val="19"/>
        </w:rPr>
        <w:t xml:space="preserve">protokołu nr 1 </w:t>
      </w:r>
      <w:r w:rsidRPr="00B5742F">
        <w:rPr>
          <w:rFonts w:ascii="Verdana" w:hAnsi="Verdana"/>
          <w:color w:val="0071BB"/>
          <w:spacing w:val="4"/>
          <w:sz w:val="19"/>
        </w:rPr>
        <w:t xml:space="preserve">do Konwencji w odniesieniu do </w:t>
      </w:r>
      <w:r w:rsidRPr="00B5742F">
        <w:rPr>
          <w:rFonts w:ascii="Verdana" w:hAnsi="Verdana"/>
          <w:b/>
          <w:i/>
          <w:color w:val="0071BB"/>
          <w:spacing w:val="4"/>
          <w:sz w:val="19"/>
        </w:rPr>
        <w:t xml:space="preserve">Republiki Mołdawii </w:t>
      </w:r>
      <w:r w:rsidRPr="00B5742F">
        <w:rPr>
          <w:rFonts w:ascii="Verdana" w:hAnsi="Verdana"/>
          <w:color w:val="0071BB"/>
          <w:spacing w:val="4"/>
          <w:sz w:val="19"/>
        </w:rPr>
        <w:t xml:space="preserve">oraz </w:t>
      </w:r>
      <w:r w:rsidRPr="00B5742F">
        <w:rPr>
          <w:rFonts w:ascii="Verdana" w:hAnsi="Verdana"/>
          <w:b/>
          <w:color w:val="0071BB"/>
          <w:spacing w:val="4"/>
          <w:sz w:val="19"/>
        </w:rPr>
        <w:t xml:space="preserve">do naruszenia art. 2 protokołu nr 1 </w:t>
      </w:r>
      <w:r w:rsidRPr="00B5742F">
        <w:rPr>
          <w:rFonts w:ascii="Verdana" w:hAnsi="Verdana"/>
          <w:color w:val="0071BB"/>
          <w:spacing w:val="4"/>
          <w:sz w:val="19"/>
        </w:rPr>
        <w:t xml:space="preserve">w odniesieniu do </w:t>
      </w:r>
      <w:r w:rsidRPr="00B5742F">
        <w:rPr>
          <w:rFonts w:ascii="Verdana" w:hAnsi="Verdana"/>
          <w:b/>
          <w:i/>
          <w:color w:val="0071BB"/>
          <w:spacing w:val="4"/>
          <w:sz w:val="19"/>
        </w:rPr>
        <w:t>Federacji Rosyjskiej</w:t>
      </w:r>
      <w:r w:rsidRPr="00B5742F">
        <w:rPr>
          <w:rFonts w:ascii="Verdana" w:hAnsi="Verdana"/>
          <w:color w:val="0071BB"/>
          <w:spacing w:val="4"/>
          <w:sz w:val="19"/>
        </w:rPr>
        <w:t>. W szczególności stwierdził, że separatystyczny reżim nie mógłby przetrwać bez stałego wsparcia militarnego, gospodarczego i politycznego Rosji, a zatem zamknięcie szkół leżało w kompetencji Rosji na mocy Konwencji. Republika Mołdawii natomiast nie tylko powstrzymała się od wspierania reżimu, ale podjęła znaczne wysiłki na rzecz wsparcia samych skarżących, pokrywając koszty wynajmu i remontu nowych pomieszczeń szkolnych, a także wszystkie koszty wyposażenia, wynagrodzenia nauczycieli i transportu.</w:t>
      </w:r>
    </w:p>
    <w:p w14:paraId="13F11336" w14:textId="77777777" w:rsidR="000F5B45" w:rsidRPr="00B5742F" w:rsidRDefault="00000000" w:rsidP="00E93132">
      <w:pPr>
        <w:pStyle w:val="Tekstpodstawowy"/>
        <w:spacing w:before="139"/>
        <w:ind w:left="0" w:right="0"/>
        <w:jc w:val="left"/>
        <w:rPr>
          <w:rFonts w:ascii="Verdana" w:hAnsi="Verdana"/>
        </w:rPr>
      </w:pPr>
      <w:r w:rsidRPr="00B5742F">
        <w:rPr>
          <w:rFonts w:ascii="Verdana" w:hAnsi="Verdana"/>
          <w:noProof/>
        </w:rPr>
        <mc:AlternateContent>
          <mc:Choice Requires="wps">
            <w:drawing>
              <wp:anchor distT="0" distB="0" distL="0" distR="0" simplePos="0" relativeHeight="251693056" behindDoc="1" locked="0" layoutInCell="1" allowOverlap="1" wp14:anchorId="2018C7E6" wp14:editId="71B974D4">
                <wp:simplePos x="0" y="0"/>
                <wp:positionH relativeFrom="page">
                  <wp:posOffset>914400</wp:posOffset>
                </wp:positionH>
                <wp:positionV relativeFrom="paragraph">
                  <wp:posOffset>258867</wp:posOffset>
                </wp:positionV>
                <wp:extent cx="1828800" cy="7620"/>
                <wp:effectExtent l="0" t="0" r="0" b="0"/>
                <wp:wrapTopAndBottom/>
                <wp:docPr id="28" name="Graphic 28"/>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070DA14" id="Graphic 28" o:spid="_x0000_s1026" style="position:absolute;margin-left:1in;margin-top:20.4pt;width:2in;height:.6pt;z-index:-25162342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" path="m1828800,l,,,7620r1828800,l1828800,xe" fillcolor="black" stroked="f">
                <v:path arrowok="t"/>
                <w10:wrap type="topAndBottom" anchorx="page"/>
              </v:shape>
            </w:pict>
          </mc:Fallback>
        </mc:AlternateContent>
      </w:r>
    </w:p>
    <w:p w14:paraId="227AC1FB" w14:textId="39F90D64" w:rsidR="000F5B45" w:rsidRPr="00B5742F" w:rsidRDefault="00A90B9D" w:rsidP="00E93132">
      <w:pPr>
        <w:spacing w:before="104"/>
        <w:ind w:left="874"/>
        <w:rPr>
          <w:rFonts w:ascii="Verdana" w:hAnsi="Verdana"/>
          <w:sz w:val="16"/>
        </w:rPr>
      </w:pPr>
      <w:bookmarkStart w:id="9" w:name="_bookmark9"/>
      <w:bookmarkEnd w:id="9"/>
      <w:r w:rsidRPr="00B5742F">
        <w:rPr>
          <w:rFonts w:ascii="Verdana" w:hAnsi="Verdana"/>
          <w:sz w:val="15"/>
          <w:vertAlign w:val="superscript"/>
        </w:rPr>
        <w:t>10</w:t>
      </w:r>
      <w:r w:rsidRPr="00B5742F">
        <w:rPr>
          <w:rFonts w:ascii="Verdana" w:hAnsi="Verdana"/>
          <w:sz w:val="15"/>
        </w:rPr>
        <w:t>. W dniu 16 września 2022 r. Federacja Rosyjska przestała być stroną konwencji.</w:t>
      </w:r>
    </w:p>
    <w:p w14:paraId="5A7078F9" w14:textId="77777777" w:rsidR="000F5B45" w:rsidRPr="00B5742F" w:rsidRDefault="000F5B45" w:rsidP="00E93132">
      <w:pPr>
        <w:rPr>
          <w:rFonts w:ascii="Verdana" w:hAnsi="Verdana"/>
          <w:sz w:val="16"/>
        </w:rPr>
        <w:sectPr w:rsidR="000F5B45" w:rsidRPr="00B5742F">
          <w:pgSz w:w="11910" w:h="16840"/>
          <w:pgMar w:top="1460" w:right="708" w:bottom="680" w:left="566" w:header="730" w:footer="497" w:gutter="0"/>
          <w:cols w:space="708"/>
        </w:sectPr>
      </w:pPr>
    </w:p>
    <w:p w14:paraId="27DDCA8A" w14:textId="36859A1C" w:rsidR="000F5B45" w:rsidRPr="00B5742F" w:rsidRDefault="000F5B45" w:rsidP="00E93132">
      <w:pPr>
        <w:pStyle w:val="Nagwek2"/>
        <w:spacing w:before="240"/>
        <w:rPr>
          <w:rFonts w:ascii="Verdana" w:hAnsi="Verdana"/>
          <w:u w:val="none"/>
        </w:rPr>
      </w:pPr>
      <w:hyperlink r:id="rId141">
        <w:r w:rsidRPr="00B5742F">
          <w:rPr>
            <w:rFonts w:ascii="Verdana" w:hAnsi="Verdana"/>
            <w:color w:val="0071BB"/>
            <w:sz w:val="19"/>
            <w:u w:color="0071BB"/>
          </w:rPr>
          <w:t xml:space="preserve">Mansur Yalçın i </w:t>
        </w:r>
        <w:r w:rsidR="007503DE" w:rsidRPr="009749D0">
          <w:rPr>
            <w:rFonts w:ascii="Verdana" w:hAnsi="Verdana"/>
            <w:color w:val="0071BB"/>
            <w:sz w:val="19"/>
            <w:u w:color="0071BB"/>
          </w:rPr>
          <w:t>I</w:t>
        </w:r>
        <w:r w:rsidRPr="00B5742F">
          <w:rPr>
            <w:rFonts w:ascii="Verdana" w:hAnsi="Verdana"/>
            <w:color w:val="0071BB"/>
            <w:sz w:val="19"/>
            <w:u w:color="0071BB"/>
          </w:rPr>
          <w:t>nni przeciwko Turcji</w:t>
        </w:r>
      </w:hyperlink>
    </w:p>
    <w:p w14:paraId="02AFE10F" w14:textId="390DD825" w:rsidR="000F5B45" w:rsidRPr="00B5742F" w:rsidRDefault="00000000" w:rsidP="00E93132">
      <w:pPr>
        <w:spacing w:before="58"/>
        <w:ind w:left="874"/>
        <w:jc w:val="both"/>
        <w:rPr>
          <w:rFonts w:ascii="Verdana" w:hAnsi="Verdana"/>
          <w:sz w:val="18"/>
        </w:rPr>
      </w:pPr>
      <w:r w:rsidRPr="00B5742F">
        <w:rPr>
          <w:rFonts w:ascii="Verdana" w:hAnsi="Verdana"/>
          <w:color w:val="808080"/>
          <w:sz w:val="17"/>
        </w:rPr>
        <w:t>16 września 2014</w:t>
      </w:r>
      <w:r w:rsidR="007503DE" w:rsidRPr="009749D0">
        <w:rPr>
          <w:rFonts w:ascii="Verdana" w:hAnsi="Verdana"/>
          <w:color w:val="808080"/>
          <w:sz w:val="17"/>
        </w:rPr>
        <w:t xml:space="preserve"> r.</w:t>
      </w:r>
    </w:p>
    <w:p w14:paraId="3059B685" w14:textId="77777777" w:rsidR="000F5B45" w:rsidRPr="00B5742F" w:rsidRDefault="00000000" w:rsidP="00E93132">
      <w:pPr>
        <w:pStyle w:val="Tekstpodstawowy"/>
        <w:spacing w:before="2"/>
        <w:ind w:left="874" w:right="731"/>
        <w:rPr>
          <w:rFonts w:ascii="Verdana" w:hAnsi="Verdana"/>
          <w:spacing w:val="4"/>
        </w:rPr>
      </w:pPr>
      <w:r w:rsidRPr="00B5742F">
        <w:rPr>
          <w:rFonts w:ascii="Verdana" w:hAnsi="Verdana"/>
          <w:spacing w:val="4"/>
          <w:sz w:val="19"/>
        </w:rPr>
        <w:t>W tej sprawie skarżący, wyznawcy alewizmu, nieortodoksyjnej mniejszości islamskiej, zarzucali, że treść obowiązkowych lekcji religii i etyki w szkołach opierała się na sunnickim rozumieniu islamu.</w:t>
      </w:r>
    </w:p>
    <w:p w14:paraId="7CBBDD63" w14:textId="77777777" w:rsidR="000F5B45" w:rsidRPr="00B5742F" w:rsidRDefault="00000000" w:rsidP="00E93132">
      <w:pPr>
        <w:pStyle w:val="Tekstpodstawowy"/>
        <w:ind w:left="874"/>
        <w:rPr>
          <w:rFonts w:ascii="Verdana" w:hAnsi="Verdana"/>
          <w:spacing w:val="4"/>
        </w:rPr>
      </w:pPr>
      <w:r w:rsidRPr="00B5742F">
        <w:rPr>
          <w:rFonts w:ascii="Verdana" w:hAnsi="Verdana"/>
          <w:color w:val="0071BB"/>
          <w:spacing w:val="4"/>
          <w:sz w:val="19"/>
        </w:rPr>
        <w:t xml:space="preserve">Trybunał uznał, że </w:t>
      </w:r>
      <w:r w:rsidRPr="00B5742F">
        <w:rPr>
          <w:rFonts w:ascii="Verdana" w:hAnsi="Verdana"/>
          <w:b/>
          <w:bCs/>
          <w:color w:val="0071BB"/>
          <w:spacing w:val="4"/>
          <w:sz w:val="19"/>
        </w:rPr>
        <w:t>doszło</w:t>
      </w:r>
      <w:r w:rsidRPr="00B5742F">
        <w:rPr>
          <w:rFonts w:ascii="Verdana" w:hAnsi="Verdana"/>
          <w:color w:val="0071BB"/>
          <w:spacing w:val="4"/>
          <w:sz w:val="19"/>
        </w:rPr>
        <w:t xml:space="preserve"> </w:t>
      </w:r>
      <w:r w:rsidRPr="00B5742F">
        <w:rPr>
          <w:rFonts w:ascii="Verdana" w:hAnsi="Verdana"/>
          <w:b/>
          <w:color w:val="0071BB"/>
          <w:spacing w:val="4"/>
          <w:sz w:val="19"/>
        </w:rPr>
        <w:t xml:space="preserve">do naruszenia art. 2 </w:t>
      </w:r>
      <w:r w:rsidRPr="00B5742F">
        <w:rPr>
          <w:rFonts w:ascii="Verdana" w:hAnsi="Verdana"/>
          <w:color w:val="0071BB"/>
          <w:spacing w:val="4"/>
          <w:sz w:val="19"/>
        </w:rPr>
        <w:t xml:space="preserve">(prawo do edukacji) </w:t>
      </w:r>
      <w:r w:rsidRPr="00B5742F">
        <w:rPr>
          <w:rFonts w:ascii="Verdana" w:hAnsi="Verdana"/>
          <w:b/>
          <w:color w:val="0071BB"/>
          <w:spacing w:val="4"/>
          <w:sz w:val="19"/>
        </w:rPr>
        <w:t xml:space="preserve">protokołu nr 1 </w:t>
      </w:r>
      <w:r w:rsidRPr="00B5742F">
        <w:rPr>
          <w:rFonts w:ascii="Verdana" w:hAnsi="Verdana"/>
          <w:color w:val="0071BB"/>
          <w:spacing w:val="4"/>
          <w:sz w:val="19"/>
        </w:rPr>
        <w:t>do Konwencji w odniesieniu do trzech skarżących, których dzieci w tamtym czasie uczęszczały do szkoły średniej. W szczególności zauważył, że w dziedzinie nauczania religii turecki system edukacji nadal nie jest odpowiednio przygotowany do zapewnienia poszanowania przekonań rodziców.</w:t>
      </w:r>
    </w:p>
    <w:p w14:paraId="4E292456" w14:textId="77777777" w:rsidR="000F5B45" w:rsidRPr="00B5742F" w:rsidRDefault="00000000" w:rsidP="00E93132">
      <w:pPr>
        <w:pStyle w:val="Tekstpodstawowy"/>
        <w:ind w:right="730"/>
        <w:rPr>
          <w:rFonts w:ascii="Verdana" w:hAnsi="Verdana"/>
          <w:spacing w:val="4"/>
        </w:rPr>
      </w:pPr>
      <w:r w:rsidRPr="00B5742F">
        <w:rPr>
          <w:rFonts w:ascii="Verdana" w:hAnsi="Verdana"/>
          <w:color w:val="0071BB"/>
          <w:spacing w:val="4"/>
          <w:sz w:val="19"/>
        </w:rPr>
        <w:t xml:space="preserve">Zgodnie z </w:t>
      </w:r>
      <w:r w:rsidRPr="00B5742F">
        <w:rPr>
          <w:rFonts w:ascii="Verdana" w:hAnsi="Verdana"/>
          <w:b/>
          <w:color w:val="0071BB"/>
          <w:spacing w:val="4"/>
          <w:sz w:val="19"/>
        </w:rPr>
        <w:t xml:space="preserve">art. 46 </w:t>
      </w:r>
      <w:r w:rsidRPr="00B5742F">
        <w:rPr>
          <w:rFonts w:ascii="Verdana" w:hAnsi="Verdana"/>
          <w:color w:val="0071BB"/>
          <w:spacing w:val="4"/>
          <w:sz w:val="19"/>
        </w:rPr>
        <w:t xml:space="preserve">(wiążąca moc i wykonywanie wyroków) Konwencji, biorąc pod uwagę, że stwierdzone naruszenie art. 2 protokołu nr 1 wynikało z problemu strukturalnego już zidentyfikowanego w sprawie </w:t>
      </w:r>
      <w:r w:rsidRPr="00B5742F">
        <w:rPr>
          <w:rFonts w:ascii="Verdana" w:hAnsi="Verdana"/>
          <w:i/>
          <w:color w:val="0071BB"/>
          <w:spacing w:val="4"/>
          <w:sz w:val="19"/>
        </w:rPr>
        <w:t xml:space="preserve">Hasana i Eylem Zengin </w:t>
      </w:r>
      <w:r w:rsidRPr="00B5742F">
        <w:rPr>
          <w:rFonts w:ascii="Verdana" w:hAnsi="Verdana"/>
          <w:color w:val="0071BB"/>
          <w:spacing w:val="4"/>
          <w:sz w:val="19"/>
        </w:rPr>
        <w:t>(patrz powyżej), Trybunał uznał, że Turcja ma obowiązek bezzwłocznego podjęcia odpowiednich środków w celu naprawienia sytuacji, w szczególności poprzez wprowadzenie systemu, w ramach którego uczniowie mogliby być zwolnieni z lekcji religii i etyki bez konieczności ujawniania przez rodziców swoich przekonań religijnych lub filozoficznych.</w:t>
      </w:r>
    </w:p>
    <w:p w14:paraId="1B63DD5F" w14:textId="77777777" w:rsidR="000F5B45" w:rsidRPr="00B5742F" w:rsidRDefault="000F5B45" w:rsidP="00E93132">
      <w:pPr>
        <w:pStyle w:val="Nagwek2"/>
        <w:spacing w:before="103"/>
        <w:ind w:left="873"/>
        <w:rPr>
          <w:rFonts w:ascii="Verdana" w:hAnsi="Verdana"/>
          <w:u w:val="none"/>
        </w:rPr>
      </w:pPr>
      <w:hyperlink r:id="rId142">
        <w:r w:rsidRPr="00B5742F">
          <w:rPr>
            <w:rFonts w:ascii="Verdana" w:hAnsi="Verdana"/>
            <w:color w:val="0071BB"/>
            <w:sz w:val="19"/>
            <w:u w:color="0071BB"/>
          </w:rPr>
          <w:t>Memlika przeciwko Grecji</w:t>
        </w:r>
      </w:hyperlink>
    </w:p>
    <w:p w14:paraId="61304F17" w14:textId="77777777" w:rsidR="000F5B45" w:rsidRPr="00B5742F" w:rsidRDefault="00000000" w:rsidP="00E93132">
      <w:pPr>
        <w:spacing w:before="56"/>
        <w:ind w:left="874"/>
        <w:jc w:val="both"/>
        <w:rPr>
          <w:rFonts w:ascii="Verdana" w:hAnsi="Verdana"/>
          <w:sz w:val="18"/>
        </w:rPr>
      </w:pPr>
      <w:r w:rsidRPr="00B5742F">
        <w:rPr>
          <w:rFonts w:ascii="Verdana" w:hAnsi="Verdana"/>
          <w:color w:val="808080"/>
          <w:sz w:val="17"/>
        </w:rPr>
        <w:t>6 października 2015 r.</w:t>
      </w:r>
    </w:p>
    <w:p w14:paraId="15570D6F" w14:textId="77777777" w:rsidR="000F5B45" w:rsidRPr="00B5742F" w:rsidRDefault="00000000" w:rsidP="00E93132">
      <w:pPr>
        <w:pStyle w:val="Tekstpodstawowy"/>
        <w:spacing w:before="1"/>
        <w:ind w:left="874" w:right="730"/>
        <w:rPr>
          <w:rFonts w:ascii="Verdana" w:hAnsi="Verdana"/>
          <w:spacing w:val="4"/>
        </w:rPr>
      </w:pPr>
      <w:r w:rsidRPr="00B5742F">
        <w:rPr>
          <w:rFonts w:ascii="Verdana" w:hAnsi="Verdana"/>
          <w:spacing w:val="4"/>
          <w:sz w:val="19"/>
        </w:rPr>
        <w:t>Sprawa dotyczyła wykluczenia dzieci w wieku 7 i 11 lat ze szkoły po tym, jak zostały one błędnie zdiagnozowane jako chore na trąd. Skarżący – dwoje dzieci oraz ich rodzice – twierdzili w szczególności, że wykluczenie dzieci ze szkoły naruszyło ich prawo do edukacji.</w:t>
      </w:r>
    </w:p>
    <w:p w14:paraId="47AB1A44" w14:textId="77777777" w:rsidR="000F5B45" w:rsidRPr="00B5742F" w:rsidRDefault="00000000" w:rsidP="00E93132">
      <w:pPr>
        <w:pStyle w:val="Tekstpodstawowy"/>
        <w:ind w:left="874"/>
        <w:rPr>
          <w:rFonts w:ascii="Verdana" w:hAnsi="Verdana"/>
          <w:spacing w:val="4"/>
        </w:rPr>
      </w:pPr>
      <w:r w:rsidRPr="00B5742F">
        <w:rPr>
          <w:rFonts w:ascii="Verdana" w:hAnsi="Verdana"/>
          <w:color w:val="0071BB"/>
          <w:spacing w:val="4"/>
          <w:sz w:val="19"/>
        </w:rPr>
        <w:t xml:space="preserve">Trybunał uznał, że </w:t>
      </w:r>
      <w:r w:rsidRPr="00B5742F">
        <w:rPr>
          <w:rFonts w:ascii="Verdana" w:hAnsi="Verdana"/>
          <w:b/>
          <w:bCs/>
          <w:color w:val="0071BB"/>
          <w:spacing w:val="4"/>
          <w:sz w:val="19"/>
        </w:rPr>
        <w:t>doszło</w:t>
      </w:r>
      <w:r w:rsidRPr="00B5742F">
        <w:rPr>
          <w:rFonts w:ascii="Verdana" w:hAnsi="Verdana"/>
          <w:color w:val="0071BB"/>
          <w:spacing w:val="4"/>
          <w:sz w:val="19"/>
        </w:rPr>
        <w:t xml:space="preserve"> </w:t>
      </w:r>
      <w:r w:rsidRPr="00B5742F">
        <w:rPr>
          <w:rFonts w:ascii="Verdana" w:hAnsi="Verdana"/>
          <w:b/>
          <w:color w:val="0071BB"/>
          <w:spacing w:val="4"/>
          <w:sz w:val="19"/>
        </w:rPr>
        <w:t xml:space="preserve">do naruszenia art. 2 </w:t>
      </w:r>
      <w:r w:rsidRPr="00B5742F">
        <w:rPr>
          <w:rFonts w:ascii="Verdana" w:hAnsi="Verdana"/>
          <w:color w:val="0071BB"/>
          <w:spacing w:val="4"/>
          <w:sz w:val="19"/>
        </w:rPr>
        <w:t xml:space="preserve">(prawo do edukacji) </w:t>
      </w:r>
      <w:r w:rsidRPr="00B5742F">
        <w:rPr>
          <w:rFonts w:ascii="Verdana" w:hAnsi="Verdana"/>
          <w:b/>
          <w:color w:val="0071BB"/>
          <w:spacing w:val="4"/>
          <w:sz w:val="19"/>
        </w:rPr>
        <w:t xml:space="preserve">protokołu nr 1 </w:t>
      </w:r>
      <w:r w:rsidRPr="00B5742F">
        <w:rPr>
          <w:rFonts w:ascii="Verdana" w:hAnsi="Verdana"/>
          <w:color w:val="0071BB"/>
          <w:spacing w:val="4"/>
          <w:sz w:val="19"/>
        </w:rPr>
        <w:t>do Konwencji. Przyznał, że wykluczenie dzieci ze szkoły miało na celu zapobieżenie ryzyku zakażenia, co było celem zgodnym z prawem. Niemniej jednak uznał, że opóźnienie w powołaniu komisji odpowiedzialnej za podjęcie decyzji o powrocie dzieci do szkoły nie było proporcjonalne do uzasadnionego celu. Ponieważ dzieciom uniemożliwiono uczęszczanie na zajęcia przez ponad trzy miesiące, Trybunał uznał, że ich wykluczenie stanowiło naruszenie ich prawa do edukacji.</w:t>
      </w:r>
    </w:p>
    <w:p w14:paraId="0A1B6C5C" w14:textId="77777777" w:rsidR="000F5B45" w:rsidRPr="00B5742F" w:rsidRDefault="000F5B45" w:rsidP="00E93132">
      <w:pPr>
        <w:pStyle w:val="Nagwek2"/>
        <w:spacing w:before="128"/>
        <w:rPr>
          <w:rFonts w:ascii="Verdana" w:hAnsi="Verdana"/>
          <w:u w:val="none"/>
        </w:rPr>
      </w:pPr>
      <w:hyperlink r:id="rId143">
        <w:r w:rsidRPr="00B5742F">
          <w:rPr>
            <w:rFonts w:ascii="Verdana" w:hAnsi="Verdana"/>
            <w:color w:val="0071BB"/>
            <w:sz w:val="19"/>
            <w:u w:color="0071BB"/>
          </w:rPr>
          <w:t>C.P. przeciwko Zjednoczonemu Królestwu (nr 300/11)</w:t>
        </w:r>
      </w:hyperlink>
    </w:p>
    <w:p w14:paraId="5918CE1A" w14:textId="77777777" w:rsidR="000F5B45" w:rsidRPr="00B5742F" w:rsidRDefault="00000000" w:rsidP="00E93132">
      <w:pPr>
        <w:spacing w:before="55"/>
        <w:ind w:left="874"/>
        <w:jc w:val="both"/>
        <w:rPr>
          <w:rFonts w:ascii="Verdana" w:hAnsi="Verdana"/>
          <w:sz w:val="18"/>
        </w:rPr>
      </w:pPr>
      <w:r w:rsidRPr="00B5742F">
        <w:rPr>
          <w:rFonts w:ascii="Verdana" w:hAnsi="Verdana"/>
          <w:color w:val="808080"/>
          <w:sz w:val="17"/>
        </w:rPr>
        <w:t>6 września 2016 r. (decyzja w sprawie dopuszczalności)</w:t>
      </w:r>
    </w:p>
    <w:p w14:paraId="27A79CA1" w14:textId="77777777" w:rsidR="000F5B45" w:rsidRPr="00B5742F" w:rsidRDefault="00000000" w:rsidP="00E93132">
      <w:pPr>
        <w:pStyle w:val="Tekstpodstawowy"/>
        <w:spacing w:before="1"/>
        <w:ind w:left="874" w:right="732" w:hanging="1"/>
        <w:rPr>
          <w:rFonts w:ascii="Verdana" w:hAnsi="Verdana"/>
          <w:spacing w:val="4"/>
        </w:rPr>
      </w:pPr>
      <w:r w:rsidRPr="00B5742F">
        <w:rPr>
          <w:rFonts w:ascii="Verdana" w:hAnsi="Verdana"/>
          <w:spacing w:val="4"/>
          <w:sz w:val="19"/>
        </w:rPr>
        <w:t>Skarżący, małoletni, zarzucał, że tymczasowe zawieszenie go w prawach ucznia w okresie od 7 lutego 2007 r. do 20 kwietnia 2007 r. naruszyło jego prawo do nauki.</w:t>
      </w:r>
    </w:p>
    <w:p w14:paraId="64309684" w14:textId="77777777" w:rsidR="000F5B45" w:rsidRPr="00B5742F" w:rsidRDefault="00000000" w:rsidP="00E93132">
      <w:pPr>
        <w:pStyle w:val="Tekstpodstawowy"/>
        <w:ind w:left="874" w:right="730"/>
        <w:rPr>
          <w:rFonts w:ascii="Verdana" w:hAnsi="Verdana"/>
          <w:spacing w:val="4"/>
        </w:rPr>
      </w:pPr>
      <w:r w:rsidRPr="00B5742F">
        <w:rPr>
          <w:rFonts w:ascii="Verdana" w:hAnsi="Verdana"/>
          <w:color w:val="0071BB"/>
          <w:spacing w:val="4"/>
          <w:sz w:val="19"/>
        </w:rPr>
        <w:t xml:space="preserve">Trybunał uznał skargę </w:t>
      </w:r>
      <w:r w:rsidRPr="00B5742F">
        <w:rPr>
          <w:rFonts w:ascii="Verdana" w:hAnsi="Verdana"/>
          <w:b/>
          <w:color w:val="0071BB"/>
          <w:spacing w:val="4"/>
          <w:sz w:val="19"/>
        </w:rPr>
        <w:t xml:space="preserve">za niedopuszczalną </w:t>
      </w:r>
      <w:r w:rsidRPr="00B5742F">
        <w:rPr>
          <w:rFonts w:ascii="Verdana" w:hAnsi="Verdana"/>
          <w:color w:val="0071BB"/>
          <w:spacing w:val="4"/>
          <w:sz w:val="19"/>
        </w:rPr>
        <w:t>na podstawie art. 35 (kryteria dopuszczalności) Konwencji, stwierdzając, że w okolicznościach sprawy nie można uznać, aby skarżący poniósł znaczną szkodę w postaci istotnych negatywnych skutków.</w:t>
      </w:r>
    </w:p>
    <w:p w14:paraId="370B317A" w14:textId="77777777" w:rsidR="000F5B45" w:rsidRPr="00B5742F" w:rsidRDefault="000F5B45" w:rsidP="00E93132">
      <w:pPr>
        <w:pStyle w:val="Nagwek2"/>
        <w:spacing w:before="115"/>
        <w:ind w:left="873"/>
        <w:rPr>
          <w:rFonts w:ascii="Verdana" w:hAnsi="Verdana"/>
          <w:u w:val="none"/>
        </w:rPr>
      </w:pPr>
      <w:hyperlink r:id="rId144">
        <w:r w:rsidRPr="00B5742F">
          <w:rPr>
            <w:rFonts w:ascii="Verdana" w:hAnsi="Verdana"/>
            <w:color w:val="0071BB"/>
            <w:sz w:val="19"/>
            <w:u w:color="0071BB"/>
          </w:rPr>
          <w:t>Dupin przeciwko Francji</w:t>
        </w:r>
      </w:hyperlink>
    </w:p>
    <w:p w14:paraId="4375E1E6" w14:textId="77777777" w:rsidR="000F5B45" w:rsidRPr="00B5742F" w:rsidRDefault="00000000" w:rsidP="00E93132">
      <w:pPr>
        <w:spacing w:before="55"/>
        <w:ind w:left="874"/>
        <w:jc w:val="both"/>
        <w:rPr>
          <w:rFonts w:ascii="Verdana" w:hAnsi="Verdana"/>
          <w:sz w:val="18"/>
        </w:rPr>
      </w:pPr>
      <w:r w:rsidRPr="00B5742F">
        <w:rPr>
          <w:rFonts w:ascii="Verdana" w:hAnsi="Verdana"/>
          <w:color w:val="808080"/>
          <w:sz w:val="17"/>
        </w:rPr>
        <w:t>18 grudnia 2018 r. (postanowienie w sprawie dopuszczalności)</w:t>
      </w:r>
    </w:p>
    <w:p w14:paraId="1C680076" w14:textId="4B7237F9" w:rsidR="000F5B45" w:rsidRPr="00B5742F" w:rsidRDefault="00000000" w:rsidP="00E93132">
      <w:pPr>
        <w:pStyle w:val="Tekstpodstawowy"/>
        <w:spacing w:before="2"/>
        <w:ind w:left="874" w:hanging="1"/>
        <w:rPr>
          <w:rFonts w:ascii="Verdana" w:hAnsi="Verdana"/>
          <w:spacing w:val="4"/>
        </w:rPr>
      </w:pPr>
      <w:r w:rsidRPr="00B5742F">
        <w:rPr>
          <w:rFonts w:ascii="Verdana" w:hAnsi="Verdana"/>
          <w:spacing w:val="4"/>
          <w:sz w:val="19"/>
        </w:rPr>
        <w:t xml:space="preserve">Wnosząca skargę, matka dziecka z autyzmem, skarżyła się w szczególności, że władze krajowe odmówiły jej dziecku możliwości uczęszczania do szkoły ogólnodostępnej. Twierdziła również, że państwo nie wypełniło swojego pozytywnego obowiązku podjęcia niezbędnych środków na rzecz dzieci </w:t>
      </w:r>
      <w:r w:rsidR="00214904">
        <w:rPr>
          <w:rFonts w:ascii="Verdana" w:hAnsi="Verdana"/>
          <w:spacing w:val="4"/>
          <w:sz w:val="19"/>
        </w:rPr>
        <w:t>z niepełnosprawnością</w:t>
      </w:r>
      <w:r w:rsidRPr="00B5742F">
        <w:rPr>
          <w:rFonts w:ascii="Verdana" w:hAnsi="Verdana"/>
          <w:spacing w:val="4"/>
          <w:sz w:val="19"/>
        </w:rPr>
        <w:t xml:space="preserve">, a brak edukacji sam w sobie stanowi dyskryminację.   </w:t>
      </w:r>
      <w:r w:rsidR="009567AA" w:rsidRPr="009567AA">
        <w:rPr>
          <w:rFonts w:ascii="Verdana" w:hAnsi="Verdana"/>
          <w:spacing w:val="4"/>
          <w:sz w:val="19"/>
        </w:rPr>
        <w:t>Wreszcie, skarżąca</w:t>
      </w:r>
      <w:r w:rsidRPr="00B5742F">
        <w:rPr>
          <w:rFonts w:ascii="Verdana" w:hAnsi="Verdana"/>
          <w:spacing w:val="4"/>
          <w:sz w:val="19"/>
        </w:rPr>
        <w:t xml:space="preserve">   skarżyła się, że</w:t>
      </w:r>
      <w:r w:rsidR="008A1C26">
        <w:rPr>
          <w:rFonts w:ascii="Verdana" w:hAnsi="Verdana"/>
          <w:spacing w:val="4"/>
          <w:sz w:val="19"/>
        </w:rPr>
        <w:t xml:space="preserve"> </w:t>
      </w:r>
      <w:r w:rsidRPr="00B5742F">
        <w:rPr>
          <w:rFonts w:ascii="Verdana" w:hAnsi="Verdana"/>
          <w:spacing w:val="4"/>
          <w:sz w:val="19"/>
        </w:rPr>
        <w:t>konkretne   środki   przeznaczone</w:t>
      </w:r>
      <w:r w:rsidR="00B54E00">
        <w:rPr>
          <w:rFonts w:ascii="Verdana" w:hAnsi="Verdana"/>
          <w:spacing w:val="4"/>
          <w:sz w:val="19"/>
        </w:rPr>
        <w:t xml:space="preserve"> </w:t>
      </w:r>
      <w:r w:rsidRPr="00B5742F">
        <w:rPr>
          <w:rFonts w:ascii="Verdana" w:hAnsi="Verdana"/>
          <w:spacing w:val="4"/>
          <w:sz w:val="19"/>
        </w:rPr>
        <w:t>przez państwo dla dzieci z autyzmem są niewystarczające.</w:t>
      </w:r>
    </w:p>
    <w:p w14:paraId="5CE6626B" w14:textId="1643832D" w:rsidR="000F5B45" w:rsidRPr="00B5742F" w:rsidRDefault="00000000" w:rsidP="00E93132">
      <w:pPr>
        <w:pStyle w:val="Tekstpodstawowy"/>
        <w:ind w:left="874" w:right="727"/>
        <w:rPr>
          <w:rFonts w:ascii="Verdana" w:hAnsi="Verdana"/>
          <w:spacing w:val="4"/>
        </w:rPr>
      </w:pPr>
      <w:r w:rsidRPr="00B5742F">
        <w:rPr>
          <w:rFonts w:ascii="Verdana" w:hAnsi="Verdana"/>
          <w:color w:val="0071BB"/>
          <w:spacing w:val="4"/>
          <w:sz w:val="19"/>
        </w:rPr>
        <w:t xml:space="preserve">Trybunał uznał, że skarga dotycząca naruszenia prawa do edukacji dziecka skarżącego jest </w:t>
      </w:r>
      <w:r w:rsidRPr="00B5742F">
        <w:rPr>
          <w:rFonts w:ascii="Verdana" w:hAnsi="Verdana"/>
          <w:b/>
          <w:color w:val="0071BB"/>
          <w:spacing w:val="4"/>
          <w:sz w:val="19"/>
        </w:rPr>
        <w:t xml:space="preserve">niedopuszczalna </w:t>
      </w:r>
      <w:r w:rsidRPr="00B5742F">
        <w:rPr>
          <w:rFonts w:ascii="Verdana" w:hAnsi="Verdana"/>
          <w:color w:val="0071BB"/>
          <w:spacing w:val="4"/>
          <w:sz w:val="19"/>
        </w:rPr>
        <w:t>jako oczywiście bezzasadna, stwierdzając, że odmowa przyjęcia dziecka do szkoły ogólnodostępnej nie stanowiła naruszenia przez państwo zobowiązań wynikających z art. 2 (prawo do edukacji) protokołu nr 1 ani systematycznego odmawiania mu prawa do edukacji ze względu na jego niepełnosprawność. W szczególności zauważył, że władze krajowe uznały stan dziecka za przeszkodę w jego edukacji w szkole ogólnodostępnej. Po rozważeniu stopnia niepełnosprawności dziecka oraz korzyści, jakie mogłoby ono odnieść dzięki dostępowi do edukacji integracyjnej, władze te</w:t>
      </w:r>
      <w:r w:rsidR="009567AA" w:rsidRPr="009567AA">
        <w:rPr>
          <w:rFonts w:ascii="Verdana" w:hAnsi="Verdana"/>
          <w:color w:val="0071BB"/>
          <w:sz w:val="19"/>
          <w:szCs w:val="22"/>
        </w:rPr>
        <w:t xml:space="preserve"> </w:t>
      </w:r>
      <w:r w:rsidR="009567AA" w:rsidRPr="00B5742F">
        <w:rPr>
          <w:rFonts w:ascii="Verdana" w:hAnsi="Verdana"/>
          <w:color w:val="0071BB"/>
          <w:spacing w:val="4"/>
          <w:sz w:val="19"/>
        </w:rPr>
        <w:t xml:space="preserve">wybrał edukację </w:t>
      </w:r>
    </w:p>
    <w:p w14:paraId="0D5A7B84" w14:textId="77777777" w:rsidR="000F5B45" w:rsidRPr="00B5742F" w:rsidRDefault="000F5B45" w:rsidP="00E93132">
      <w:pPr>
        <w:pStyle w:val="Tekstpodstawowy"/>
        <w:rPr>
          <w:rFonts w:ascii="Verdana" w:hAnsi="Verdana"/>
        </w:rPr>
        <w:sectPr w:rsidR="000F5B45" w:rsidRPr="00B5742F">
          <w:pgSz w:w="11910" w:h="16840"/>
          <w:pgMar w:top="1460" w:right="708" w:bottom="680" w:left="566" w:header="730" w:footer="497" w:gutter="0"/>
          <w:cols w:space="708"/>
        </w:sectPr>
      </w:pPr>
    </w:p>
    <w:p w14:paraId="634125DB" w14:textId="068C1B3C" w:rsidR="000F5B45" w:rsidRPr="00B5742F" w:rsidRDefault="009567AA" w:rsidP="00E93132">
      <w:pPr>
        <w:pStyle w:val="Tekstpodstawowy"/>
        <w:spacing w:before="240"/>
        <w:ind w:left="874" w:right="727"/>
        <w:rPr>
          <w:rFonts w:ascii="Verdana" w:hAnsi="Verdana"/>
          <w:spacing w:val="4"/>
        </w:rPr>
      </w:pPr>
      <w:r w:rsidRPr="00B5742F">
        <w:rPr>
          <w:rFonts w:ascii="Verdana" w:hAnsi="Verdana"/>
          <w:color w:val="0071BB"/>
          <w:spacing w:val="4"/>
          <w:sz w:val="19"/>
        </w:rPr>
        <w:lastRenderedPageBreak/>
        <w:t>dostosowaną</w:t>
      </w:r>
      <w:r w:rsidRPr="009567AA">
        <w:rPr>
          <w:rFonts w:ascii="Verdana" w:hAnsi="Verdana"/>
          <w:color w:val="0071BB"/>
          <w:spacing w:val="4"/>
          <w:sz w:val="19"/>
        </w:rPr>
        <w:t xml:space="preserve"> </w:t>
      </w:r>
      <w:r w:rsidRPr="00B5742F">
        <w:rPr>
          <w:rFonts w:ascii="Verdana" w:hAnsi="Verdana"/>
          <w:color w:val="0071BB"/>
          <w:spacing w:val="4"/>
          <w:sz w:val="19"/>
        </w:rPr>
        <w:t xml:space="preserve">do jego potrzeb, w specjalistycznym środowisku. Trybunał zauważył również, że strategia ta była satysfakcjonująca dla ojca dziecka, który sprawował nad nim opiekę. Ponadto od 2013 r. dziecko otrzymywało skuteczne wsparcie edukacyjne w placówce specjalizującej się w potrzebach zdrowotnych i edukacyjnych, a ta forma nauczania sprzyjała jego rozwojowi osobistemu. Trybunał uznał ponadto, że skarga dotycząca niepodjęcia przez władze francuskie niezbędnych środków w celu zapewnienia opieki dzieciom </w:t>
      </w:r>
      <w:r w:rsidR="00214904">
        <w:rPr>
          <w:rFonts w:ascii="Verdana" w:hAnsi="Verdana"/>
          <w:color w:val="0071BB"/>
          <w:spacing w:val="4"/>
          <w:sz w:val="19"/>
        </w:rPr>
        <w:t>z niepełnosprawnością</w:t>
      </w:r>
      <w:r w:rsidRPr="00B5742F">
        <w:rPr>
          <w:rFonts w:ascii="Verdana" w:hAnsi="Verdana"/>
          <w:color w:val="0071BB"/>
          <w:spacing w:val="4"/>
          <w:sz w:val="19"/>
        </w:rPr>
        <w:t xml:space="preserve"> była również oczywiście bezzasadna ze względu na brak dowodów. Trybunał zauważył wreszcie, że skarga dotycząca rzekomej niewystarczalności środków przeznaczonych przez państwo na dzieci z autyzmem była niedopuszczalna z powodu niewyczerpania środków krajowych.</w:t>
      </w:r>
    </w:p>
    <w:p w14:paraId="55563785" w14:textId="4CB32C63" w:rsidR="000F5B45" w:rsidRPr="00B5742F" w:rsidRDefault="000F5B45" w:rsidP="00E93132">
      <w:pPr>
        <w:pStyle w:val="Nagwek2"/>
        <w:spacing w:before="107"/>
        <w:rPr>
          <w:rFonts w:ascii="Verdana" w:hAnsi="Verdana"/>
          <w:b w:val="0"/>
          <w:position w:val="7"/>
          <w:sz w:val="13"/>
          <w:u w:val="none"/>
        </w:rPr>
      </w:pPr>
      <w:hyperlink r:id="rId145">
        <w:r w:rsidRPr="00B5742F">
          <w:rPr>
            <w:rFonts w:ascii="Verdana" w:hAnsi="Verdana"/>
            <w:color w:val="0071BB"/>
            <w:sz w:val="19"/>
            <w:u w:color="0071BB"/>
          </w:rPr>
          <w:t xml:space="preserve">Iovcev i </w:t>
        </w:r>
        <w:r w:rsidR="007503DE" w:rsidRPr="009749D0">
          <w:rPr>
            <w:rFonts w:ascii="Verdana" w:hAnsi="Verdana"/>
            <w:color w:val="0071BB"/>
            <w:sz w:val="19"/>
            <w:u w:color="0071BB"/>
          </w:rPr>
          <w:t>I</w:t>
        </w:r>
        <w:r w:rsidRPr="00B5742F">
          <w:rPr>
            <w:rFonts w:ascii="Verdana" w:hAnsi="Verdana"/>
            <w:color w:val="0071BB"/>
            <w:sz w:val="19"/>
            <w:u w:color="0071BB"/>
          </w:rPr>
          <w:t>nni przeciwko Republice Mołdawii i Rosji</w:t>
        </w:r>
      </w:hyperlink>
      <w:hyperlink w:anchor="_bookmark10" w:history="1">
        <w:r w:rsidRPr="00B5742F">
          <w:rPr>
            <w:rFonts w:ascii="Verdana" w:hAnsi="Verdana"/>
            <w:b w:val="0"/>
            <w:color w:val="0D0D0D"/>
            <w:position w:val="7"/>
            <w:sz w:val="12"/>
            <w:u w:val="none"/>
          </w:rPr>
          <w:t>11</w:t>
        </w:r>
      </w:hyperlink>
    </w:p>
    <w:p w14:paraId="679CD7E9" w14:textId="77777777" w:rsidR="000F5B45" w:rsidRPr="00B5742F" w:rsidRDefault="00000000" w:rsidP="00E93132">
      <w:pPr>
        <w:spacing w:before="58"/>
        <w:ind w:left="874"/>
        <w:jc w:val="both"/>
        <w:rPr>
          <w:rFonts w:ascii="Verdana" w:hAnsi="Verdana"/>
          <w:sz w:val="18"/>
        </w:rPr>
      </w:pPr>
      <w:r w:rsidRPr="00B5742F">
        <w:rPr>
          <w:rFonts w:ascii="Verdana" w:hAnsi="Verdana"/>
          <w:color w:val="808080"/>
          <w:sz w:val="17"/>
        </w:rPr>
        <w:t>17 września 2019 r. (wyrok Komitetu)</w:t>
      </w:r>
    </w:p>
    <w:p w14:paraId="0713E362" w14:textId="32443FEB" w:rsidR="000F5B45" w:rsidRPr="00B5742F" w:rsidRDefault="00000000" w:rsidP="00E93132">
      <w:pPr>
        <w:pStyle w:val="Tekstpodstawowy"/>
        <w:spacing w:before="1"/>
        <w:ind w:right="727"/>
        <w:rPr>
          <w:rFonts w:ascii="Verdana" w:hAnsi="Verdana"/>
          <w:spacing w:val="4"/>
        </w:rPr>
      </w:pPr>
      <w:r w:rsidRPr="00B5742F">
        <w:rPr>
          <w:rFonts w:ascii="Verdana" w:hAnsi="Verdana"/>
          <w:spacing w:val="4"/>
          <w:sz w:val="19"/>
        </w:rPr>
        <w:t>Sprawa dotyczyła skarg dotyczących nacisków wywieranych w latach 2013–2014 przez władze samozwańczej „Mołdawskiej Republiki Naddniestrzańskiej” („MRN”) na cztery szkoły w tym regionie, w których nauczano w języku rumuńskim/mołdawskim i używano alfabetu łacińskiego. Wśród skarżących</w:t>
      </w:r>
      <w:r w:rsidR="00B54E00">
        <w:rPr>
          <w:rFonts w:ascii="Verdana" w:hAnsi="Verdana"/>
          <w:spacing w:val="4"/>
          <w:sz w:val="19"/>
        </w:rPr>
        <w:t>,</w:t>
      </w:r>
      <w:r w:rsidRPr="00B5742F">
        <w:rPr>
          <w:rFonts w:ascii="Verdana" w:hAnsi="Verdana"/>
          <w:spacing w:val="4"/>
          <w:sz w:val="19"/>
        </w:rPr>
        <w:t xml:space="preserve"> pięciu uczniów i trzech rodziców uczniów skarżyło się w szczególności, że podjęto środki mające na celu nękanie i zastraszanie ich z powodu decyzji o kontynuowaniu przez nich lub ich dzieci nauki w przedmiotowych szkołach.</w:t>
      </w:r>
    </w:p>
    <w:p w14:paraId="2106E2FF" w14:textId="77777777" w:rsidR="000F5B45" w:rsidRPr="00B5742F" w:rsidRDefault="00000000" w:rsidP="00E93132">
      <w:pPr>
        <w:pStyle w:val="Tekstpodstawowy"/>
        <w:ind w:left="874" w:right="726"/>
        <w:rPr>
          <w:rFonts w:ascii="Verdana" w:hAnsi="Verdana"/>
          <w:spacing w:val="4"/>
        </w:rPr>
      </w:pPr>
      <w:r w:rsidRPr="00B5742F">
        <w:rPr>
          <w:rFonts w:ascii="Verdana" w:hAnsi="Verdana"/>
          <w:color w:val="0071BB"/>
          <w:spacing w:val="4"/>
          <w:sz w:val="19"/>
        </w:rPr>
        <w:t xml:space="preserve">Trybunał uznał, że </w:t>
      </w:r>
      <w:r w:rsidRPr="00B5742F">
        <w:rPr>
          <w:rFonts w:ascii="Verdana" w:hAnsi="Verdana"/>
          <w:b/>
          <w:color w:val="0071BB"/>
          <w:spacing w:val="4"/>
          <w:sz w:val="19"/>
        </w:rPr>
        <w:t xml:space="preserve">Rosja naruszyła </w:t>
      </w:r>
      <w:r w:rsidRPr="00B5742F">
        <w:rPr>
          <w:rFonts w:ascii="Verdana" w:hAnsi="Verdana"/>
          <w:color w:val="0071BB"/>
          <w:spacing w:val="4"/>
          <w:sz w:val="19"/>
        </w:rPr>
        <w:t xml:space="preserve">szereg praw wynikających z Konwencji, w tym, w odniesieniu do pięciu uczniów i trzech rodziców uczniów, prawo do edukacji chronione w </w:t>
      </w:r>
      <w:r w:rsidRPr="00B5742F">
        <w:rPr>
          <w:rFonts w:ascii="Verdana" w:hAnsi="Verdana"/>
          <w:b/>
          <w:color w:val="0071BB"/>
          <w:spacing w:val="4"/>
          <w:sz w:val="19"/>
        </w:rPr>
        <w:t xml:space="preserve">art. 2 protokołu nr 1 </w:t>
      </w:r>
      <w:r w:rsidRPr="00B5742F">
        <w:rPr>
          <w:rFonts w:ascii="Verdana" w:hAnsi="Verdana"/>
          <w:color w:val="0071BB"/>
          <w:spacing w:val="4"/>
          <w:sz w:val="19"/>
        </w:rPr>
        <w:t>do Konwencji. W szczególności stwierdził, że Rosja sprawowała skuteczną kontrolę nad „MRT” w okresie, którego dotyczyła sprawa, oraz że biorąc pod uwagę jej ciągłe wsparcie militarne, gospodarcze i polityczne dla „MRT”, bez którego ta ostatnia nie mogłaby przetrwać, Rosja ponosi odpowiedzialność na mocy Konwencji z tytułu naruszenia praw skarżących. Trybunał uznał natomiast, że Republika Mołdawii nie uchybiła swoim pozytywnym zobowiązaniom w odniesieniu do skarg wniesionych przez skarżących.</w:t>
      </w:r>
    </w:p>
    <w:p w14:paraId="203F138D" w14:textId="10BAA8A9" w:rsidR="000F5B45" w:rsidRPr="00B5742F" w:rsidRDefault="000F5B45" w:rsidP="00E93132">
      <w:pPr>
        <w:pStyle w:val="Nagwek2"/>
        <w:spacing w:before="104"/>
        <w:rPr>
          <w:rFonts w:ascii="Verdana" w:hAnsi="Verdana"/>
          <w:u w:val="none"/>
        </w:rPr>
      </w:pPr>
      <w:hyperlink r:id="rId146">
        <w:r w:rsidRPr="00B5742F">
          <w:rPr>
            <w:rFonts w:ascii="Verdana" w:hAnsi="Verdana"/>
            <w:color w:val="0071BB"/>
            <w:sz w:val="19"/>
            <w:u w:color="0071BB"/>
          </w:rPr>
          <w:t xml:space="preserve">Papageorgiou i </w:t>
        </w:r>
        <w:r w:rsidR="004167B1" w:rsidRPr="009749D0">
          <w:rPr>
            <w:rFonts w:ascii="Verdana" w:hAnsi="Verdana"/>
            <w:color w:val="0071BB"/>
            <w:sz w:val="19"/>
            <w:u w:color="0071BB"/>
          </w:rPr>
          <w:t>I</w:t>
        </w:r>
        <w:r w:rsidRPr="00B5742F">
          <w:rPr>
            <w:rFonts w:ascii="Verdana" w:hAnsi="Verdana"/>
            <w:color w:val="0071BB"/>
            <w:sz w:val="19"/>
            <w:u w:color="0071BB"/>
          </w:rPr>
          <w:t>nni przeciwko Grecji</w:t>
        </w:r>
      </w:hyperlink>
    </w:p>
    <w:p w14:paraId="2EDDC391" w14:textId="1E0CF171" w:rsidR="000F5B45" w:rsidRPr="00B5742F" w:rsidRDefault="00000000" w:rsidP="00E93132">
      <w:pPr>
        <w:spacing w:before="55"/>
        <w:ind w:left="874"/>
        <w:jc w:val="both"/>
        <w:rPr>
          <w:rFonts w:ascii="Verdana" w:hAnsi="Verdana"/>
          <w:sz w:val="18"/>
        </w:rPr>
      </w:pPr>
      <w:r w:rsidRPr="00B5742F">
        <w:rPr>
          <w:rFonts w:ascii="Verdana" w:hAnsi="Verdana"/>
          <w:color w:val="808080"/>
          <w:sz w:val="17"/>
        </w:rPr>
        <w:t>31 października 2019</w:t>
      </w:r>
      <w:r w:rsidR="004167B1" w:rsidRPr="009749D0">
        <w:rPr>
          <w:rFonts w:ascii="Verdana" w:hAnsi="Verdana"/>
          <w:color w:val="808080"/>
          <w:sz w:val="17"/>
        </w:rPr>
        <w:t xml:space="preserve"> r.</w:t>
      </w:r>
    </w:p>
    <w:p w14:paraId="0CA46620" w14:textId="77777777" w:rsidR="000F5B45" w:rsidRPr="00B5742F" w:rsidRDefault="00000000" w:rsidP="00E93132">
      <w:pPr>
        <w:pStyle w:val="Tekstpodstawowy"/>
        <w:spacing w:before="1"/>
        <w:ind w:left="874" w:hanging="1"/>
        <w:rPr>
          <w:rFonts w:ascii="Verdana" w:hAnsi="Verdana"/>
          <w:spacing w:val="4"/>
        </w:rPr>
      </w:pPr>
      <w:r w:rsidRPr="00B5742F">
        <w:rPr>
          <w:rFonts w:ascii="Verdana" w:hAnsi="Verdana"/>
          <w:spacing w:val="4"/>
          <w:sz w:val="19"/>
        </w:rPr>
        <w:t>Sprawa dotyczyła obowiązkowej edukacji religijnej w greckich szkołach. Skarżący rodzice twierdzili, że gdyby chcieli zwolnić swoje córki z zajęć religijnych, musieliby oświadczyć, że nie są prawosławnymi chrześcijanami. Ponadto skarżyli się, że dyrektor szkoły musiałby zweryfikować prawdziwość ich oświadczeń, a następnie przechowywać je w archiwum szkoły.</w:t>
      </w:r>
    </w:p>
    <w:p w14:paraId="19EE81F0" w14:textId="77777777" w:rsidR="000F5B45" w:rsidRPr="00B5742F" w:rsidRDefault="00000000" w:rsidP="00E93132">
      <w:pPr>
        <w:pStyle w:val="Tekstpodstawowy"/>
        <w:ind w:left="874" w:right="729"/>
        <w:rPr>
          <w:rFonts w:ascii="Verdana" w:hAnsi="Verdana"/>
          <w:spacing w:val="4"/>
        </w:rPr>
      </w:pPr>
      <w:r w:rsidRPr="00B5742F">
        <w:rPr>
          <w:rFonts w:ascii="Verdana" w:hAnsi="Verdana"/>
          <w:color w:val="0071BB"/>
          <w:spacing w:val="4"/>
          <w:sz w:val="19"/>
        </w:rPr>
        <w:t xml:space="preserve">Trybunał uznał, że </w:t>
      </w:r>
      <w:r w:rsidRPr="00B5742F">
        <w:rPr>
          <w:rFonts w:ascii="Verdana" w:hAnsi="Verdana"/>
          <w:b/>
          <w:bCs/>
          <w:color w:val="0071BB"/>
          <w:spacing w:val="4"/>
          <w:sz w:val="19"/>
        </w:rPr>
        <w:t>doszło</w:t>
      </w:r>
      <w:r w:rsidRPr="00B5742F">
        <w:rPr>
          <w:rFonts w:ascii="Verdana" w:hAnsi="Verdana"/>
          <w:color w:val="0071BB"/>
          <w:spacing w:val="4"/>
          <w:sz w:val="19"/>
        </w:rPr>
        <w:t xml:space="preserve"> </w:t>
      </w:r>
      <w:r w:rsidRPr="00B5742F">
        <w:rPr>
          <w:rFonts w:ascii="Verdana" w:hAnsi="Verdana"/>
          <w:b/>
          <w:color w:val="0071BB"/>
          <w:spacing w:val="4"/>
          <w:sz w:val="19"/>
        </w:rPr>
        <w:t xml:space="preserve">do naruszenia art. 2 </w:t>
      </w:r>
      <w:r w:rsidRPr="00B5742F">
        <w:rPr>
          <w:rFonts w:ascii="Verdana" w:hAnsi="Verdana"/>
          <w:color w:val="0071BB"/>
          <w:spacing w:val="4"/>
          <w:sz w:val="19"/>
        </w:rPr>
        <w:t xml:space="preserve">(prawo do edukacji) </w:t>
      </w:r>
      <w:r w:rsidRPr="00B5742F">
        <w:rPr>
          <w:rFonts w:ascii="Verdana" w:hAnsi="Verdana"/>
          <w:b/>
          <w:color w:val="0071BB"/>
          <w:spacing w:val="4"/>
          <w:sz w:val="19"/>
        </w:rPr>
        <w:t xml:space="preserve">protokołu nr 1 </w:t>
      </w:r>
      <w:r w:rsidRPr="00B5742F">
        <w:rPr>
          <w:rFonts w:ascii="Verdana" w:hAnsi="Verdana"/>
          <w:color w:val="0071BB"/>
          <w:spacing w:val="4"/>
          <w:sz w:val="19"/>
        </w:rPr>
        <w:t xml:space="preserve">(prawo do edukacji) do Konwencji, </w:t>
      </w:r>
      <w:r w:rsidRPr="00B5742F">
        <w:rPr>
          <w:rFonts w:ascii="Verdana" w:hAnsi="Verdana"/>
          <w:b/>
          <w:color w:val="0071BB"/>
          <w:spacing w:val="4"/>
          <w:sz w:val="19"/>
        </w:rPr>
        <w:t xml:space="preserve">interpretowanego w świetle art. 9 </w:t>
      </w:r>
      <w:r w:rsidRPr="00B5742F">
        <w:rPr>
          <w:rFonts w:ascii="Verdana" w:hAnsi="Verdana"/>
          <w:color w:val="0071BB"/>
          <w:spacing w:val="4"/>
          <w:sz w:val="19"/>
        </w:rPr>
        <w:t>(wolność myśli, sumienia i religii) Konwencji. Podkreślił w szczególności, że władze nie miały prawa zobowiązywać osób do ujawniania swoich przekonań. Jednakże grecki system zwalniania dzieci z lekcji religii wymagał od rodziców złożenia uroczystego oświadczenia, że ich dzieci nie są prawosławnymi chrześcijanami. Wymóg ten nakładał na rodziców nadmierny obowiązek ujawnienia informacji, z których można było wywnioskować, że oni sami lub ich dzieci wyznają określoną religię lub nie wyznają żadnej religii. Ponadto taki system mógł nawet zniechęcać rodziców do składania wniosków o zwolnienie, zwłaszcza w przypadku skarżących, którzy mieszkali na małych wyspach, gdzie zdecydowana większość ludności wyznawała określoną religię, a ryzyko stygmatyzacji było znacznie wyższe.</w:t>
      </w:r>
    </w:p>
    <w:p w14:paraId="6DFBA362" w14:textId="77777777" w:rsidR="000F5B45" w:rsidRPr="00B5742F" w:rsidRDefault="000F5B45" w:rsidP="00E93132">
      <w:pPr>
        <w:pStyle w:val="Tekstpodstawowy"/>
        <w:ind w:left="0" w:right="0"/>
        <w:jc w:val="left"/>
        <w:rPr>
          <w:rFonts w:ascii="Verdana" w:hAnsi="Verdana"/>
        </w:rPr>
      </w:pPr>
    </w:p>
    <w:p w14:paraId="69B7E694" w14:textId="77777777" w:rsidR="000F5B45" w:rsidRPr="00B5742F" w:rsidRDefault="000F5B45" w:rsidP="00E93132">
      <w:pPr>
        <w:pStyle w:val="Tekstpodstawowy"/>
        <w:ind w:left="0" w:right="0"/>
        <w:jc w:val="left"/>
        <w:rPr>
          <w:rFonts w:ascii="Verdana" w:hAnsi="Verdana"/>
        </w:rPr>
      </w:pPr>
    </w:p>
    <w:p w14:paraId="4F159EE5" w14:textId="77777777" w:rsidR="000F5B45" w:rsidRPr="00B5742F" w:rsidRDefault="000F5B45" w:rsidP="00E93132">
      <w:pPr>
        <w:pStyle w:val="Tekstpodstawowy"/>
        <w:ind w:left="0" w:right="0"/>
        <w:jc w:val="left"/>
        <w:rPr>
          <w:rFonts w:ascii="Verdana" w:hAnsi="Verdana"/>
        </w:rPr>
      </w:pPr>
    </w:p>
    <w:p w14:paraId="0B7D9CF3" w14:textId="77777777" w:rsidR="000F5B45" w:rsidRPr="00B5742F" w:rsidRDefault="000F5B45" w:rsidP="00E93132">
      <w:pPr>
        <w:pStyle w:val="Tekstpodstawowy"/>
        <w:ind w:left="0" w:right="0"/>
        <w:jc w:val="left"/>
        <w:rPr>
          <w:rFonts w:ascii="Verdana" w:hAnsi="Verdana"/>
        </w:rPr>
      </w:pPr>
    </w:p>
    <w:p w14:paraId="6CFABD03" w14:textId="77777777" w:rsidR="000F5B45" w:rsidRPr="00B5742F" w:rsidRDefault="000F5B45" w:rsidP="00E93132">
      <w:pPr>
        <w:pStyle w:val="Tekstpodstawowy"/>
        <w:ind w:left="0" w:right="0"/>
        <w:jc w:val="left"/>
        <w:rPr>
          <w:rFonts w:ascii="Verdana" w:hAnsi="Verdana"/>
        </w:rPr>
      </w:pPr>
    </w:p>
    <w:p w14:paraId="6A3218C5" w14:textId="77777777" w:rsidR="000F5B45" w:rsidRPr="00B5742F" w:rsidRDefault="00000000" w:rsidP="00E93132">
      <w:pPr>
        <w:pStyle w:val="Tekstpodstawowy"/>
        <w:spacing w:before="132"/>
        <w:ind w:left="0" w:right="0"/>
        <w:jc w:val="left"/>
        <w:rPr>
          <w:rFonts w:ascii="Verdana" w:hAnsi="Verdana"/>
        </w:rPr>
      </w:pPr>
      <w:r w:rsidRPr="00B5742F">
        <w:rPr>
          <w:rFonts w:ascii="Verdana" w:hAnsi="Verdana"/>
          <w:noProof/>
        </w:rPr>
        <mc:AlternateContent>
          <mc:Choice Requires="wps">
            <w:drawing>
              <wp:anchor distT="0" distB="0" distL="0" distR="0" simplePos="0" relativeHeight="251695104" behindDoc="1" locked="0" layoutInCell="1" allowOverlap="1" wp14:anchorId="72C3E4A5" wp14:editId="6027830D">
                <wp:simplePos x="0" y="0"/>
                <wp:positionH relativeFrom="page">
                  <wp:posOffset>914400</wp:posOffset>
                </wp:positionH>
                <wp:positionV relativeFrom="paragraph">
                  <wp:posOffset>254422</wp:posOffset>
                </wp:positionV>
                <wp:extent cx="1828800" cy="7620"/>
                <wp:effectExtent l="0" t="0" r="0" b="0"/>
                <wp:wrapTopAndBottom/>
                <wp:docPr id="29" name="Graphic 29"/>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435D80BA" id="Graphic 29" o:spid="_x0000_s1026" style="position:absolute;margin-left:1in;margin-top:20.05pt;width:2in;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" path="m1828800,l,,,7620r1828800,l1828800,xe" fillcolor="black" stroked="f">
                <v:path arrowok="t"/>
                <w10:wrap type="topAndBottom" anchorx="page"/>
              </v:shape>
            </w:pict>
          </mc:Fallback>
        </mc:AlternateContent>
      </w:r>
    </w:p>
    <w:p w14:paraId="1EED2100" w14:textId="19F2410F" w:rsidR="000F5B45" w:rsidRPr="00B5742F" w:rsidRDefault="00B54E00" w:rsidP="00E93132">
      <w:pPr>
        <w:spacing w:before="104"/>
        <w:ind w:left="874"/>
        <w:rPr>
          <w:rFonts w:ascii="Verdana" w:hAnsi="Verdana"/>
          <w:sz w:val="16"/>
        </w:rPr>
      </w:pPr>
      <w:bookmarkStart w:id="10" w:name="_bookmark10"/>
      <w:bookmarkEnd w:id="10"/>
      <w:r w:rsidRPr="00B5742F">
        <w:rPr>
          <w:rFonts w:ascii="Verdana" w:hAnsi="Verdana"/>
          <w:sz w:val="15"/>
          <w:vertAlign w:val="superscript"/>
        </w:rPr>
        <w:t>11</w:t>
      </w:r>
      <w:r w:rsidRPr="00B5742F">
        <w:rPr>
          <w:rFonts w:ascii="Verdana" w:hAnsi="Verdana"/>
          <w:sz w:val="15"/>
        </w:rPr>
        <w:t>. W dniu 16 września 2022 r. Federacja Rosyjska przestała być stroną konwencji.</w:t>
      </w:r>
    </w:p>
    <w:p w14:paraId="0A17B1E7" w14:textId="77777777" w:rsidR="000F5B45" w:rsidRPr="00B5742F" w:rsidRDefault="000F5B45" w:rsidP="00E93132">
      <w:pPr>
        <w:rPr>
          <w:rFonts w:ascii="Verdana" w:hAnsi="Verdana"/>
          <w:sz w:val="16"/>
        </w:rPr>
        <w:sectPr w:rsidR="000F5B45" w:rsidRPr="00B5742F">
          <w:pgSz w:w="11910" w:h="16840"/>
          <w:pgMar w:top="1460" w:right="708" w:bottom="680" w:left="566" w:header="730" w:footer="497" w:gutter="0"/>
          <w:cols w:space="708"/>
        </w:sectPr>
      </w:pPr>
    </w:p>
    <w:p w14:paraId="4A10A789" w14:textId="77777777" w:rsidR="000F5B45" w:rsidRPr="00B5742F" w:rsidRDefault="00000000" w:rsidP="00E93132">
      <w:pPr>
        <w:pStyle w:val="Nagwek1"/>
        <w:spacing w:before="246"/>
        <w:jc w:val="left"/>
        <w:rPr>
          <w:rFonts w:ascii="Verdana" w:hAnsi="Verdana"/>
        </w:rPr>
      </w:pPr>
      <w:r w:rsidRPr="00B5742F">
        <w:rPr>
          <w:rFonts w:ascii="Verdana" w:hAnsi="Verdana"/>
          <w:noProof/>
        </w:rPr>
        <w:lastRenderedPageBreak/>
        <mc:AlternateContent>
          <mc:Choice Requires="wps">
            <w:drawing>
              <wp:anchor distT="0" distB="0" distL="0" distR="0" simplePos="0" relativeHeight="251697152" behindDoc="1" locked="0" layoutInCell="1" allowOverlap="1" wp14:anchorId="66DB8654" wp14:editId="0EBD20FB">
                <wp:simplePos x="0" y="0"/>
                <wp:positionH relativeFrom="page">
                  <wp:posOffset>896111</wp:posOffset>
                </wp:positionH>
                <wp:positionV relativeFrom="paragraph">
                  <wp:posOffset>412305</wp:posOffset>
                </wp:positionV>
                <wp:extent cx="5768340" cy="18415"/>
                <wp:effectExtent l="0" t="0" r="0" b="0"/>
                <wp:wrapTopAndBottom/>
                <wp:docPr id="30" name="Graphic 30"/>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2D69B499" id="Graphic 30" o:spid="_x0000_s1026" style="position:absolute;margin-left:70.55pt;margin-top:32.45pt;width:454.2pt;height:1.45pt;z-index:-25161932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" path="m5768340,l,,,18288r5768340,l5768340,xe" fillcolor="#999" stroked="f">
                <v:path arrowok="t"/>
                <w10:wrap type="topAndBottom" anchorx="page"/>
              </v:shape>
            </w:pict>
          </mc:Fallback>
        </mc:AlternateContent>
      </w:r>
      <w:r w:rsidRPr="00B5742F">
        <w:rPr>
          <w:rFonts w:ascii="Verdana" w:hAnsi="Verdana"/>
          <w:color w:val="0071BB"/>
          <w:sz w:val="27"/>
        </w:rPr>
        <w:t>Teksty i dokumenty</w:t>
      </w:r>
    </w:p>
    <w:p w14:paraId="7BF80A95" w14:textId="77777777" w:rsidR="000F5B45" w:rsidRPr="00B5742F" w:rsidRDefault="00000000" w:rsidP="00E93132">
      <w:pPr>
        <w:pStyle w:val="Tekstpodstawowy"/>
        <w:spacing w:before="133"/>
        <w:ind w:left="874" w:right="0"/>
        <w:jc w:val="left"/>
        <w:rPr>
          <w:rFonts w:ascii="Verdana" w:hAnsi="Verdana"/>
        </w:rPr>
      </w:pPr>
      <w:r w:rsidRPr="00B5742F">
        <w:rPr>
          <w:rFonts w:ascii="Verdana" w:hAnsi="Verdana"/>
          <w:sz w:val="19"/>
        </w:rPr>
        <w:t>Zob. w szczególności:</w:t>
      </w:r>
    </w:p>
    <w:p w14:paraId="75BAF1D5" w14:textId="77777777" w:rsidR="000F5B45" w:rsidRPr="00B5742F" w:rsidRDefault="000F5B45" w:rsidP="00E93132">
      <w:pPr>
        <w:pStyle w:val="Akapitzlist"/>
        <w:numPr>
          <w:ilvl w:val="0"/>
          <w:numId w:val="1"/>
        </w:numPr>
        <w:tabs>
          <w:tab w:val="left" w:pos="1593"/>
        </w:tabs>
        <w:spacing w:before="133"/>
        <w:ind w:left="1593" w:hanging="359"/>
        <w:rPr>
          <w:rFonts w:ascii="Verdana" w:hAnsi="Verdana"/>
          <w:sz w:val="20"/>
        </w:rPr>
      </w:pPr>
      <w:hyperlink r:id="rId147">
        <w:r w:rsidRPr="00B5742F">
          <w:rPr>
            <w:rFonts w:ascii="Verdana" w:hAnsi="Verdana"/>
            <w:b/>
            <w:color w:val="0071BB"/>
            <w:sz w:val="19"/>
            <w:u w:val="single" w:color="0071BB"/>
          </w:rPr>
          <w:t>Strona internetowa Rady Europy</w:t>
        </w:r>
      </w:hyperlink>
      <w:r w:rsidRPr="00B5742F">
        <w:rPr>
          <w:rFonts w:ascii="Verdana" w:hAnsi="Verdana"/>
          <w:sz w:val="19"/>
        </w:rPr>
        <w:t xml:space="preserve"> poświęcona „prawom dziecka”</w:t>
      </w:r>
    </w:p>
    <w:p w14:paraId="1FDC7463" w14:textId="77777777" w:rsidR="000F5B45" w:rsidRPr="00B5742F" w:rsidRDefault="000F5B45" w:rsidP="00E93132">
      <w:pPr>
        <w:pStyle w:val="Akapitzlist"/>
        <w:numPr>
          <w:ilvl w:val="0"/>
          <w:numId w:val="1"/>
        </w:numPr>
        <w:tabs>
          <w:tab w:val="left" w:pos="1594"/>
        </w:tabs>
        <w:spacing w:before="58"/>
        <w:ind w:right="732"/>
        <w:rPr>
          <w:rFonts w:ascii="Verdana" w:hAnsi="Verdana"/>
          <w:sz w:val="20"/>
        </w:rPr>
      </w:pPr>
      <w:hyperlink r:id="rId148">
        <w:r w:rsidRPr="00B5742F">
          <w:rPr>
            <w:rFonts w:ascii="Verdana" w:hAnsi="Verdana"/>
            <w:b/>
            <w:color w:val="0071BB"/>
            <w:sz w:val="19"/>
            <w:u w:val="single" w:color="0071BB"/>
          </w:rPr>
          <w:t>Podręcznik dotyczący prawa europejskiego w zakresie praw dziecka</w:t>
        </w:r>
      </w:hyperlink>
      <w:r w:rsidRPr="00B5742F">
        <w:rPr>
          <w:rFonts w:ascii="Verdana" w:hAnsi="Verdana"/>
          <w:sz w:val="19"/>
        </w:rPr>
        <w:t>, Agencja Praw Podstawowych Unii Europejskiej i Rada Europy, luty 2022 r.</w:t>
      </w:r>
    </w:p>
    <w:p w14:paraId="6769C51E" w14:textId="77777777" w:rsidR="000F5B45" w:rsidRPr="00B5742F" w:rsidRDefault="00000000" w:rsidP="00E93132">
      <w:pPr>
        <w:pStyle w:val="Tekstpodstawowy"/>
        <w:spacing w:before="6"/>
        <w:ind w:left="0" w:right="0"/>
        <w:jc w:val="left"/>
        <w:rPr>
          <w:rFonts w:ascii="Verdana" w:hAnsi="Verdana"/>
          <w:sz w:val="18"/>
        </w:rPr>
      </w:pPr>
      <w:r w:rsidRPr="00B5742F">
        <w:rPr>
          <w:rFonts w:ascii="Verdana" w:hAnsi="Verdana"/>
          <w:noProof/>
          <w:sz w:val="18"/>
        </w:rPr>
        <mc:AlternateContent>
          <mc:Choice Requires="wps">
            <w:drawing>
              <wp:anchor distT="0" distB="0" distL="0" distR="0" simplePos="0" relativeHeight="251699200" behindDoc="1" locked="0" layoutInCell="1" allowOverlap="1" wp14:anchorId="08A6F635" wp14:editId="08400B80">
                <wp:simplePos x="0" y="0"/>
                <wp:positionH relativeFrom="page">
                  <wp:posOffset>896111</wp:posOffset>
                </wp:positionH>
                <wp:positionV relativeFrom="paragraph">
                  <wp:posOffset>158646</wp:posOffset>
                </wp:positionV>
                <wp:extent cx="5768340" cy="12700"/>
                <wp:effectExtent l="0" t="0" r="0" b="0"/>
                <wp:wrapTopAndBottom/>
                <wp:docPr id="31" name="Graphic 31"/>
                <wp:cNvGraphicFramePr/>
                <a:graphic xmlns:a="http://schemas.openxmlformats.org/drawingml/2006/main">
                  <a:graphicData uri="http://schemas.microsoft.com/office/word/2010/wordprocessingShape">
                    <wps:wsp>
                      <wps:cNvSpPr/>
                      <wps:spPr>
                        <a:xfrm>
                          <a:off x="0" y="0"/>
                          <a:ext cx="5768340" cy="12700"/>
                        </a:xfrm>
                        <a:custGeom>
                          <a:avLst/>
                          <a:gdLst/>
                          <a:ahLst/>
                          <a:cxnLst/>
                          <a:rect l="l" t="t" r="r" b="b"/>
                          <a:pathLst>
                            <a:path w="5768340" h="12700">
                              <a:moveTo>
                                <a:pt x="5768340" y="0"/>
                              </a:moveTo>
                              <a:lnTo>
                                <a:pt x="0" y="0"/>
                              </a:lnTo>
                              <a:lnTo>
                                <a:pt x="0" y="12192"/>
                              </a:lnTo>
                              <a:lnTo>
                                <a:pt x="5768340" y="12192"/>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4882EFD6" id="Graphic 31" o:spid="_x0000_s1026" style="position:absolute;margin-left:70.55pt;margin-top:12.5pt;width:454.2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5768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" path="m5768340,l,,,12192r5768340,l5768340,xe" fillcolor="#999" stroked="f">
                <v:path arrowok="t"/>
                <w10:wrap type="topAndBottom" anchorx="page"/>
              </v:shape>
            </w:pict>
          </mc:Fallback>
        </mc:AlternateContent>
      </w:r>
    </w:p>
    <w:p w14:paraId="5FBBF0DB" w14:textId="77777777" w:rsidR="000F5B45" w:rsidRPr="00B5742F" w:rsidRDefault="000F5B45" w:rsidP="00E93132">
      <w:pPr>
        <w:pStyle w:val="Tekstpodstawowy"/>
        <w:spacing w:before="129"/>
        <w:ind w:left="0" w:right="0"/>
        <w:jc w:val="left"/>
        <w:rPr>
          <w:rFonts w:ascii="Verdana" w:hAnsi="Verdana"/>
        </w:rPr>
      </w:pPr>
    </w:p>
    <w:p w14:paraId="4813DD0C" w14:textId="77777777" w:rsidR="000F5B45" w:rsidRPr="00B5742F" w:rsidRDefault="00000000" w:rsidP="00E93132">
      <w:pPr>
        <w:ind w:left="141" w:right="3"/>
        <w:jc w:val="center"/>
        <w:rPr>
          <w:rFonts w:ascii="Verdana" w:hAnsi="Verdana"/>
          <w:b/>
          <w:sz w:val="20"/>
        </w:rPr>
      </w:pPr>
      <w:r w:rsidRPr="00B5742F">
        <w:rPr>
          <w:rFonts w:ascii="Verdana" w:hAnsi="Verdana"/>
          <w:b/>
          <w:color w:val="808080"/>
          <w:sz w:val="19"/>
        </w:rPr>
        <w:t>Kontakt dla mediów:</w:t>
      </w:r>
    </w:p>
    <w:p w14:paraId="3D13E6E2" w14:textId="77777777" w:rsidR="000F5B45" w:rsidRPr="00B5742F" w:rsidRDefault="00000000" w:rsidP="00E93132">
      <w:pPr>
        <w:pStyle w:val="Tekstpodstawowy"/>
        <w:ind w:left="141" w:right="0"/>
        <w:jc w:val="center"/>
        <w:rPr>
          <w:rFonts w:ascii="Verdana" w:hAnsi="Verdana"/>
        </w:rPr>
      </w:pPr>
      <w:r w:rsidRPr="00B5742F">
        <w:rPr>
          <w:rFonts w:ascii="Verdana" w:hAnsi="Verdana"/>
          <w:color w:val="808080"/>
          <w:sz w:val="19"/>
        </w:rPr>
        <w:t>Tel.: +33 (0)3 90 21 42 08</w:t>
      </w:r>
    </w:p>
    <w:sectPr w:rsidR="000F5B45" w:rsidRPr="00B5742F">
      <w:pgSz w:w="11910" w:h="16840"/>
      <w:pgMar w:top="1460" w:right="708" w:bottom="680" w:left="566" w:header="730"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22A3" w14:textId="77777777" w:rsidR="005575AB" w:rsidRPr="00D855DB" w:rsidRDefault="005575AB">
      <w:r w:rsidRPr="00D855DB">
        <w:separator/>
      </w:r>
    </w:p>
  </w:endnote>
  <w:endnote w:type="continuationSeparator" w:id="0">
    <w:p w14:paraId="4B53458F" w14:textId="77777777" w:rsidR="005575AB" w:rsidRPr="00D855DB" w:rsidRDefault="005575AB">
      <w:r w:rsidRPr="00D855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8383" w14:textId="77777777" w:rsidR="00C23CAE" w:rsidRDefault="00C23C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A8E8" w14:textId="77777777" w:rsidR="00C23CAE" w:rsidRDefault="00C23C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397C" w14:textId="77777777" w:rsidR="00C23CAE" w:rsidRDefault="00C23CA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25A3" w14:textId="77777777" w:rsidR="000F5B45" w:rsidRPr="00D855DB" w:rsidRDefault="00000000">
    <w:pPr>
      <w:pStyle w:val="Tekstpodstawowy"/>
      <w:spacing w:line="14" w:lineRule="auto"/>
      <w:ind w:left="0" w:right="0"/>
      <w:jc w:val="left"/>
    </w:pPr>
    <w:r w:rsidRPr="00D855DB">
      <w:rPr>
        <w:noProof/>
      </w:rPr>
      <mc:AlternateContent>
        <mc:Choice Requires="wps">
          <w:drawing>
            <wp:anchor distT="0" distB="0" distL="0" distR="0" simplePos="0" relativeHeight="251658240" behindDoc="1" locked="0" layoutInCell="1" allowOverlap="1" wp14:anchorId="5EF9A91F" wp14:editId="2AD9FA22">
              <wp:simplePos x="0" y="0"/>
              <wp:positionH relativeFrom="page">
                <wp:posOffset>3686047</wp:posOffset>
              </wp:positionH>
              <wp:positionV relativeFrom="page">
                <wp:posOffset>10237044</wp:posOffset>
              </wp:positionV>
              <wp:extent cx="186690" cy="179705"/>
              <wp:effectExtent l="0" t="0" r="0" b="0"/>
              <wp:wrapNone/>
              <wp:docPr id="14" name="Textbox 14"/>
              <wp:cNvGraphicFramePr/>
              <a:graphic xmlns:a="http://schemas.openxmlformats.org/drawingml/2006/main">
                <a:graphicData uri="http://schemas.microsoft.com/office/word/2010/wordprocessingShape">
                  <wps:wsp>
                    <wps:cNvSpPr txBox="1"/>
                    <wps:spPr>
                      <a:xfrm>
                        <a:off x="0" y="0"/>
                        <a:ext cx="186690" cy="179705"/>
                      </a:xfrm>
                      <a:prstGeom prst="rect">
                        <a:avLst/>
                      </a:prstGeom>
                    </wps:spPr>
                    <wps:txbx>
                      <w:txbxContent>
                        <w:p w14:paraId="570A2D30" w14:textId="77777777" w:rsidR="000F5B45" w:rsidRPr="00D855DB" w:rsidRDefault="00000000">
                          <w:pPr>
                            <w:pStyle w:val="Tekstpodstawowy"/>
                            <w:spacing w:before="30"/>
                            <w:ind w:left="20" w:right="0"/>
                            <w:jc w:val="left"/>
                          </w:pPr>
                          <w:r w:rsidRPr="00D855DB">
                            <w:rPr>
                              <w:spacing w:val="-5"/>
                              <w:w w:val="125"/>
                            </w:rPr>
                            <w:fldChar w:fldCharType="begin"/>
                          </w:r>
                          <w:r w:rsidRPr="00D855DB">
                            <w:rPr>
                              <w:spacing w:val="-5"/>
                              <w:w w:val="125"/>
                              <w:sz w:val="19"/>
                            </w:rPr>
                            <w:instrText xml:space="preserve"> PAGE </w:instrText>
                          </w:r>
                          <w:r w:rsidRPr="00D855DB">
                            <w:rPr>
                              <w:spacing w:val="-5"/>
                              <w:w w:val="125"/>
                            </w:rPr>
                            <w:fldChar w:fldCharType="separate"/>
                          </w:r>
                          <w:r w:rsidRPr="00D855DB">
                            <w:rPr>
                              <w:spacing w:val="-5"/>
                              <w:w w:val="125"/>
                            </w:rPr>
                            <w:t>30</w:t>
                          </w:r>
                          <w:r w:rsidRPr="00D855DB">
                            <w:rPr>
                              <w:spacing w:val="-5"/>
                              <w:w w:val="125"/>
                            </w:rPr>
                            <w:fldChar w:fldCharType="end"/>
                          </w:r>
                        </w:p>
                      </w:txbxContent>
                    </wps:txbx>
                    <wps:bodyPr wrap="square" lIns="0" tIns="0" rIns="0" bIns="0" rtlCol="0"/>
                  </wps:wsp>
                </a:graphicData>
              </a:graphic>
            </wp:anchor>
          </w:drawing>
        </mc:Choice>
        <mc:Fallback>
          <w:pict>
            <v:shapetype w14:anchorId="5EF9A91F" id="_x0000_t202" coordsize="21600,21600" o:spt="202" path="m,l,21600r21600,l21600,xe">
              <v:stroke joinstyle="miter"/>
              <v:path gradientshapeok="t" o:connecttype="rect"/>
            </v:shapetype>
            <v:shape id="Textbox 14" o:spid="_x0000_s1029" type="#_x0000_t202" style="position:absolute;margin-left:290.25pt;margin-top:806.05pt;width:14.7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" filled="f" stroked="f">
              <v:textbox inset="0,0,0,0">
                <w:txbxContent>
                  <w:p w14:paraId="570A2D30" w14:textId="77777777" w:rsidR="000F5B45" w:rsidRPr="00D855DB" w:rsidRDefault="00000000">
                    <w:pPr>
                      <w:pStyle w:val="Tekstpodstawowy"/>
                      <w:spacing w:before="30"/>
                      <w:ind w:left="20" w:right="0"/>
                      <w:jc w:val="left"/>
                    </w:pPr>
                    <w:r w:rsidRPr="00D855DB">
                      <w:rPr>
                        <w:spacing w:val="-5"/>
                        <w:w w:val="125"/>
                      </w:rPr>
                      <w:fldChar w:fldCharType="begin"/>
                    </w:r>
                    <w:r w:rsidRPr="00D855DB">
                      <w:rPr>
                        <w:spacing w:val="-5"/>
                        <w:w w:val="125"/>
                        <w:sz w:val="19"/>
                      </w:rPr>
                      <w:instrText xml:space="preserve"> PAGE </w:instrText>
                    </w:r>
                    <w:r w:rsidRPr="00D855DB">
                      <w:rPr>
                        <w:spacing w:val="-5"/>
                        <w:w w:val="125"/>
                      </w:rPr>
                      <w:fldChar w:fldCharType="separate"/>
                    </w:r>
                    <w:r w:rsidRPr="00D855DB">
                      <w:rPr>
                        <w:spacing w:val="-5"/>
                        <w:w w:val="125"/>
                      </w:rPr>
                      <w:t>30</w:t>
                    </w:r>
                    <w:r w:rsidRPr="00D855DB">
                      <w:rPr>
                        <w:spacing w:val="-5"/>
                        <w:w w:val="12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DF08" w14:textId="77777777" w:rsidR="005575AB" w:rsidRPr="00D855DB" w:rsidRDefault="005575AB">
      <w:r w:rsidRPr="00D855DB">
        <w:separator/>
      </w:r>
    </w:p>
  </w:footnote>
  <w:footnote w:type="continuationSeparator" w:id="0">
    <w:p w14:paraId="3E04989C" w14:textId="77777777" w:rsidR="005575AB" w:rsidRPr="00D855DB" w:rsidRDefault="005575AB">
      <w:r w:rsidRPr="00D855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B824" w14:textId="77777777" w:rsidR="00C23CAE" w:rsidRDefault="00C23CA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F4A9" w14:textId="77777777" w:rsidR="00C23CAE" w:rsidRDefault="00C23CA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2A7E" w14:textId="77777777" w:rsidR="00C23CAE" w:rsidRDefault="00C23CA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38A9" w14:textId="77777777" w:rsidR="000F5B45" w:rsidRPr="00D855DB" w:rsidRDefault="00000000">
    <w:pPr>
      <w:pStyle w:val="Tekstpodstawowy"/>
      <w:spacing w:line="14" w:lineRule="auto"/>
      <w:ind w:left="0" w:right="0"/>
      <w:jc w:val="left"/>
    </w:pPr>
    <w:r w:rsidRPr="00D855DB">
      <w:rPr>
        <w:noProof/>
      </w:rPr>
      <w:drawing>
        <wp:anchor distT="0" distB="0" distL="0" distR="0" simplePos="0" relativeHeight="251656192" behindDoc="1" locked="0" layoutInCell="1" allowOverlap="1" wp14:anchorId="5B6B71CB" wp14:editId="43F9532F">
          <wp:simplePos x="0" y="0"/>
          <wp:positionH relativeFrom="page">
            <wp:posOffset>5683248</wp:posOffset>
          </wp:positionH>
          <wp:positionV relativeFrom="page">
            <wp:posOffset>463550</wp:posOffset>
          </wp:positionV>
          <wp:extent cx="1410969" cy="368299"/>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410969" cy="368299"/>
                  </a:xfrm>
                  <a:prstGeom prst="rect">
                    <a:avLst/>
                  </a:prstGeom>
                </pic:spPr>
              </pic:pic>
            </a:graphicData>
          </a:graphic>
        </wp:anchor>
      </w:drawing>
    </w:r>
    <w:r w:rsidRPr="00D855DB">
      <w:rPr>
        <w:noProof/>
      </w:rPr>
      <mc:AlternateContent>
        <mc:Choice Requires="wps">
          <w:drawing>
            <wp:anchor distT="0" distB="0" distL="0" distR="0" simplePos="0" relativeHeight="251657216" behindDoc="1" locked="0" layoutInCell="1" allowOverlap="1" wp14:anchorId="4EF91521" wp14:editId="44AC71C6">
              <wp:simplePos x="0" y="0"/>
              <wp:positionH relativeFrom="page">
                <wp:posOffset>465455</wp:posOffset>
              </wp:positionH>
              <wp:positionV relativeFrom="page">
                <wp:posOffset>934719</wp:posOffset>
              </wp:positionV>
              <wp:extent cx="6629400" cy="1270"/>
              <wp:effectExtent l="0" t="0" r="0" b="0"/>
              <wp:wrapNone/>
              <wp:docPr id="12" name="Graphic 12"/>
              <wp:cNvGraphicFramePr/>
              <a:graphic xmlns:a="http://schemas.openxmlformats.org/drawingml/2006/main">
                <a:graphicData uri="http://schemas.microsoft.com/office/word/2010/wordprocessingShape">
                  <wps:wsp>
                    <wps:cNvSpPr/>
                    <wps:spPr>
                      <a:xfrm>
                        <a:off x="0" y="0"/>
                        <a:ext cx="6629400" cy="1270"/>
                      </a:xfrm>
                      <a:custGeom>
                        <a:avLst/>
                        <a:gdLst/>
                        <a:ahLst/>
                        <a:cxnLst/>
                        <a:rect l="l" t="t" r="r" b="b"/>
                        <a:pathLst>
                          <a:path w="6629400">
                            <a:moveTo>
                              <a:pt x="0" y="0"/>
                            </a:moveTo>
                            <a:lnTo>
                              <a:pt x="6629400" y="0"/>
                            </a:lnTo>
                          </a:path>
                        </a:pathLst>
                      </a:custGeom>
                      <a:ln w="9525">
                        <a:solidFill>
                          <a:srgbClr val="808080"/>
                        </a:solidFill>
                        <a:prstDash val="solid"/>
                      </a:ln>
                    </wps:spPr>
                    <wps:bodyPr wrap="square" lIns="0" tIns="0" rIns="0" bIns="0" rtlCol="0">
                      <a:prstTxWarp prst="textNoShape">
                        <a:avLst/>
                      </a:prstTxWarp>
                    </wps:bodyPr>
                  </wps:wsp>
                </a:graphicData>
              </a:graphic>
            </wp:anchor>
          </w:drawing>
        </mc:Choice>
        <mc:Fallback>
          <w:pict>
            <v:shape w14:anchorId="727B0405" id="Graphic 12" o:spid="_x0000_s1026" style="position:absolute;margin-left:36.65pt;margin-top:73.6pt;width:522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" path="m,l6629400,e" filled="f" strokecolor="gray">
              <v:path arrowok="t"/>
              <w10:wrap anchorx="page" anchory="page"/>
            </v:shape>
          </w:pict>
        </mc:Fallback>
      </mc:AlternateContent>
    </w:r>
    <w:r w:rsidRPr="00D855DB">
      <w:rPr>
        <w:noProof/>
      </w:rPr>
      <mc:AlternateContent>
        <mc:Choice Requires="wps">
          <w:drawing>
            <wp:anchor distT="0" distB="0" distL="0" distR="0" simplePos="0" relativeHeight="251659264" behindDoc="1" locked="0" layoutInCell="1" allowOverlap="1" wp14:anchorId="26958A27" wp14:editId="51E1D01C">
              <wp:simplePos x="0" y="0"/>
              <wp:positionH relativeFrom="page">
                <wp:posOffset>436880</wp:posOffset>
              </wp:positionH>
              <wp:positionV relativeFrom="page">
                <wp:posOffset>727284</wp:posOffset>
              </wp:positionV>
              <wp:extent cx="1678305" cy="17970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678305" cy="179705"/>
                      </a:xfrm>
                      <a:prstGeom prst="rect">
                        <a:avLst/>
                      </a:prstGeom>
                    </wps:spPr>
                    <wps:txbx>
                      <w:txbxContent>
                        <w:p w14:paraId="2D337BD3" w14:textId="77777777" w:rsidR="000F5B45" w:rsidRPr="00D855DB" w:rsidRDefault="00000000">
                          <w:pPr>
                            <w:spacing w:before="30"/>
                            <w:ind w:left="20"/>
                            <w:rPr>
                              <w:sz w:val="18"/>
                            </w:rPr>
                          </w:pPr>
                          <w:r w:rsidRPr="00D855DB">
                            <w:rPr>
                              <w:w w:val="125"/>
                              <w:sz w:val="17"/>
                            </w:rPr>
                            <w:t xml:space="preserve">Arkusz informacyjny </w:t>
                          </w:r>
                          <w:r w:rsidRPr="00D855DB">
                            <w:rPr>
                              <w:w w:val="125"/>
                              <w:sz w:val="19"/>
                            </w:rPr>
                            <w:t xml:space="preserve">– </w:t>
                          </w:r>
                          <w:r w:rsidRPr="00D855DB">
                            <w:rPr>
                              <w:spacing w:val="-2"/>
                              <w:w w:val="125"/>
                              <w:sz w:val="17"/>
                            </w:rPr>
                            <w:t xml:space="preserve">Prawa </w:t>
                          </w:r>
                          <w:r w:rsidRPr="00D855DB">
                            <w:rPr>
                              <w:w w:val="125"/>
                              <w:sz w:val="17"/>
                            </w:rPr>
                            <w:t>dzieci</w:t>
                          </w:r>
                        </w:p>
                      </w:txbxContent>
                    </wps:txbx>
                    <wps:bodyPr wrap="square" lIns="0" tIns="0" rIns="0" bIns="0" rtlCol="0"/>
                  </wps:wsp>
                </a:graphicData>
              </a:graphic>
            </wp:anchor>
          </w:drawing>
        </mc:Choice>
        <mc:Fallback>
          <w:pict>
            <v:shapetype w14:anchorId="26958A27" id="_x0000_t202" coordsize="21600,21600" o:spt="202" path="m,l,21600r21600,l21600,xe">
              <v:stroke joinstyle="miter"/>
              <v:path gradientshapeok="t" o:connecttype="rect"/>
            </v:shapetype>
            <v:shape id="Textbox 13" o:spid="_x0000_s1028" type="#_x0000_t202" style="position:absolute;margin-left:34.4pt;margin-top:57.25pt;width:132.15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" filled="f" stroked="f">
              <v:textbox inset="0,0,0,0">
                <w:txbxContent>
                  <w:p w14:paraId="2D337BD3" w14:textId="77777777" w:rsidR="000F5B45" w:rsidRPr="00D855DB" w:rsidRDefault="00000000">
                    <w:pPr>
                      <w:spacing w:before="30"/>
                      <w:ind w:left="20"/>
                      <w:rPr>
                        <w:sz w:val="18"/>
                      </w:rPr>
                    </w:pPr>
                    <w:r w:rsidRPr="00D855DB">
                      <w:rPr>
                        <w:w w:val="125"/>
                        <w:sz w:val="17"/>
                      </w:rPr>
                      <w:t xml:space="preserve">Arkusz informacyjny </w:t>
                    </w:r>
                    <w:r w:rsidRPr="00D855DB">
                      <w:rPr>
                        <w:w w:val="125"/>
                        <w:sz w:val="19"/>
                      </w:rPr>
                      <w:t xml:space="preserve">– </w:t>
                    </w:r>
                    <w:r w:rsidRPr="00D855DB">
                      <w:rPr>
                        <w:spacing w:val="-2"/>
                        <w:w w:val="125"/>
                        <w:sz w:val="17"/>
                      </w:rPr>
                      <w:t xml:space="preserve">Prawa </w:t>
                    </w:r>
                    <w:r w:rsidRPr="00D855DB">
                      <w:rPr>
                        <w:w w:val="125"/>
                        <w:sz w:val="17"/>
                      </w:rPr>
                      <w:t>dzieci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17B94"/>
    <w:multiLevelType w:val="hybridMultilevel"/>
    <w:tmpl w:val="00000000"/>
    <w:lvl w:ilvl="0" w:tplc="069E1C7A">
      <w:numFmt w:val="bullet"/>
      <w:lvlText w:val="-"/>
      <w:lvlJc w:val="left"/>
      <w:pPr>
        <w:ind w:left="1594" w:hanging="360"/>
      </w:pPr>
      <w:rPr>
        <w:rFonts w:ascii="Calibri" w:eastAsia="Calibri" w:hAnsi="Calibri" w:cs="Calibri" w:hint="default"/>
        <w:b w:val="0"/>
        <w:bCs w:val="0"/>
        <w:i w:val="0"/>
        <w:iCs w:val="0"/>
        <w:spacing w:val="0"/>
        <w:w w:val="147"/>
        <w:sz w:val="20"/>
        <w:szCs w:val="20"/>
        <w:lang w:val="en-US" w:eastAsia="en-US" w:bidi="ar-SA"/>
      </w:rPr>
    </w:lvl>
    <w:lvl w:ilvl="1" w:tplc="E58CAF64">
      <w:numFmt w:val="bullet"/>
      <w:lvlText w:val="•"/>
      <w:lvlJc w:val="left"/>
      <w:pPr>
        <w:ind w:left="2503" w:hanging="360"/>
      </w:pPr>
      <w:rPr>
        <w:rFonts w:hint="default"/>
        <w:lang w:val="en-US" w:eastAsia="en-US" w:bidi="ar-SA"/>
      </w:rPr>
    </w:lvl>
    <w:lvl w:ilvl="2" w:tplc="12663C5A">
      <w:numFmt w:val="bullet"/>
      <w:lvlText w:val="•"/>
      <w:lvlJc w:val="left"/>
      <w:pPr>
        <w:ind w:left="3406" w:hanging="360"/>
      </w:pPr>
      <w:rPr>
        <w:rFonts w:hint="default"/>
        <w:lang w:val="en-US" w:eastAsia="en-US" w:bidi="ar-SA"/>
      </w:rPr>
    </w:lvl>
    <w:lvl w:ilvl="3" w:tplc="C81434FA">
      <w:numFmt w:val="bullet"/>
      <w:lvlText w:val="•"/>
      <w:lvlJc w:val="left"/>
      <w:pPr>
        <w:ind w:left="4309" w:hanging="360"/>
      </w:pPr>
      <w:rPr>
        <w:rFonts w:hint="default"/>
        <w:lang w:val="en-US" w:eastAsia="en-US" w:bidi="ar-SA"/>
      </w:rPr>
    </w:lvl>
    <w:lvl w:ilvl="4" w:tplc="BB903D24">
      <w:numFmt w:val="bullet"/>
      <w:lvlText w:val="•"/>
      <w:lvlJc w:val="left"/>
      <w:pPr>
        <w:ind w:left="5212" w:hanging="360"/>
      </w:pPr>
      <w:rPr>
        <w:rFonts w:hint="default"/>
        <w:lang w:val="en-US" w:eastAsia="en-US" w:bidi="ar-SA"/>
      </w:rPr>
    </w:lvl>
    <w:lvl w:ilvl="5" w:tplc="F75AE6F8">
      <w:numFmt w:val="bullet"/>
      <w:lvlText w:val="•"/>
      <w:lvlJc w:val="left"/>
      <w:pPr>
        <w:ind w:left="6116" w:hanging="360"/>
      </w:pPr>
      <w:rPr>
        <w:rFonts w:hint="default"/>
        <w:lang w:val="en-US" w:eastAsia="en-US" w:bidi="ar-SA"/>
      </w:rPr>
    </w:lvl>
    <w:lvl w:ilvl="6" w:tplc="7D78ED58">
      <w:numFmt w:val="bullet"/>
      <w:lvlText w:val="•"/>
      <w:lvlJc w:val="left"/>
      <w:pPr>
        <w:ind w:left="7019" w:hanging="360"/>
      </w:pPr>
      <w:rPr>
        <w:rFonts w:hint="default"/>
        <w:lang w:val="en-US" w:eastAsia="en-US" w:bidi="ar-SA"/>
      </w:rPr>
    </w:lvl>
    <w:lvl w:ilvl="7" w:tplc="03763BA8">
      <w:numFmt w:val="bullet"/>
      <w:lvlText w:val="•"/>
      <w:lvlJc w:val="left"/>
      <w:pPr>
        <w:ind w:left="7922" w:hanging="360"/>
      </w:pPr>
      <w:rPr>
        <w:rFonts w:hint="default"/>
        <w:lang w:val="en-US" w:eastAsia="en-US" w:bidi="ar-SA"/>
      </w:rPr>
    </w:lvl>
    <w:lvl w:ilvl="8" w:tplc="FF528546">
      <w:numFmt w:val="bullet"/>
      <w:lvlText w:val="•"/>
      <w:lvlJc w:val="left"/>
      <w:pPr>
        <w:ind w:left="8825" w:hanging="360"/>
      </w:pPr>
      <w:rPr>
        <w:rFonts w:hint="default"/>
        <w:lang w:val="en-US" w:eastAsia="en-US" w:bidi="ar-SA"/>
      </w:rPr>
    </w:lvl>
  </w:abstractNum>
  <w:abstractNum w:abstractNumId="1" w15:restartNumberingAfterBreak="0">
    <w:nsid w:val="34C6A5C4"/>
    <w:multiLevelType w:val="hybridMultilevel"/>
    <w:tmpl w:val="00000000"/>
    <w:lvl w:ilvl="0" w:tplc="04DCCD16">
      <w:start w:val="1"/>
      <w:numFmt w:val="decimal"/>
      <w:lvlText w:val="%1."/>
      <w:lvlJc w:val="left"/>
      <w:pPr>
        <w:ind w:left="874" w:hanging="320"/>
      </w:pPr>
      <w:rPr>
        <w:rFonts w:ascii="Calibri" w:eastAsia="Calibri" w:hAnsi="Calibri" w:cs="Calibri" w:hint="default"/>
        <w:b w:val="0"/>
        <w:bCs w:val="0"/>
        <w:i w:val="0"/>
        <w:iCs w:val="0"/>
        <w:color w:val="0071BB"/>
        <w:spacing w:val="0"/>
        <w:w w:val="124"/>
        <w:sz w:val="20"/>
        <w:szCs w:val="20"/>
        <w:lang w:val="en-US" w:eastAsia="en-US" w:bidi="ar-SA"/>
      </w:rPr>
    </w:lvl>
    <w:lvl w:ilvl="1" w:tplc="58E22E18">
      <w:numFmt w:val="bullet"/>
      <w:lvlText w:val="•"/>
      <w:lvlJc w:val="left"/>
      <w:pPr>
        <w:ind w:left="1855" w:hanging="320"/>
      </w:pPr>
      <w:rPr>
        <w:rFonts w:hint="default"/>
        <w:lang w:val="en-US" w:eastAsia="en-US" w:bidi="ar-SA"/>
      </w:rPr>
    </w:lvl>
    <w:lvl w:ilvl="2" w:tplc="DA78C8D6">
      <w:numFmt w:val="bullet"/>
      <w:lvlText w:val="•"/>
      <w:lvlJc w:val="left"/>
      <w:pPr>
        <w:ind w:left="2830" w:hanging="320"/>
      </w:pPr>
      <w:rPr>
        <w:rFonts w:hint="default"/>
        <w:lang w:val="en-US" w:eastAsia="en-US" w:bidi="ar-SA"/>
      </w:rPr>
    </w:lvl>
    <w:lvl w:ilvl="3" w:tplc="330A925C">
      <w:numFmt w:val="bullet"/>
      <w:lvlText w:val="•"/>
      <w:lvlJc w:val="left"/>
      <w:pPr>
        <w:ind w:left="3805" w:hanging="320"/>
      </w:pPr>
      <w:rPr>
        <w:rFonts w:hint="default"/>
        <w:lang w:val="en-US" w:eastAsia="en-US" w:bidi="ar-SA"/>
      </w:rPr>
    </w:lvl>
    <w:lvl w:ilvl="4" w:tplc="3B7676EE">
      <w:numFmt w:val="bullet"/>
      <w:lvlText w:val="•"/>
      <w:lvlJc w:val="left"/>
      <w:pPr>
        <w:ind w:left="4780" w:hanging="320"/>
      </w:pPr>
      <w:rPr>
        <w:rFonts w:hint="default"/>
        <w:lang w:val="en-US" w:eastAsia="en-US" w:bidi="ar-SA"/>
      </w:rPr>
    </w:lvl>
    <w:lvl w:ilvl="5" w:tplc="1F8ED216">
      <w:numFmt w:val="bullet"/>
      <w:lvlText w:val="•"/>
      <w:lvlJc w:val="left"/>
      <w:pPr>
        <w:ind w:left="5756" w:hanging="320"/>
      </w:pPr>
      <w:rPr>
        <w:rFonts w:hint="default"/>
        <w:lang w:val="en-US" w:eastAsia="en-US" w:bidi="ar-SA"/>
      </w:rPr>
    </w:lvl>
    <w:lvl w:ilvl="6" w:tplc="518AACDA">
      <w:numFmt w:val="bullet"/>
      <w:lvlText w:val="•"/>
      <w:lvlJc w:val="left"/>
      <w:pPr>
        <w:ind w:left="6731" w:hanging="320"/>
      </w:pPr>
      <w:rPr>
        <w:rFonts w:hint="default"/>
        <w:lang w:val="en-US" w:eastAsia="en-US" w:bidi="ar-SA"/>
      </w:rPr>
    </w:lvl>
    <w:lvl w:ilvl="7" w:tplc="C3008FBC">
      <w:numFmt w:val="bullet"/>
      <w:lvlText w:val="•"/>
      <w:lvlJc w:val="left"/>
      <w:pPr>
        <w:ind w:left="7706" w:hanging="320"/>
      </w:pPr>
      <w:rPr>
        <w:rFonts w:hint="default"/>
        <w:lang w:val="en-US" w:eastAsia="en-US" w:bidi="ar-SA"/>
      </w:rPr>
    </w:lvl>
    <w:lvl w:ilvl="8" w:tplc="9BC0C0CC">
      <w:numFmt w:val="bullet"/>
      <w:lvlText w:val="•"/>
      <w:lvlJc w:val="left"/>
      <w:pPr>
        <w:ind w:left="8681" w:hanging="320"/>
      </w:pPr>
      <w:rPr>
        <w:rFonts w:hint="default"/>
        <w:lang w:val="en-US" w:eastAsia="en-US" w:bidi="ar-SA"/>
      </w:rPr>
    </w:lvl>
  </w:abstractNum>
  <w:num w:numId="1" w16cid:durableId="1699163479">
    <w:abstractNumId w:val="0"/>
  </w:num>
  <w:num w:numId="2" w16cid:durableId="106433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45"/>
    <w:rsid w:val="00006904"/>
    <w:rsid w:val="000164FF"/>
    <w:rsid w:val="000226DD"/>
    <w:rsid w:val="00033035"/>
    <w:rsid w:val="00037F5B"/>
    <w:rsid w:val="00041A5E"/>
    <w:rsid w:val="00073C3F"/>
    <w:rsid w:val="00092ADF"/>
    <w:rsid w:val="000A5172"/>
    <w:rsid w:val="000A55EB"/>
    <w:rsid w:val="000B028A"/>
    <w:rsid w:val="000B21A7"/>
    <w:rsid w:val="000C105D"/>
    <w:rsid w:val="000C4A53"/>
    <w:rsid w:val="000C5B6D"/>
    <w:rsid w:val="000D64AF"/>
    <w:rsid w:val="000D658E"/>
    <w:rsid w:val="000E196A"/>
    <w:rsid w:val="000E2537"/>
    <w:rsid w:val="000E7F2A"/>
    <w:rsid w:val="000F5B45"/>
    <w:rsid w:val="00110B0D"/>
    <w:rsid w:val="001146D7"/>
    <w:rsid w:val="00116788"/>
    <w:rsid w:val="001226A3"/>
    <w:rsid w:val="00125973"/>
    <w:rsid w:val="00131EFE"/>
    <w:rsid w:val="00144924"/>
    <w:rsid w:val="0017736B"/>
    <w:rsid w:val="00183837"/>
    <w:rsid w:val="00192A34"/>
    <w:rsid w:val="00196DA3"/>
    <w:rsid w:val="001A5F36"/>
    <w:rsid w:val="001B3E1C"/>
    <w:rsid w:val="001B53EB"/>
    <w:rsid w:val="001C6BC1"/>
    <w:rsid w:val="001D7B2D"/>
    <w:rsid w:val="001E0C0A"/>
    <w:rsid w:val="001E4C0B"/>
    <w:rsid w:val="001E588B"/>
    <w:rsid w:val="002038A4"/>
    <w:rsid w:val="00210AB6"/>
    <w:rsid w:val="00214904"/>
    <w:rsid w:val="002624C0"/>
    <w:rsid w:val="0028076B"/>
    <w:rsid w:val="0028507D"/>
    <w:rsid w:val="00286F4C"/>
    <w:rsid w:val="002B4626"/>
    <w:rsid w:val="002D177C"/>
    <w:rsid w:val="00303DFA"/>
    <w:rsid w:val="00315975"/>
    <w:rsid w:val="00323A1B"/>
    <w:rsid w:val="003570A6"/>
    <w:rsid w:val="00365EE3"/>
    <w:rsid w:val="00382433"/>
    <w:rsid w:val="003856F0"/>
    <w:rsid w:val="003C2E90"/>
    <w:rsid w:val="003D1D77"/>
    <w:rsid w:val="00404DC1"/>
    <w:rsid w:val="00406B83"/>
    <w:rsid w:val="004167B1"/>
    <w:rsid w:val="00421627"/>
    <w:rsid w:val="00445CA5"/>
    <w:rsid w:val="00450C9D"/>
    <w:rsid w:val="00451B18"/>
    <w:rsid w:val="0047014E"/>
    <w:rsid w:val="004A3380"/>
    <w:rsid w:val="004B3942"/>
    <w:rsid w:val="004B4C4A"/>
    <w:rsid w:val="004D0C52"/>
    <w:rsid w:val="004D3306"/>
    <w:rsid w:val="004E3A51"/>
    <w:rsid w:val="004F24BF"/>
    <w:rsid w:val="00504A7D"/>
    <w:rsid w:val="0050578C"/>
    <w:rsid w:val="00505CDA"/>
    <w:rsid w:val="00522F49"/>
    <w:rsid w:val="0052304D"/>
    <w:rsid w:val="00532C60"/>
    <w:rsid w:val="005575AB"/>
    <w:rsid w:val="00571AF6"/>
    <w:rsid w:val="005739F7"/>
    <w:rsid w:val="00574412"/>
    <w:rsid w:val="00586400"/>
    <w:rsid w:val="0059287E"/>
    <w:rsid w:val="0059544C"/>
    <w:rsid w:val="005B6D7E"/>
    <w:rsid w:val="005B7432"/>
    <w:rsid w:val="005C68FA"/>
    <w:rsid w:val="005D4A2F"/>
    <w:rsid w:val="005E5BC1"/>
    <w:rsid w:val="005E7A39"/>
    <w:rsid w:val="005F331E"/>
    <w:rsid w:val="005F4F39"/>
    <w:rsid w:val="006732E0"/>
    <w:rsid w:val="0067337F"/>
    <w:rsid w:val="006944A6"/>
    <w:rsid w:val="006A14C7"/>
    <w:rsid w:val="006A1805"/>
    <w:rsid w:val="006B19CF"/>
    <w:rsid w:val="006C55DF"/>
    <w:rsid w:val="006C701C"/>
    <w:rsid w:val="006D1850"/>
    <w:rsid w:val="006D3295"/>
    <w:rsid w:val="007003BA"/>
    <w:rsid w:val="0071265B"/>
    <w:rsid w:val="00714383"/>
    <w:rsid w:val="00722E25"/>
    <w:rsid w:val="00725569"/>
    <w:rsid w:val="0074016D"/>
    <w:rsid w:val="007503DE"/>
    <w:rsid w:val="0075166E"/>
    <w:rsid w:val="00766D18"/>
    <w:rsid w:val="0077203A"/>
    <w:rsid w:val="0077286E"/>
    <w:rsid w:val="007924C0"/>
    <w:rsid w:val="007955BD"/>
    <w:rsid w:val="007B0272"/>
    <w:rsid w:val="007B736C"/>
    <w:rsid w:val="007B7930"/>
    <w:rsid w:val="00810766"/>
    <w:rsid w:val="00832B96"/>
    <w:rsid w:val="00837302"/>
    <w:rsid w:val="00843A8F"/>
    <w:rsid w:val="00843D08"/>
    <w:rsid w:val="00844CDC"/>
    <w:rsid w:val="00852214"/>
    <w:rsid w:val="008525B6"/>
    <w:rsid w:val="00857A56"/>
    <w:rsid w:val="008635C3"/>
    <w:rsid w:val="008659FC"/>
    <w:rsid w:val="008701C9"/>
    <w:rsid w:val="00882F89"/>
    <w:rsid w:val="008911AA"/>
    <w:rsid w:val="00895CC9"/>
    <w:rsid w:val="008A1C26"/>
    <w:rsid w:val="008A59DB"/>
    <w:rsid w:val="00924807"/>
    <w:rsid w:val="009249A1"/>
    <w:rsid w:val="009252BA"/>
    <w:rsid w:val="00926C5E"/>
    <w:rsid w:val="009311D6"/>
    <w:rsid w:val="00934026"/>
    <w:rsid w:val="009567AA"/>
    <w:rsid w:val="00957FF7"/>
    <w:rsid w:val="009606FF"/>
    <w:rsid w:val="009749D0"/>
    <w:rsid w:val="00982272"/>
    <w:rsid w:val="009862AE"/>
    <w:rsid w:val="00986875"/>
    <w:rsid w:val="009C4C50"/>
    <w:rsid w:val="009C75DE"/>
    <w:rsid w:val="00A07B4F"/>
    <w:rsid w:val="00A118AB"/>
    <w:rsid w:val="00A2139F"/>
    <w:rsid w:val="00A24F56"/>
    <w:rsid w:val="00A27F37"/>
    <w:rsid w:val="00A356CD"/>
    <w:rsid w:val="00A47954"/>
    <w:rsid w:val="00A54226"/>
    <w:rsid w:val="00A675AD"/>
    <w:rsid w:val="00A74A15"/>
    <w:rsid w:val="00A86C49"/>
    <w:rsid w:val="00A90B9D"/>
    <w:rsid w:val="00AB4434"/>
    <w:rsid w:val="00AD05DC"/>
    <w:rsid w:val="00AD610A"/>
    <w:rsid w:val="00AD7885"/>
    <w:rsid w:val="00AD7ED6"/>
    <w:rsid w:val="00AE5FBD"/>
    <w:rsid w:val="00AF3E56"/>
    <w:rsid w:val="00AF7FB3"/>
    <w:rsid w:val="00B176CB"/>
    <w:rsid w:val="00B2420C"/>
    <w:rsid w:val="00B40E01"/>
    <w:rsid w:val="00B41FD7"/>
    <w:rsid w:val="00B5476B"/>
    <w:rsid w:val="00B54E00"/>
    <w:rsid w:val="00B5742F"/>
    <w:rsid w:val="00B6563D"/>
    <w:rsid w:val="00B74A3B"/>
    <w:rsid w:val="00BB12DF"/>
    <w:rsid w:val="00BC6501"/>
    <w:rsid w:val="00BC6A96"/>
    <w:rsid w:val="00C17F96"/>
    <w:rsid w:val="00C23CAE"/>
    <w:rsid w:val="00C4391B"/>
    <w:rsid w:val="00C6641D"/>
    <w:rsid w:val="00C671AE"/>
    <w:rsid w:val="00C759FE"/>
    <w:rsid w:val="00C97E35"/>
    <w:rsid w:val="00CB13F3"/>
    <w:rsid w:val="00CB4AC8"/>
    <w:rsid w:val="00CC1B27"/>
    <w:rsid w:val="00CD3632"/>
    <w:rsid w:val="00CE0F36"/>
    <w:rsid w:val="00CE7FC6"/>
    <w:rsid w:val="00D03A09"/>
    <w:rsid w:val="00D04AB0"/>
    <w:rsid w:val="00D207DD"/>
    <w:rsid w:val="00D21148"/>
    <w:rsid w:val="00D23B0E"/>
    <w:rsid w:val="00D32207"/>
    <w:rsid w:val="00D46B9E"/>
    <w:rsid w:val="00D6663B"/>
    <w:rsid w:val="00D71BCE"/>
    <w:rsid w:val="00D855DB"/>
    <w:rsid w:val="00D9013E"/>
    <w:rsid w:val="00DA230C"/>
    <w:rsid w:val="00DB7AFE"/>
    <w:rsid w:val="00DC3634"/>
    <w:rsid w:val="00DC7828"/>
    <w:rsid w:val="00DD284C"/>
    <w:rsid w:val="00DD2E9A"/>
    <w:rsid w:val="00E00ECD"/>
    <w:rsid w:val="00E04440"/>
    <w:rsid w:val="00E05620"/>
    <w:rsid w:val="00E05DB2"/>
    <w:rsid w:val="00E1581C"/>
    <w:rsid w:val="00E207AF"/>
    <w:rsid w:val="00E26D58"/>
    <w:rsid w:val="00E27C17"/>
    <w:rsid w:val="00E474C4"/>
    <w:rsid w:val="00E52A85"/>
    <w:rsid w:val="00E73780"/>
    <w:rsid w:val="00E754CB"/>
    <w:rsid w:val="00E75DAA"/>
    <w:rsid w:val="00E85597"/>
    <w:rsid w:val="00E91C91"/>
    <w:rsid w:val="00E91E85"/>
    <w:rsid w:val="00E93132"/>
    <w:rsid w:val="00EA131F"/>
    <w:rsid w:val="00EA23CE"/>
    <w:rsid w:val="00EE331E"/>
    <w:rsid w:val="00EE5C6A"/>
    <w:rsid w:val="00EF684A"/>
    <w:rsid w:val="00F11911"/>
    <w:rsid w:val="00F13CAA"/>
    <w:rsid w:val="00F24307"/>
    <w:rsid w:val="00F37AD4"/>
    <w:rsid w:val="00F42D56"/>
    <w:rsid w:val="00F52DD1"/>
    <w:rsid w:val="00F90287"/>
    <w:rsid w:val="00FA0BBD"/>
    <w:rsid w:val="00FA5C7D"/>
    <w:rsid w:val="00FB1150"/>
    <w:rsid w:val="00FD59CB"/>
    <w:rsid w:val="00FF3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4151"/>
  <w15:docId w15:val="{106A9B9D-B700-43DC-82B2-A9199B2E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spacing w:before="225"/>
      <w:ind w:left="874"/>
      <w:jc w:val="both"/>
      <w:outlineLvl w:val="0"/>
    </w:pPr>
    <w:rPr>
      <w:sz w:val="28"/>
      <w:szCs w:val="28"/>
    </w:rPr>
  </w:style>
  <w:style w:type="paragraph" w:styleId="Nagwek2">
    <w:name w:val="heading 2"/>
    <w:basedOn w:val="Normalny"/>
    <w:uiPriority w:val="1"/>
    <w:qFormat/>
    <w:pPr>
      <w:spacing w:before="113"/>
      <w:ind w:left="874"/>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73" w:right="728"/>
      <w:jc w:val="both"/>
    </w:pPr>
    <w:rPr>
      <w:sz w:val="20"/>
      <w:szCs w:val="20"/>
    </w:rPr>
  </w:style>
  <w:style w:type="paragraph" w:styleId="Tytu">
    <w:name w:val="Title"/>
    <w:basedOn w:val="Normalny"/>
    <w:uiPriority w:val="1"/>
    <w:qFormat/>
    <w:pPr>
      <w:ind w:left="874"/>
      <w:jc w:val="both"/>
    </w:pPr>
    <w:rPr>
      <w:sz w:val="48"/>
      <w:szCs w:val="48"/>
    </w:rPr>
  </w:style>
  <w:style w:type="paragraph" w:styleId="Akapitzlist">
    <w:name w:val="List Paragraph"/>
    <w:basedOn w:val="Normalny"/>
    <w:uiPriority w:val="1"/>
    <w:qFormat/>
    <w:pPr>
      <w:ind w:left="873" w:hanging="360"/>
    </w:pPr>
  </w:style>
  <w:style w:type="paragraph" w:customStyle="1" w:styleId="TableParagraph">
    <w:name w:val="Table Paragraph"/>
    <w:basedOn w:val="Normalny"/>
    <w:uiPriority w:val="1"/>
    <w:qFormat/>
  </w:style>
  <w:style w:type="paragraph" w:styleId="Poprawka">
    <w:name w:val="Revision"/>
    <w:hidden/>
    <w:uiPriority w:val="99"/>
    <w:semiHidden/>
    <w:rsid w:val="001B3E1C"/>
    <w:pPr>
      <w:widowControl/>
      <w:autoSpaceDE/>
      <w:autoSpaceDN/>
    </w:pPr>
    <w:rPr>
      <w:rFonts w:ascii="Calibri" w:eastAsia="Calibri" w:hAnsi="Calibri" w:cs="Calibri"/>
      <w:lang w:val="pl-PL"/>
    </w:rPr>
  </w:style>
  <w:style w:type="character" w:styleId="Hipercze">
    <w:name w:val="Hyperlink"/>
    <w:basedOn w:val="Domylnaczcionkaakapitu"/>
    <w:uiPriority w:val="99"/>
    <w:unhideWhenUsed/>
    <w:rsid w:val="00586400"/>
    <w:rPr>
      <w:color w:val="0000FF" w:themeColor="hyperlink"/>
      <w:u w:val="single"/>
    </w:rPr>
  </w:style>
  <w:style w:type="character" w:styleId="Nierozpoznanawzmianka">
    <w:name w:val="Unresolved Mention"/>
    <w:basedOn w:val="Domylnaczcionkaakapitu"/>
    <w:uiPriority w:val="99"/>
    <w:semiHidden/>
    <w:unhideWhenUsed/>
    <w:rsid w:val="00586400"/>
    <w:rPr>
      <w:color w:val="605E5C"/>
      <w:shd w:val="clear" w:color="auto" w:fill="E1DFDD"/>
    </w:rPr>
  </w:style>
  <w:style w:type="paragraph" w:styleId="NormalnyWeb">
    <w:name w:val="Normal (Web)"/>
    <w:basedOn w:val="Normalny"/>
    <w:uiPriority w:val="99"/>
    <w:semiHidden/>
    <w:unhideWhenUsed/>
    <w:rsid w:val="00810766"/>
    <w:rPr>
      <w:rFonts w:ascii="Times New Roman" w:hAnsi="Times New Roman" w:cs="Times New Roman"/>
      <w:sz w:val="24"/>
      <w:szCs w:val="24"/>
    </w:rPr>
  </w:style>
  <w:style w:type="paragraph" w:styleId="Nagwek">
    <w:name w:val="header"/>
    <w:basedOn w:val="Normalny"/>
    <w:link w:val="NagwekZnak"/>
    <w:uiPriority w:val="99"/>
    <w:unhideWhenUsed/>
    <w:rsid w:val="00C23CAE"/>
    <w:pPr>
      <w:tabs>
        <w:tab w:val="center" w:pos="4536"/>
        <w:tab w:val="right" w:pos="9072"/>
      </w:tabs>
    </w:pPr>
  </w:style>
  <w:style w:type="character" w:customStyle="1" w:styleId="NagwekZnak">
    <w:name w:val="Nagłówek Znak"/>
    <w:basedOn w:val="Domylnaczcionkaakapitu"/>
    <w:link w:val="Nagwek"/>
    <w:uiPriority w:val="99"/>
    <w:rsid w:val="00C23CAE"/>
    <w:rPr>
      <w:rFonts w:ascii="Calibri" w:eastAsia="Calibri" w:hAnsi="Calibri" w:cs="Calibri"/>
      <w:lang w:val="pl-PL"/>
    </w:rPr>
  </w:style>
  <w:style w:type="paragraph" w:styleId="Stopka">
    <w:name w:val="footer"/>
    <w:basedOn w:val="Normalny"/>
    <w:link w:val="StopkaZnak"/>
    <w:uiPriority w:val="99"/>
    <w:unhideWhenUsed/>
    <w:rsid w:val="00C23CAE"/>
    <w:pPr>
      <w:tabs>
        <w:tab w:val="center" w:pos="4536"/>
        <w:tab w:val="right" w:pos="9072"/>
      </w:tabs>
    </w:pPr>
  </w:style>
  <w:style w:type="character" w:customStyle="1" w:styleId="StopkaZnak">
    <w:name w:val="Stopka Znak"/>
    <w:basedOn w:val="Domylnaczcionkaakapitu"/>
    <w:link w:val="Stopka"/>
    <w:uiPriority w:val="99"/>
    <w:rsid w:val="00C23CAE"/>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sites/eng-press/pages/search.aspx?i=003-3347599-3746959" TargetMode="External"/><Relationship Id="rId21" Type="http://schemas.openxmlformats.org/officeDocument/2006/relationships/header" Target="header2.xml"/><Relationship Id="rId42" Type="http://schemas.openxmlformats.org/officeDocument/2006/relationships/hyperlink" Target="http://hudoc.echr.coe.int/eng-press?i=003-7021990-9472889" TargetMode="External"/><Relationship Id="rId63" Type="http://schemas.openxmlformats.org/officeDocument/2006/relationships/hyperlink" Target="http://hudoc.echr.coe.int/sites/eng/pages/search.aspx?i=001-75510" TargetMode="External"/><Relationship Id="rId84" Type="http://schemas.openxmlformats.org/officeDocument/2006/relationships/hyperlink" Target="https://hudoc.echr.coe.int/eng?i=001-211272" TargetMode="External"/><Relationship Id="rId138" Type="http://schemas.openxmlformats.org/officeDocument/2006/relationships/hyperlink" Target="http://hudoc.echr.coe.int/sites/eng-press/pages/search.aspx?i=003-2142546-2275681" TargetMode="External"/><Relationship Id="rId107" Type="http://schemas.openxmlformats.org/officeDocument/2006/relationships/hyperlink" Target="http://conventions.coe.int/Treaty/EN/Treaties/Html/085.htm" TargetMode="External"/><Relationship Id="rId11" Type="http://schemas.openxmlformats.org/officeDocument/2006/relationships/hyperlink" Target="https://www.echr.coe.int/documents/d/echr/Convention_ENG" TargetMode="External"/><Relationship Id="rId32" Type="http://schemas.openxmlformats.org/officeDocument/2006/relationships/hyperlink" Target="http://hudoc.echr.coe.int/eng?i=001-170661" TargetMode="External"/><Relationship Id="rId53" Type="http://schemas.openxmlformats.org/officeDocument/2006/relationships/hyperlink" Target="http://hudoc.echr.coe.int/sites/eng/pages/search.aspx?i=003-3572989-4042106" TargetMode="External"/><Relationship Id="rId74" Type="http://schemas.openxmlformats.org/officeDocument/2006/relationships/hyperlink" Target="http://hudoc.echr.coe.int/sites/eng-press/pages/search.aspx?i=003-1736071-1820318" TargetMode="External"/><Relationship Id="rId128" Type="http://schemas.openxmlformats.org/officeDocument/2006/relationships/hyperlink" Target="https://www.coe.int/en/web/european-commission-against-racism-and-intolerance/hungary"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hudoc.echr.coe.int/eng?i=001-57534" TargetMode="External"/><Relationship Id="rId22" Type="http://schemas.openxmlformats.org/officeDocument/2006/relationships/footer" Target="footer1.xml"/><Relationship Id="rId27" Type="http://schemas.openxmlformats.org/officeDocument/2006/relationships/hyperlink" Target="http://hudoc.echr.coe.int/fre-press?i=003-6346648-8304284" TargetMode="External"/><Relationship Id="rId43" Type="http://schemas.openxmlformats.org/officeDocument/2006/relationships/hyperlink" Target="https://hudoc.echr.coe.int/eng-press?i=003-7205781-9790608" TargetMode="External"/><Relationship Id="rId48" Type="http://schemas.openxmlformats.org/officeDocument/2006/relationships/hyperlink" Target="https://hudoc.echr.coe.int/eng?i=002-13310" TargetMode="External"/><Relationship Id="rId64" Type="http://schemas.openxmlformats.org/officeDocument/2006/relationships/hyperlink" Target="http://hudoc.echr.coe.int/eng?i=002-2353" TargetMode="External"/><Relationship Id="rId69" Type="http://schemas.openxmlformats.org/officeDocument/2006/relationships/hyperlink" Target="http://hudoc.echr.coe.int/sites/eng/pages/search.aspx?i=001-115861" TargetMode="External"/><Relationship Id="rId113" Type="http://schemas.openxmlformats.org/officeDocument/2006/relationships/hyperlink" Target="http://hudoc.echr.coe.int/eng?i=001-57525" TargetMode="External"/><Relationship Id="rId118" Type="http://schemas.openxmlformats.org/officeDocument/2006/relationships/hyperlink" Target="http://hudoc.echr.coe.int/sites/eng-press/pages/search.aspx?i=003-3347599-3746959" TargetMode="External"/><Relationship Id="rId134" Type="http://schemas.openxmlformats.org/officeDocument/2006/relationships/hyperlink" Target="https://hudoc.echr.coe.int/eng-press?i=003-7163424-9717430" TargetMode="External"/><Relationship Id="rId139" Type="http://schemas.openxmlformats.org/officeDocument/2006/relationships/hyperlink" Target="http://hudoc.echr.coe.int/sites/eng-press/pages/search.aspx?i=003-3392893-3805654" TargetMode="External"/><Relationship Id="rId80" Type="http://schemas.openxmlformats.org/officeDocument/2006/relationships/hyperlink" Target="https://hudoc.echr.coe.int/eng-press?i=003-7374203-10078546" TargetMode="External"/><Relationship Id="rId85" Type="http://schemas.openxmlformats.org/officeDocument/2006/relationships/hyperlink" Target="http://hudoc.echr.coe.int/eng?i=001-184370" TargetMode="External"/><Relationship Id="rId150" Type="http://schemas.openxmlformats.org/officeDocument/2006/relationships/theme" Target="theme/theme1.xml"/><Relationship Id="rId12" Type="http://schemas.openxmlformats.org/officeDocument/2006/relationships/hyperlink" Target="http://www.echr.coe.int/Documents/FS_Child_abductions_ENG.pdf" TargetMode="External"/><Relationship Id="rId17" Type="http://schemas.openxmlformats.org/officeDocument/2006/relationships/hyperlink" Target="http://hudoc.echr.coe.int/sites/eng-press/pages/search.aspx?i=003-2794524-3059566" TargetMode="External"/><Relationship Id="rId33" Type="http://schemas.openxmlformats.org/officeDocument/2006/relationships/hyperlink" Target="http://hudoc.echr.coe.int/eng?i=001-170661" TargetMode="External"/><Relationship Id="rId38" Type="http://schemas.openxmlformats.org/officeDocument/2006/relationships/hyperlink" Target="http://hudoc.echr.coe.int/eng-press?i=003-6380685-8364782" TargetMode="External"/><Relationship Id="rId59" Type="http://schemas.openxmlformats.org/officeDocument/2006/relationships/hyperlink" Target="http://hudoc.echr.coe.int/eng-press?i=003-5288101-6577105" TargetMode="External"/><Relationship Id="rId103" Type="http://schemas.openxmlformats.org/officeDocument/2006/relationships/hyperlink" Target="http://hudoc.echr.coe.int/eng?i=001-191930" TargetMode="External"/><Relationship Id="rId108" Type="http://schemas.openxmlformats.org/officeDocument/2006/relationships/hyperlink" Target="http://conventions.coe.int/Treaty/EN/Treaties/Html/085.htm" TargetMode="External"/><Relationship Id="rId124" Type="http://schemas.openxmlformats.org/officeDocument/2006/relationships/hyperlink" Target="http://hudoc.echr.coe.int/eng-press?i=003-6822872-9130720" TargetMode="External"/><Relationship Id="rId129" Type="http://schemas.openxmlformats.org/officeDocument/2006/relationships/hyperlink" Target="https://www.coe.int/en/web/european-commission-against-racism-and-intolerance/hungary" TargetMode="External"/><Relationship Id="rId54" Type="http://schemas.openxmlformats.org/officeDocument/2006/relationships/hyperlink" Target="http://hudoc.echr.coe.int/sites/eng-press/pages/search.aspx?i=003-4448990-5354312" TargetMode="External"/><Relationship Id="rId70" Type="http://schemas.openxmlformats.org/officeDocument/2006/relationships/hyperlink" Target="http://hudoc.echr.coe.int/sites/fra/pages/search.aspx?i=001-115864" TargetMode="External"/><Relationship Id="rId75" Type="http://schemas.openxmlformats.org/officeDocument/2006/relationships/hyperlink" Target="http://hudoc.echr.coe.int/sites/eng-press/pages/search.aspx?i=003-3844592-4417275" TargetMode="External"/><Relationship Id="rId91" Type="http://schemas.openxmlformats.org/officeDocument/2006/relationships/hyperlink" Target="http://hudoc.echr.coe.int/sites/eng-press/pages/search.aspx?i=003-2801594-3071237" TargetMode="External"/><Relationship Id="rId96" Type="http://schemas.openxmlformats.org/officeDocument/2006/relationships/hyperlink" Target="http://hudoc.echr.coe.int/eng?i=001-57505" TargetMode="External"/><Relationship Id="rId140" Type="http://schemas.openxmlformats.org/officeDocument/2006/relationships/hyperlink" Target="http://hudoc.echr.coe.int/sites/fra-press/pages/search.aspx?i=003-4124055-4855677" TargetMode="External"/><Relationship Id="rId145" Type="http://schemas.openxmlformats.org/officeDocument/2006/relationships/hyperlink" Target="http://hudoc.echr.coe.int/eng-press?i=003-6506071-858479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2.xml"/><Relationship Id="rId28" Type="http://schemas.openxmlformats.org/officeDocument/2006/relationships/header" Target="header4.xml"/><Relationship Id="rId49" Type="http://schemas.openxmlformats.org/officeDocument/2006/relationships/hyperlink" Target="https://hudoc.echr.coe.int/eng?i=003-5522102-6947169" TargetMode="External"/><Relationship Id="rId114" Type="http://schemas.openxmlformats.org/officeDocument/2006/relationships/hyperlink" Target="http://hudoc.echr.coe.int/sites/eng-press/pages/search.aspx?i=003-2176193-2313650" TargetMode="External"/><Relationship Id="rId119" Type="http://schemas.openxmlformats.org/officeDocument/2006/relationships/hyperlink" Target="http://hudoc.echr.coe.int/sites/fra-press/pages/search.aspx?i=003-4192106-4967450" TargetMode="External"/><Relationship Id="rId44" Type="http://schemas.openxmlformats.org/officeDocument/2006/relationships/hyperlink" Target="https://hudoc.echr.coe.int/fre-press?i=003-7305366-9961797" TargetMode="External"/><Relationship Id="rId60" Type="http://schemas.openxmlformats.org/officeDocument/2006/relationships/hyperlink" Target="http://hudoc.echr.coe.int/fre-press?i=003-6379531-8362554" TargetMode="External"/><Relationship Id="rId65" Type="http://schemas.openxmlformats.org/officeDocument/2006/relationships/hyperlink" Target="http://hudoc.echr.coe.int/eng?i=002-2353" TargetMode="External"/><Relationship Id="rId81" Type="http://schemas.openxmlformats.org/officeDocument/2006/relationships/hyperlink" Target="https://hudoc.echr.coe.int/eng?i=002-13904" TargetMode="External"/><Relationship Id="rId86" Type="http://schemas.openxmlformats.org/officeDocument/2006/relationships/hyperlink" Target="http://hudoc.echr.coe.int/fre?i=001-184371" TargetMode="External"/><Relationship Id="rId130" Type="http://schemas.openxmlformats.org/officeDocument/2006/relationships/hyperlink" Target="https://hudoc.echr.coe.int/eng?i=002-14052" TargetMode="External"/><Relationship Id="rId135" Type="http://schemas.openxmlformats.org/officeDocument/2006/relationships/hyperlink" Target="http://hudoc.echr.coe.int/sites/eng-press/pages/search.aspx?i=003-5078284-6252731" TargetMode="External"/><Relationship Id="rId13" Type="http://schemas.openxmlformats.org/officeDocument/2006/relationships/hyperlink" Target="http://www.echr.coe.int/Documents/FS_Parental_ENG.pdf" TargetMode="External"/><Relationship Id="rId18" Type="http://schemas.openxmlformats.org/officeDocument/2006/relationships/hyperlink" Target="http://hudoc.echr.coe.int/sites/eng-press/pages/search.aspx?i=003-4966422-6085817" TargetMode="External"/><Relationship Id="rId39" Type="http://schemas.openxmlformats.org/officeDocument/2006/relationships/hyperlink" Target="http://hudoc.echr.coe.int/eng-press?i=003-6380685-8364782" TargetMode="External"/><Relationship Id="rId109" Type="http://schemas.openxmlformats.org/officeDocument/2006/relationships/hyperlink" Target="http://conventions.coe.int/Treaty/EN/Treaties/Html/085.htm" TargetMode="External"/><Relationship Id="rId34" Type="http://schemas.openxmlformats.org/officeDocument/2006/relationships/hyperlink" Target="http://hudoc.echr.coe.int/sites/eng-press/pages/search.aspx?i=003-4865500-5943678" TargetMode="External"/><Relationship Id="rId50" Type="http://schemas.openxmlformats.org/officeDocument/2006/relationships/hyperlink" Target="http://hudoc.echr.coe.int/eng-press?i=003-6989051-9414707" TargetMode="External"/><Relationship Id="rId55" Type="http://schemas.openxmlformats.org/officeDocument/2006/relationships/hyperlink" Target="http://hudoc.echr.coe.int/sites/eng-press/pages/search.aspx?i=003-4817913-5875206" TargetMode="External"/><Relationship Id="rId76" Type="http://schemas.openxmlformats.org/officeDocument/2006/relationships/hyperlink" Target="http://hudoc.echr.coe.int/sites/fra-press/pages/search.aspx?i=003-4089584-4796295" TargetMode="External"/><Relationship Id="rId97" Type="http://schemas.openxmlformats.org/officeDocument/2006/relationships/hyperlink" Target="http://hudoc.echr.coe.int/sites/eng-press/pages/search.aspx?i=003-68283-68751" TargetMode="External"/><Relationship Id="rId104" Type="http://schemas.openxmlformats.org/officeDocument/2006/relationships/hyperlink" Target="http://hudoc.echr.coe.int/eng-press?i=003-5624969-7116247" TargetMode="External"/><Relationship Id="rId120" Type="http://schemas.openxmlformats.org/officeDocument/2006/relationships/hyperlink" Target="http://hudoc.echr.coe.int/sites/fra-press/pages/search.aspx?i=003-4192106-4967450" TargetMode="External"/><Relationship Id="rId125" Type="http://schemas.openxmlformats.org/officeDocument/2006/relationships/hyperlink" Target="https://hudoc.echr.coe.int/eng?i=002-13669" TargetMode="External"/><Relationship Id="rId141" Type="http://schemas.openxmlformats.org/officeDocument/2006/relationships/hyperlink" Target="http://hudoc.echr.coe.int/sites/eng-press/pages/search.aspx?i=003-4868983-5948734" TargetMode="External"/><Relationship Id="rId146" Type="http://schemas.openxmlformats.org/officeDocument/2006/relationships/hyperlink" Target="http://hudoc.echr.coe.int/eng-press?i=003-6551168-8664199" TargetMode="External"/><Relationship Id="rId7" Type="http://schemas.openxmlformats.org/officeDocument/2006/relationships/endnotes" Target="endnotes.xml"/><Relationship Id="rId71" Type="http://schemas.openxmlformats.org/officeDocument/2006/relationships/hyperlink" Target="http://hudoc.echr.coe.int/eng?i=001-142457" TargetMode="External"/><Relationship Id="rId92" Type="http://schemas.openxmlformats.org/officeDocument/2006/relationships/hyperlink" Target="http://hudoc.echr.coe.int/sites/eng/pages/search.aspx?i=002-926" TargetMode="External"/><Relationship Id="rId2" Type="http://schemas.openxmlformats.org/officeDocument/2006/relationships/numbering" Target="numbering.xml"/><Relationship Id="rId29" Type="http://schemas.openxmlformats.org/officeDocument/2006/relationships/footer" Target="footer4.xml"/><Relationship Id="rId24" Type="http://schemas.openxmlformats.org/officeDocument/2006/relationships/header" Target="header3.xml"/><Relationship Id="rId40" Type="http://schemas.openxmlformats.org/officeDocument/2006/relationships/hyperlink" Target="http://hudoc.echr.coe.int/eng?i=003-6589814-8731890" TargetMode="External"/><Relationship Id="rId45" Type="http://schemas.openxmlformats.org/officeDocument/2006/relationships/hyperlink" Target="https://hudoc.echr.coe.int/fre-press?i=003-7497177-10286969" TargetMode="External"/><Relationship Id="rId66" Type="http://schemas.openxmlformats.org/officeDocument/2006/relationships/hyperlink" Target="http://hudoc.echr.coe.int/sites/eng/pages/search.aspx?i=003-2727681-2979041" TargetMode="External"/><Relationship Id="rId87" Type="http://schemas.openxmlformats.org/officeDocument/2006/relationships/hyperlink" Target="https://hudoc.echr.coe.int/eng?i=001-211272" TargetMode="External"/><Relationship Id="rId110" Type="http://schemas.openxmlformats.org/officeDocument/2006/relationships/hyperlink" Target="http://conventions.coe.int/Treaty/EN/Treaties/Html/085.htm" TargetMode="External"/><Relationship Id="rId115" Type="http://schemas.openxmlformats.org/officeDocument/2006/relationships/hyperlink" Target="http://hudoc.echr.coe.int/sites/eng-press/pages/search.aspx?i=003-3069606-3394560" TargetMode="External"/><Relationship Id="rId131" Type="http://schemas.openxmlformats.org/officeDocument/2006/relationships/hyperlink" Target="http://www.echr.coe.int/Documents/Convention_ENG.pdf" TargetMode="External"/><Relationship Id="rId136" Type="http://schemas.openxmlformats.org/officeDocument/2006/relationships/hyperlink" Target="http://hudoc.echr.coe.int/sites/eng-press/pages/search.aspx?i=003-1532826-1603961" TargetMode="External"/><Relationship Id="rId61" Type="http://schemas.openxmlformats.org/officeDocument/2006/relationships/hyperlink" Target="http://hudoc.echr.coe.int/sites/eng-press/pages/search.aspx?i=003-489754-491011" TargetMode="External"/><Relationship Id="rId82" Type="http://schemas.openxmlformats.org/officeDocument/2006/relationships/hyperlink" Target="http://hudoc.echr.coe.int/eng?i=001-184370" TargetMode="External"/><Relationship Id="rId19" Type="http://schemas.openxmlformats.org/officeDocument/2006/relationships/image" Target="media/image3.png"/><Relationship Id="rId14" Type="http://schemas.openxmlformats.org/officeDocument/2006/relationships/hyperlink" Target="http://www.echr.coe.int/Documents/FS_Minors_ENG.pdf" TargetMode="External"/><Relationship Id="rId30" Type="http://schemas.openxmlformats.org/officeDocument/2006/relationships/hyperlink" Target="http://hudoc.echr.coe.int/sites/eng-press/pages/search.aspx?i=003-4804617-5854908" TargetMode="External"/><Relationship Id="rId35" Type="http://schemas.openxmlformats.org/officeDocument/2006/relationships/hyperlink" Target="http://hudoc.echr.coe.int/eng-press?i=003-5608252-7087738" TargetMode="External"/><Relationship Id="rId56" Type="http://schemas.openxmlformats.org/officeDocument/2006/relationships/hyperlink" Target="http://hudoc.echr.coe.int/sites/eng-press/pages/search.aspx?i=003-4817913-5875206" TargetMode="External"/><Relationship Id="rId77" Type="http://schemas.openxmlformats.org/officeDocument/2006/relationships/hyperlink" Target="http://hudoc.echr.coe.int/sites/eng-press/pages/search.aspx?i=003-5117801-6312103" TargetMode="External"/><Relationship Id="rId100" Type="http://schemas.openxmlformats.org/officeDocument/2006/relationships/hyperlink" Target="http://hudoc.echr.coe.int/sites/eng-press/pages/search.aspx?i=003-1049247-1085914" TargetMode="External"/><Relationship Id="rId105" Type="http://schemas.openxmlformats.org/officeDocument/2006/relationships/hyperlink" Target="http://hudoc.echr.coe.int/sites/fra-press/pages/search.aspx?i=003-3703951-4218485" TargetMode="External"/><Relationship Id="rId126" Type="http://schemas.openxmlformats.org/officeDocument/2006/relationships/hyperlink" Target="https://hudoc.echr.coe.int/eng-press?i=003-7520346-10322827" TargetMode="External"/><Relationship Id="rId147" Type="http://schemas.openxmlformats.org/officeDocument/2006/relationships/hyperlink" Target="https://www.coe.int/en/web/children/home" TargetMode="External"/><Relationship Id="rId8" Type="http://schemas.openxmlformats.org/officeDocument/2006/relationships/image" Target="media/image1.png"/><Relationship Id="rId51" Type="http://schemas.openxmlformats.org/officeDocument/2006/relationships/hyperlink" Target="http://hudoc.echr.coe.int/sites/eng/pages/search.aspx?i=001-60012" TargetMode="External"/><Relationship Id="rId72" Type="http://schemas.openxmlformats.org/officeDocument/2006/relationships/hyperlink" Target="http://hudoc.echr.coe.int/eng?i=001-165374" TargetMode="External"/><Relationship Id="rId93" Type="http://schemas.openxmlformats.org/officeDocument/2006/relationships/hyperlink" Target="https://hudoc.echr.coe.int/eng-press?i=003-6829824-9142253" TargetMode="External"/><Relationship Id="rId98" Type="http://schemas.openxmlformats.org/officeDocument/2006/relationships/hyperlink" Target="http://hudoc.echr.coe.int/sites/eng-press/pages/search.aspx?i=003-1225832-1275689" TargetMode="External"/><Relationship Id="rId121" Type="http://schemas.openxmlformats.org/officeDocument/2006/relationships/hyperlink" Target="http://hudoc.echr.coe.int/sites/fra-press/pages/search.aspx?i=003-4239243-5042661" TargetMode="External"/><Relationship Id="rId142" Type="http://schemas.openxmlformats.org/officeDocument/2006/relationships/hyperlink" Target="http://hudoc.echr.coe.int/eng-press?i=003-5191095-6425350" TargetMode="External"/><Relationship Id="rId3" Type="http://schemas.openxmlformats.org/officeDocument/2006/relationships/styles" Target="styles.xml"/><Relationship Id="rId25" Type="http://schemas.openxmlformats.org/officeDocument/2006/relationships/footer" Target="footer3.xml"/><Relationship Id="rId46" Type="http://schemas.openxmlformats.org/officeDocument/2006/relationships/hyperlink" Target="https://hudoc.echr.coe.int/eng-press?i=003-7514285-10313040" TargetMode="External"/><Relationship Id="rId67" Type="http://schemas.openxmlformats.org/officeDocument/2006/relationships/hyperlink" Target="http://hudoc.echr.coe.int/sites/eng-press/pages/search.aspx?i=003-3192579-3553578" TargetMode="External"/><Relationship Id="rId116" Type="http://schemas.openxmlformats.org/officeDocument/2006/relationships/hyperlink" Target="http://hudoc.echr.coe.int/sites/eng-press/pages/search.aspx?i=003-2378798-2552166" TargetMode="External"/><Relationship Id="rId137" Type="http://schemas.openxmlformats.org/officeDocument/2006/relationships/hyperlink" Target="http://hudoc.echr.coe.int/sites/eng-press/pages/search.aspx?i=003-2044966-2162378" TargetMode="External"/><Relationship Id="rId20" Type="http://schemas.openxmlformats.org/officeDocument/2006/relationships/header" Target="header1.xml"/><Relationship Id="rId41" Type="http://schemas.openxmlformats.org/officeDocument/2006/relationships/hyperlink" Target="http://hudoc.echr.coe.int/eng-press?i=003-6748335-9004685" TargetMode="External"/><Relationship Id="rId62" Type="http://schemas.openxmlformats.org/officeDocument/2006/relationships/hyperlink" Target="http://hudoc.echr.coe.int/sites/eng/pages/search.aspx?i=001-57491" TargetMode="External"/><Relationship Id="rId83" Type="http://schemas.openxmlformats.org/officeDocument/2006/relationships/hyperlink" Target="http://hudoc.echr.coe.int/fre?i=001-184371" TargetMode="External"/><Relationship Id="rId88" Type="http://schemas.openxmlformats.org/officeDocument/2006/relationships/hyperlink" Target="http://hudoc.echr.coe.int/eng-press?i=003-5977739-7646199" TargetMode="External"/><Relationship Id="rId111" Type="http://schemas.openxmlformats.org/officeDocument/2006/relationships/hyperlink" Target="http://hudoc.echr.coe.int/sites/eng/pages/search.aspx?i=003-4417611-5309065" TargetMode="External"/><Relationship Id="rId132" Type="http://schemas.openxmlformats.org/officeDocument/2006/relationships/hyperlink" Target="http://www.echr.coe.int/Documents/Convention_ENG.pdf" TargetMode="External"/><Relationship Id="rId15" Type="http://schemas.openxmlformats.org/officeDocument/2006/relationships/hyperlink" Target="http://www.echr.coe.int/Documents/FS_Accompanied_migrant_minors_detention_ENG.pdf" TargetMode="External"/><Relationship Id="rId36" Type="http://schemas.openxmlformats.org/officeDocument/2006/relationships/hyperlink" Target="http://hudoc.echr.coe.int/eng-press?i=003-6380685-8364782" TargetMode="External"/><Relationship Id="rId57" Type="http://schemas.openxmlformats.org/officeDocument/2006/relationships/hyperlink" Target="http://hudoc.echr.coe.int/sites/eng/pages/search.aspx?i=001-145549" TargetMode="External"/><Relationship Id="rId106" Type="http://schemas.openxmlformats.org/officeDocument/2006/relationships/hyperlink" Target="http://conventions.coe.int/Treaty/EN/Treaties/Html/085.htm" TargetMode="External"/><Relationship Id="rId127" Type="http://schemas.openxmlformats.org/officeDocument/2006/relationships/hyperlink" Target="https://hudoc.echr.coe.int/eng-press?i=003-7611292-10472812" TargetMode="External"/><Relationship Id="rId10" Type="http://schemas.openxmlformats.org/officeDocument/2006/relationships/hyperlink" Target="https://www.echr.coe.int/documents/d/echr/Convention_ENG" TargetMode="External"/><Relationship Id="rId31" Type="http://schemas.openxmlformats.org/officeDocument/2006/relationships/hyperlink" Target="http://hudoc.echr.coe.int/eng?i=001-165462" TargetMode="External"/><Relationship Id="rId52" Type="http://schemas.openxmlformats.org/officeDocument/2006/relationships/hyperlink" Target="http://hudoc.echr.coe.int/sites/eng/pages/search.aspx?i=001-71439" TargetMode="External"/><Relationship Id="rId73" Type="http://schemas.openxmlformats.org/officeDocument/2006/relationships/hyperlink" Target="http://hudoc.echr.coe.int/sites/eng-press/pages/search.aspx?i=003-698999-707368" TargetMode="External"/><Relationship Id="rId78" Type="http://schemas.openxmlformats.org/officeDocument/2006/relationships/hyperlink" Target="http://hudoc.echr.coe.int/eng-press?i=003-5270641-6550056" TargetMode="External"/><Relationship Id="rId94" Type="http://schemas.openxmlformats.org/officeDocument/2006/relationships/hyperlink" Target="http://hudoc.echr.coe.int/sites/eng/pages/search.aspx?i=003-68489-68957" TargetMode="External"/><Relationship Id="rId99" Type="http://schemas.openxmlformats.org/officeDocument/2006/relationships/hyperlink" Target="http://hudoc.echr.coe.int/sites/eng-press/pages/search.aspx?i=003-68217-68685" TargetMode="External"/><Relationship Id="rId101" Type="http://schemas.openxmlformats.org/officeDocument/2006/relationships/hyperlink" Target="http://hudoc.echr.coe.int/sites/eng-press/pages/search.aspx?i=003-2739222-2991828" TargetMode="External"/><Relationship Id="rId122" Type="http://schemas.openxmlformats.org/officeDocument/2006/relationships/hyperlink" Target="http://hudoc.echr.coe.int/sites/eng-press/pages/search.aspx?i=003-4378378-5255719" TargetMode="External"/><Relationship Id="rId143" Type="http://schemas.openxmlformats.org/officeDocument/2006/relationships/hyperlink" Target="http://hudoc.echr.coe.int/eng?i=001-167176" TargetMode="External"/><Relationship Id="rId148" Type="http://schemas.openxmlformats.org/officeDocument/2006/relationships/hyperlink" Target="https://www.echr.coe.int/Documents/Handbook_rights_child_ENG.PDF"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hudoc.echr.coe.int/sites/eng-press/pages/search.aspx?i=003-5046054-6203327" TargetMode="External"/><Relationship Id="rId47" Type="http://schemas.openxmlformats.org/officeDocument/2006/relationships/hyperlink" Target="https://hudoc.echr.coe.int/eng?i=001-216348" TargetMode="External"/><Relationship Id="rId68" Type="http://schemas.openxmlformats.org/officeDocument/2006/relationships/hyperlink" Target="http://hudoc.echr.coe.int/sites/eng/pages/search.aspx?i=003-3577951-4048365" TargetMode="External"/><Relationship Id="rId89" Type="http://schemas.openxmlformats.org/officeDocument/2006/relationships/hyperlink" Target="http://hudoc.echr.coe.int/sites/eng-press/pages/search.aspx?i=003-2569490-2781270" TargetMode="External"/><Relationship Id="rId112" Type="http://schemas.openxmlformats.org/officeDocument/2006/relationships/hyperlink" Target="http://hudoc.echr.coe.int/eng?i=001-57525" TargetMode="External"/><Relationship Id="rId133" Type="http://schemas.openxmlformats.org/officeDocument/2006/relationships/hyperlink" Target="http://www.echr.coe.int/Documents/Convention_ENG.pdf" TargetMode="External"/><Relationship Id="rId16" Type="http://schemas.openxmlformats.org/officeDocument/2006/relationships/hyperlink" Target="http://www.echr.coe.int/Documents/FS_Unaccompanied_migrant_minors_detention_ENG.pdf" TargetMode="External"/><Relationship Id="rId37" Type="http://schemas.openxmlformats.org/officeDocument/2006/relationships/hyperlink" Target="http://hudoc.echr.coe.int/eng-press?i=003-6380685-8364782" TargetMode="External"/><Relationship Id="rId58" Type="http://schemas.openxmlformats.org/officeDocument/2006/relationships/hyperlink" Target="http://hudoc.echr.coe.int/eng-press?i=003-5338968-6657196" TargetMode="External"/><Relationship Id="rId79" Type="http://schemas.openxmlformats.org/officeDocument/2006/relationships/hyperlink" Target="https://hudoc.echr.coe.int/eng-press?i=003-7157151-9706557" TargetMode="External"/><Relationship Id="rId102" Type="http://schemas.openxmlformats.org/officeDocument/2006/relationships/hyperlink" Target="http://hudoc.echr.coe.int/sites/eng-press/pages/search.aspx?i=003-4250162-5059871" TargetMode="External"/><Relationship Id="rId123" Type="http://schemas.openxmlformats.org/officeDocument/2006/relationships/hyperlink" Target="http://www.echr.coe.int/Documents/FS_Roma_ENG.pdf" TargetMode="External"/><Relationship Id="rId144" Type="http://schemas.openxmlformats.org/officeDocument/2006/relationships/hyperlink" Target="http://hudoc.echr.coe.int/fre-press?i=003-6308622-8238141" TargetMode="External"/><Relationship Id="rId90" Type="http://schemas.openxmlformats.org/officeDocument/2006/relationships/hyperlink" Target="http://hudoc.echr.coe.int/sites/eng-press/pages/search.aspx?i=003-2801594-3071237"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3ACBE-B143-4775-BB5E-D38DDC1E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31</Pages>
  <Words>17141</Words>
  <Characters>102847</Characters>
  <Application>Microsoft Office Word</Application>
  <DocSecurity>0</DocSecurity>
  <Lines>857</Lines>
  <Paragraphs>239</Paragraphs>
  <ScaleCrop>false</ScaleCrop>
  <HeadingPairs>
    <vt:vector size="2" baseType="variant">
      <vt:variant>
        <vt:lpstr>Tytuł</vt:lpstr>
      </vt:variant>
      <vt:variant>
        <vt:i4>1</vt:i4>
      </vt:variant>
    </vt:vector>
  </HeadingPairs>
  <TitlesOfParts>
    <vt:vector size="1" baseType="lpstr">
      <vt:lpstr>FS_Childrens_ENG</vt:lpstr>
    </vt:vector>
  </TitlesOfParts>
  <Company/>
  <LinksUpToDate>false</LinksUpToDate>
  <CharactersWithSpaces>119749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FS_Childrens_ENG</dc:title>
  <dc:subject>FS_Childrens_ENG</dc:subject>
  <dc:creator>Stella Olga  (DWMPC)</dc:creator>
  <cp:keywords>, docId:3742BB532D241D7CEAB544E8F8CC8949</cp:keywords>
  <cp:lastModifiedBy>Szponar Paweł  (DWMPC)</cp:lastModifiedBy>
  <cp:revision>37</cp:revision>
  <dcterms:created xsi:type="dcterms:W3CDTF">2025-08-18T08:23:00Z</dcterms:created>
  <dcterms:modified xsi:type="dcterms:W3CDTF">2026-06-16T07:30:00Z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2023-04-24T00:00:00Z</vt:filetime>
  </property>
  <property fmtid="{D5CDD505-2E9C-101B-9397-08002B2CF9AE}" pid="3" name="Creator">
    <vt:lpwstr>Acrobat PDFMaker 23 for Word</vt:lpwstr>
  </property>
  <property fmtid="{D5CDD505-2E9C-101B-9397-08002B2CF9AE}" pid="4" name="eDOCS AutoSave">
    <vt:lpwstr/>
  </property>
  <property fmtid="{D5CDD505-2E9C-101B-9397-08002B2CF9AE}" pid="5" name="LastSaved">
    <vt:filetime>2025-08-18T00:00:00Z</vt:filetime>
  </property>
  <property fmtid="{D5CDD505-2E9C-101B-9397-08002B2CF9AE}" pid="6" name="OrigTemp">
    <vt:lpwstr>NEW_ Press_Country_Files.dot</vt:lpwstr>
  </property>
  <property fmtid="{D5CDD505-2E9C-101B-9397-08002B2CF9AE}" pid="7" name="Producer">
    <vt:lpwstr>Adobe PDF Library 23.1.175</vt:lpwstr>
  </property>
  <property fmtid="{D5CDD505-2E9C-101B-9397-08002B2CF9AE}" pid="8" name="SourceModified">
    <vt:lpwstr>D:20230424073646</vt:lpwstr>
  </property>
</Properties>
</file>