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319D" w:rsidRDefault="000B4CDF">
      <w:pPr>
        <w:tabs>
          <w:tab w:val="center" w:pos="1418"/>
        </w:tabs>
        <w:snapToGrid w:val="0"/>
        <w:ind w:right="15"/>
        <w:jc w:val="right"/>
      </w:pPr>
      <w:r>
        <w:rPr>
          <w:sz w:val="24"/>
          <w:szCs w:val="24"/>
        </w:rPr>
        <w:t xml:space="preserve">Łódź, </w:t>
      </w:r>
      <w:bookmarkStart w:id="0" w:name="EZDDataPodpisu"/>
      <w:r>
        <w:rPr>
          <w:sz w:val="24"/>
          <w:szCs w:val="24"/>
        </w:rPr>
        <w:t>5</w:t>
      </w:r>
      <w:bookmarkEnd w:id="0"/>
      <w:r>
        <w:rPr>
          <w:sz w:val="24"/>
          <w:szCs w:val="24"/>
        </w:rPr>
        <w:t xml:space="preserve"> lipca r.</w:t>
      </w:r>
    </w:p>
    <w:p w:rsidR="00BB319D" w:rsidRDefault="000B4CDF">
      <w:pPr>
        <w:tabs>
          <w:tab w:val="center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bookmarkStart w:id="1" w:name="ezdSprawaZnak"/>
      <w:r>
        <w:rPr>
          <w:sz w:val="24"/>
          <w:szCs w:val="24"/>
        </w:rPr>
        <w:t>GPB-II.7820.5.2023</w:t>
      </w:r>
      <w:bookmarkEnd w:id="1"/>
      <w:r>
        <w:rPr>
          <w:sz w:val="24"/>
          <w:szCs w:val="24"/>
        </w:rPr>
        <w:t>.IK</w:t>
      </w:r>
    </w:p>
    <w:p w:rsidR="00BB319D" w:rsidRDefault="000B4CDF">
      <w:pPr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DECYZJA  Nr  150  / 23 </w:t>
      </w:r>
    </w:p>
    <w:p w:rsidR="00BB319D" w:rsidRDefault="000B4CDF">
      <w:pPr>
        <w:snapToGrid w:val="0"/>
        <w:spacing w:after="283" w:line="360" w:lineRule="auto"/>
        <w:jc w:val="center"/>
        <w:rPr>
          <w:rFonts w:ascii="Calibri" w:hAnsi="Calibri"/>
          <w:sz w:val="24"/>
          <w:szCs w:val="24"/>
        </w:rPr>
      </w:pPr>
      <w:bookmarkStart w:id="2" w:name="_GoBack"/>
      <w:r>
        <w:rPr>
          <w:rFonts w:ascii="Calibri" w:hAnsi="Calibri"/>
          <w:b/>
          <w:sz w:val="24"/>
          <w:szCs w:val="24"/>
        </w:rPr>
        <w:t xml:space="preserve">o zezwoleniu na realizację inwestycji drogowej </w:t>
      </w:r>
    </w:p>
    <w:bookmarkEnd w:id="2"/>
    <w:p w:rsidR="00BB319D" w:rsidRDefault="000B4CDF">
      <w:p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Na podstawie art. 11a ust. 1, art. 11f ust. 1, art. 11i ust. 1, art. 17 i art. 23 ustawy z dnia 10 kwietnia 2003 r. o szczególnych zasadach przygotowania i realizacji inwestycji w zakresie dróg publicznych (t.j. Dz. U. z 2023 r. poz. 162 ze zm.), zwanej da</w:t>
      </w:r>
      <w:r>
        <w:rPr>
          <w:rFonts w:ascii="Calibri" w:hAnsi="Calibri"/>
          <w:sz w:val="24"/>
          <w:szCs w:val="24"/>
        </w:rPr>
        <w:t xml:space="preserve">lej </w:t>
      </w:r>
      <w:r>
        <w:rPr>
          <w:rFonts w:ascii="Calibri" w:hAnsi="Calibri"/>
          <w:i/>
          <w:sz w:val="24"/>
          <w:szCs w:val="24"/>
        </w:rPr>
        <w:t>specustawą</w:t>
      </w:r>
      <w:r>
        <w:rPr>
          <w:rFonts w:ascii="Calibri" w:hAnsi="Calibri"/>
          <w:sz w:val="24"/>
          <w:szCs w:val="24"/>
        </w:rPr>
        <w:t xml:space="preserve">, oraz art. 104 i 108 § 1 ustawy z dnia 14 czerwca 1960 r. – Kodeks postępowania administracyjnego (t.j. Dz. U. z 2023 r. poz. 775, ze zm.), zwanej dalej </w:t>
      </w:r>
      <w:r>
        <w:rPr>
          <w:rFonts w:ascii="Calibri" w:hAnsi="Calibri"/>
          <w:i/>
          <w:sz w:val="24"/>
          <w:szCs w:val="24"/>
        </w:rPr>
        <w:t>Kpa</w:t>
      </w:r>
      <w:r>
        <w:rPr>
          <w:rFonts w:ascii="Calibri" w:hAnsi="Calibri"/>
          <w:sz w:val="24"/>
          <w:szCs w:val="24"/>
        </w:rPr>
        <w:t>, po rozpatrzeniu wniosku z 24.03.2023 r., uzupełnionego i skorygowanego 24.05.2023 r</w:t>
      </w:r>
      <w:r>
        <w:rPr>
          <w:rFonts w:ascii="Calibri" w:hAnsi="Calibri"/>
          <w:sz w:val="24"/>
          <w:szCs w:val="24"/>
        </w:rPr>
        <w:t xml:space="preserve">., o wydanie decyzji o zezwoleniu na realizację inwestycji drogowej, </w:t>
      </w:r>
    </w:p>
    <w:p w:rsidR="00BB319D" w:rsidRDefault="000B4CDF">
      <w:pPr>
        <w:snapToGrid w:val="0"/>
        <w:spacing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udzielam </w:t>
      </w:r>
    </w:p>
    <w:p w:rsidR="00BB319D" w:rsidRDefault="000B4CDF">
      <w:pPr>
        <w:snapToGrid w:val="0"/>
        <w:spacing w:after="283" w:line="360" w:lineRule="auto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Burmistrzowi Aleksandrowa Łódzkiego </w:t>
      </w:r>
    </w:p>
    <w:p w:rsidR="00BB319D" w:rsidRDefault="000B4CDF">
      <w:pPr>
        <w:snapToGrid w:val="0"/>
        <w:spacing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Plac Kościuszki 2, 95-070 Aleksandrów Łódzki</w:t>
      </w:r>
    </w:p>
    <w:p w:rsidR="00BB319D" w:rsidRDefault="000B4CDF">
      <w:pPr>
        <w:snapToGrid w:val="0"/>
        <w:spacing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zezwolenia na realizację inwestycji drogowej </w:t>
      </w:r>
    </w:p>
    <w:p w:rsidR="00BB319D" w:rsidRDefault="000B4CDF">
      <w:p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w zakresie rozbudowy skrzyżowania drogi krajowej</w:t>
      </w:r>
      <w:r>
        <w:rPr>
          <w:rFonts w:ascii="Calibri" w:hAnsi="Calibri"/>
          <w:sz w:val="24"/>
          <w:szCs w:val="24"/>
        </w:rPr>
        <w:t xml:space="preserve"> Nr 71 z ul. Pabianicką w Aleksandrowie Łódzkim, w zakresie budowy ronda oraz przebudowy infrastruktury towarzyszącej w km od 23+686,45 do 23+786,14 drogi krajowej nr 71, </w:t>
      </w:r>
    </w:p>
    <w:p w:rsidR="00BB319D" w:rsidRDefault="000B4CDF">
      <w:pPr>
        <w:snapToGrid w:val="0"/>
        <w:spacing w:after="283" w:line="36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 tym dla potrzeb realizacji przedmiotowej inwestycji drogowej: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ind w:left="284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Zatwierdzam projekt</w:t>
      </w:r>
      <w:r>
        <w:rPr>
          <w:rFonts w:ascii="Calibri" w:hAnsi="Calibri"/>
          <w:b/>
          <w:sz w:val="24"/>
          <w:szCs w:val="24"/>
        </w:rPr>
        <w:t xml:space="preserve"> zagospodarowania terenu oraz projekt architektoniczno-budowlany </w:t>
      </w:r>
      <w:r>
        <w:rPr>
          <w:rFonts w:ascii="Calibri" w:hAnsi="Calibri"/>
          <w:sz w:val="24"/>
          <w:szCs w:val="24"/>
        </w:rPr>
        <w:t xml:space="preserve">dla zamierzenia inwestycyjnego obejmującego m.in.: 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budowę ronda,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budowę ścieżek rowerowych,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•</w:t>
      </w:r>
      <w:r>
        <w:rPr>
          <w:rFonts w:ascii="Calibri" w:hAnsi="Calibri"/>
          <w:sz w:val="24"/>
          <w:szCs w:val="24"/>
        </w:rPr>
        <w:tab/>
        <w:t>budowę ścieżek pieszo-rowerowych,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budowę i przebudowę chodników,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budowę i przebudowę ist</w:t>
      </w:r>
      <w:r>
        <w:rPr>
          <w:rFonts w:ascii="Calibri" w:hAnsi="Calibri"/>
          <w:sz w:val="24"/>
          <w:szCs w:val="24"/>
        </w:rPr>
        <w:t>niejącego kanału deszczowego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 xml:space="preserve">przebudowę istniejącego odwodnienia układu drogowego, 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przebudowę istniejącego kanału sanitarnego,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przebudowę istniejącego wodociągu,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przebudowę istniejącego oświetlenia ulicznego,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 xml:space="preserve">przebudowę istniejącej sieci </w:t>
      </w:r>
      <w:r>
        <w:rPr>
          <w:rFonts w:ascii="Calibri" w:hAnsi="Calibri"/>
          <w:sz w:val="24"/>
          <w:szCs w:val="24"/>
        </w:rPr>
        <w:t>elektroenergetycznej,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przebudowę istniejącej sieci telekomunikacyjnych,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przebudowę istniejącej sieci ciepłowniczej,</w:t>
      </w:r>
    </w:p>
    <w:p w:rsidR="00BB319D" w:rsidRDefault="000B4CDF">
      <w:pPr>
        <w:snapToGrid w:val="0"/>
        <w:spacing w:after="283" w:line="360" w:lineRule="auto"/>
        <w:ind w:left="1418" w:hanging="709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przebudowę innych dróg publicznych – ul. Pabianicka (droga powiatowa  nr 5165E)</w:t>
      </w:r>
    </w:p>
    <w:p w:rsidR="00BB319D" w:rsidRDefault="000B4CDF">
      <w:pPr>
        <w:snapToGrid w:val="0"/>
        <w:spacing w:after="283" w:line="360" w:lineRule="auto"/>
        <w:ind w:left="72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•</w:t>
      </w:r>
      <w:r>
        <w:rPr>
          <w:rFonts w:ascii="Calibri" w:hAnsi="Calibri"/>
          <w:sz w:val="24"/>
          <w:szCs w:val="24"/>
        </w:rPr>
        <w:tab/>
        <w:t>budowę i rozbiórkę tymczasowego by-passu sieci wodoc</w:t>
      </w:r>
      <w:r>
        <w:rPr>
          <w:rFonts w:ascii="Calibri" w:hAnsi="Calibri"/>
          <w:sz w:val="24"/>
          <w:szCs w:val="24"/>
        </w:rPr>
        <w:t>iągowej,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który opracowali niżej wymienieni projektanci: </w:t>
      </w:r>
    </w:p>
    <w:p w:rsidR="00BB319D" w:rsidRDefault="000B4CDF">
      <w:pPr>
        <w:numPr>
          <w:ilvl w:val="0"/>
          <w:numId w:val="13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mgr inż. Piotr Kropidłowski</w:t>
      </w:r>
      <w:r>
        <w:rPr>
          <w:rFonts w:ascii="Calibri" w:hAnsi="Calibri"/>
          <w:sz w:val="24"/>
          <w:szCs w:val="24"/>
        </w:rPr>
        <w:t xml:space="preserve">, posiadający uprawnienia budowlane Nr LOD/3084/PWBD/16, do projektowania bez ograniczeń w specjalności inżynieryjno-drogowej, wpisany na listę członków Łódzkiej Okręgowej </w:t>
      </w:r>
      <w:r>
        <w:rPr>
          <w:rFonts w:ascii="Calibri" w:hAnsi="Calibri"/>
          <w:sz w:val="24"/>
          <w:szCs w:val="24"/>
        </w:rPr>
        <w:t xml:space="preserve">Izby Inżynierów Budownictwa pod numerem ewidencyjnym ŁOD/BD/0064/17, </w:t>
      </w:r>
    </w:p>
    <w:p w:rsidR="00BB319D" w:rsidRDefault="000B4CDF">
      <w:pPr>
        <w:numPr>
          <w:ilvl w:val="0"/>
          <w:numId w:val="13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mgr inż. Adam Abramczyk</w:t>
      </w:r>
      <w:r>
        <w:rPr>
          <w:rFonts w:ascii="Calibri" w:hAnsi="Calibri"/>
          <w:sz w:val="24"/>
          <w:szCs w:val="24"/>
        </w:rPr>
        <w:t>, posiadający uprawnienia budowlane Nr LOD/2217/POOS/14, do projektowania bez ograniczeń w specjalności instalacyjnej w zakresie sieci, instalacji i urządzeń ciepl</w:t>
      </w:r>
      <w:r>
        <w:rPr>
          <w:rFonts w:ascii="Calibri" w:hAnsi="Calibri"/>
          <w:sz w:val="24"/>
          <w:szCs w:val="24"/>
        </w:rPr>
        <w:t xml:space="preserve">nych, wentylacyjnych, gazowych, wodociągowych i kanalizacyjnych, wpisany na listę członków </w:t>
      </w:r>
      <w:r>
        <w:rPr>
          <w:rFonts w:ascii="Calibri" w:hAnsi="Calibri"/>
          <w:sz w:val="24"/>
          <w:szCs w:val="24"/>
        </w:rPr>
        <w:lastRenderedPageBreak/>
        <w:t xml:space="preserve">Łódzkiej Okręgowej Izby Inżynierów Budownictwa pod numerem ewidencyjnym ŁOD/IS/0226/14, </w:t>
      </w:r>
    </w:p>
    <w:p w:rsidR="00BB319D" w:rsidRDefault="000B4CDF">
      <w:pPr>
        <w:numPr>
          <w:ilvl w:val="0"/>
          <w:numId w:val="13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mgr inż. Rafał Rydzyński</w:t>
      </w:r>
      <w:r>
        <w:rPr>
          <w:rFonts w:ascii="Calibri" w:hAnsi="Calibri"/>
          <w:sz w:val="24"/>
          <w:szCs w:val="24"/>
        </w:rPr>
        <w:t>, posiadający uprawnienia budowlane Nr 1410/01/WŁ, d</w:t>
      </w:r>
      <w:r>
        <w:rPr>
          <w:rFonts w:ascii="Calibri" w:hAnsi="Calibri"/>
          <w:sz w:val="24"/>
          <w:szCs w:val="24"/>
        </w:rPr>
        <w:t>o projektowania bez ograniczeń w specjalności instalacyjnej w zakresie sieci, instalacji i urządzeń cieplnych, wentylacyjnych, gazowych, wodociągowych i kanalizacyjnych, wpisany na listę członków Łódzkiej Okręgowej Izby Inżynierów Budownictwa pod numerem e</w:t>
      </w:r>
      <w:r>
        <w:rPr>
          <w:rFonts w:ascii="Calibri" w:hAnsi="Calibri"/>
          <w:sz w:val="24"/>
          <w:szCs w:val="24"/>
        </w:rPr>
        <w:t xml:space="preserve">widencyjnym ŁOD/IS/0150/02, </w:t>
      </w:r>
    </w:p>
    <w:p w:rsidR="00BB319D" w:rsidRDefault="000B4CDF">
      <w:pPr>
        <w:numPr>
          <w:ilvl w:val="0"/>
          <w:numId w:val="13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mgr inż. Jakub Gałęcki</w:t>
      </w:r>
      <w:r>
        <w:rPr>
          <w:rFonts w:ascii="Calibri" w:hAnsi="Calibri"/>
          <w:sz w:val="24"/>
          <w:szCs w:val="24"/>
        </w:rPr>
        <w:t xml:space="preserve">, posiadający uprawnienia budowlane Nr LOD/1552/POOE/11, do projektowania bez ograniczeń w specjalności instalacyjnej w zakresie sieci, instalacji i urządzeń elektrycznych i elektroenergetycznych, wpisany </w:t>
      </w:r>
      <w:r>
        <w:rPr>
          <w:rFonts w:ascii="Calibri" w:hAnsi="Calibri"/>
          <w:sz w:val="24"/>
          <w:szCs w:val="24"/>
        </w:rPr>
        <w:t>na listę członków Łódzkiej Okręgowej Izby Inżynierów Budownictwa pod numerem ewidencyjnym ŁOD/IE/9395/11,</w:t>
      </w:r>
    </w:p>
    <w:p w:rsidR="00BB319D" w:rsidRDefault="000B4CDF">
      <w:pPr>
        <w:numPr>
          <w:ilvl w:val="0"/>
          <w:numId w:val="13"/>
        </w:num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>mgr inż. Wojciech Gręda</w:t>
      </w:r>
      <w:r>
        <w:rPr>
          <w:rFonts w:ascii="Calibri" w:hAnsi="Calibri"/>
          <w:sz w:val="24"/>
          <w:szCs w:val="24"/>
        </w:rPr>
        <w:t xml:space="preserve">, posiadający uprawnienia budowlane Nr 1786/99/U, do projektowania w specjalnościach instalacyjnych w telekomunikacji </w:t>
      </w:r>
      <w:r>
        <w:rPr>
          <w:rFonts w:ascii="Calibri" w:hAnsi="Calibri"/>
          <w:sz w:val="24"/>
          <w:szCs w:val="24"/>
        </w:rPr>
        <w:t>przewodowej wraz z infrastrukturą towarzyszącą w zakresie linii, instalacji i urządzeń liniowych, wpisany na listę członków Łódzkiej Okręgowej Izby Inżynierów Budownictwa pod numerem ewidencyjnym ŁOD/BT/6521/04.</w:t>
      </w:r>
    </w:p>
    <w:p w:rsidR="00BB319D" w:rsidRDefault="000B4CDF">
      <w:p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Projekt budowlany, zawierający projekt zagos</w:t>
      </w:r>
      <w:r>
        <w:rPr>
          <w:rFonts w:ascii="Calibri" w:hAnsi="Calibri"/>
          <w:sz w:val="24"/>
          <w:szCs w:val="24"/>
        </w:rPr>
        <w:t xml:space="preserve">podarowania terenu i projekt architektoniczno-budowlany, stanowi </w:t>
      </w:r>
      <w:r>
        <w:rPr>
          <w:rFonts w:ascii="Calibri" w:hAnsi="Calibri"/>
          <w:sz w:val="24"/>
          <w:szCs w:val="24"/>
          <w:u w:val="single"/>
        </w:rPr>
        <w:t>załącznik Nr 1</w:t>
      </w:r>
      <w:r>
        <w:rPr>
          <w:rFonts w:ascii="Calibri" w:hAnsi="Calibri"/>
          <w:sz w:val="24"/>
          <w:szCs w:val="24"/>
        </w:rPr>
        <w:t xml:space="preserve"> do niniejszej decyzji.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ind w:left="426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Określam linie rozgraniczające teren inwestycji - granice pasa drogowego drogi krajowej nr 71</w:t>
      </w:r>
      <w:r>
        <w:rPr>
          <w:rFonts w:ascii="Calibri" w:hAnsi="Calibri"/>
          <w:sz w:val="24"/>
          <w:szCs w:val="24"/>
        </w:rPr>
        <w:t>, zgodnie z linią przerywaną koloru purpurowego, przedstawi</w:t>
      </w:r>
      <w:r>
        <w:rPr>
          <w:rFonts w:ascii="Calibri" w:hAnsi="Calibri"/>
          <w:sz w:val="24"/>
          <w:szCs w:val="24"/>
        </w:rPr>
        <w:t xml:space="preserve">oną na mapie w skali 1:500 z proponowanym przebiegiem drogi, stanowiącej </w:t>
      </w:r>
      <w:r>
        <w:rPr>
          <w:rFonts w:ascii="Calibri" w:hAnsi="Calibri"/>
          <w:sz w:val="24"/>
          <w:szCs w:val="24"/>
          <w:u w:val="single"/>
        </w:rPr>
        <w:t>załącznik Nr 2</w:t>
      </w:r>
      <w:r>
        <w:rPr>
          <w:rFonts w:ascii="Calibri" w:hAnsi="Calibri"/>
          <w:sz w:val="24"/>
          <w:szCs w:val="24"/>
        </w:rPr>
        <w:t xml:space="preserve"> do niniejszej decyzji.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ind w:left="426"/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Określam n</w:t>
      </w:r>
      <w:r>
        <w:rPr>
          <w:rFonts w:ascii="Calibri" w:hAnsi="Calibri"/>
          <w:b/>
          <w:sz w:val="24"/>
          <w:szCs w:val="24"/>
        </w:rPr>
        <w:t>ieruchomości</w:t>
      </w:r>
      <w:r>
        <w:rPr>
          <w:rFonts w:ascii="Calibri" w:hAnsi="Calibri"/>
          <w:sz w:val="24"/>
          <w:szCs w:val="24"/>
        </w:rPr>
        <w:t xml:space="preserve">, oznaczone poniżej zgodnie z katastrem nieruchomości numerami ewidencyjnymi działek, położone </w:t>
      </w:r>
      <w:r>
        <w:rPr>
          <w:rFonts w:ascii="Calibri" w:hAnsi="Calibri"/>
          <w:bCs/>
          <w:sz w:val="24"/>
          <w:szCs w:val="24"/>
        </w:rPr>
        <w:t>w woj</w:t>
      </w:r>
      <w:r>
        <w:rPr>
          <w:rFonts w:ascii="Calibri" w:hAnsi="Calibri"/>
          <w:sz w:val="24"/>
          <w:szCs w:val="24"/>
        </w:rPr>
        <w:t xml:space="preserve">ewództwie łódzkim, </w:t>
      </w:r>
      <w:r>
        <w:rPr>
          <w:rFonts w:ascii="Calibri" w:hAnsi="Calibri"/>
          <w:bCs/>
          <w:sz w:val="24"/>
          <w:szCs w:val="24"/>
        </w:rPr>
        <w:t xml:space="preserve">na </w:t>
      </w:r>
      <w:r>
        <w:rPr>
          <w:rFonts w:ascii="Calibri" w:hAnsi="Calibri"/>
          <w:bCs/>
          <w:sz w:val="24"/>
          <w:szCs w:val="24"/>
        </w:rPr>
        <w:t>terenie powiatu zgierskiego, w mieście Aleksandrowów Łódzki</w:t>
      </w:r>
      <w:r>
        <w:rPr>
          <w:rFonts w:ascii="Calibri" w:hAnsi="Calibri"/>
          <w:sz w:val="24"/>
          <w:szCs w:val="24"/>
        </w:rPr>
        <w:t>, położone w całości w liniach rozgraniczających teren inwestycji, stanowiące własność Skarbu Państwa:</w:t>
      </w:r>
    </w:p>
    <w:p w:rsidR="00BB319D" w:rsidRDefault="000B4CDF">
      <w:pPr>
        <w:snapToGrid w:val="0"/>
        <w:spacing w:after="283" w:line="360" w:lineRule="auto"/>
        <w:ind w:left="426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Obręb 0005 Aleksandrów Łódzki: </w:t>
      </w:r>
      <w:r>
        <w:rPr>
          <w:rFonts w:ascii="Calibri" w:hAnsi="Calibri"/>
          <w:sz w:val="24"/>
          <w:szCs w:val="24"/>
        </w:rPr>
        <w:t>175</w:t>
      </w:r>
    </w:p>
    <w:p w:rsidR="00BB319D" w:rsidRDefault="000B4CDF">
      <w:pPr>
        <w:snapToGrid w:val="0"/>
        <w:spacing w:after="283" w:line="360" w:lineRule="auto"/>
        <w:ind w:left="426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Obręb 0009 Aleksandrów Łódzki: </w:t>
      </w:r>
      <w:r>
        <w:rPr>
          <w:rFonts w:ascii="Calibri" w:hAnsi="Calibri"/>
          <w:sz w:val="24"/>
          <w:szCs w:val="24"/>
        </w:rPr>
        <w:t>246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ind w:left="426"/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Określam n</w:t>
      </w:r>
      <w:r>
        <w:rPr>
          <w:rFonts w:ascii="Calibri" w:hAnsi="Calibri"/>
          <w:b/>
          <w:sz w:val="24"/>
          <w:szCs w:val="24"/>
        </w:rPr>
        <w:t>ieruchomości</w:t>
      </w:r>
      <w:r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 xml:space="preserve">oznaczone poniżej zgodnie z katastrem nieruchomości numerami ewidencyjnymi działek, położone </w:t>
      </w:r>
      <w:r>
        <w:rPr>
          <w:rFonts w:ascii="Calibri" w:hAnsi="Calibri"/>
          <w:bCs/>
          <w:sz w:val="24"/>
          <w:szCs w:val="24"/>
        </w:rPr>
        <w:t>w woj</w:t>
      </w:r>
      <w:r>
        <w:rPr>
          <w:rFonts w:ascii="Calibri" w:hAnsi="Calibri"/>
          <w:sz w:val="24"/>
          <w:szCs w:val="24"/>
        </w:rPr>
        <w:t xml:space="preserve">ewództwie łódzkim, </w:t>
      </w:r>
      <w:r>
        <w:rPr>
          <w:rFonts w:ascii="Calibri" w:hAnsi="Calibri"/>
          <w:bCs/>
          <w:sz w:val="24"/>
          <w:szCs w:val="24"/>
        </w:rPr>
        <w:t>na terenie powiatu zgierskiego, w mieście Aleksandrowów Łódzki</w:t>
      </w:r>
      <w:r>
        <w:rPr>
          <w:rFonts w:ascii="Calibri" w:hAnsi="Calibri"/>
          <w:sz w:val="24"/>
          <w:szCs w:val="24"/>
        </w:rPr>
        <w:t>, położone w całości w liniach rozgraniczających teren inwestycji, które z mo</w:t>
      </w:r>
      <w:r>
        <w:rPr>
          <w:rFonts w:ascii="Calibri" w:hAnsi="Calibri"/>
          <w:sz w:val="24"/>
          <w:szCs w:val="24"/>
        </w:rPr>
        <w:t>cy prawa z dniem, w którym niniejsza decyzja stanie się ostateczna, staną się własnością Skarbu Państwa, za odszkodowaniem ustalonym przez Wojewodę Łódzkiego w odrębnej decyzji:</w:t>
      </w:r>
    </w:p>
    <w:p w:rsidR="00BB319D" w:rsidRDefault="000B4CDF">
      <w:pPr>
        <w:pStyle w:val="Akapitzlist"/>
        <w:snapToGrid w:val="0"/>
        <w:spacing w:after="283" w:line="360" w:lineRule="auto"/>
        <w:ind w:left="426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Obręb 0005 Aleksandrów Łódzki: </w:t>
      </w:r>
      <w:r>
        <w:rPr>
          <w:rFonts w:ascii="Calibri" w:hAnsi="Calibri"/>
          <w:sz w:val="24"/>
          <w:szCs w:val="24"/>
        </w:rPr>
        <w:t>109/3, 109/4, 174/3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ind w:left="426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Zatwierdzam podział nieruchomości, </w:t>
      </w:r>
      <w:r>
        <w:rPr>
          <w:rFonts w:ascii="Calibri" w:hAnsi="Calibri"/>
          <w:sz w:val="24"/>
          <w:szCs w:val="24"/>
        </w:rPr>
        <w:t xml:space="preserve">oznaczonych poniżej numerami ewidencyjnymi działek zgodnie z katastrem nieruchomości, położonych w województwie łódzkim, na terenie </w:t>
      </w:r>
      <w:r>
        <w:rPr>
          <w:rFonts w:ascii="Calibri" w:hAnsi="Calibri"/>
          <w:bCs/>
          <w:sz w:val="24"/>
          <w:szCs w:val="24"/>
        </w:rPr>
        <w:t>powiatu zgierskiego, w mieście Aleksandrowów Łódzki</w:t>
      </w:r>
      <w:r>
        <w:rPr>
          <w:rFonts w:ascii="Calibri" w:hAnsi="Calibri"/>
          <w:sz w:val="24"/>
          <w:szCs w:val="24"/>
        </w:rPr>
        <w:t xml:space="preserve">, zgodnie z liniami rozgraniczającymi </w:t>
      </w:r>
      <w:r>
        <w:rPr>
          <w:rFonts w:ascii="Calibri" w:hAnsi="Calibri"/>
          <w:sz w:val="24"/>
          <w:szCs w:val="24"/>
        </w:rPr>
        <w:t xml:space="preserve">teren inwestycji (Tabela 1): </w:t>
      </w:r>
    </w:p>
    <w:p w:rsidR="00BB319D" w:rsidRDefault="000B4CDF">
      <w:pPr>
        <w:numPr>
          <w:ilvl w:val="0"/>
          <w:numId w:val="14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działki „po podziale, przejmowane na własność Skarbu Państwa” oznaczają nieruchomości powstałe wskutek podziału nieruchomości zatwierdzonego niniejszą decyzją, położone w liniach rozgraniczających teren inwestycji, które z moc</w:t>
      </w:r>
      <w:r>
        <w:rPr>
          <w:rFonts w:ascii="Calibri" w:hAnsi="Calibri"/>
          <w:sz w:val="24"/>
          <w:szCs w:val="24"/>
        </w:rPr>
        <w:t>y prawa z dniem, w którym niniejsza decyzja stanie się ostateczna, staną się własnością Skarbu Państwa, za odszkodowaniem ustalonym przez Wojewodę Łódzkiego w odrębnej decyzji,</w:t>
      </w:r>
    </w:p>
    <w:p w:rsidR="00BB319D" w:rsidRDefault="000B4CDF">
      <w:pPr>
        <w:numPr>
          <w:ilvl w:val="0"/>
          <w:numId w:val="14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działki „po podziale, pozostające w dotychczasowej własności” oznaczają nieruch</w:t>
      </w:r>
      <w:r>
        <w:rPr>
          <w:rFonts w:ascii="Calibri" w:hAnsi="Calibri"/>
          <w:sz w:val="24"/>
          <w:szCs w:val="24"/>
        </w:rPr>
        <w:t>omości powstałe wskutek podziału nieruchomości zatwierdzonego niniejszą decyzją, położone poza liniami rozgraniczającymi teren inwestycji, które pozostają własnością dotychczasowego właściciela.</w:t>
      </w:r>
    </w:p>
    <w:p w:rsidR="00BB319D" w:rsidRDefault="000B4CDF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Tabela 1.</w:t>
      </w:r>
    </w:p>
    <w:tbl>
      <w:tblPr>
        <w:tblStyle w:val="Tabela-Siatka21"/>
        <w:tblW w:w="9493" w:type="dxa"/>
        <w:jc w:val="center"/>
        <w:tblLook w:val="04A0" w:firstRow="1" w:lastRow="0" w:firstColumn="1" w:lastColumn="0" w:noHBand="0" w:noVBand="1"/>
      </w:tblPr>
      <w:tblGrid>
        <w:gridCol w:w="698"/>
        <w:gridCol w:w="990"/>
        <w:gridCol w:w="988"/>
        <w:gridCol w:w="1838"/>
        <w:gridCol w:w="1579"/>
        <w:gridCol w:w="1559"/>
        <w:gridCol w:w="1841"/>
      </w:tblGrid>
      <w:tr w:rsidR="00BB319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Nr działki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Obręb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 xml:space="preserve">Nr działek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br/>
              <w:t>po podzial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 xml:space="preserve">e,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lastRenderedPageBreak/>
              <w:t xml:space="preserve">przejmowane na własność Skarbu 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Państwa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lastRenderedPageBreak/>
              <w:t xml:space="preserve">Powierzchnia 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przejęcia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lastRenderedPageBreak/>
              <w:t>(ha)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lastRenderedPageBreak/>
              <w:t xml:space="preserve">Nr działek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br/>
              <w:t xml:space="preserve">po podziale,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lastRenderedPageBreak/>
              <w:t xml:space="preserve">pozostające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br/>
              <w:t xml:space="preserve">w dotychczasowej własności </w:t>
            </w:r>
          </w:p>
        </w:tc>
      </w:tr>
      <w:tr w:rsidR="00BB319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108/1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0,0008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108/2</w:t>
            </w:r>
          </w:p>
        </w:tc>
      </w:tr>
      <w:tr w:rsidR="00BB319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101/6</w:t>
            </w:r>
          </w:p>
        </w:tc>
        <w:tc>
          <w:tcPr>
            <w:tcW w:w="1842" w:type="dxa"/>
            <w:shd w:val="clear" w:color="auto" w:fill="auto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m. Aleksandrów Łódzki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102004_4.0005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101/11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0,1100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101/10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101/12</w:t>
            </w:r>
          </w:p>
        </w:tc>
      </w:tr>
      <w:tr w:rsidR="00BB319D">
        <w:trPr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251/1</w:t>
            </w:r>
          </w:p>
        </w:tc>
        <w:tc>
          <w:tcPr>
            <w:tcW w:w="1842" w:type="dxa"/>
            <w:shd w:val="clear" w:color="auto" w:fill="auto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102004_4.0009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0,0950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251/7</w:t>
            </w:r>
          </w:p>
        </w:tc>
      </w:tr>
    </w:tbl>
    <w:p w:rsidR="00BB319D" w:rsidRDefault="00BB319D">
      <w:pPr>
        <w:snapToGri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ind w:left="426"/>
        <w:contextualSpacing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Zatwierdzam podział nieruchomości, </w:t>
      </w:r>
      <w:r>
        <w:rPr>
          <w:rFonts w:ascii="Calibri" w:hAnsi="Calibri"/>
          <w:sz w:val="24"/>
          <w:szCs w:val="24"/>
        </w:rPr>
        <w:t xml:space="preserve">oznaczonej poniżej numerem ewidencyjnym działki zgodnie z katastrem nieruchomości, położonej w województwie łódzkim, na terenie </w:t>
      </w:r>
      <w:r>
        <w:rPr>
          <w:rFonts w:ascii="Calibri" w:hAnsi="Calibri"/>
          <w:bCs/>
          <w:sz w:val="24"/>
          <w:szCs w:val="24"/>
        </w:rPr>
        <w:t>powiatu zgierskiego, w mieście Aleksandrowów Łódzki</w:t>
      </w:r>
      <w:r>
        <w:rPr>
          <w:rFonts w:ascii="Calibri" w:hAnsi="Calibri"/>
          <w:sz w:val="24"/>
          <w:szCs w:val="24"/>
        </w:rPr>
        <w:t xml:space="preserve">, zgodnie z linią rozgraniczającą teren inwestycji, stanowiącej własność Skarbu Państwa (Tabela 2): </w:t>
      </w:r>
    </w:p>
    <w:p w:rsidR="00BB319D" w:rsidRDefault="000B4CDF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Tabela 2.</w:t>
      </w:r>
    </w:p>
    <w:tbl>
      <w:tblPr>
        <w:tblStyle w:val="Tabela-Siatka22"/>
        <w:tblW w:w="9493" w:type="dxa"/>
        <w:jc w:val="center"/>
        <w:tblLook w:val="04A0" w:firstRow="1" w:lastRow="0" w:firstColumn="1" w:lastColumn="0" w:noHBand="0" w:noVBand="1"/>
      </w:tblPr>
      <w:tblGrid>
        <w:gridCol w:w="575"/>
        <w:gridCol w:w="940"/>
        <w:gridCol w:w="856"/>
        <w:gridCol w:w="1735"/>
        <w:gridCol w:w="1969"/>
        <w:gridCol w:w="1548"/>
        <w:gridCol w:w="1994"/>
      </w:tblGrid>
      <w:tr w:rsidR="00BB319D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Nr działki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Obręb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 xml:space="preserve">Nr działki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br/>
              <w:t>po podziale, znajdująca się w liniach rozgraniczających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 xml:space="preserve">Powierzchnia 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przejęcia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(ha)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 xml:space="preserve">Nr działek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br/>
              <w:t>po podz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 xml:space="preserve">iale, pozostająca poza liniami rozgraniczającymi 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br/>
            </w:r>
          </w:p>
        </w:tc>
      </w:tr>
      <w:tr w:rsidR="00BB319D">
        <w:trPr>
          <w:jc w:val="center"/>
        </w:trPr>
        <w:tc>
          <w:tcPr>
            <w:tcW w:w="561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251/2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0,0070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251/9</w:t>
            </w:r>
          </w:p>
        </w:tc>
      </w:tr>
    </w:tbl>
    <w:p w:rsidR="00BB319D" w:rsidRDefault="00BB319D">
      <w:pPr>
        <w:snapToGri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Mapy z zatwierdzonymi podziałami nieruchomości stanowią </w:t>
      </w:r>
      <w:r>
        <w:rPr>
          <w:rFonts w:ascii="Calibri" w:hAnsi="Calibri"/>
          <w:sz w:val="24"/>
          <w:szCs w:val="24"/>
          <w:u w:val="single"/>
        </w:rPr>
        <w:t>załącznik Nr 3</w:t>
      </w:r>
      <w:r>
        <w:rPr>
          <w:rFonts w:ascii="Calibri" w:hAnsi="Calibri"/>
          <w:sz w:val="24"/>
          <w:szCs w:val="24"/>
        </w:rPr>
        <w:t xml:space="preserve"> do niniejszej decyzji.</w:t>
      </w:r>
    </w:p>
    <w:p w:rsidR="00BB319D" w:rsidRDefault="00BB319D">
      <w:pPr>
        <w:snapToGrid w:val="0"/>
        <w:spacing w:after="283" w:line="360" w:lineRule="auto"/>
        <w:rPr>
          <w:rFonts w:ascii="Calibri" w:hAnsi="Calibri"/>
          <w:sz w:val="24"/>
          <w:szCs w:val="24"/>
        </w:rPr>
      </w:pP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Ustalam warunki dotyczące budowy, przebudowy lub rozbiórki sieci uzbrojenia terenu, przebudowy innych dróg publicznych i zjazdów oraz budowy i rozbiórki tymczasowych obiektów budowlanych: </w:t>
      </w:r>
    </w:p>
    <w:p w:rsidR="00BB319D" w:rsidRDefault="000B4CDF">
      <w:pPr>
        <w:numPr>
          <w:ilvl w:val="0"/>
          <w:numId w:val="3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określam obowiązek budowy, przebudowy lub rozbiórki sieci uzbrojeni</w:t>
      </w:r>
      <w:r>
        <w:rPr>
          <w:rFonts w:ascii="Calibri" w:hAnsi="Calibri"/>
          <w:sz w:val="24"/>
          <w:szCs w:val="24"/>
        </w:rPr>
        <w:t xml:space="preserve">a terenu, przebudowy innych dróg publicznych i zjazdów oraz budowy i rozbiórki tymczasowych obiektów budowlanych poza liniami rozgraniczającymi teren inwestycji, na działkach określonych poniżej w Tabeli 3, </w:t>
      </w:r>
    </w:p>
    <w:p w:rsidR="00BB319D" w:rsidRDefault="000B4CDF">
      <w:pPr>
        <w:numPr>
          <w:ilvl w:val="0"/>
          <w:numId w:val="15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dla realizacji obowiązku, o którym mowa w punkci</w:t>
      </w:r>
      <w:r>
        <w:rPr>
          <w:rFonts w:ascii="Calibri" w:hAnsi="Calibri"/>
          <w:sz w:val="24"/>
          <w:szCs w:val="24"/>
        </w:rPr>
        <w:t>e 7 podpunkt a) niniejszej decyzji, określam ograniczenia w korzystaniu z nieruchomości położonych poza liniami rozgraniczającymi teren inwestycji, oraz udzielam zezwolenia na budowę, przebudowę lub rozbiórkę sieci uzbrojenia terenu, przebudowę innych dróg</w:t>
      </w:r>
      <w:r>
        <w:rPr>
          <w:rFonts w:ascii="Calibri" w:hAnsi="Calibri"/>
          <w:sz w:val="24"/>
          <w:szCs w:val="24"/>
        </w:rPr>
        <w:t xml:space="preserve"> publicznych i zjazdów, budowę i rozbiórkę tymczasowych obiektów budowlanych, na rzecz Inwestora, zgodnie z poniższym wykazem (Tabela 3), </w:t>
      </w:r>
    </w:p>
    <w:p w:rsidR="00BB319D" w:rsidRDefault="000B4CDF">
      <w:pPr>
        <w:numPr>
          <w:ilvl w:val="0"/>
          <w:numId w:val="15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określam ograniczenia sposobu korzystania z nieruchomości na działkach zgodnie z poniższym wykazem, na których </w:t>
      </w:r>
      <w:r>
        <w:rPr>
          <w:rFonts w:ascii="Calibri" w:hAnsi="Calibri"/>
          <w:sz w:val="24"/>
          <w:szCs w:val="24"/>
        </w:rPr>
        <w:t>usytuowane są sieci infrastruktury technicznej (Tabela 3) na rzecz każdoczesnego właściciela tych sieci – na potrzeby konserwacji i usuwania awarii sieci uzbrojenia terenu.</w:t>
      </w:r>
    </w:p>
    <w:p w:rsidR="00BB319D" w:rsidRDefault="000B4CDF">
      <w:pPr>
        <w:spacing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Tabela 3. </w:t>
      </w:r>
    </w:p>
    <w:tbl>
      <w:tblPr>
        <w:tblStyle w:val="Tabela-Siatka3"/>
        <w:tblW w:w="9935" w:type="dxa"/>
        <w:jc w:val="center"/>
        <w:tblLook w:val="04A0" w:firstRow="1" w:lastRow="0" w:firstColumn="1" w:lastColumn="0" w:noHBand="0" w:noVBand="1"/>
      </w:tblPr>
      <w:tblGrid>
        <w:gridCol w:w="575"/>
        <w:gridCol w:w="985"/>
        <w:gridCol w:w="928"/>
        <w:gridCol w:w="1994"/>
        <w:gridCol w:w="2070"/>
        <w:gridCol w:w="3383"/>
      </w:tblGrid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L.p.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Powiat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Nr działki</w:t>
            </w:r>
          </w:p>
        </w:tc>
        <w:tc>
          <w:tcPr>
            <w:tcW w:w="1854" w:type="dxa"/>
            <w:shd w:val="clear" w:color="auto" w:fill="auto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Nr działki po podziale, pozostających poza liniam</w:t>
            </w: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i rozgraniczającymi</w:t>
            </w:r>
          </w:p>
        </w:tc>
        <w:tc>
          <w:tcPr>
            <w:tcW w:w="2120" w:type="dxa"/>
            <w:shd w:val="clear" w:color="auto" w:fill="auto"/>
          </w:tcPr>
          <w:p w:rsidR="00BB319D" w:rsidRDefault="00BB319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</w:pPr>
          </w:p>
          <w:p w:rsidR="00BB319D" w:rsidRDefault="00BB319D">
            <w:pPr>
              <w:suppressAutoHyphens w:val="0"/>
              <w:spacing w:line="360" w:lineRule="auto"/>
              <w:jc w:val="center"/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</w:pP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Obręb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Rodzaj ograniczenia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102/48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m. Aleksandrów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>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 xml:space="preserve">przebudowa kabla sieci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>napowietrznej elektroenergetycznej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102/49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kabla sieci napowietrznej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 elektroenergetycznej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108/2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kabla sieci napowietrznej telekomunikacyjnej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drogi powiatowej nr 5165E  (ul. Pabianicka)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budowa tymczasowego by-passu sieci wodociągowej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109/2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budowa sieci telekomunikacyjnej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rozbiórka i przebudowa kabla sieci napowietrznej telekomunikacyjnej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174/4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wodociągu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budowa tymczasowego by-passu sieci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wodociągowej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173/4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sieci elektroenergetycznej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176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ciepłociągu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101/3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kabla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 sieci napowietrznej elektroenergetycznej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534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m. Aleksandrów Łódzki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>102004_4.0009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 xml:space="preserve">przebudowa kabli sieci napowietrznej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>telekomunikacyjnej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251/3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102004_4.0009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sieci elektroenergetycznej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b/>
                <w:kern w:val="0"/>
                <w:lang w:eastAsia="en-US"/>
              </w:rPr>
            </w:pPr>
            <w:r>
              <w:rPr>
                <w:rFonts w:ascii="Calibri" w:hAnsi="Calibri"/>
                <w:b/>
                <w:kern w:val="0"/>
                <w:sz w:val="24"/>
                <w:szCs w:val="24"/>
                <w:lang w:eastAsia="en-US"/>
              </w:rPr>
              <w:t>101/3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drogi powiatowej nr 5165E   (ul. Pabianicka)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budowa tymczasowego by-passu sieci wodociągowej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108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108/2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Przebudowa drogi powiatowej nr 5165E 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(ul. Pabianicka)</w:t>
            </w:r>
          </w:p>
          <w:p w:rsidR="00BB319D" w:rsidRDefault="00BB319D">
            <w:pPr>
              <w:suppressAutoHyphens w:val="0"/>
              <w:spacing w:line="360" w:lineRule="auto"/>
              <w:jc w:val="center"/>
              <w:rPr>
                <w:rFonts w:ascii="Calibri" w:hAnsi="Calibri"/>
                <w:kern w:val="0"/>
                <w:sz w:val="24"/>
                <w:szCs w:val="24"/>
                <w:lang w:eastAsia="en-US"/>
              </w:rPr>
            </w:pP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101/12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drogi powiatowej nr 5165E  (ul. Pabianicka)</w:t>
            </w:r>
          </w:p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budowa tymczasowego by-passu sieci wodociągowej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251/1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251/7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102004_4.0009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 xml:space="preserve">Przebudowa </w:t>
            </w: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zjazdu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251/2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251/9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102004_4.0009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zjazdu</w:t>
            </w:r>
          </w:p>
        </w:tc>
      </w:tr>
      <w:tr w:rsidR="00BB319D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zgierski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101/6</w:t>
            </w:r>
          </w:p>
        </w:tc>
        <w:tc>
          <w:tcPr>
            <w:tcW w:w="1854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101/10</w:t>
            </w:r>
          </w:p>
        </w:tc>
        <w:tc>
          <w:tcPr>
            <w:tcW w:w="2120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m. Aleksandrów Łódzki 102004_4.0005</w:t>
            </w:r>
          </w:p>
        </w:tc>
        <w:tc>
          <w:tcPr>
            <w:tcW w:w="3548" w:type="dxa"/>
            <w:shd w:val="clear" w:color="auto" w:fill="auto"/>
            <w:vAlign w:val="center"/>
          </w:tcPr>
          <w:p w:rsidR="00BB319D" w:rsidRDefault="000B4CDF">
            <w:pPr>
              <w:suppressAutoHyphens w:val="0"/>
              <w:spacing w:line="360" w:lineRule="auto"/>
              <w:jc w:val="center"/>
              <w:rPr>
                <w:kern w:val="0"/>
                <w:lang w:eastAsia="en-US"/>
              </w:rPr>
            </w:pPr>
            <w:r>
              <w:rPr>
                <w:rFonts w:ascii="Calibri" w:hAnsi="Calibri"/>
                <w:kern w:val="0"/>
                <w:sz w:val="24"/>
                <w:szCs w:val="24"/>
                <w:lang w:eastAsia="en-US"/>
              </w:rPr>
              <w:t>Przebudowa zjazdu</w:t>
            </w:r>
          </w:p>
        </w:tc>
      </w:tr>
    </w:tbl>
    <w:p w:rsidR="00BB319D" w:rsidRDefault="000B4CDF">
      <w:pPr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Działki nie podlegające podziałowi wytłuszczono.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>Granice terenu niezbędnego dla wykonania robót określonych w Tabeli 3 niniejszej decyzji, na nieruchomościach położonych poza liniami rozgraniczającymi teren inwestycji, oznaczone zostały na projekcie zagospodarowania terenu i na mapie z proponowanym przeb</w:t>
      </w:r>
      <w:r>
        <w:rPr>
          <w:rFonts w:ascii="Calibri" w:hAnsi="Calibri"/>
          <w:sz w:val="24"/>
          <w:szCs w:val="24"/>
        </w:rPr>
        <w:t xml:space="preserve">iegiem drogi, z zaznaczeniem terenu niezbędnego dla obiektów budowlanych oraz istniejące uzbrojenie terenu, stanowiącej załącznik do decyzji o zezwoleniu na realizację przedmiotowej inwestycji drogowej.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ab/>
        <w:t>Zgodnie z art. 124 ustawy z dnia 21 sierpnia 1997 r</w:t>
      </w:r>
      <w:r>
        <w:rPr>
          <w:rFonts w:ascii="Calibri" w:hAnsi="Calibri"/>
          <w:sz w:val="24"/>
          <w:szCs w:val="24"/>
        </w:rPr>
        <w:t xml:space="preserve">. o gospodarce nieruchomościami (t.j. Dz. U. z 2023 r. poz. 344): </w:t>
      </w:r>
    </w:p>
    <w:p w:rsidR="00BB319D" w:rsidRDefault="000B4CDF">
      <w:pPr>
        <w:numPr>
          <w:ilvl w:val="0"/>
          <w:numId w:val="4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Inwestor – Burmistrz Aleksandrowa Łódzkiego – jest zobowiązany do przywrócenia nieruchomości do stanu poprzedniego, niezwłocznie po dokonaniu budowy sieci uzbrojenia terenu. Jeżeli przywróc</w:t>
      </w:r>
      <w:r>
        <w:rPr>
          <w:rFonts w:ascii="Calibri" w:hAnsi="Calibri"/>
          <w:sz w:val="24"/>
          <w:szCs w:val="24"/>
        </w:rPr>
        <w:t>enie nieruchomości do stanu poprzedniego jest niemożliwe albo powoduje nadmierne trudności lub koszty, właścicielowi lub użytkownikowi wieczystemu nieruchomości przysługuje odszkodowanie. Odszkodowanie powinno odpowiadać wartości poniesionych szkód. Jeżeli</w:t>
      </w:r>
      <w:r>
        <w:rPr>
          <w:rFonts w:ascii="Calibri" w:hAnsi="Calibri"/>
          <w:sz w:val="24"/>
          <w:szCs w:val="24"/>
        </w:rPr>
        <w:t xml:space="preserve"> wskutek budowy sieci uzbrojenia terenu zmniejszy się wartość nieruchomości, odszkodowanie powiększa się o kwotę odpowiadającą temu zmniejszeniu. </w:t>
      </w:r>
    </w:p>
    <w:p w:rsidR="00BB319D" w:rsidRDefault="000B4CDF">
      <w:pPr>
        <w:numPr>
          <w:ilvl w:val="0"/>
          <w:numId w:val="4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Jeżeli budowa sieci uzbrojenia terenu uniemożliwia właścicielowi lub użytkownikowi wieczystemu dalsze prawidłowe korzystanie z nieruchomości w sposób dotychczasowy albo w sposób zgodny z jej dotychczasowym przeznaczeniem, właściciel lub użytkownik wieczyst</w:t>
      </w:r>
      <w:r>
        <w:rPr>
          <w:rFonts w:ascii="Calibri" w:hAnsi="Calibri"/>
          <w:sz w:val="24"/>
          <w:szCs w:val="24"/>
        </w:rPr>
        <w:t xml:space="preserve">y może żądać, aby Inwestor nabył od niego na rzecz Skarbu Państwa, w drodze umowy, własność albo użytkowanie wieczyste nieruchomości. </w:t>
      </w:r>
    </w:p>
    <w:p w:rsidR="00BB319D" w:rsidRDefault="000B4CDF">
      <w:pPr>
        <w:numPr>
          <w:ilvl w:val="0"/>
          <w:numId w:val="4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Właściciel lub użytkownik wieczysty nieruchomości jest obowiązany udostępnić nieruchomość w celu wykonania robót budowany</w:t>
      </w:r>
      <w:r>
        <w:rPr>
          <w:rFonts w:ascii="Calibri" w:hAnsi="Calibri"/>
          <w:sz w:val="24"/>
          <w:szCs w:val="24"/>
        </w:rPr>
        <w:t xml:space="preserve">ch związanych z budową sieci uzbrojenia terenu, a także wykonania czynności związanych z konserwacją oraz usuwaniem awarii sieci uzbrojenia terenu. Obowiązek udostępnienia nieruchomości podlega egzekucji administracyjnej. </w:t>
      </w:r>
    </w:p>
    <w:p w:rsidR="00BB319D" w:rsidRDefault="000B4CDF">
      <w:pPr>
        <w:numPr>
          <w:ilvl w:val="0"/>
          <w:numId w:val="4"/>
        </w:num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Ostateczna decyzja o zezwoleniu n</w:t>
      </w:r>
      <w:r>
        <w:rPr>
          <w:rFonts w:ascii="Calibri" w:hAnsi="Calibri"/>
          <w:sz w:val="24"/>
          <w:szCs w:val="24"/>
        </w:rPr>
        <w:t xml:space="preserve">a realizację inwestycji drogowej stanowi podstawę do dokonania wpisu w księdze wieczystej. </w:t>
      </w:r>
    </w:p>
    <w:p w:rsidR="00BB319D" w:rsidRDefault="000B4CDF">
      <w:p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Odszkodowanie o którym mowa wyżej, ustala Wojewoda Łódzki w odrębnej decyzji.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Określam szczególne warunki zabezpieczenia terenu budowy i prowadzenia robót budowaln</w:t>
      </w:r>
      <w:r>
        <w:rPr>
          <w:rFonts w:ascii="Calibri" w:hAnsi="Calibri"/>
          <w:b/>
          <w:sz w:val="24"/>
          <w:szCs w:val="24"/>
        </w:rPr>
        <w:t xml:space="preserve">ych: </w:t>
      </w:r>
    </w:p>
    <w:p w:rsidR="00BB319D" w:rsidRDefault="000B4CDF">
      <w:pPr>
        <w:numPr>
          <w:ilvl w:val="0"/>
          <w:numId w:val="5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budowę należy prowadzić zgodnie z zatwierdzonym projektem zagospodarowania terenu oraz projektem architektoniczno-budowlanym, obowiązującymi przepisami i sztuką budowlaną; </w:t>
      </w:r>
    </w:p>
    <w:p w:rsidR="00BB319D" w:rsidRDefault="000B4CDF">
      <w:pPr>
        <w:numPr>
          <w:ilvl w:val="0"/>
          <w:numId w:val="5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należy spełnić wymagania określone w uzgodnieniach, opiniach branżowych, post</w:t>
      </w:r>
      <w:r>
        <w:rPr>
          <w:rFonts w:ascii="Calibri" w:hAnsi="Calibri"/>
          <w:sz w:val="24"/>
          <w:szCs w:val="24"/>
        </w:rPr>
        <w:t xml:space="preserve">anowieniach i decyzjach wynikających z przepisów szczególnych; </w:t>
      </w:r>
    </w:p>
    <w:p w:rsidR="00BB319D" w:rsidRDefault="000B4CDF">
      <w:pPr>
        <w:numPr>
          <w:ilvl w:val="0"/>
          <w:numId w:val="5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budowę należy prowadzić przestrzegając obowiązujących przepisów dotyczących bezpieczeństwa i higieny pracy; </w:t>
      </w:r>
    </w:p>
    <w:p w:rsidR="00BB319D" w:rsidRDefault="000B4CDF">
      <w:pPr>
        <w:numPr>
          <w:ilvl w:val="0"/>
          <w:numId w:val="5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kierownik budowy jest obowiązany prowadzić dziennik budowy oraz odpowiednio zabezpi</w:t>
      </w:r>
      <w:r>
        <w:rPr>
          <w:rFonts w:ascii="Calibri" w:hAnsi="Calibri"/>
          <w:sz w:val="24"/>
          <w:szCs w:val="24"/>
        </w:rPr>
        <w:t xml:space="preserve">eczyć teren budowy; </w:t>
      </w:r>
    </w:p>
    <w:p w:rsidR="00BB319D" w:rsidRDefault="000B4CDF">
      <w:pPr>
        <w:numPr>
          <w:ilvl w:val="0"/>
          <w:numId w:val="5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istotne odstąpienie od zatwierdzonego projektu zagospodarowania terenu oraz projektu architektoniczno-budowlanego lub innych warunków decyzji o zezwoleniu na realizację inwestycji drogowej jest dopuszczalne jedynie po uzyskaniu decyzji</w:t>
      </w:r>
      <w:r>
        <w:rPr>
          <w:rFonts w:ascii="Calibri" w:hAnsi="Calibri"/>
          <w:sz w:val="24"/>
          <w:szCs w:val="24"/>
        </w:rPr>
        <w:t xml:space="preserve"> o zmianie decyzji o zezwoleniu na realizację inwestycji drogowej.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Określam szczegółowe wymagania dotyczące nadzoru na budowie. 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podstawie § 2 ust. 1 pkt 15 oraz § 4 rozporządzenia Ministra Infrastruktury z dnia 19 listopada 2001 r. w sprawie rodzajów </w:t>
      </w:r>
      <w:r>
        <w:rPr>
          <w:rFonts w:ascii="Calibri" w:hAnsi="Calibri"/>
          <w:sz w:val="24"/>
          <w:szCs w:val="24"/>
        </w:rPr>
        <w:t xml:space="preserve">obiektów budowlanych, przy których realizacji jest wymagane ustanowienie inspektora nadzoru inwestorskiego (Dz. U. z 2001 r. Nr 138, poz. 1554) – nakładam obowiązek ustanowienia inspektora nadzoru inwestorskiego w specjalności inżynieryjnej drogowej.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Prze</w:t>
      </w:r>
      <w:r>
        <w:rPr>
          <w:rFonts w:ascii="Calibri" w:hAnsi="Calibri"/>
          <w:b/>
          <w:sz w:val="24"/>
          <w:szCs w:val="24"/>
        </w:rPr>
        <w:t xml:space="preserve">d przystąpieniem do użytkowania Inwestor jest zobowiązany </w:t>
      </w:r>
      <w:r>
        <w:rPr>
          <w:rFonts w:ascii="Calibri" w:hAnsi="Calibri"/>
          <w:sz w:val="24"/>
          <w:szCs w:val="24"/>
        </w:rPr>
        <w:t xml:space="preserve">zawiadomić właściwy organ nadzoru budowlanego o zakończeniu budowy co najmniej 14 dni przed zamierzonym terminem przystąpienia do użytkowania.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Określam wymagania dotyczące powiązania drogi z innymi</w:t>
      </w:r>
      <w:r>
        <w:rPr>
          <w:rFonts w:ascii="Calibri" w:hAnsi="Calibri"/>
          <w:b/>
          <w:sz w:val="24"/>
          <w:szCs w:val="24"/>
        </w:rPr>
        <w:t xml:space="preserve"> drogami publicznymi. 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Droga krajowa nr 71, klasy G (ul. Konstantynowska), krzyżuje się z drogą powiatowa nr 5165E (ul. Pabianicka) na wlocie zachodnim, natomiast na wlocie wschodnim z drogą wewnętrzną.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Określam warunki wynikające z potrzeb ochrony środowiska, ochrony zabytków i dóbr kultury współczesnej oraz potrzeb obronności państwa. </w:t>
      </w:r>
    </w:p>
    <w:p w:rsidR="00BB319D" w:rsidRDefault="000B4CDF">
      <w:pPr>
        <w:numPr>
          <w:ilvl w:val="0"/>
          <w:numId w:val="6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Warunki wynikające z potrzeb ochrony zabytków i dóbr kultury współczesnej. </w:t>
      </w:r>
    </w:p>
    <w:p w:rsidR="00BB319D" w:rsidRDefault="000B4CDF">
      <w:pPr>
        <w:snapToGrid w:val="0"/>
        <w:spacing w:after="283" w:line="360" w:lineRule="auto"/>
        <w:ind w:left="1080"/>
        <w:rPr>
          <w:kern w:val="0"/>
          <w:sz w:val="24"/>
          <w:szCs w:val="24"/>
        </w:rPr>
      </w:pPr>
      <w:r>
        <w:rPr>
          <w:rFonts w:ascii="Calibri" w:hAnsi="Calibri"/>
          <w:sz w:val="24"/>
          <w:szCs w:val="24"/>
        </w:rPr>
        <w:t>W toku realizacji inwestycji należy zachowa</w:t>
      </w:r>
      <w:r>
        <w:rPr>
          <w:rFonts w:ascii="Calibri" w:hAnsi="Calibri"/>
          <w:sz w:val="24"/>
          <w:szCs w:val="24"/>
        </w:rPr>
        <w:t xml:space="preserve">ć warunki określone w ustawie z dnia 23 lipca 2003 r. o ochronie zabytków i opiece nad zabytkami (t.j. Dz. U. z 2022 r. poz. 840 ze zm.), a w szczególności, </w:t>
      </w:r>
      <w:r>
        <w:rPr>
          <w:rFonts w:ascii="Calibri" w:hAnsi="Calibri"/>
          <w:kern w:val="0"/>
          <w:sz w:val="24"/>
          <w:szCs w:val="24"/>
        </w:rPr>
        <w:t>w przypadku odkrycia podczas prowadzenia robót budowlanych lub ziemnych przedmiotu, co do którego i</w:t>
      </w:r>
      <w:r>
        <w:rPr>
          <w:rFonts w:ascii="Calibri" w:hAnsi="Calibri"/>
          <w:kern w:val="0"/>
          <w:sz w:val="24"/>
          <w:szCs w:val="24"/>
        </w:rPr>
        <w:t xml:space="preserve">stnieje przypuszczenie, iż jest on zabytkiem, należy: </w:t>
      </w:r>
    </w:p>
    <w:p w:rsidR="00BB319D" w:rsidRDefault="000B4CDF">
      <w:pPr>
        <w:numPr>
          <w:ilvl w:val="0"/>
          <w:numId w:val="9"/>
        </w:numPr>
        <w:snapToGrid w:val="0"/>
        <w:spacing w:after="283" w:line="360" w:lineRule="auto"/>
        <w:rPr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 xml:space="preserve">wstrzymać wszelkie roboty mogące uszkodzić lub zniszczyć odkryty przedmiot, </w:t>
      </w:r>
    </w:p>
    <w:p w:rsidR="00BB319D" w:rsidRDefault="000B4CDF">
      <w:pPr>
        <w:numPr>
          <w:ilvl w:val="0"/>
          <w:numId w:val="9"/>
        </w:numPr>
        <w:snapToGrid w:val="0"/>
        <w:spacing w:after="283" w:line="360" w:lineRule="auto"/>
        <w:rPr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 xml:space="preserve">zabezpieczyć, przy użyciu dostępnych środków, ten przedmiot i miejsce jego odkrycia, </w:t>
      </w:r>
    </w:p>
    <w:p w:rsidR="00BB319D" w:rsidRDefault="000B4CDF">
      <w:pPr>
        <w:numPr>
          <w:ilvl w:val="0"/>
          <w:numId w:val="9"/>
        </w:numPr>
        <w:snapToGrid w:val="0"/>
        <w:spacing w:after="283" w:line="360" w:lineRule="auto"/>
        <w:rPr>
          <w:kern w:val="0"/>
          <w:sz w:val="24"/>
          <w:szCs w:val="24"/>
        </w:rPr>
      </w:pPr>
      <w:r>
        <w:rPr>
          <w:rFonts w:ascii="Calibri" w:hAnsi="Calibri"/>
          <w:kern w:val="0"/>
          <w:sz w:val="24"/>
          <w:szCs w:val="24"/>
        </w:rPr>
        <w:t xml:space="preserve">niezwłocznie zawiadomić o tym właściwego wojewódzkiego konserwatora zabytków, a jeśli nie jest to możliwe, właściwego wójta (burmistrza, prezydenta miasta). </w:t>
      </w:r>
    </w:p>
    <w:p w:rsidR="00BB319D" w:rsidRDefault="000B4CDF">
      <w:pPr>
        <w:numPr>
          <w:ilvl w:val="0"/>
          <w:numId w:val="6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Warunki wynikające z potrzeb obronności państwa. </w:t>
      </w:r>
    </w:p>
    <w:p w:rsidR="00BB319D" w:rsidRDefault="000B4CDF">
      <w:pPr>
        <w:snapToGrid w:val="0"/>
        <w:spacing w:after="283" w:line="360" w:lineRule="auto"/>
        <w:ind w:left="108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Realizowana inwestycja powinna spełniać warunki </w:t>
      </w:r>
      <w:r>
        <w:rPr>
          <w:rFonts w:ascii="Calibri" w:hAnsi="Calibri"/>
          <w:sz w:val="24"/>
          <w:szCs w:val="24"/>
        </w:rPr>
        <w:t xml:space="preserve">techniczne i funkcjonalne w zakresie przygotowania dróg na potrzeby obronności państwa. </w:t>
      </w:r>
    </w:p>
    <w:p w:rsidR="00BB319D" w:rsidRDefault="000B4CDF">
      <w:pPr>
        <w:numPr>
          <w:ilvl w:val="0"/>
          <w:numId w:val="6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Warunki wynikające z potrzeb ochrony środowiska. </w:t>
      </w:r>
    </w:p>
    <w:p w:rsidR="00BB319D" w:rsidRDefault="000B4CDF">
      <w:pPr>
        <w:snapToGrid w:val="0"/>
        <w:spacing w:after="283" w:line="360" w:lineRule="auto"/>
        <w:ind w:left="108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W toku realizacji inwestycji należy zachować warunki określone w ustawie z dnia 27 kwietnia 2001 r. – Prawo ochrony ś</w:t>
      </w:r>
      <w:r>
        <w:rPr>
          <w:rFonts w:ascii="Calibri" w:hAnsi="Calibri"/>
          <w:sz w:val="24"/>
          <w:szCs w:val="24"/>
        </w:rPr>
        <w:t xml:space="preserve">rodowiska (t.j. Dz. U. z 2022 r. poz. 2556, ze zm.).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 xml:space="preserve">Określam warunki dotyczące gospodarowania odpadami. 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Z odpadami powstającymi na etapie realizacji inwestycji należy postępować zgodnie z ustawą z dnia 14 grudnia 2012 r. o odpadach (t.j. Dz. U. z 2022 r</w:t>
      </w:r>
      <w:r>
        <w:rPr>
          <w:rFonts w:ascii="Calibri" w:hAnsi="Calibri"/>
          <w:sz w:val="24"/>
          <w:szCs w:val="24"/>
        </w:rPr>
        <w:t>. poz. 699, ze zm.). Powstałe odpady budowlane należy gromadzić selektywnie, w warunkach uniemożliwiających szkodliwe działanie na środowisko i zdrowie ludzi, a następnie przekazać je podmiotowi posiadającemu stosowne zezwolenia na prowadzenie działalności</w:t>
      </w:r>
      <w:r>
        <w:rPr>
          <w:rFonts w:ascii="Calibri" w:hAnsi="Calibri"/>
          <w:sz w:val="24"/>
          <w:szCs w:val="24"/>
        </w:rPr>
        <w:t xml:space="preserve"> w zakresie gospodarowania odpadami.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Określam wymagania dotyczące ochrony uzasadnionych interesów osób trzecich. 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Należy uwzględnić wszelkie warunki i normy wynikające z obowiązującego prawa, ze szczególnym uwzględnieniem art. 5 ustawy z dnia 7 lipca 1994</w:t>
      </w:r>
      <w:r>
        <w:rPr>
          <w:rFonts w:ascii="Calibri" w:hAnsi="Calibri"/>
          <w:sz w:val="24"/>
          <w:szCs w:val="24"/>
        </w:rPr>
        <w:t xml:space="preserve"> r. – Prawo budowalne (t.j. Dz. U. z 2023 r. poz. 682, ze zm.), a zwłaszcza zapewniające: </w:t>
      </w:r>
    </w:p>
    <w:p w:rsidR="00BB319D" w:rsidRDefault="000B4CDF">
      <w:pPr>
        <w:numPr>
          <w:ilvl w:val="0"/>
          <w:numId w:val="10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dostęp do drogi publicznej, </w:t>
      </w:r>
    </w:p>
    <w:p w:rsidR="00BB319D" w:rsidRDefault="000B4CDF">
      <w:pPr>
        <w:numPr>
          <w:ilvl w:val="0"/>
          <w:numId w:val="10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możliwość korzystania z urządzeń istniejącej infrastruktury technicznej, </w:t>
      </w:r>
    </w:p>
    <w:p w:rsidR="00BB319D" w:rsidRDefault="000B4CDF">
      <w:pPr>
        <w:numPr>
          <w:ilvl w:val="0"/>
          <w:numId w:val="10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ochronę przed ponadnormatywnymi uciążliwościami spowodowanymi </w:t>
      </w:r>
      <w:r>
        <w:rPr>
          <w:rFonts w:ascii="Calibri" w:hAnsi="Calibri"/>
          <w:sz w:val="24"/>
          <w:szCs w:val="24"/>
        </w:rPr>
        <w:t xml:space="preserve">hałasem, </w:t>
      </w:r>
    </w:p>
    <w:p w:rsidR="00BB319D" w:rsidRDefault="000B4CDF">
      <w:pPr>
        <w:numPr>
          <w:ilvl w:val="0"/>
          <w:numId w:val="10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ochronę przed ponadnormatywnym zanieczyszczeniem powietrza, wody i gleby, </w:t>
      </w:r>
    </w:p>
    <w:p w:rsidR="00BB319D" w:rsidRDefault="000B4CDF">
      <w:pPr>
        <w:numPr>
          <w:ilvl w:val="0"/>
          <w:numId w:val="10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zachowanie bezpieczeństwa ludzi i mienia. </w:t>
      </w:r>
    </w:p>
    <w:p w:rsidR="00BB319D" w:rsidRDefault="000B4CDF">
      <w:pPr>
        <w:pStyle w:val="Akapitzlist"/>
        <w:numPr>
          <w:ilvl w:val="0"/>
          <w:numId w:val="2"/>
        </w:numPr>
        <w:spacing w:after="283" w:line="360" w:lineRule="auto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Określam termin rozbiórki tymczasowych obiektów budowlanych - </w:t>
      </w:r>
      <w:r>
        <w:rPr>
          <w:rFonts w:ascii="Calibri" w:hAnsi="Calibri"/>
          <w:sz w:val="24"/>
          <w:szCs w:val="24"/>
        </w:rPr>
        <w:t xml:space="preserve">tymczasowego by-passu sieci wodociągowej: niezwłocznie po oddaniu </w:t>
      </w:r>
      <w:r>
        <w:rPr>
          <w:rFonts w:ascii="Calibri" w:hAnsi="Calibri"/>
          <w:sz w:val="24"/>
          <w:szCs w:val="24"/>
        </w:rPr>
        <w:t>do użytkowania przebudowanej sieci wodociągowej.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Nadaję niniejszej decyzji rygor natychmiastowej wykonalności ze względu na uzasadniony interes społeczny i gospodarczy. </w:t>
      </w:r>
    </w:p>
    <w:p w:rsidR="00BB319D" w:rsidRDefault="000B4CDF">
      <w:pPr>
        <w:snapToGrid w:val="0"/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Zgodnie z art. 17 ust. 3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>, nadanie decyzji rygoru natychmiastowej wykonalnoś</w:t>
      </w:r>
      <w:r>
        <w:rPr>
          <w:rFonts w:ascii="Calibri" w:hAnsi="Calibri"/>
          <w:sz w:val="24"/>
          <w:szCs w:val="24"/>
        </w:rPr>
        <w:t xml:space="preserve">ci: </w:t>
      </w:r>
    </w:p>
    <w:p w:rsidR="00BB319D" w:rsidRDefault="000B4CDF">
      <w:pPr>
        <w:numPr>
          <w:ilvl w:val="0"/>
          <w:numId w:val="11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zobowiązuje do niezwłocznego wydania nieruchomości, opróżnienia lokali i innych pomieszczeń, </w:t>
      </w:r>
    </w:p>
    <w:p w:rsidR="00BB319D" w:rsidRDefault="000B4CDF">
      <w:pPr>
        <w:numPr>
          <w:ilvl w:val="0"/>
          <w:numId w:val="11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uprawnia do faktycznego objęcia nieruchomości w posiadania przez właściwego zarządcę drogi, </w:t>
      </w:r>
    </w:p>
    <w:p w:rsidR="00BB319D" w:rsidRDefault="000B4CDF">
      <w:pPr>
        <w:numPr>
          <w:ilvl w:val="0"/>
          <w:numId w:val="11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uprawnia do rozpoczęcia robót budowlanych, </w:t>
      </w:r>
    </w:p>
    <w:p w:rsidR="00BB319D" w:rsidRDefault="000B4CDF">
      <w:pPr>
        <w:numPr>
          <w:ilvl w:val="0"/>
          <w:numId w:val="11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uprawnia do wydania </w:t>
      </w:r>
      <w:r>
        <w:rPr>
          <w:rFonts w:ascii="Calibri" w:hAnsi="Calibri"/>
          <w:sz w:val="24"/>
          <w:szCs w:val="24"/>
        </w:rPr>
        <w:t>przez właściwy organ dziennika budowy.</w:t>
      </w:r>
      <w:r>
        <w:rPr>
          <w:rFonts w:ascii="Calibri" w:hAnsi="Calibri" w:cs="Arial"/>
          <w:sz w:val="24"/>
          <w:szCs w:val="24"/>
        </w:rPr>
        <w:t xml:space="preserve"> </w:t>
      </w:r>
    </w:p>
    <w:p w:rsidR="00BB319D" w:rsidRDefault="000B4CDF">
      <w:pPr>
        <w:numPr>
          <w:ilvl w:val="0"/>
          <w:numId w:val="2"/>
        </w:num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Określam termin wydania nieruchomości lub wydania nieruchomości i opróżnienia lokali oraz innych pomieszczeń na 120 dzień od dnia, w którym niniejsza decyzja stanie się ostateczna, z zastrzeżeniem warunków wynikający</w:t>
      </w:r>
      <w:r>
        <w:rPr>
          <w:rFonts w:ascii="Calibri" w:hAnsi="Calibri"/>
          <w:b/>
          <w:sz w:val="24"/>
          <w:szCs w:val="24"/>
        </w:rPr>
        <w:t xml:space="preserve">ch z nadania decyzji rygoru natychmiastowej wykonalności. </w:t>
      </w:r>
    </w:p>
    <w:p w:rsidR="00BB319D" w:rsidRDefault="000B4CDF">
      <w:pPr>
        <w:snapToGrid w:val="0"/>
        <w:spacing w:line="360" w:lineRule="auto"/>
        <w:jc w:val="center"/>
        <w:rPr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UZASADNIENIE </w:t>
      </w:r>
    </w:p>
    <w:p w:rsidR="00BB319D" w:rsidRDefault="00BB319D">
      <w:pPr>
        <w:snapToGrid w:val="0"/>
        <w:spacing w:line="360" w:lineRule="auto"/>
        <w:jc w:val="center"/>
        <w:rPr>
          <w:rFonts w:ascii="Calibri" w:hAnsi="Calibri"/>
          <w:sz w:val="24"/>
          <w:szCs w:val="24"/>
        </w:rPr>
      </w:pP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W dniu 24.03.2023 r. Inwestor – Burmistrz Aleksandrowa Łódzkiego</w:t>
      </w:r>
      <w:r>
        <w:rPr>
          <w:rFonts w:ascii="Calibri" w:hAnsi="Calibri"/>
          <w:bCs/>
          <w:sz w:val="24"/>
          <w:szCs w:val="24"/>
        </w:rPr>
        <w:t xml:space="preserve">, wystąpił do Wojewody Łódzkiego z wnioskiem </w:t>
      </w:r>
      <w:r>
        <w:rPr>
          <w:rFonts w:ascii="Calibri" w:hAnsi="Calibri"/>
          <w:sz w:val="24"/>
          <w:szCs w:val="24"/>
        </w:rPr>
        <w:t xml:space="preserve">o wydanie decyzji o zezwoleniu na realizację przedmiotowej inwestycji drogowej, w trybie art. 11a ust. 1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 xml:space="preserve">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W związku z brakami formalnymi wniosku, pismem z dnia 20.04.2023 r. wezwano Inwestora do ich usunięcia w terminie 90 dni od dnia otrzyman</w:t>
      </w:r>
      <w:r>
        <w:rPr>
          <w:rFonts w:ascii="Calibri" w:hAnsi="Calibri"/>
          <w:sz w:val="24"/>
          <w:szCs w:val="24"/>
        </w:rPr>
        <w:t xml:space="preserve">ia wezwania. W dniu 24.05.2023 r. Inwestor uzupełnił i skorygował wniosek zgodnie z wezwaniem.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Wniosek zawierał m.in.: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mapę w skali 1:500 przedstawiającą proponowany przebieg drogi, z zaznaczeniem terenu niezbędnego dla obiektów budowlanych, oraz istniej</w:t>
      </w:r>
      <w:r>
        <w:rPr>
          <w:rFonts w:ascii="Calibri" w:hAnsi="Calibri"/>
          <w:sz w:val="24"/>
          <w:szCs w:val="24"/>
        </w:rPr>
        <w:t xml:space="preserve">ące uzbrojenie terenu,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analizę powiązania drogi z innymi drogami publicznymi,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mapy zawierające projekty podziału nieruchomości, sporządzone zgodnie z odrębnymi przepisami,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określenie nieruchomości lub ich części, które planowane są do przejęcia na rzecz</w:t>
      </w:r>
      <w:r>
        <w:rPr>
          <w:rFonts w:ascii="Calibri" w:hAnsi="Calibri"/>
          <w:sz w:val="24"/>
          <w:szCs w:val="24"/>
        </w:rPr>
        <w:t xml:space="preserve"> Skarbu Państwa,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określenie nieruchomości lub ich części, z których korzystanie będzie ograniczone,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określenie zmian w dotychczasowej infrastrukturze zagospodarowania terenu,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trzy egzemplarze projektu zagospodarowania terenu oraz projektu architektonicz</w:t>
      </w:r>
      <w:r>
        <w:rPr>
          <w:rFonts w:ascii="Calibri" w:hAnsi="Calibri"/>
          <w:sz w:val="24"/>
          <w:szCs w:val="24"/>
        </w:rPr>
        <w:t xml:space="preserve">no-budowlanego wraz z zaświadczeniem, o którym mowa w art. 12 ust. 7 ustawy – Prawo budowlane, aktualnym na dzień opracowania projektu,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pozytywną opinię Zarządu Województwa Łódzkiego z dnia 07.09.2022 r., znak: BPPWŁ.ZP.4041.103.2022,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pozytywną opinię Za</w:t>
      </w:r>
      <w:r>
        <w:rPr>
          <w:rFonts w:ascii="Calibri" w:hAnsi="Calibri"/>
          <w:sz w:val="24"/>
          <w:szCs w:val="24"/>
        </w:rPr>
        <w:t xml:space="preserve">rządu Powiatu Zgierskiego z dnia 07.09.2022 r., znak: DR.7134.542.2022.MC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pozytywną opinię Burmistrza Aleksandrowa Łódzkiego z dnia 12.09.2022 r., znak: IR.7013.24.21.DA,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pismo Dyrektora Regionalnej Dyrekcji Lasów Państwowych w Łodzi z dnia 12.09.2022 r.</w:t>
      </w:r>
      <w:r>
        <w:rPr>
          <w:rFonts w:ascii="Calibri" w:hAnsi="Calibri"/>
          <w:sz w:val="24"/>
          <w:szCs w:val="24"/>
        </w:rPr>
        <w:t>, znak: ZS.2211.70.2022,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porozumienie z dnia 16.12.2022 r., zawarte na podstawie art. 19 ust. 4 ustawy z dnia 212 marca 1985 r. o drogach publicznych (tj. Dz. U. z 2023 r., poz. 645 ze zm.) pomiędzy Skarbem Państwa – Generalnym Dyrektorem Dróg Krajowych i </w:t>
      </w:r>
      <w:r>
        <w:rPr>
          <w:rFonts w:ascii="Calibri" w:hAnsi="Calibri"/>
          <w:sz w:val="24"/>
          <w:szCs w:val="24"/>
        </w:rPr>
        <w:t xml:space="preserve">Autostrad reprezentowanym przez p.o. Dyrektora oraz z-cę Dyrektora Oddziału Generalnej Dyrekcji Dróg Krajowych i Autostrad w Łodzi, a Gminą Aleksandrów Łódzki reprezentowaną przez Burmistrza Aleksandrowa Łódzkiego, 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oświadczenie Inwestora z dnia 05.06.2023</w:t>
      </w:r>
      <w:r>
        <w:rPr>
          <w:rFonts w:ascii="Calibri" w:hAnsi="Calibri"/>
          <w:sz w:val="24"/>
          <w:szCs w:val="24"/>
        </w:rPr>
        <w:t xml:space="preserve"> r., znak: P/2206/448/JK/2023, że w pasie drogowym drogi krajowej nr 71 (na odcinku objętym wnioskiem) zlokalizowana jest kanalizacja kablowa,</w:t>
      </w:r>
    </w:p>
    <w:p w:rsidR="00BB319D" w:rsidRDefault="000B4CDF">
      <w:pPr>
        <w:numPr>
          <w:ilvl w:val="0"/>
          <w:numId w:val="7"/>
        </w:num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oświadczenie Inwestora z dnia 23.03.2023 r., że nie ubiega się i nie będzie się ubiegał o dofinansowanie </w:t>
      </w:r>
      <w:r>
        <w:rPr>
          <w:rFonts w:ascii="Calibri" w:hAnsi="Calibri"/>
          <w:sz w:val="24"/>
          <w:szCs w:val="24"/>
        </w:rPr>
        <w:t>przedmiotowego zamierzenia budowlanego z budżetu Unii Europejskiej.</w:t>
      </w:r>
    </w:p>
    <w:p w:rsidR="00BB319D" w:rsidRDefault="000B4CDF">
      <w:pPr>
        <w:snapToGrid w:val="0"/>
        <w:spacing w:after="283" w:line="360" w:lineRule="auto"/>
        <w:ind w:firstLine="36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Ponadto Inwestor oświadczył, że wystąpił w dniu 31.08.2022 r. do Łódzkiego Wojewódzkiego Konserwatora Zabytków o wydanie opinii na podstawie art. 11d ust. 1 pkt f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 xml:space="preserve"> oraz w termini</w:t>
      </w:r>
      <w:r>
        <w:rPr>
          <w:rFonts w:ascii="Calibri" w:hAnsi="Calibri"/>
          <w:sz w:val="24"/>
          <w:szCs w:val="24"/>
        </w:rPr>
        <w:t xml:space="preserve">e określonym w art. 11d ust. 2 </w:t>
      </w:r>
      <w:r>
        <w:rPr>
          <w:rFonts w:ascii="Calibri" w:hAnsi="Calibri"/>
          <w:i/>
          <w:sz w:val="24"/>
          <w:szCs w:val="24"/>
        </w:rPr>
        <w:t xml:space="preserve">specustawy </w:t>
      </w:r>
      <w:r>
        <w:rPr>
          <w:rFonts w:ascii="Calibri" w:hAnsi="Calibri"/>
          <w:sz w:val="24"/>
          <w:szCs w:val="24"/>
        </w:rPr>
        <w:t>nie otrzymał odpowiedzi. Niewydanie opinii w terminie 30 dni od dnia otrzymania wniosku traktuje się jako brak zastrzeżeń do wniosku.</w:t>
      </w:r>
    </w:p>
    <w:p w:rsidR="00BB319D" w:rsidRDefault="000B4CDF">
      <w:pPr>
        <w:snapToGrid w:val="0"/>
        <w:spacing w:after="283" w:line="360" w:lineRule="auto"/>
        <w:ind w:firstLine="360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Ze względu na fakt, iż na odcinku drogi objętym zakresem wniosku o wydanie decyz</w:t>
      </w:r>
      <w:r>
        <w:rPr>
          <w:rFonts w:ascii="Calibri" w:hAnsi="Calibri"/>
          <w:sz w:val="24"/>
          <w:szCs w:val="24"/>
        </w:rPr>
        <w:t xml:space="preserve">ji o zezwoleniu na realizację inwestycji drogowej brak jest terenów i obiektów, o których mowa w art. 11d ust. 1 pkt 8 lit. a, b, c, d, g, ga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>, opinie: ministra właściwego do spraw zdrowia, dyrektora właściwego urzędu morskiego, dyrektora regiona</w:t>
      </w:r>
      <w:r>
        <w:rPr>
          <w:rFonts w:ascii="Calibri" w:hAnsi="Calibri"/>
          <w:sz w:val="24"/>
          <w:szCs w:val="24"/>
        </w:rPr>
        <w:t>lnego zarządu gospodarki wodnej Państwowego Gospodarstwa Wodnego Wody Polskie, właściwego organu nadzoru górniczego, właściwego zarządcy infrastruktury kolejowej oraz podmiotu zarządzającego w rozumieniu ustawy z dnia 20 grudnia 1996 r. o portach i przysta</w:t>
      </w:r>
      <w:r>
        <w:rPr>
          <w:rFonts w:ascii="Calibri" w:hAnsi="Calibri"/>
          <w:sz w:val="24"/>
          <w:szCs w:val="24"/>
        </w:rPr>
        <w:t>niach morskich, nie były wymagane.</w:t>
      </w:r>
    </w:p>
    <w:p w:rsidR="00BB319D" w:rsidRDefault="000B4CDF">
      <w:pPr>
        <w:snapToGrid w:val="0"/>
        <w:spacing w:after="283" w:line="360" w:lineRule="auto"/>
        <w:rPr>
          <w:iCs/>
          <w:color w:val="000000"/>
          <w:kern w:val="0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Przedmiotowa inwestycja nie zalicza się do przedsięwzięć mogących znacząco oddziaływać na środowisko zgodnie z rozporządzeniem Rady Ministrów z dnia 10 września 2019 r. w sprawie przedsięwzięć mogących znacząco oddziaływ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ać na środowisko (t.j. Dz. U. z 2019  r. poz. 1839, ze zm.). W związku z powyższym zgodnie z art. 71 ust. 2 ustawy z dnia 3 października 2008 r. o udostępnianiu informacji o środowisku i jego ochronie, udziale społeczeństwa w ochronie środowiska oraz o oce</w:t>
      </w:r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nach oddziaływania na środowisko (t.j. Dz.</w:t>
      </w:r>
      <w:bookmarkStart w:id="3" w:name="_GoBack12"/>
      <w:bookmarkEnd w:id="3"/>
      <w:r>
        <w:rPr>
          <w:rFonts w:ascii="Calibri" w:hAnsi="Calibri"/>
          <w:iCs/>
          <w:color w:val="000000"/>
          <w:kern w:val="0"/>
          <w:sz w:val="24"/>
          <w:szCs w:val="24"/>
          <w:lang w:eastAsia="pl-PL"/>
        </w:rPr>
        <w:t>U. z 2023 r. poz. 1094, ze zm.) uzyskanie decyzji o środowiskowych uwarunkowaniach nie było wymagane.</w:t>
      </w:r>
    </w:p>
    <w:p w:rsidR="00BB319D" w:rsidRDefault="000B4CDF">
      <w:pPr>
        <w:snapToGrid w:val="0"/>
        <w:spacing w:after="283" w:line="360" w:lineRule="auto"/>
        <w:rPr>
          <w:bCs/>
          <w:sz w:val="24"/>
          <w:szCs w:val="24"/>
          <w:lang w:eastAsia="ar-SA"/>
        </w:rPr>
      </w:pPr>
      <w:r>
        <w:rPr>
          <w:rFonts w:ascii="Calibri" w:hAnsi="Calibri"/>
          <w:sz w:val="24"/>
          <w:szCs w:val="24"/>
        </w:rPr>
        <w:lastRenderedPageBreak/>
        <w:tab/>
        <w:t xml:space="preserve">O wszczęciu przedmiotowego postępowania, stosownie do art. 11 d ust. 5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>, organ zawiadomił Inwestora p</w:t>
      </w:r>
      <w:r>
        <w:rPr>
          <w:rFonts w:ascii="Calibri" w:hAnsi="Calibri"/>
          <w:sz w:val="24"/>
          <w:szCs w:val="24"/>
        </w:rPr>
        <w:t>ismem z dnia 31.05.2023 r. D</w:t>
      </w:r>
      <w:r>
        <w:rPr>
          <w:rFonts w:ascii="Calibri" w:hAnsi="Calibri"/>
          <w:bCs/>
          <w:sz w:val="24"/>
          <w:szCs w:val="24"/>
          <w:lang w:eastAsia="ar-SA"/>
        </w:rPr>
        <w:t xml:space="preserve">o właścicieli i użytkowników wieczystych nieruchomości, objętych wnioskiem o wydanie przedmiotowej decyzji, zostały skierowane indywidualne zawiadomienia na adresy wskazane w ewidencji gruntów. Dane osobowe i adresy właścicieli </w:t>
      </w:r>
      <w:r>
        <w:rPr>
          <w:rFonts w:ascii="Calibri" w:hAnsi="Calibri"/>
          <w:bCs/>
          <w:sz w:val="24"/>
          <w:szCs w:val="24"/>
          <w:lang w:eastAsia="ar-SA"/>
        </w:rPr>
        <w:t>lub użytkowników wieczystych nieruchomości objętych wnioskiem, ustalono na podstawie wypisów z rejestru gruntów, otrzymanych od Starosty Zgierskiego. Zawiadomienie zawierało w szczególności oznaczenie nieruchomości lub ich części, objętych wnioskiem o wyda</w:t>
      </w:r>
      <w:r>
        <w:rPr>
          <w:rFonts w:ascii="Calibri" w:hAnsi="Calibri"/>
          <w:bCs/>
          <w:sz w:val="24"/>
          <w:szCs w:val="24"/>
          <w:lang w:eastAsia="ar-SA"/>
        </w:rPr>
        <w:t xml:space="preserve">nie decyzji o zezwoleniu na realizację inwestycji drogowej, według katastru nieruchomości oraz informację o terminie i miejscu, w którym strony mogą zapoznać się z aktami sprawy (art. 11d ust. 6 </w:t>
      </w:r>
      <w:r>
        <w:rPr>
          <w:rFonts w:ascii="Calibri" w:hAnsi="Calibri"/>
          <w:bCs/>
          <w:i/>
          <w:iCs/>
          <w:sz w:val="24"/>
          <w:szCs w:val="24"/>
          <w:lang w:eastAsia="ar-SA"/>
        </w:rPr>
        <w:t>specustawy</w:t>
      </w:r>
      <w:r>
        <w:rPr>
          <w:rFonts w:ascii="Calibri" w:hAnsi="Calibri"/>
          <w:bCs/>
          <w:sz w:val="24"/>
          <w:szCs w:val="24"/>
          <w:lang w:eastAsia="ar-SA"/>
        </w:rPr>
        <w:t>). Ponadto poinformowano strony postępowania, że z dniem zawiadomienia, nieruchomości stanowiące własność Skarbu Państwa bądź jednostek samorządu terytorialnego, objęte wnioskiem o wydanie decyzji o zezwoleniu na realizację inwestycji drogowej, nie mogą by</w:t>
      </w:r>
      <w:r>
        <w:rPr>
          <w:rFonts w:ascii="Calibri" w:hAnsi="Calibri"/>
          <w:bCs/>
          <w:sz w:val="24"/>
          <w:szCs w:val="24"/>
          <w:lang w:eastAsia="ar-SA"/>
        </w:rPr>
        <w:t xml:space="preserve">ć przedmiotem obrotu w rozumieniu przepisów o gospodarce nieruchomościami. Czynność prawna dokonana z naruszeniem zakazu, o którym mowa wyżej, jest nieważna (art. 11d ust. 9 i 10 </w:t>
      </w:r>
      <w:r>
        <w:rPr>
          <w:rFonts w:ascii="Calibri" w:hAnsi="Calibri"/>
          <w:bCs/>
          <w:i/>
          <w:iCs/>
          <w:sz w:val="24"/>
          <w:szCs w:val="24"/>
          <w:lang w:eastAsia="ar-SA"/>
        </w:rPr>
        <w:t>specustawy</w:t>
      </w:r>
      <w:r>
        <w:rPr>
          <w:rFonts w:ascii="Calibri" w:hAnsi="Calibri"/>
          <w:bCs/>
          <w:sz w:val="24"/>
          <w:szCs w:val="24"/>
          <w:lang w:eastAsia="ar-SA"/>
        </w:rPr>
        <w:t xml:space="preserve">). </w:t>
      </w:r>
    </w:p>
    <w:p w:rsidR="00BB319D" w:rsidRDefault="000B4CDF">
      <w:pPr>
        <w:snapToGrid w:val="0"/>
        <w:spacing w:after="283" w:line="360" w:lineRule="auto"/>
        <w:rPr>
          <w:bCs/>
          <w:sz w:val="24"/>
          <w:szCs w:val="24"/>
          <w:lang w:eastAsia="ar-SA"/>
        </w:rPr>
      </w:pPr>
      <w:r>
        <w:rPr>
          <w:rFonts w:ascii="Calibri" w:hAnsi="Calibri"/>
          <w:bCs/>
          <w:sz w:val="24"/>
          <w:szCs w:val="24"/>
          <w:lang w:eastAsia="ar-SA"/>
        </w:rPr>
        <w:tab/>
        <w:t>Pozostałe strony postępowania zostały zawiadomione poprzez obw</w:t>
      </w:r>
      <w:r>
        <w:rPr>
          <w:rFonts w:ascii="Calibri" w:hAnsi="Calibri"/>
          <w:bCs/>
          <w:sz w:val="24"/>
          <w:szCs w:val="24"/>
          <w:lang w:eastAsia="ar-SA"/>
        </w:rPr>
        <w:t xml:space="preserve">ieszczenie </w:t>
      </w:r>
      <w:r>
        <w:rPr>
          <w:rFonts w:ascii="Calibri" w:hAnsi="Calibri"/>
          <w:sz w:val="24"/>
          <w:szCs w:val="24"/>
        </w:rPr>
        <w:t xml:space="preserve">zamieszczone: </w:t>
      </w:r>
    </w:p>
    <w:p w:rsidR="00BB319D" w:rsidRDefault="000B4CDF">
      <w:pPr>
        <w:numPr>
          <w:ilvl w:val="0"/>
          <w:numId w:val="12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 prasie lokalnej – w dniu 02.06.2023 r., </w:t>
      </w:r>
    </w:p>
    <w:p w:rsidR="00BB319D" w:rsidRDefault="000B4CDF">
      <w:pPr>
        <w:numPr>
          <w:ilvl w:val="0"/>
          <w:numId w:val="12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 tablicy ogłoszeń Łódzkiego Urzędu Wojewódzkiego w Łodzi - w dniach od 02.06.2023 r. do 16.06.2023 r., </w:t>
      </w:r>
    </w:p>
    <w:p w:rsidR="00BB319D" w:rsidRDefault="000B4CDF">
      <w:pPr>
        <w:numPr>
          <w:ilvl w:val="0"/>
          <w:numId w:val="12"/>
        </w:num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w urzędowym publikatorze teleinformatycznym - Biuletynie Informacji Publicznej Łó</w:t>
      </w:r>
      <w:r>
        <w:rPr>
          <w:rFonts w:ascii="Calibri" w:hAnsi="Calibri"/>
          <w:sz w:val="24"/>
          <w:szCs w:val="24"/>
        </w:rPr>
        <w:t xml:space="preserve">dzkiego Urzędu Wojewódzkiego w Łodzi - w dniu 02.06.2023 r. na okres 14 dni od dnia zamieszczenia, </w:t>
      </w:r>
    </w:p>
    <w:p w:rsidR="00BB319D" w:rsidRDefault="000B4CDF">
      <w:pPr>
        <w:numPr>
          <w:ilvl w:val="0"/>
          <w:numId w:val="12"/>
        </w:numPr>
        <w:snapToGrid w:val="0"/>
        <w:spacing w:after="283" w:line="360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na tablicy ogłoszeń oraz w urzędowym publikatorze teleinformatycznym – Biuletynie Informacji Publicznej Urzędu Miejskiego w Aleksandrowie Łódzkim – w dniach</w:t>
      </w:r>
      <w:r>
        <w:rPr>
          <w:rFonts w:ascii="Calibri" w:hAnsi="Calibri"/>
          <w:sz w:val="24"/>
          <w:szCs w:val="24"/>
        </w:rPr>
        <w:t xml:space="preserve"> od 02.06.2023 r. do 16.06.2023 r. </w:t>
      </w:r>
    </w:p>
    <w:p w:rsidR="00BB319D" w:rsidRDefault="000B4CDF">
      <w:pPr>
        <w:snapToGrid w:val="0"/>
        <w:spacing w:after="283" w:line="360" w:lineRule="auto"/>
        <w:ind w:firstLine="709"/>
        <w:rPr>
          <w:bCs/>
          <w:sz w:val="24"/>
          <w:szCs w:val="24"/>
          <w:lang w:eastAsia="ar-SA"/>
        </w:rPr>
      </w:pPr>
      <w:r>
        <w:rPr>
          <w:rFonts w:ascii="Calibri" w:hAnsi="Calibri"/>
          <w:sz w:val="24"/>
          <w:szCs w:val="24"/>
        </w:rPr>
        <w:lastRenderedPageBreak/>
        <w:t xml:space="preserve">W toku </w:t>
      </w:r>
      <w:r>
        <w:rPr>
          <w:rFonts w:ascii="Calibri" w:hAnsi="Calibri"/>
          <w:bCs/>
          <w:sz w:val="24"/>
          <w:szCs w:val="24"/>
          <w:lang w:eastAsia="ar-SA"/>
        </w:rPr>
        <w:t>prowadzonego postępowania, do tutejszego organu nie wpłynęły żadne uwagi i zastrzeżenia do przedmiotowej inwestycji</w:t>
      </w:r>
      <w:r>
        <w:rPr>
          <w:rFonts w:ascii="Calibri" w:hAnsi="Calibri"/>
          <w:color w:val="000000"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  <w:lang w:eastAsia="ar-SA"/>
        </w:rPr>
        <w:t xml:space="preserve"> </w:t>
      </w:r>
    </w:p>
    <w:p w:rsidR="00BB319D" w:rsidRDefault="000B4CDF">
      <w:pPr>
        <w:snapToGrid w:val="0"/>
        <w:spacing w:after="283" w:line="360" w:lineRule="auto"/>
        <w:ind w:firstLine="709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Ponadto w piśmie z dnia 05.06.2023 r. Inwestor powołując się na art. 39 ust. 6ba pkt 2 ustawy a</w:t>
      </w:r>
      <w:r>
        <w:rPr>
          <w:rFonts w:ascii="Calibri" w:hAnsi="Calibri"/>
          <w:sz w:val="24"/>
          <w:szCs w:val="24"/>
        </w:rPr>
        <w:t xml:space="preserve"> dnia 21 marca 1985 r. o drogach publicznych (tj. Dz. U. z 2023 r., poz. 645 ze zm.) oświadczył, że w ramach przedmiotowej inwestycji nie będzie budowany kanał technologiczny. Zgodnie z powyższym przepisem nie ma obowiązku zlokalizowania kanału technologic</w:t>
      </w:r>
      <w:r>
        <w:rPr>
          <w:rFonts w:ascii="Calibri" w:hAnsi="Calibri"/>
          <w:sz w:val="24"/>
          <w:szCs w:val="24"/>
        </w:rPr>
        <w:t>znego w pasie drogowym w trakcie budowy lub przebudowy drogi publicznej, jeżeli w pasie drogowym została już zlokalizowana kanalizacja kablowa lub został już zlokalizowany kanał technologiczny. Na potwierdzenie powyższego faktu załączono pisma spółek Netia</w:t>
      </w:r>
      <w:r>
        <w:rPr>
          <w:rFonts w:ascii="Calibri" w:hAnsi="Calibri"/>
          <w:sz w:val="24"/>
          <w:szCs w:val="24"/>
        </w:rPr>
        <w:t xml:space="preserve"> S.A. z 02.12.2021 r. oraz Orange Polska S.A. z 20.12.2021 r. informujące, że posiadają one własną kanalizację teletechniczną wystarczającą do zaspokojenia potrzeb społecznych, zlokalizowaną w rejonie przedmiotowej inwestycji. </w:t>
      </w:r>
    </w:p>
    <w:p w:rsidR="00BB319D" w:rsidRDefault="000B4CDF">
      <w:pPr>
        <w:snapToGrid w:val="0"/>
        <w:spacing w:after="283" w:line="360" w:lineRule="auto"/>
        <w:ind w:firstLine="709"/>
        <w:rPr>
          <w:bCs/>
          <w:sz w:val="24"/>
          <w:szCs w:val="24"/>
          <w:lang w:eastAsia="ar-SA"/>
        </w:rPr>
      </w:pPr>
      <w:r>
        <w:rPr>
          <w:rFonts w:ascii="Calibri" w:hAnsi="Calibri"/>
          <w:bCs/>
          <w:sz w:val="24"/>
          <w:szCs w:val="24"/>
          <w:lang w:eastAsia="ar-SA"/>
        </w:rPr>
        <w:t>W dniu 23.06.2023 r. Inwesto</w:t>
      </w:r>
      <w:r>
        <w:rPr>
          <w:rFonts w:ascii="Calibri" w:hAnsi="Calibri"/>
          <w:bCs/>
          <w:sz w:val="24"/>
          <w:szCs w:val="24"/>
          <w:lang w:eastAsia="ar-SA"/>
        </w:rPr>
        <w:t xml:space="preserve">r skorygował wniosek.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Zgodnie z przepisami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 xml:space="preserve"> wojewoda pełni funkcję organu administracyjnego, który zobowiązany jest do działania wyłącznie w ramach złożonego przez Inwestora wniosku, nie jest natomiast upoważniony do wyznaczania i korygowania t</w:t>
      </w:r>
      <w:r>
        <w:rPr>
          <w:rFonts w:ascii="Calibri" w:hAnsi="Calibri"/>
          <w:sz w:val="24"/>
          <w:szCs w:val="24"/>
        </w:rPr>
        <w:t xml:space="preserve">rasy inwestycji ani też do zmiany proponowanych we wniosku wariantów lokalizacji drogi, jeżeli zaproponowane rozwiązanie nie narusza obowiązujących przepisów. 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W dniu 24.03.2023</w:t>
      </w:r>
      <w:r>
        <w:rPr>
          <w:rFonts w:ascii="Calibri" w:hAnsi="Calibri"/>
          <w:bCs/>
          <w:sz w:val="24"/>
          <w:szCs w:val="24"/>
          <w:lang w:eastAsia="ar-SA"/>
        </w:rPr>
        <w:t xml:space="preserve"> r., Inwestor wystąpił z wnioskiem </w:t>
      </w:r>
      <w:r>
        <w:rPr>
          <w:rFonts w:ascii="Calibri" w:hAnsi="Calibri"/>
          <w:sz w:val="24"/>
          <w:szCs w:val="24"/>
        </w:rPr>
        <w:t>o nadanie niniejszej decyzji rygoru natych</w:t>
      </w:r>
      <w:r>
        <w:rPr>
          <w:rFonts w:ascii="Calibri" w:hAnsi="Calibri"/>
          <w:sz w:val="24"/>
          <w:szCs w:val="24"/>
        </w:rPr>
        <w:t>miastowej wykonalności z uwagi na uzasadniony interes społeczny i gospodarczy. Uzasadniając powyższy wniosek Inwestor podkreślił, że przedmiotowa inwestycja objęta jest dofinansowaniem z Rządowego Funduszu Polski Ład a jej szybka realizacja poprawi bezpiec</w:t>
      </w:r>
      <w:r>
        <w:rPr>
          <w:rFonts w:ascii="Calibri" w:hAnsi="Calibri"/>
          <w:sz w:val="24"/>
          <w:szCs w:val="24"/>
        </w:rPr>
        <w:t>zeństwo ruchu pieszych, rowerzystów i kierujących pojazdami na przedmiotowym odcinku drogi. Dzienny dobowy ruch pojazdów na drodze krajowej nr 71 wynosi 12795 poj./dobę. Budowa ronda znacznie poprawi przepustowość skrzyżowania oraz uporządkuje ruch pieszyc</w:t>
      </w:r>
      <w:r>
        <w:rPr>
          <w:rFonts w:ascii="Calibri" w:hAnsi="Calibri"/>
          <w:sz w:val="24"/>
          <w:szCs w:val="24"/>
        </w:rPr>
        <w:t xml:space="preserve">h i rowerzystów w obszarze inwestycji. Natomiast budowa oświetlenia zmniejszy ryzyko wystąpienia wypadków i kolizji z udziałem pieszych i rowerzystów. </w:t>
      </w:r>
    </w:p>
    <w:p w:rsidR="00BB319D" w:rsidRDefault="000B4CDF">
      <w:pPr>
        <w:snapToGrid w:val="0"/>
        <w:spacing w:after="283" w:line="360" w:lineRule="auto"/>
        <w:ind w:firstLine="709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>Biorąc pod uwagę fakt, że powyższe względy stanowią uzasadniony interes społeczny i gospodarczy, o który</w:t>
      </w:r>
      <w:r>
        <w:rPr>
          <w:rFonts w:ascii="Calibri" w:hAnsi="Calibri"/>
          <w:sz w:val="24"/>
          <w:szCs w:val="24"/>
        </w:rPr>
        <w:t xml:space="preserve">m mowa w art. 17 ust. 1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 xml:space="preserve">, organ przychylił się do wniosku Inwestora nadając niniejszej decyzji rygor natychmiastowej wykonalności.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Wojewoda wydaje decyzję o zezwoleniu na realizację inwestycji drogowej na wniosek i zgodnie z wnioskiem właściweg</w:t>
      </w:r>
      <w:r>
        <w:rPr>
          <w:rFonts w:ascii="Calibri" w:hAnsi="Calibri"/>
          <w:sz w:val="24"/>
          <w:szCs w:val="24"/>
        </w:rPr>
        <w:t xml:space="preserve">o zarządcy drogi, jeśli wniosek spełnia wymogi określone przepisami prawa. Niniejsza decyzja, zgodnie z art. 11f i art. 12 </w:t>
      </w:r>
      <w:r>
        <w:rPr>
          <w:rFonts w:ascii="Calibri" w:hAnsi="Calibri"/>
          <w:i/>
          <w:sz w:val="24"/>
          <w:szCs w:val="24"/>
        </w:rPr>
        <w:t>specustawy</w:t>
      </w:r>
      <w:r>
        <w:rPr>
          <w:rFonts w:ascii="Calibri" w:hAnsi="Calibri"/>
          <w:sz w:val="24"/>
          <w:szCs w:val="24"/>
        </w:rPr>
        <w:t xml:space="preserve">, zezwala na realizację inwestycji drogowej określając linie rozgraniczające teren inwestycji, zatwierdzając zgodnie z ww. </w:t>
      </w:r>
      <w:r>
        <w:rPr>
          <w:rFonts w:ascii="Calibri" w:hAnsi="Calibri"/>
          <w:sz w:val="24"/>
          <w:szCs w:val="24"/>
        </w:rPr>
        <w:t xml:space="preserve">liniami podziały nieruchomości oraz zatwierdza projekt zagospodarowania terenu oraz projekt architektoniczno-budowlany.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>Po ostatecznym dokonaniu oceny przedstawionych dokumentów, zebraniu i rozpatrzeniu całego materiału dowodowego oraz stwierdzeniu, że w</w:t>
      </w:r>
      <w:r>
        <w:rPr>
          <w:rFonts w:ascii="Calibri" w:hAnsi="Calibri"/>
          <w:sz w:val="24"/>
          <w:szCs w:val="24"/>
        </w:rPr>
        <w:t>nioskowana inwestycja spełnia łącznie warunki określone w ustawie z dnia 10 kwietnia 2003 r. o szczególnych zasadach przygotowania i realizacji inwestycji w zakresie dróg publicznych, a Inwestor przedłożył wymagane przepisami powołanej powyżej ustawy dokum</w:t>
      </w:r>
      <w:r>
        <w:rPr>
          <w:rFonts w:ascii="Calibri" w:hAnsi="Calibri"/>
          <w:sz w:val="24"/>
          <w:szCs w:val="24"/>
        </w:rPr>
        <w:t xml:space="preserve">enty, </w:t>
      </w:r>
      <w:r>
        <w:rPr>
          <w:rFonts w:ascii="Calibri" w:hAnsi="Calibri"/>
          <w:bCs/>
          <w:sz w:val="24"/>
          <w:szCs w:val="24"/>
        </w:rPr>
        <w:t xml:space="preserve">orzeczono jak w sentencji. </w:t>
      </w:r>
    </w:p>
    <w:p w:rsidR="00BB319D" w:rsidRDefault="000B4CDF">
      <w:pPr>
        <w:snapToGrid w:val="0"/>
        <w:spacing w:after="283" w:line="360" w:lineRule="auto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  <w:t xml:space="preserve">Od </w:t>
      </w:r>
      <w:r>
        <w:rPr>
          <w:rFonts w:ascii="Calibri" w:hAnsi="Calibri"/>
          <w:bCs/>
          <w:sz w:val="24"/>
          <w:szCs w:val="24"/>
        </w:rPr>
        <w:t>niniejszej decyzji służy stronom odwołanie do Ministra Rozwoju i Technologii w Warszawie, Plac Trzech Krzyży 3/5, za pośrednictwem Wojewody Łódzkiego, w terminie 14 dni od dnia doręczenia decyzji</w:t>
      </w:r>
      <w:r>
        <w:rPr>
          <w:rFonts w:ascii="Calibri" w:hAnsi="Calibri"/>
          <w:kern w:val="0"/>
          <w:sz w:val="24"/>
          <w:szCs w:val="24"/>
          <w:lang w:eastAsia="pl-PL"/>
        </w:rPr>
        <w:t xml:space="preserve">. </w:t>
      </w:r>
    </w:p>
    <w:p w:rsidR="00BB319D" w:rsidRDefault="000B4CDF">
      <w:pPr>
        <w:snapToGrid w:val="0"/>
        <w:spacing w:after="283" w:line="360" w:lineRule="auto"/>
        <w:rPr>
          <w:kern w:val="0"/>
          <w:sz w:val="24"/>
          <w:szCs w:val="24"/>
          <w:lang w:eastAsia="pl-PL"/>
        </w:rPr>
      </w:pPr>
      <w:r>
        <w:rPr>
          <w:rFonts w:ascii="Calibri" w:hAnsi="Calibri"/>
          <w:sz w:val="24"/>
          <w:szCs w:val="24"/>
        </w:rPr>
        <w:tab/>
        <w:t xml:space="preserve">W </w:t>
      </w:r>
      <w:r>
        <w:rPr>
          <w:rFonts w:ascii="Calibri" w:hAnsi="Calibri"/>
          <w:kern w:val="0"/>
          <w:sz w:val="24"/>
          <w:szCs w:val="24"/>
          <w:lang w:eastAsia="pl-PL"/>
        </w:rPr>
        <w:t>trakcie biegu ter</w:t>
      </w:r>
      <w:r>
        <w:rPr>
          <w:rFonts w:ascii="Calibri" w:hAnsi="Calibri"/>
          <w:kern w:val="0"/>
          <w:sz w:val="24"/>
          <w:szCs w:val="24"/>
          <w:lang w:eastAsia="pl-PL"/>
        </w:rPr>
        <w:t>minu do wniesienia odwołania strona może zrzec się prawa do wniesienia odwołania wobec organu administracji publicznej, który wydał decyzję. Z dniem doręczenia organowi administracji publicznej oświadczenia o zrzeczeniu się prawa do wniesienia odwołania pr</w:t>
      </w:r>
      <w:r>
        <w:rPr>
          <w:rFonts w:ascii="Calibri" w:hAnsi="Calibri"/>
          <w:kern w:val="0"/>
          <w:sz w:val="24"/>
          <w:szCs w:val="24"/>
          <w:lang w:eastAsia="pl-PL"/>
        </w:rPr>
        <w:t xml:space="preserve">zez ostatnią ze stron postępowania, decyzja staje się ostateczna i prawomocna. </w:t>
      </w:r>
    </w:p>
    <w:p w:rsidR="00BB319D" w:rsidRDefault="000B4CDF">
      <w:pPr>
        <w:tabs>
          <w:tab w:val="center" w:pos="6345"/>
        </w:tabs>
        <w:snapToGrid w:val="0"/>
        <w:spacing w:line="360" w:lineRule="auto"/>
        <w:ind w:left="4965"/>
        <w:jc w:val="center"/>
        <w:rPr>
          <w:b/>
          <w:bCs/>
          <w:iCs/>
          <w:color w:val="000000"/>
          <w:sz w:val="22"/>
          <w:szCs w:val="22"/>
          <w:lang w:eastAsia="pl-PL"/>
        </w:rPr>
      </w:pP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t xml:space="preserve">Z up. WOJEWODY ŁÓDZKIEGO </w:t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t xml:space="preserve">Agata Urban </w:t>
      </w:r>
      <w:r>
        <w:rPr>
          <w:rFonts w:ascii="Calibri" w:hAnsi="Calibri"/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rFonts w:ascii="Calibri" w:hAnsi="Calibri"/>
          <w:b/>
          <w:bCs/>
          <w:iCs/>
          <w:color w:val="000000"/>
          <w:sz w:val="24"/>
          <w:szCs w:val="24"/>
          <w:lang w:eastAsia="pl-PL"/>
        </w:rPr>
        <w:t xml:space="preserve">Dyrektor Wydziału Gospodarki Przestrzennej i Budownictwa </w:t>
      </w:r>
    </w:p>
    <w:p w:rsidR="00BB319D" w:rsidRDefault="000B4CDF">
      <w:pPr>
        <w:tabs>
          <w:tab w:val="center" w:pos="6345"/>
        </w:tabs>
        <w:snapToGrid w:val="0"/>
        <w:spacing w:line="360" w:lineRule="auto"/>
        <w:ind w:left="4965"/>
        <w:jc w:val="center"/>
        <w:rPr>
          <w:bCs/>
          <w:i/>
          <w:iCs/>
          <w:color w:val="000000"/>
          <w:lang w:eastAsia="pl-PL"/>
        </w:rPr>
      </w:pPr>
      <w:r>
        <w:rPr>
          <w:rFonts w:ascii="Calibri" w:hAnsi="Calibri"/>
          <w:bCs/>
          <w:i/>
          <w:iCs/>
          <w:color w:val="000000"/>
          <w:sz w:val="24"/>
          <w:szCs w:val="24"/>
          <w:lang w:eastAsia="pl-PL"/>
        </w:rPr>
        <w:lastRenderedPageBreak/>
        <w:t xml:space="preserve">/dokument podpisano </w:t>
      </w:r>
    </w:p>
    <w:p w:rsidR="00BB319D" w:rsidRDefault="000B4CDF">
      <w:pPr>
        <w:tabs>
          <w:tab w:val="center" w:pos="6345"/>
        </w:tabs>
        <w:snapToGrid w:val="0"/>
        <w:spacing w:after="283" w:line="360" w:lineRule="auto"/>
        <w:ind w:left="4965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Cs/>
          <w:i/>
          <w:iCs/>
          <w:color w:val="000000"/>
          <w:sz w:val="24"/>
          <w:szCs w:val="24"/>
          <w:lang w:eastAsia="pl-PL"/>
        </w:rPr>
        <w:t xml:space="preserve">kwalifikowanym podpisem elektronicznym/ </w:t>
      </w:r>
    </w:p>
    <w:p w:rsidR="00BB319D" w:rsidRDefault="000B4CDF">
      <w:pPr>
        <w:snapToGrid w:val="0"/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Nie pobrano opłaty skarbowej za dokonanie czynności urzędowej, na podstawie art. 7 pkt 3 ustawy z dnia 16 listopada 2006r. o opłacie skarbowej (t.j. Dz. U. z 2022 r. poz. 2142, ze zm.). </w:t>
      </w:r>
    </w:p>
    <w:p w:rsidR="00BB319D" w:rsidRDefault="000B4CDF">
      <w:pPr>
        <w:snapToGrid w:val="0"/>
        <w:spacing w:after="283" w:line="360" w:lineRule="auto"/>
        <w:jc w:val="both"/>
        <w:rPr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 xml:space="preserve">Załączniki: </w:t>
      </w:r>
    </w:p>
    <w:p w:rsidR="00BB319D" w:rsidRDefault="000B4CDF">
      <w:pPr>
        <w:snapToGrid w:val="0"/>
        <w:spacing w:after="283" w:line="360" w:lineRule="auto"/>
        <w:jc w:val="both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Nr 1</w:t>
      </w:r>
      <w:r>
        <w:rPr>
          <w:rFonts w:ascii="Calibri" w:hAnsi="Calibri"/>
          <w:sz w:val="24"/>
          <w:szCs w:val="24"/>
        </w:rPr>
        <w:t xml:space="preserve"> – projekt zagospodarowania terenu oraz projekt arch</w:t>
      </w:r>
      <w:r>
        <w:rPr>
          <w:rFonts w:ascii="Calibri" w:hAnsi="Calibri"/>
          <w:sz w:val="24"/>
          <w:szCs w:val="24"/>
        </w:rPr>
        <w:t xml:space="preserve">itektoniczno-budowlany </w:t>
      </w:r>
    </w:p>
    <w:p w:rsidR="00BB319D" w:rsidRDefault="000B4CDF">
      <w:pPr>
        <w:snapToGrid w:val="0"/>
        <w:spacing w:after="283" w:line="360" w:lineRule="auto"/>
        <w:jc w:val="both"/>
        <w:rPr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Nr 2</w:t>
      </w:r>
      <w:r>
        <w:rPr>
          <w:rFonts w:ascii="Calibri" w:hAnsi="Calibri"/>
          <w:sz w:val="24"/>
          <w:szCs w:val="24"/>
        </w:rPr>
        <w:t xml:space="preserve"> – mapa w skali 1:500 określająca linie rozgraniczające teren inwestycji </w:t>
      </w:r>
    </w:p>
    <w:p w:rsidR="00BB319D" w:rsidRDefault="000B4CDF">
      <w:pPr>
        <w:snapToGrid w:val="0"/>
        <w:spacing w:after="850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Nr 3</w:t>
      </w:r>
      <w:r>
        <w:rPr>
          <w:rFonts w:ascii="Calibri" w:hAnsi="Calibri"/>
          <w:sz w:val="24"/>
          <w:szCs w:val="24"/>
        </w:rPr>
        <w:t xml:space="preserve"> – mapy z zatwierdzonymi </w:t>
      </w:r>
      <w:r>
        <w:rPr>
          <w:rFonts w:ascii="Calibri" w:hAnsi="Calibri"/>
          <w:sz w:val="24"/>
          <w:szCs w:val="24"/>
          <w:lang w:eastAsia="ar-SA"/>
        </w:rPr>
        <w:t xml:space="preserve">podziałami nieruchomości </w:t>
      </w:r>
    </w:p>
    <w:p w:rsidR="00BB319D" w:rsidRDefault="000B4CDF">
      <w:pPr>
        <w:snapToGrid w:val="0"/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  <w:u w:val="single"/>
        </w:rPr>
        <w:t xml:space="preserve">Otrzymują: </w:t>
      </w:r>
    </w:p>
    <w:p w:rsidR="00BB319D" w:rsidRDefault="000B4CDF">
      <w:pPr>
        <w:numPr>
          <w:ilvl w:val="0"/>
          <w:numId w:val="16"/>
        </w:numPr>
        <w:snapToGrid w:val="0"/>
        <w:spacing w:after="283"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Burmistrz Aleksandrowa Łódzkiego</w:t>
      </w:r>
    </w:p>
    <w:p w:rsidR="00BB319D" w:rsidRDefault="000B4CDF">
      <w:pPr>
        <w:snapToGrid w:val="0"/>
        <w:spacing w:after="283" w:line="360" w:lineRule="auto"/>
        <w:ind w:left="72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Pan Piotr Kropidłowski – pełnomocnik (zał. Nr 1, 3) </w:t>
      </w:r>
    </w:p>
    <w:p w:rsidR="00BB319D" w:rsidRDefault="000B4CDF">
      <w:pPr>
        <w:numPr>
          <w:ilvl w:val="0"/>
          <w:numId w:val="16"/>
        </w:numPr>
        <w:snapToGrid w:val="0"/>
        <w:spacing w:after="283"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Starostwo Powiatowe w Zgierzu</w:t>
      </w:r>
    </w:p>
    <w:p w:rsidR="00BB319D" w:rsidRDefault="000B4CDF">
      <w:pPr>
        <w:snapToGrid w:val="0"/>
        <w:spacing w:after="283" w:line="360" w:lineRule="auto"/>
        <w:ind w:left="72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Wydział Geodezji, Kartografii i Katastru</w:t>
      </w:r>
    </w:p>
    <w:p w:rsidR="00BB319D" w:rsidRDefault="000B4CDF">
      <w:pPr>
        <w:snapToGrid w:val="0"/>
        <w:spacing w:after="283" w:line="360" w:lineRule="auto"/>
        <w:ind w:left="72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ul. Długa 49, 95-100 Zgierz (zał. Nr 3) </w:t>
      </w:r>
    </w:p>
    <w:p w:rsidR="00BB319D" w:rsidRDefault="000B4CDF">
      <w:pPr>
        <w:tabs>
          <w:tab w:val="left" w:pos="-142"/>
        </w:tabs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i/>
          <w:sz w:val="24"/>
          <w:szCs w:val="24"/>
          <w:lang w:eastAsia="ar-SA"/>
        </w:rPr>
        <w:t>(</w:t>
      </w:r>
      <w:r>
        <w:rPr>
          <w:rFonts w:ascii="Calibri" w:hAnsi="Calibri"/>
          <w:i/>
          <w:sz w:val="24"/>
          <w:szCs w:val="24"/>
        </w:rPr>
        <w:t xml:space="preserve">po uzyskaniu przez niniejszą decyzję waloru ostateczności celem ujawnienia w ewidencji gruntów) </w:t>
      </w:r>
    </w:p>
    <w:p w:rsidR="00BB319D" w:rsidRDefault="000B4CDF">
      <w:pPr>
        <w:numPr>
          <w:ilvl w:val="0"/>
          <w:numId w:val="16"/>
        </w:numPr>
        <w:snapToGrid w:val="0"/>
        <w:spacing w:after="283"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Starostwo Powiatowe w Zgierzu</w:t>
      </w:r>
    </w:p>
    <w:p w:rsidR="00BB319D" w:rsidRDefault="000B4CDF">
      <w:pPr>
        <w:snapToGrid w:val="0"/>
        <w:spacing w:after="283" w:line="360" w:lineRule="auto"/>
        <w:ind w:left="72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ul. Długa 49, 95</w:t>
      </w:r>
      <w:r>
        <w:rPr>
          <w:rFonts w:ascii="Calibri" w:hAnsi="Calibri"/>
          <w:sz w:val="24"/>
          <w:szCs w:val="24"/>
        </w:rPr>
        <w:t xml:space="preserve">-100 Zgierz (zał. Nr 3) </w:t>
      </w:r>
    </w:p>
    <w:p w:rsidR="00BB319D" w:rsidRDefault="000B4CDF">
      <w:pPr>
        <w:tabs>
          <w:tab w:val="left" w:pos="-142"/>
        </w:tabs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i/>
          <w:sz w:val="24"/>
          <w:szCs w:val="24"/>
          <w:lang w:eastAsia="ar-SA"/>
        </w:rPr>
        <w:lastRenderedPageBreak/>
        <w:t xml:space="preserve"> (</w:t>
      </w:r>
      <w:r>
        <w:rPr>
          <w:rFonts w:ascii="Calibri" w:hAnsi="Calibri"/>
          <w:i/>
          <w:sz w:val="24"/>
          <w:szCs w:val="24"/>
        </w:rPr>
        <w:t xml:space="preserve">po uzyskaniu przez niniejszą decyzję waloru ostateczności celem ujawnienia w księgach wieczystych) </w:t>
      </w:r>
    </w:p>
    <w:p w:rsidR="00BB319D" w:rsidRDefault="000B4CDF">
      <w:pPr>
        <w:numPr>
          <w:ilvl w:val="0"/>
          <w:numId w:val="16"/>
        </w:numPr>
        <w:snapToGrid w:val="0"/>
        <w:spacing w:after="283" w:line="360" w:lineRule="auto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Wydział Gospodarki Nieruchomościami </w:t>
      </w:r>
    </w:p>
    <w:p w:rsidR="00BB319D" w:rsidRDefault="000B4CDF">
      <w:pPr>
        <w:snapToGrid w:val="0"/>
        <w:spacing w:after="283" w:line="360" w:lineRule="auto"/>
        <w:ind w:left="72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Łódzkiego Urzędu Wojewódzkiego w Łodzi </w:t>
      </w:r>
    </w:p>
    <w:p w:rsidR="00BB319D" w:rsidRDefault="000B4CDF">
      <w:pPr>
        <w:snapToGrid w:val="0"/>
        <w:spacing w:after="283" w:line="360" w:lineRule="auto"/>
        <w:ind w:left="720"/>
        <w:jc w:val="both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ul. Traugutta 25, 90-113 Łódź (zał. Nr 1 i 3) </w:t>
      </w:r>
    </w:p>
    <w:p w:rsidR="00BB319D" w:rsidRDefault="000B4CDF">
      <w:pPr>
        <w:numPr>
          <w:ilvl w:val="0"/>
          <w:numId w:val="16"/>
        </w:numPr>
        <w:snapToGrid w:val="0"/>
        <w:spacing w:after="283"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aa (zał. Nr 1, 2, 3) </w:t>
      </w:r>
    </w:p>
    <w:p w:rsidR="00BB319D" w:rsidRDefault="000B4CDF">
      <w:pPr>
        <w:snapToGrid w:val="0"/>
        <w:spacing w:after="283" w:line="360" w:lineRule="auto"/>
        <w:jc w:val="both"/>
        <w:rPr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</w:rPr>
        <w:t xml:space="preserve">Do wiadomości: </w:t>
      </w:r>
    </w:p>
    <w:p w:rsidR="00BB319D" w:rsidRDefault="000B4CDF">
      <w:pPr>
        <w:widowControl w:val="0"/>
        <w:numPr>
          <w:ilvl w:val="0"/>
          <w:numId w:val="8"/>
        </w:numPr>
        <w:tabs>
          <w:tab w:val="left" w:pos="-142"/>
        </w:tabs>
        <w:spacing w:after="283" w:line="360" w:lineRule="auto"/>
        <w:jc w:val="both"/>
        <w:textAlignment w:val="baseline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Łódzki </w:t>
      </w:r>
      <w:r>
        <w:rPr>
          <w:rFonts w:ascii="Calibri" w:hAnsi="Calibri"/>
          <w:bCs/>
          <w:sz w:val="24"/>
          <w:szCs w:val="24"/>
          <w:lang w:eastAsia="ar-SA"/>
        </w:rPr>
        <w:t xml:space="preserve">Wojewódzki Inspektor Nadzoru Budowlanego </w:t>
      </w:r>
    </w:p>
    <w:p w:rsidR="00BB319D" w:rsidRDefault="000B4CDF">
      <w:pPr>
        <w:tabs>
          <w:tab w:val="left" w:pos="-142"/>
        </w:tabs>
        <w:spacing w:after="283" w:line="360" w:lineRule="auto"/>
        <w:ind w:left="720"/>
        <w:rPr>
          <w:sz w:val="24"/>
          <w:szCs w:val="24"/>
        </w:rPr>
      </w:pPr>
      <w:r>
        <w:rPr>
          <w:rFonts w:ascii="Calibri" w:hAnsi="Calibri"/>
          <w:bCs/>
          <w:sz w:val="24"/>
          <w:szCs w:val="24"/>
          <w:lang w:eastAsia="ar-SA"/>
        </w:rPr>
        <w:t xml:space="preserve">ul. Traugutta 25, 90-113 Łódź (zał. Nr 1) </w:t>
      </w:r>
    </w:p>
    <w:p w:rsidR="00BB319D" w:rsidRDefault="00BB319D">
      <w:pPr>
        <w:shd w:val="clear" w:color="auto" w:fill="FFFFFF"/>
        <w:spacing w:after="283" w:line="360" w:lineRule="auto"/>
        <w:jc w:val="both"/>
        <w:textAlignment w:val="baseline"/>
        <w:rPr>
          <w:rFonts w:ascii="Calibri" w:hAnsi="Calibri"/>
          <w:b/>
          <w:bCs/>
          <w:sz w:val="24"/>
          <w:szCs w:val="24"/>
          <w:lang w:eastAsia="pl-PL"/>
        </w:rPr>
      </w:pP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Klauzula informacyjna o przetwarzaniu danych osobowych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25 maja 2018 r. na terytorium wszystkich krajów Unii Europejskiej zacz</w:t>
      </w:r>
      <w:r>
        <w:rPr>
          <w:rFonts w:ascii="Calibri" w:hAnsi="Calibri"/>
          <w:b/>
          <w:bCs/>
          <w:sz w:val="24"/>
          <w:szCs w:val="24"/>
          <w:lang w:eastAsia="pl-PL"/>
        </w:rPr>
        <w:t>ęło obowiązywać rozporządzenie Parlamentu Europejskiego i Rady (UE) 2016/679 z dnia 27 kwietnia 2016 r. w sprawie ochrony osób fizycznych w związku z przetwarzaniem danych osobowych i w sprawie swobodnego przepływu takich danych oraz uchylenia dyrektywy 95</w:t>
      </w:r>
      <w:r>
        <w:rPr>
          <w:rFonts w:ascii="Calibri" w:hAnsi="Calibri"/>
          <w:b/>
          <w:bCs/>
          <w:sz w:val="24"/>
          <w:szCs w:val="24"/>
          <w:lang w:eastAsia="pl-PL"/>
        </w:rPr>
        <w:t>/46/WE (ogólne rozporządzenie o ochronie danych - RODO). RODO określa zasady, na jakich można przetwarzać dane osobowe. Z przepisów rozporządzenia o ochronie danych wynika też obowiązek ochrony danych osobowych.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Kto jest administratorem Państwa danych? Jak</w:t>
      </w:r>
      <w:r>
        <w:rPr>
          <w:rFonts w:ascii="Calibri" w:hAnsi="Calibri"/>
          <w:b/>
          <w:bCs/>
          <w:sz w:val="24"/>
          <w:szCs w:val="24"/>
          <w:lang w:eastAsia="pl-PL"/>
        </w:rPr>
        <w:t xml:space="preserve"> skontaktować się z administratorem danych?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 xml:space="preserve">Administratorem Państwa danych osobowych jest Wojewoda Łódzki. 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- adres: Łódzki Urząd Wojewódzki w Łodzi, ul. Piotrkowska 104, 90-926 Łódź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</w:pPr>
      <w:r>
        <w:rPr>
          <w:rFonts w:ascii="Calibri" w:hAnsi="Calibri"/>
          <w:sz w:val="24"/>
          <w:szCs w:val="24"/>
          <w:lang w:eastAsia="pl-PL"/>
        </w:rPr>
        <w:t>- e-mail: </w:t>
      </w:r>
      <w:hyperlink r:id="rId7">
        <w:r>
          <w:rPr>
            <w:rStyle w:val="ListLabel104"/>
            <w:rFonts w:ascii="Calibri" w:hAnsi="Calibri"/>
            <w:sz w:val="24"/>
            <w:szCs w:val="24"/>
          </w:rPr>
          <w:t>kancelaria@lodz.uw.gov.pl</w:t>
        </w:r>
      </w:hyperlink>
    </w:p>
    <w:p w:rsidR="00BB319D" w:rsidRDefault="000B4CDF">
      <w:pPr>
        <w:shd w:val="clear" w:color="auto" w:fill="FFFFFF"/>
        <w:suppressAutoHyphens w:val="0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Jak skontaktować się z inspektorem ochrony danych?</w:t>
      </w:r>
    </w:p>
    <w:p w:rsidR="00BB319D" w:rsidRDefault="000B4CDF">
      <w:pPr>
        <w:shd w:val="clear" w:color="auto" w:fill="FFFFFF"/>
        <w:suppressAutoHyphens w:val="0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 xml:space="preserve">- </w:t>
      </w:r>
      <w:r>
        <w:rPr>
          <w:rFonts w:ascii="Calibri" w:hAnsi="Calibri"/>
          <w:sz w:val="24"/>
          <w:szCs w:val="24"/>
          <w:lang w:eastAsia="pl-PL"/>
        </w:rPr>
        <w:t>adres: Łódzki Urząd Wojewódzki w Łodzi, ul. Piotrkowska 104, 90-926 Łódź</w:t>
      </w:r>
    </w:p>
    <w:p w:rsidR="00BB319D" w:rsidRDefault="000B4CDF">
      <w:pPr>
        <w:shd w:val="clear" w:color="auto" w:fill="FFFFFF"/>
        <w:suppressAutoHyphens w:val="0"/>
        <w:spacing w:line="360" w:lineRule="auto"/>
        <w:jc w:val="both"/>
        <w:textAlignment w:val="baseline"/>
      </w:pPr>
      <w:r>
        <w:rPr>
          <w:rFonts w:ascii="Calibri" w:hAnsi="Calibri"/>
          <w:sz w:val="24"/>
          <w:szCs w:val="24"/>
          <w:lang w:eastAsia="pl-PL"/>
        </w:rPr>
        <w:t>- e-mail: </w:t>
      </w:r>
      <w:hyperlink r:id="rId8">
        <w:r>
          <w:rPr>
            <w:rStyle w:val="ListLabel104"/>
            <w:rFonts w:ascii="Calibri" w:hAnsi="Calibri"/>
            <w:bCs/>
            <w:sz w:val="24"/>
            <w:szCs w:val="24"/>
          </w:rPr>
          <w:t>iod</w:t>
        </w:r>
        <w:r>
          <w:rPr>
            <w:rStyle w:val="ListLabel104"/>
            <w:rFonts w:ascii="Calibri" w:hAnsi="Calibri"/>
            <w:sz w:val="24"/>
            <w:szCs w:val="24"/>
          </w:rPr>
          <w:t>@lodz.uw.gov.pl</w:t>
        </w:r>
      </w:hyperlink>
      <w:r>
        <w:rPr>
          <w:rFonts w:ascii="Calibri" w:hAnsi="Calibri"/>
          <w:sz w:val="24"/>
          <w:szCs w:val="24"/>
          <w:shd w:val="clear" w:color="auto" w:fill="FFFFFF"/>
        </w:rPr>
        <w:t>.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lastRenderedPageBreak/>
        <w:t xml:space="preserve">W jakim celu administrator </w:t>
      </w:r>
      <w:r>
        <w:rPr>
          <w:rFonts w:ascii="Calibri" w:hAnsi="Calibri"/>
          <w:b/>
          <w:bCs/>
          <w:sz w:val="24"/>
          <w:szCs w:val="24"/>
          <w:lang w:eastAsia="pl-PL"/>
        </w:rPr>
        <w:t>będzie przetwarzać Państwa dane?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Administrator przetwarza Państwa dane, aby Wojewoda Łódzki mógł wykonywać swoje ustawowe zadania, w szczególności: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 xml:space="preserve">- rozpatrywać sprawy – prowadzić postępowania administracyjne, należące do właściwości wojewody jako organu </w:t>
      </w:r>
      <w:r>
        <w:rPr>
          <w:rFonts w:ascii="Calibri" w:hAnsi="Calibri"/>
          <w:sz w:val="24"/>
          <w:szCs w:val="24"/>
          <w:lang w:eastAsia="pl-PL"/>
        </w:rPr>
        <w:t>administracji architektoniczno-budowlanej I instancji;</w:t>
      </w:r>
    </w:p>
    <w:p w:rsidR="00BB319D" w:rsidRDefault="000B4CDF">
      <w:pPr>
        <w:shd w:val="clear" w:color="auto" w:fill="FFFFFF"/>
        <w:suppressAutoHyphens w:val="0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</w:rPr>
        <w:t xml:space="preserve">- prowadzić rejestr wniosków o pozwolenie na budowę i rejestru decyzji o pozwoleniu na budowę wydawanych przez wojewodę; </w:t>
      </w:r>
    </w:p>
    <w:p w:rsidR="00BB319D" w:rsidRDefault="000B4CDF">
      <w:pPr>
        <w:shd w:val="clear" w:color="auto" w:fill="FFFFFF"/>
        <w:suppressAutoHyphens w:val="0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- rozpatrywać sprawy należące do właściwości wojewody jako organu administracji</w:t>
      </w:r>
      <w:r>
        <w:rPr>
          <w:rFonts w:ascii="Calibri" w:hAnsi="Calibri"/>
          <w:sz w:val="24"/>
          <w:szCs w:val="24"/>
          <w:lang w:eastAsia="pl-PL"/>
        </w:rPr>
        <w:t xml:space="preserve"> rządowej (skargi, wnioski, zapytania itp.);</w:t>
      </w:r>
    </w:p>
    <w:p w:rsidR="00BB319D" w:rsidRDefault="000B4CDF">
      <w:pPr>
        <w:tabs>
          <w:tab w:val="left" w:pos="426"/>
        </w:tabs>
        <w:spacing w:line="360" w:lineRule="auto"/>
        <w:jc w:val="both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Na jakiej podstawie administrator przetwarza Państwa dane osobowe?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Podstawą prawną przetwarzania danych osobowych jest obowiązek prawny, który ciąży na administratorze. Przetwarzanie danych jest niezbędne do wyp</w:t>
      </w:r>
      <w:r>
        <w:rPr>
          <w:rFonts w:ascii="Calibri" w:hAnsi="Calibri"/>
          <w:sz w:val="24"/>
          <w:szCs w:val="24"/>
          <w:lang w:eastAsia="pl-PL"/>
        </w:rPr>
        <w:t xml:space="preserve">ełnienia obowiązku prawnego ciążącego na administratorze. 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Źródła danych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Administrator może pozyskiwać dane osobowe od osoby, której te dane dotyczą, ze źródeł publicznie dostępnych, od organów administracji państwowej, od innych podmiotów, od osób fizyczn</w:t>
      </w:r>
      <w:r>
        <w:rPr>
          <w:rFonts w:ascii="Calibri" w:hAnsi="Calibri"/>
          <w:sz w:val="24"/>
          <w:szCs w:val="24"/>
          <w:lang w:eastAsia="pl-PL"/>
        </w:rPr>
        <w:t>ych zobowiązanych do przekazania danych osobowych.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Kto będzie mieć dostęp do Państwa danych osobowych?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Administrator może przekazywać (udostępniać) – w celu wskazanym wyżej - Państwa dane osobowe innym kategoriom odbiorców danych osobowych. Odbiorcami tych</w:t>
      </w:r>
      <w:r>
        <w:rPr>
          <w:rFonts w:ascii="Calibri" w:hAnsi="Calibri"/>
          <w:sz w:val="24"/>
          <w:szCs w:val="24"/>
          <w:lang w:eastAsia="pl-PL"/>
        </w:rPr>
        <w:t xml:space="preserve"> danych osobowych są strony postępowania, prowadzonego przez wojewodę i ich pełnomocnicy, podmioty działające na prawach strony,  i ich pełnomocnicy, a także uczestnicy postępowań (np. biegli itp.), organy publiczne i urzędy państwowe lub inne podmioty upo</w:t>
      </w:r>
      <w:r>
        <w:rPr>
          <w:rFonts w:ascii="Calibri" w:hAnsi="Calibri"/>
          <w:sz w:val="24"/>
          <w:szCs w:val="24"/>
          <w:lang w:eastAsia="pl-PL"/>
        </w:rPr>
        <w:t xml:space="preserve">ważnione na podstawie przepisów prawa lub wykonujący zadania realizowane w interesie publicznym lub w ramach sprawowania władzy publicznej. 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Jak długo administrator będzie przetwarzać Państwa dane?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Administrator będzie przetwarzać Państwa dane do czasu, aż</w:t>
      </w:r>
      <w:r>
        <w:rPr>
          <w:rFonts w:ascii="Calibri" w:hAnsi="Calibri"/>
          <w:sz w:val="24"/>
          <w:szCs w:val="24"/>
          <w:lang w:eastAsia="pl-PL"/>
        </w:rPr>
        <w:t xml:space="preserve"> wykona określone zadanie. 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Czas ten obejmuje też archiwizację dokumentów, które administrator zgromadzi w związku z realizacją tego zadania.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Jakie przysługują Państwu prawa?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Mają Państwo prawo żądać od administratora danych, aby:</w:t>
      </w:r>
    </w:p>
    <w:p w:rsidR="00BB319D" w:rsidRDefault="000B4CDF">
      <w:pPr>
        <w:shd w:val="clear" w:color="auto" w:fill="FFFFFF"/>
        <w:suppressAutoHyphens w:val="0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lastRenderedPageBreak/>
        <w:t>- umożliwił Państwu dostę</w:t>
      </w:r>
      <w:r>
        <w:rPr>
          <w:rFonts w:ascii="Calibri" w:hAnsi="Calibri"/>
          <w:sz w:val="24"/>
          <w:szCs w:val="24"/>
          <w:lang w:eastAsia="pl-PL"/>
        </w:rPr>
        <w:t>p do swoich danych osobowych,</w:t>
      </w:r>
    </w:p>
    <w:p w:rsidR="00BB319D" w:rsidRDefault="000B4CDF">
      <w:pPr>
        <w:shd w:val="clear" w:color="auto" w:fill="FFFFFF"/>
        <w:suppressAutoHyphens w:val="0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- sprostował przetwarzane dane,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Żądanie realizacji wymienionych praw proszę przesłać w formie pisemnej do administratora danych (dane kontaktowe jak wyżej, z dopiskiem „Ochrona danych osobowych”).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 xml:space="preserve">Przysługuje też Państwu prawo, aby wnieść skargę do Prezesa Urzędu Ochrony Danych Osobowych w przypadku, gdy uznają Państwo, że przetwarzanie danych osobowych narusza przepisy. 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b/>
          <w:bCs/>
          <w:sz w:val="24"/>
          <w:szCs w:val="24"/>
          <w:lang w:eastAsia="pl-PL"/>
        </w:rPr>
        <w:t>Czy Państwa dane są bezpieczne?</w:t>
      </w:r>
    </w:p>
    <w:p w:rsidR="00BB319D" w:rsidRDefault="000B4CDF">
      <w:pPr>
        <w:shd w:val="clear" w:color="auto" w:fill="FFFFFF"/>
        <w:spacing w:line="360" w:lineRule="auto"/>
        <w:jc w:val="both"/>
        <w:textAlignment w:val="baseline"/>
        <w:rPr>
          <w:sz w:val="18"/>
          <w:szCs w:val="18"/>
        </w:rPr>
      </w:pPr>
      <w:r>
        <w:rPr>
          <w:rFonts w:ascii="Calibri" w:hAnsi="Calibri"/>
          <w:sz w:val="24"/>
          <w:szCs w:val="24"/>
          <w:lang w:eastAsia="pl-PL"/>
        </w:rPr>
        <w:t>Tak. Administrator nie wykorzystuje ich po to,</w:t>
      </w:r>
      <w:r>
        <w:rPr>
          <w:rFonts w:ascii="Calibri" w:hAnsi="Calibri"/>
          <w:sz w:val="24"/>
          <w:szCs w:val="24"/>
          <w:lang w:eastAsia="pl-PL"/>
        </w:rPr>
        <w:t xml:space="preserve"> aby w sposób zautomatyzowany podejmować decyzje lub profilować dane.</w:t>
      </w:r>
    </w:p>
    <w:p w:rsidR="00BB319D" w:rsidRDefault="00BB319D">
      <w:pPr>
        <w:snapToGrid w:val="0"/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BB319D" w:rsidRDefault="00BB319D">
      <w:pPr>
        <w:pStyle w:val="Tekstpodstawowywcity31"/>
        <w:snapToGrid w:val="0"/>
        <w:spacing w:line="360" w:lineRule="auto"/>
        <w:ind w:left="0"/>
        <w:rPr>
          <w:rFonts w:ascii="Calibri" w:hAnsi="Calibri"/>
          <w:szCs w:val="24"/>
        </w:rPr>
      </w:pPr>
    </w:p>
    <w:sectPr w:rsidR="00BB31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398" w:bottom="1418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4CDF" w:rsidRDefault="000B4CDF">
      <w:r>
        <w:separator/>
      </w:r>
    </w:p>
  </w:endnote>
  <w:endnote w:type="continuationSeparator" w:id="0">
    <w:p w:rsidR="000B4CDF" w:rsidRDefault="000B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;Liberation Mono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59129659"/>
      <w:docPartObj>
        <w:docPartGallery w:val="Page Numbers (Bottom of Page)"/>
        <w:docPartUnique/>
      </w:docPartObj>
    </w:sdtPr>
    <w:sdtEndPr/>
    <w:sdtContent>
      <w:p w:rsidR="00BB319D" w:rsidRDefault="000B4CDF">
        <w:pPr>
          <w:pStyle w:val="Stopk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08627C">
          <w:rPr>
            <w:noProof/>
          </w:rPr>
          <w:t>2</w:t>
        </w:r>
        <w:r>
          <w:fldChar w:fldCharType="end"/>
        </w:r>
      </w:p>
    </w:sdtContent>
  </w:sdt>
  <w:p w:rsidR="00BB319D" w:rsidRDefault="00BB319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9D" w:rsidRDefault="000B4CDF">
    <w:pPr>
      <w:pStyle w:val="Stopka"/>
      <w:jc w:val="center"/>
      <w:rPr>
        <w:sz w:val="14"/>
      </w:rPr>
    </w:pPr>
    <w:r>
      <w:rPr>
        <w:b/>
        <w:sz w:val="14"/>
      </w:rPr>
      <w:t>ŁÓDZKI URZĄD WOJEWÓDZKI W ŁODZI</w:t>
    </w:r>
  </w:p>
  <w:p w:rsidR="00BB319D" w:rsidRDefault="000B4CDF">
    <w:pPr>
      <w:pStyle w:val="Stopka"/>
      <w:jc w:val="center"/>
    </w:pPr>
    <w:r>
      <w:rPr>
        <w:sz w:val="14"/>
      </w:rPr>
      <w:t>90-926 Łódź, ul. Piotrkowska 104, tel.: (+48) 42 66</w:t>
    </w:r>
    <w:r>
      <w:rPr>
        <w:sz w:val="14"/>
      </w:rPr>
      <w:t>4 10 00, fax: (+48) 42 664 10 40 Elektroniczna Skrzynka Podawcza ePUAP: /lodzuw/SkrytkaESP</w:t>
    </w:r>
  </w:p>
  <w:p w:rsidR="00BB319D" w:rsidRDefault="000B4CDF">
    <w:pPr>
      <w:pStyle w:val="Stopka"/>
      <w:jc w:val="center"/>
    </w:pPr>
    <w:hyperlink r:id="rId1">
      <w:r>
        <w:rPr>
          <w:rStyle w:val="czeinternetowe"/>
          <w:sz w:val="16"/>
          <w:szCs w:val="16"/>
        </w:rPr>
        <w:t>https://www.gov.pl/web/uw-lodzki</w:t>
      </w:r>
    </w:hyperlink>
  </w:p>
  <w:p w:rsidR="00BB319D" w:rsidRDefault="000B4CDF">
    <w:pPr>
      <w:pStyle w:val="Stopka"/>
      <w:jc w:val="center"/>
    </w:pPr>
    <w:r>
      <w:rPr>
        <w:sz w:val="14"/>
      </w:rPr>
      <w:t>Administratorem danych osobowych jest Wojewoda Łódzki. Dane przetwarzane są w celu realiza</w:t>
    </w:r>
    <w:r>
      <w:rPr>
        <w:sz w:val="14"/>
      </w:rPr>
      <w:t xml:space="preserve">cji czynności urzędowych. Masz prawo do dostępu, sprostowania, ograniczenia przetwarzania danych. Więcej informacji znajdziesz na stronie </w:t>
    </w:r>
    <w:hyperlink r:id="rId2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4CDF" w:rsidRDefault="000B4CDF">
      <w:r>
        <w:separator/>
      </w:r>
    </w:p>
  </w:footnote>
  <w:footnote w:type="continuationSeparator" w:id="0">
    <w:p w:rsidR="000B4CDF" w:rsidRDefault="000B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9D" w:rsidRDefault="00BB319D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19D" w:rsidRDefault="000B4CDF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7" t="4726" r="20042" b="9738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77166"/>
    <w:multiLevelType w:val="multilevel"/>
    <w:tmpl w:val="4BF66B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A741A4"/>
    <w:multiLevelType w:val="multilevel"/>
    <w:tmpl w:val="F390861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827530"/>
    <w:multiLevelType w:val="multilevel"/>
    <w:tmpl w:val="0B0E68D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E704D3C"/>
    <w:multiLevelType w:val="multilevel"/>
    <w:tmpl w:val="97D8A58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F336327"/>
    <w:multiLevelType w:val="multilevel"/>
    <w:tmpl w:val="18F0FC34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0CB1647"/>
    <w:multiLevelType w:val="multilevel"/>
    <w:tmpl w:val="9B76AB64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383C06AE"/>
    <w:multiLevelType w:val="multilevel"/>
    <w:tmpl w:val="EA0A1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8A07BE"/>
    <w:multiLevelType w:val="multilevel"/>
    <w:tmpl w:val="61C68112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6554F17"/>
    <w:multiLevelType w:val="multilevel"/>
    <w:tmpl w:val="CE4CD00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B27903"/>
    <w:multiLevelType w:val="multilevel"/>
    <w:tmpl w:val="69DCB39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CC71931"/>
    <w:multiLevelType w:val="multilevel"/>
    <w:tmpl w:val="2B5E05E0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37E23BA"/>
    <w:multiLevelType w:val="multilevel"/>
    <w:tmpl w:val="BA34CE8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4C46D99"/>
    <w:multiLevelType w:val="multilevel"/>
    <w:tmpl w:val="CD944C7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5123B4E"/>
    <w:multiLevelType w:val="multilevel"/>
    <w:tmpl w:val="E05EFC96"/>
    <w:lvl w:ilvl="0">
      <w:start w:val="1"/>
      <w:numFmt w:val="decimal"/>
      <w:lvlText w:val="%1)"/>
      <w:lvlJc w:val="left"/>
      <w:pPr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924297C"/>
    <w:multiLevelType w:val="multilevel"/>
    <w:tmpl w:val="886C186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E735696"/>
    <w:multiLevelType w:val="multilevel"/>
    <w:tmpl w:val="1FE61D0C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13"/>
  </w:num>
  <w:num w:numId="7">
    <w:abstractNumId w:val="7"/>
  </w:num>
  <w:num w:numId="8">
    <w:abstractNumId w:val="0"/>
  </w:num>
  <w:num w:numId="9">
    <w:abstractNumId w:val="10"/>
  </w:num>
  <w:num w:numId="10">
    <w:abstractNumId w:val="12"/>
  </w:num>
  <w:num w:numId="11">
    <w:abstractNumId w:val="2"/>
  </w:num>
  <w:num w:numId="12">
    <w:abstractNumId w:val="6"/>
  </w:num>
  <w:num w:numId="13">
    <w:abstractNumId w:val="1"/>
  </w:num>
  <w:num w:numId="14">
    <w:abstractNumId w:val="4"/>
  </w:num>
  <w:num w:numId="15">
    <w:abstractNumId w:val="14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19D"/>
    <w:rsid w:val="0008627C"/>
    <w:rsid w:val="000B4CDF"/>
    <w:rsid w:val="00BB3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6DFF2C-710D-4EC9-9A7F-79596CEF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92A9F"/>
    <w:pPr>
      <w:suppressAutoHyphens/>
    </w:pPr>
    <w:rPr>
      <w:rFonts w:ascii="Times New Roman" w:hAnsi="Times New Roman" w:cs="Times New Roman"/>
      <w:kern w:val="2"/>
      <w:szCs w:val="20"/>
      <w:lang w:bidi="ar-SA"/>
    </w:rPr>
  </w:style>
  <w:style w:type="paragraph" w:styleId="Nagwek1">
    <w:name w:val="heading 1"/>
    <w:basedOn w:val="Normalny"/>
    <w:next w:val="Normalny"/>
    <w:link w:val="Nagwek1Znak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styleId="Nagwek5">
    <w:name w:val="heading 5"/>
    <w:basedOn w:val="Normalny"/>
    <w:next w:val="Normalny"/>
    <w:link w:val="Nagwek5Znak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styleId="Nagwek6">
    <w:name w:val="heading 6"/>
    <w:basedOn w:val="Normalny"/>
    <w:next w:val="Normalny"/>
    <w:link w:val="Nagwek6Znak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styleId="Nagwek7">
    <w:name w:val="heading 7"/>
    <w:basedOn w:val="Normalny"/>
    <w:next w:val="Normalny"/>
    <w:link w:val="Nagwek7Znak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styleId="Nagwek8">
    <w:name w:val="heading 8"/>
    <w:basedOn w:val="Normalny"/>
    <w:next w:val="Normalny"/>
    <w:link w:val="Nagwek8Znak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basedOn w:val="Domylnaczcionkaakapitu"/>
    <w:uiPriority w:val="99"/>
    <w:unhideWhenUsed/>
    <w:rsid w:val="00C10763"/>
    <w:rPr>
      <w:rFonts w:cs="Times New Roman"/>
      <w:color w:val="000080"/>
      <w:u w:val="single"/>
    </w:rPr>
  </w:style>
  <w:style w:type="character" w:customStyle="1" w:styleId="NagwekZnak">
    <w:name w:val="Nagłówek Znak"/>
    <w:uiPriority w:val="99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character" w:customStyle="1" w:styleId="Nagwek1Znak">
    <w:name w:val="Nagłówek 1 Znak"/>
    <w:basedOn w:val="Domylnaczcionkaakapitu"/>
    <w:link w:val="Nagwek1"/>
    <w:qFormat/>
    <w:locked/>
    <w:rsid w:val="00C10763"/>
    <w:rPr>
      <w:rFonts w:ascii="Georgia" w:eastAsia="Times New Roman" w:hAnsi="Georgia" w:cs="Georgia"/>
      <w:kern w:val="2"/>
      <w:sz w:val="28"/>
      <w:szCs w:val="20"/>
      <w:lang w:bidi="ar-SA"/>
    </w:rPr>
  </w:style>
  <w:style w:type="character" w:customStyle="1" w:styleId="Nagwek2Znak">
    <w:name w:val="Nagłówek 2 Znak"/>
    <w:basedOn w:val="Domylnaczcionkaakapitu"/>
    <w:link w:val="Nagwek2"/>
    <w:qFormat/>
    <w:locked/>
    <w:rsid w:val="00C10763"/>
    <w:rPr>
      <w:rFonts w:ascii="Times New Roman" w:eastAsia="Times New Roman" w:hAnsi="Times New Roman" w:cs="Times New Roman"/>
      <w:b/>
      <w:kern w:val="2"/>
      <w:sz w:val="28"/>
      <w:szCs w:val="20"/>
      <w:lang w:bidi="ar-SA"/>
    </w:rPr>
  </w:style>
  <w:style w:type="character" w:customStyle="1" w:styleId="Nagwek3Znak">
    <w:name w:val="Nagłówek 3 Znak"/>
    <w:basedOn w:val="Domylnaczcionkaakapitu"/>
    <w:link w:val="Nagwek3"/>
    <w:qFormat/>
    <w:locked/>
    <w:rsid w:val="00C10763"/>
    <w:rPr>
      <w:rFonts w:ascii="Times New Roman" w:eastAsia="Times New Roman" w:hAnsi="Times New Roman" w:cs="Times New Roman"/>
      <w:b/>
      <w:kern w:val="2"/>
      <w:sz w:val="28"/>
      <w:szCs w:val="20"/>
      <w:lang w:bidi="ar-SA"/>
    </w:rPr>
  </w:style>
  <w:style w:type="character" w:customStyle="1" w:styleId="Nagwek4Znak">
    <w:name w:val="Nagłówek 4 Znak"/>
    <w:basedOn w:val="Domylnaczcionkaakapitu"/>
    <w:link w:val="Nagwek4"/>
    <w:qFormat/>
    <w:locked/>
    <w:rsid w:val="00C10763"/>
    <w:rPr>
      <w:rFonts w:ascii="Georgia" w:eastAsia="Times New Roman" w:hAnsi="Georgia" w:cs="Georgia"/>
      <w:b/>
      <w:i/>
      <w:kern w:val="2"/>
      <w:sz w:val="28"/>
      <w:szCs w:val="20"/>
      <w:lang w:bidi="ar-SA"/>
    </w:rPr>
  </w:style>
  <w:style w:type="character" w:customStyle="1" w:styleId="Nagwek5Znak">
    <w:name w:val="Nagłówek 5 Znak"/>
    <w:basedOn w:val="Domylnaczcionkaakapitu"/>
    <w:link w:val="Nagwek5"/>
    <w:qFormat/>
    <w:locked/>
    <w:rsid w:val="00C10763"/>
    <w:rPr>
      <w:rFonts w:ascii="Georgia" w:eastAsia="Times New Roman" w:hAnsi="Georgia" w:cs="Georgia"/>
      <w:kern w:val="2"/>
      <w:sz w:val="30"/>
      <w:szCs w:val="20"/>
      <w:lang w:bidi="ar-SA"/>
    </w:rPr>
  </w:style>
  <w:style w:type="character" w:customStyle="1" w:styleId="Nagwek6Znak">
    <w:name w:val="Nagłówek 6 Znak"/>
    <w:basedOn w:val="Domylnaczcionkaakapitu"/>
    <w:link w:val="Nagwek6"/>
    <w:qFormat/>
    <w:locked/>
    <w:rsid w:val="00C10763"/>
    <w:rPr>
      <w:rFonts w:ascii="Georgia" w:eastAsia="Times New Roman" w:hAnsi="Georgia" w:cs="Georgia"/>
      <w:b/>
      <w:kern w:val="2"/>
      <w:sz w:val="30"/>
      <w:szCs w:val="20"/>
      <w:lang w:bidi="ar-SA"/>
    </w:rPr>
  </w:style>
  <w:style w:type="character" w:customStyle="1" w:styleId="Nagwek7Znak">
    <w:name w:val="Nagłówek 7 Znak"/>
    <w:basedOn w:val="Domylnaczcionkaakapitu"/>
    <w:link w:val="Nagwek7"/>
    <w:qFormat/>
    <w:locked/>
    <w:rsid w:val="00C10763"/>
    <w:rPr>
      <w:rFonts w:ascii="Georgia" w:eastAsia="Times New Roman" w:hAnsi="Georgia" w:cs="Georgia"/>
      <w:b/>
      <w:i/>
      <w:kern w:val="2"/>
      <w:sz w:val="30"/>
      <w:szCs w:val="20"/>
      <w:lang w:bidi="ar-SA"/>
    </w:rPr>
  </w:style>
  <w:style w:type="character" w:customStyle="1" w:styleId="Nagwek8Znak">
    <w:name w:val="Nagłówek 8 Znak"/>
    <w:basedOn w:val="Domylnaczcionkaakapitu"/>
    <w:link w:val="Nagwek8"/>
    <w:qFormat/>
    <w:locked/>
    <w:rsid w:val="00C10763"/>
    <w:rPr>
      <w:rFonts w:ascii="Times New Roman" w:eastAsia="Times New Roman" w:hAnsi="Times New Roman" w:cs="Times New Roman"/>
      <w:kern w:val="2"/>
      <w:szCs w:val="20"/>
      <w:lang w:bidi="ar-SA"/>
    </w:rPr>
  </w:style>
  <w:style w:type="character" w:customStyle="1" w:styleId="Nagwek9Znak">
    <w:name w:val="Nagłówek 9 Znak"/>
    <w:basedOn w:val="Domylnaczcionkaakapitu"/>
    <w:link w:val="Nagwek9"/>
    <w:qFormat/>
    <w:locked/>
    <w:rsid w:val="00C10763"/>
    <w:rPr>
      <w:rFonts w:ascii="Georgia" w:eastAsia="Times New Roman" w:hAnsi="Georgia" w:cs="Georgia"/>
      <w:b/>
      <w:kern w:val="2"/>
      <w:sz w:val="26"/>
      <w:szCs w:val="20"/>
      <w:lang w:bidi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locked/>
    <w:rsid w:val="00C10763"/>
    <w:rPr>
      <w:rFonts w:ascii="Arial" w:eastAsia="Lucida Sans Unicode" w:hAnsi="Arial" w:cs="Tahoma"/>
      <w:kern w:val="2"/>
      <w:sz w:val="28"/>
      <w:szCs w:val="28"/>
      <w:lang w:bidi="ar-SA"/>
    </w:rPr>
  </w:style>
  <w:style w:type="character" w:customStyle="1" w:styleId="TekstpodstawowyZnak1">
    <w:name w:val="Tekst podstawowy Znak1"/>
    <w:basedOn w:val="Domylnaczcionkaakapitu"/>
    <w:link w:val="Tekstpodstawowy"/>
    <w:qFormat/>
    <w:locked/>
    <w:rsid w:val="00C10763"/>
    <w:rPr>
      <w:rFonts w:ascii="Georgia" w:eastAsia="Times New Roman" w:hAnsi="Georgia" w:cs="Georgia"/>
      <w:i/>
      <w:kern w:val="2"/>
      <w:sz w:val="28"/>
      <w:szCs w:val="20"/>
      <w:lang w:bidi="ar-SA"/>
    </w:rPr>
  </w:style>
  <w:style w:type="character" w:customStyle="1" w:styleId="StopkaZnak1">
    <w:name w:val="Stopka Znak1"/>
    <w:basedOn w:val="Domylnaczcionkaakapitu"/>
    <w:link w:val="Stopka"/>
    <w:uiPriority w:val="99"/>
    <w:qFormat/>
    <w:locked/>
    <w:rsid w:val="00C10763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locked/>
    <w:rsid w:val="00C10763"/>
    <w:rPr>
      <w:rFonts w:ascii="Times New Roman" w:eastAsia="Times New Roman" w:hAnsi="Times New Roman" w:cs="Times New Roman"/>
      <w:b/>
      <w:kern w:val="2"/>
      <w:sz w:val="28"/>
      <w:szCs w:val="20"/>
      <w:lang w:bidi="ar-SA"/>
    </w:rPr>
  </w:style>
  <w:style w:type="character" w:customStyle="1" w:styleId="Tekstpodstawowy2Znak">
    <w:name w:val="Tekst podstawowy 2 Znak"/>
    <w:basedOn w:val="Domylnaczcionkaakapitu"/>
    <w:link w:val="Tekstpodstawowy2"/>
    <w:qFormat/>
    <w:locked/>
    <w:rsid w:val="00C10763"/>
    <w:rPr>
      <w:rFonts w:ascii="Times New Roman" w:eastAsia="Times New Roman" w:hAnsi="Times New Roman" w:cs="Times New Roman"/>
      <w:kern w:val="2"/>
      <w:sz w:val="28"/>
      <w:szCs w:val="20"/>
      <w:lang w:bidi="ar-SA"/>
    </w:rPr>
  </w:style>
  <w:style w:type="character" w:customStyle="1" w:styleId="TekstdymkaZnak">
    <w:name w:val="Tekst dymka Znak"/>
    <w:basedOn w:val="Domylnaczcionkaakapitu"/>
    <w:link w:val="Tekstdymka"/>
    <w:qFormat/>
    <w:rsid w:val="00C10763"/>
    <w:rPr>
      <w:rFonts w:ascii="Segoe UI" w:hAnsi="Segoe UI" w:cs="Segoe UI"/>
      <w:kern w:val="2"/>
      <w:sz w:val="18"/>
      <w:szCs w:val="18"/>
      <w:lang w:bidi="ar-SA"/>
    </w:rPr>
  </w:style>
  <w:style w:type="character" w:customStyle="1" w:styleId="Domylnaczcionkaakapitu4">
    <w:name w:val="Domyślna czcionka akapitu4"/>
    <w:qFormat/>
    <w:rsid w:val="00C10763"/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C10763"/>
    <w:rPr>
      <w:rFonts w:ascii="Times New Roman" w:hAnsi="Times New Roman" w:cs="Times New Roman"/>
      <w:sz w:val="20"/>
      <w:szCs w:val="20"/>
      <w:lang w:eastAsia="pl-PL" w:bidi="ar-SA"/>
    </w:rPr>
  </w:style>
  <w:style w:type="character" w:customStyle="1" w:styleId="Zakotwiczenieprzypisukocowego">
    <w:name w:val="Zakotwiczenie przypisu końcowego"/>
    <w:rPr>
      <w:rFonts w:cs="Times New Roman"/>
      <w:vertAlign w:val="superscript"/>
    </w:rPr>
  </w:style>
  <w:style w:type="character" w:customStyle="1" w:styleId="EndnoteCharacters">
    <w:name w:val="Endnote Characters"/>
    <w:basedOn w:val="Domylnaczcionkaakapitu"/>
    <w:qFormat/>
    <w:rsid w:val="00C10763"/>
    <w:rPr>
      <w:rFonts w:cs="Times New Roman"/>
      <w:vertAlign w:val="superscript"/>
    </w:rPr>
  </w:style>
  <w:style w:type="character" w:styleId="Numerstrony">
    <w:name w:val="page number"/>
    <w:basedOn w:val="Domylnaczcionkaakapitu"/>
    <w:qFormat/>
    <w:rsid w:val="00C10763"/>
    <w:rPr>
      <w:rFonts w:cs="Times New Roman"/>
    </w:rPr>
  </w:style>
  <w:style w:type="character" w:customStyle="1" w:styleId="PodtytuZnak">
    <w:name w:val="Podtytuł Znak"/>
    <w:basedOn w:val="Domylnaczcionkaakapitu"/>
    <w:link w:val="Podtytu"/>
    <w:qFormat/>
    <w:rsid w:val="00C10763"/>
    <w:rPr>
      <w:rFonts w:ascii="Arial" w:hAnsi="Arial" w:cs="Tahoma"/>
      <w:b/>
      <w:bCs/>
      <w:sz w:val="28"/>
      <w:szCs w:val="28"/>
      <w:lang w:eastAsia="pl-PL" w:bidi="ar-SA"/>
    </w:rPr>
  </w:style>
  <w:style w:type="character" w:customStyle="1" w:styleId="FontStyle22">
    <w:name w:val="Font Style22"/>
    <w:uiPriority w:val="99"/>
    <w:qFormat/>
    <w:rsid w:val="00C10763"/>
    <w:rPr>
      <w:rFonts w:ascii="Times New Roman" w:hAnsi="Times New Roman"/>
      <w:color w:val="000000"/>
      <w:sz w:val="22"/>
    </w:rPr>
  </w:style>
  <w:style w:type="character" w:customStyle="1" w:styleId="Inne">
    <w:name w:val="Inne_"/>
    <w:basedOn w:val="Domylnaczcionkaakapitu"/>
    <w:link w:val="Inne0"/>
    <w:qFormat/>
    <w:locked/>
    <w:rsid w:val="00C10763"/>
    <w:rPr>
      <w:rFonts w:ascii="Verdana" w:hAnsi="Verdana" w:cs="Verdana"/>
    </w:rPr>
  </w:style>
  <w:style w:type="character" w:customStyle="1" w:styleId="Teksttreci">
    <w:name w:val="Tekst treści_"/>
    <w:basedOn w:val="Domylnaczcionkaakapitu"/>
    <w:link w:val="Teksttreci0"/>
    <w:qFormat/>
    <w:locked/>
    <w:rsid w:val="00C10763"/>
    <w:rPr>
      <w:rFonts w:ascii="Verdana" w:hAnsi="Verdana" w:cs="Verdan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0763"/>
    <w:rPr>
      <w:rFonts w:cs="Times New Roman"/>
      <w:color w:val="605E5C"/>
      <w:shd w:val="clear" w:color="auto" w:fill="E1DFDD"/>
    </w:rPr>
  </w:style>
  <w:style w:type="character" w:customStyle="1" w:styleId="ListLabel1">
    <w:name w:val="ListLabel 1"/>
    <w:qFormat/>
    <w:rPr>
      <w:rFonts w:cs="Times New Roman"/>
      <w:b/>
      <w:sz w:val="24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sz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  <w:sz w:val="24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  <w:sz w:val="24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  <w:b/>
      <w:sz w:val="24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  <w:sz w:val="24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  <w:i w:val="0"/>
      <w:sz w:val="24"/>
      <w:szCs w:val="24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cs="Times New Roman"/>
      <w:b/>
      <w:sz w:val="24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b/>
    </w:rPr>
  </w:style>
  <w:style w:type="character" w:customStyle="1" w:styleId="ListLabel92">
    <w:name w:val="ListLabel 92"/>
    <w:qFormat/>
    <w:rPr>
      <w:rFonts w:cs="Times New Roman"/>
      <w:sz w:val="24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Courier New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color w:val="000080"/>
      <w:sz w:val="18"/>
      <w:szCs w:val="18"/>
      <w:u w:val="single"/>
      <w:shd w:val="clear" w:color="auto" w:fill="FFFFFF"/>
    </w:rPr>
  </w:style>
  <w:style w:type="character" w:customStyle="1" w:styleId="ListLabel105">
    <w:name w:val="ListLabel 105"/>
    <w:qFormat/>
    <w:rPr>
      <w:bCs/>
      <w:color w:val="000080"/>
      <w:sz w:val="18"/>
      <w:szCs w:val="18"/>
      <w:u w:val="single"/>
      <w:shd w:val="clear" w:color="auto" w:fill="FFFFFF"/>
    </w:rPr>
  </w:style>
  <w:style w:type="character" w:customStyle="1" w:styleId="ListLabel106">
    <w:name w:val="ListLabel 106"/>
    <w:qFormat/>
    <w:rPr>
      <w:sz w:val="16"/>
      <w:szCs w:val="16"/>
    </w:rPr>
  </w:style>
  <w:style w:type="character" w:customStyle="1" w:styleId="ListLabel107">
    <w:name w:val="ListLabel 107"/>
    <w:qFormat/>
    <w:rPr>
      <w:sz w:val="14"/>
    </w:rPr>
  </w:style>
  <w:style w:type="paragraph" w:styleId="Nagwek">
    <w:name w:val="header"/>
    <w:basedOn w:val="Normalny"/>
    <w:next w:val="Tekstpodstawowy"/>
    <w:link w:val="NagwekZnak1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link w:val="TekstpodstawowyZnak1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30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;Liberation Mono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;Liberation Mono"/>
      <w:sz w:val="28"/>
      <w:szCs w:val="28"/>
    </w:rPr>
  </w:style>
  <w:style w:type="paragraph" w:styleId="Stopka">
    <w:name w:val="footer"/>
    <w:basedOn w:val="Normalny"/>
    <w:link w:val="StopkaZnak1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link w:val="Tekstpodstawowy2Znak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C10763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qFormat/>
    <w:rsid w:val="00C10763"/>
    <w:rPr>
      <w:rFonts w:ascii="Segoe UI" w:hAnsi="Segoe UI" w:cs="Segoe UI"/>
      <w:sz w:val="18"/>
      <w:szCs w:val="18"/>
    </w:rPr>
  </w:style>
  <w:style w:type="paragraph" w:customStyle="1" w:styleId="Nagwek40">
    <w:name w:val="Nagłówek4"/>
    <w:basedOn w:val="Normalny"/>
    <w:next w:val="Tekstpodstawowy"/>
    <w:qFormat/>
    <w:rsid w:val="00C10763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Legenda2">
    <w:name w:val="Legenda2"/>
    <w:basedOn w:val="Normalny"/>
    <w:qFormat/>
    <w:rsid w:val="00C107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uiPriority w:val="1"/>
    <w:qFormat/>
    <w:rsid w:val="00C10763"/>
    <w:pPr>
      <w:widowControl w:val="0"/>
      <w:suppressAutoHyphens/>
    </w:pPr>
    <w:rPr>
      <w:rFonts w:ascii="Times New Roman" w:eastAsia="SimSun" w:hAnsi="Times New Roman" w:cs="Mangal"/>
      <w:kern w:val="2"/>
      <w:szCs w:val="21"/>
      <w:lang w:eastAsia="hi-IN"/>
    </w:rPr>
  </w:style>
  <w:style w:type="paragraph" w:customStyle="1" w:styleId="WW-Tekstpodstawowy2">
    <w:name w:val="WW-Tekst podstawowy 2"/>
    <w:basedOn w:val="Normalny"/>
    <w:qFormat/>
    <w:rsid w:val="00C10763"/>
    <w:pPr>
      <w:jc w:val="both"/>
    </w:pPr>
    <w:rPr>
      <w:bCs/>
      <w:kern w:val="0"/>
      <w:sz w:val="22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rsid w:val="00C10763"/>
    <w:pPr>
      <w:suppressAutoHyphens w:val="0"/>
    </w:pPr>
    <w:rPr>
      <w:kern w:val="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C10763"/>
    <w:pPr>
      <w:keepLines/>
      <w:widowControl/>
      <w:numPr>
        <w:numId w:val="0"/>
      </w:numPr>
      <w:tabs>
        <w:tab w:val="clear" w:pos="1588"/>
      </w:tabs>
      <w:suppressAutoHyphens w:val="0"/>
      <w:spacing w:before="480" w:line="276" w:lineRule="auto"/>
      <w:ind w:left="4536"/>
      <w:jc w:val="left"/>
    </w:pPr>
    <w:rPr>
      <w:rFonts w:ascii="Cambria" w:hAnsi="Cambria" w:cs="Times New Roman"/>
      <w:b/>
      <w:bCs/>
      <w:color w:val="365F91"/>
      <w:kern w:val="0"/>
      <w:szCs w:val="28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C10763"/>
    <w:pPr>
      <w:suppressAutoHyphens w:val="0"/>
      <w:ind w:left="240"/>
    </w:pPr>
    <w:rPr>
      <w:kern w:val="0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C10763"/>
    <w:pPr>
      <w:tabs>
        <w:tab w:val="left" w:pos="709"/>
        <w:tab w:val="right" w:leader="dot" w:pos="9354"/>
      </w:tabs>
      <w:suppressAutoHyphens w:val="0"/>
      <w:spacing w:line="360" w:lineRule="auto"/>
    </w:pPr>
    <w:rPr>
      <w:kern w:val="0"/>
      <w:sz w:val="24"/>
      <w:szCs w:val="24"/>
      <w:lang w:eastAsia="pl-PL"/>
    </w:rPr>
  </w:style>
  <w:style w:type="paragraph" w:styleId="Adresnakopercie">
    <w:name w:val="envelope address"/>
    <w:basedOn w:val="Normalny"/>
    <w:qFormat/>
    <w:rsid w:val="00C10763"/>
    <w:pPr>
      <w:widowControl w:val="0"/>
      <w:suppressLineNumbers/>
      <w:spacing w:before="57"/>
      <w:ind w:left="57"/>
    </w:pPr>
    <w:rPr>
      <w:rFonts w:ascii="Arial" w:eastAsia="SimSun" w:hAnsi="Arial" w:cs="Mangal"/>
      <w:b/>
      <w:caps/>
      <w:sz w:val="16"/>
      <w:szCs w:val="24"/>
      <w:lang w:eastAsia="hi-IN" w:bidi="hi-IN"/>
    </w:rPr>
  </w:style>
  <w:style w:type="paragraph" w:customStyle="1" w:styleId="MG00">
    <w:name w:val="MG_00"/>
    <w:qFormat/>
    <w:rsid w:val="00C10763"/>
    <w:pPr>
      <w:widowControl w:val="0"/>
      <w:suppressAutoHyphens/>
      <w:spacing w:before="57" w:after="57" w:line="100" w:lineRule="atLeast"/>
    </w:pPr>
    <w:rPr>
      <w:rFonts w:ascii="Arial" w:eastAsia="SimSun" w:hAnsi="Arial" w:cs="Mangal"/>
      <w:kern w:val="2"/>
      <w:lang w:eastAsia="hi-IN"/>
    </w:rPr>
  </w:style>
  <w:style w:type="paragraph" w:styleId="Podtytu">
    <w:name w:val="Subtitle"/>
    <w:basedOn w:val="Normalny"/>
    <w:next w:val="Normalny"/>
    <w:link w:val="PodtytuZnak"/>
    <w:qFormat/>
    <w:rsid w:val="00C10763"/>
    <w:pPr>
      <w:keepNext/>
      <w:widowControl w:val="0"/>
      <w:pBdr>
        <w:bottom w:val="single" w:sz="20" w:space="0" w:color="000000"/>
      </w:pBdr>
      <w:spacing w:before="238" w:after="57"/>
    </w:pPr>
    <w:rPr>
      <w:rFonts w:ascii="Arial" w:hAnsi="Arial" w:cs="Tahoma"/>
      <w:b/>
      <w:bCs/>
      <w:kern w:val="0"/>
      <w:sz w:val="28"/>
      <w:szCs w:val="28"/>
      <w:lang w:eastAsia="pl-PL"/>
    </w:rPr>
  </w:style>
  <w:style w:type="paragraph" w:customStyle="1" w:styleId="WW-Tekstpodstawowywcity2">
    <w:name w:val="WW-Tekst podstawowy wcięty 2"/>
    <w:basedOn w:val="Normalny"/>
    <w:qFormat/>
    <w:rsid w:val="00C10763"/>
    <w:pPr>
      <w:spacing w:after="120"/>
      <w:ind w:left="360" w:firstLine="66"/>
      <w:jc w:val="both"/>
    </w:pPr>
    <w:rPr>
      <w:kern w:val="0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qFormat/>
    <w:rsid w:val="00C10763"/>
    <w:pPr>
      <w:widowControl w:val="0"/>
      <w:suppressAutoHyphens w:val="0"/>
    </w:pPr>
    <w:rPr>
      <w:kern w:val="0"/>
      <w:sz w:val="24"/>
      <w:szCs w:val="24"/>
      <w:lang w:eastAsia="pl-PL"/>
    </w:rPr>
  </w:style>
  <w:style w:type="paragraph" w:customStyle="1" w:styleId="zwykly">
    <w:name w:val="zwykly"/>
    <w:basedOn w:val="Normalny"/>
    <w:qFormat/>
    <w:rsid w:val="00C10763"/>
    <w:pPr>
      <w:suppressAutoHyphens w:val="0"/>
      <w:ind w:firstLine="284"/>
    </w:pPr>
    <w:rPr>
      <w:sz w:val="24"/>
      <w:lang w:eastAsia="pl-PL"/>
    </w:rPr>
  </w:style>
  <w:style w:type="paragraph" w:customStyle="1" w:styleId="opis-tre-western">
    <w:name w:val="opis-treść-western"/>
    <w:basedOn w:val="Normalny"/>
    <w:qFormat/>
    <w:rsid w:val="00C10763"/>
    <w:pPr>
      <w:suppressAutoHyphens w:val="0"/>
      <w:spacing w:before="57" w:afterAutospacing="1"/>
      <w:ind w:firstLine="284"/>
      <w:jc w:val="both"/>
    </w:pPr>
    <w:rPr>
      <w:rFonts w:ascii="Verdana" w:hAnsi="Verdana"/>
      <w:color w:val="000000"/>
      <w:kern w:val="0"/>
      <w:sz w:val="18"/>
      <w:szCs w:val="18"/>
      <w:lang w:eastAsia="pl-PL"/>
    </w:rPr>
  </w:style>
  <w:style w:type="paragraph" w:customStyle="1" w:styleId="Inne0">
    <w:name w:val="Inne"/>
    <w:basedOn w:val="Normalny"/>
    <w:link w:val="Inne"/>
    <w:qFormat/>
    <w:rsid w:val="00C10763"/>
    <w:pPr>
      <w:widowControl w:val="0"/>
      <w:suppressAutoHyphens w:val="0"/>
      <w:spacing w:line="360" w:lineRule="auto"/>
      <w:ind w:firstLine="300"/>
    </w:pPr>
    <w:rPr>
      <w:rFonts w:ascii="Verdana" w:hAnsi="Verdana" w:cs="Verdana"/>
      <w:kern w:val="0"/>
      <w:sz w:val="24"/>
      <w:szCs w:val="24"/>
      <w:lang w:bidi="hi-IN"/>
    </w:rPr>
  </w:style>
  <w:style w:type="paragraph" w:customStyle="1" w:styleId="Teksttreci0">
    <w:name w:val="Tekst treści"/>
    <w:basedOn w:val="Normalny"/>
    <w:link w:val="Teksttreci"/>
    <w:qFormat/>
    <w:rsid w:val="00C10763"/>
    <w:pPr>
      <w:widowControl w:val="0"/>
      <w:suppressAutoHyphens w:val="0"/>
      <w:spacing w:line="360" w:lineRule="auto"/>
      <w:ind w:firstLine="300"/>
    </w:pPr>
    <w:rPr>
      <w:rFonts w:ascii="Verdana" w:hAnsi="Verdana" w:cs="Verdana"/>
      <w:kern w:val="0"/>
      <w:sz w:val="24"/>
      <w:szCs w:val="24"/>
      <w:lang w:bidi="hi-IN"/>
    </w:rPr>
  </w:style>
  <w:style w:type="numbering" w:customStyle="1" w:styleId="WW8Num1">
    <w:name w:val="WW8Num1"/>
    <w:qFormat/>
  </w:style>
  <w:style w:type="numbering" w:customStyle="1" w:styleId="Bezlisty1">
    <w:name w:val="Bez listy1"/>
    <w:uiPriority w:val="99"/>
    <w:semiHidden/>
    <w:unhideWhenUsed/>
    <w:qFormat/>
    <w:rsid w:val="00C10763"/>
  </w:style>
  <w:style w:type="table" w:styleId="Tabela-Siatka">
    <w:name w:val="Table Grid"/>
    <w:basedOn w:val="Standardowy"/>
    <w:uiPriority w:val="39"/>
    <w:rsid w:val="00C10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C10763"/>
    <w:rPr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39"/>
    <w:rsid w:val="00C10763"/>
    <w:rPr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sid w:val="00D274A9"/>
    <w:rPr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2">
    <w:name w:val="Tabela - Siatka22"/>
    <w:basedOn w:val="Standardowy"/>
    <w:uiPriority w:val="59"/>
    <w:rsid w:val="00B92A9F"/>
    <w:rPr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9A7BCD"/>
    <w:rPr>
      <w:szCs w:val="20"/>
      <w:lang w:eastAsia="pl-PL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odz.uw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lodz.uw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22</Pages>
  <Words>4641</Words>
  <Characters>27851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>Hewlett-Packard Company</Company>
  <LinksUpToDate>false</LinksUpToDate>
  <CharactersWithSpaces>32428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subject/>
  <dc:creator>wanna</dc:creator>
  <dc:description/>
  <cp:lastModifiedBy>Agnieszka Rosiak</cp:lastModifiedBy>
  <cp:revision>2</cp:revision>
  <dcterms:created xsi:type="dcterms:W3CDTF">2023-07-12T08:00:00Z</dcterms:created>
  <dcterms:modified xsi:type="dcterms:W3CDTF">2023-07-12T08:00:00Z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