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46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59" w:lineRule="auto"/>
        <w:ind w:left="0" w:right="0" w:firstLine="0"/>
        <w:jc w:val="both"/>
      </w:pPr>
      <w:r>
        <w:rPr>
          <w:rStyle w:val="CharStyle3"/>
        </w:rPr>
        <w:t xml:space="preserve">DLŁ-WNO.053.15.2025.AP </w:t>
      </w:r>
      <w:r>
        <w:rPr>
          <w:rStyle w:val="CharStyle3"/>
          <w:sz w:val="17"/>
          <w:szCs w:val="17"/>
        </w:rPr>
        <w:t xml:space="preserve">4037819.16817913.13657501 </w:t>
      </w:r>
      <w:r>
        <w:rPr>
          <w:rStyle w:val="CharStyle3"/>
        </w:rPr>
        <w:t>Warszawa, 07-01-2026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64" w:lineRule="auto"/>
        <w:ind w:left="0" w:right="0" w:firstLine="0"/>
        <w:jc w:val="both"/>
      </w:pPr>
      <w:r>
        <w:rPr>
          <w:rStyle w:val="CharStyle3"/>
          <w:b/>
          <w:bCs/>
        </w:rPr>
        <w:t xml:space="preserve">Dotyczy: </w:t>
      </w:r>
      <w:r>
        <w:rPr>
          <w:rStyle w:val="CharStyle3"/>
        </w:rPr>
        <w:t xml:space="preserve">Zawiadomienie o sposobie załatwienia petycji ws. doprecyzowania przepisów ustawy </w:t>
      </w:r>
      <w:r>
        <w:rPr>
          <w:rStyle w:val="CharStyle3"/>
          <w:i/>
          <w:iCs/>
        </w:rPr>
        <w:t>Prawo łowieckie</w:t>
      </w:r>
      <w:r>
        <w:rPr>
          <w:rStyle w:val="CharStyle3"/>
        </w:rPr>
        <w:t xml:space="preserve"> dotyczących odstrzału redukcyjnego na terenach zurbanizowanych oraz finansowania tego odstrzału.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rStyle w:val="CharStyle3"/>
          <w:b/>
          <w:bCs/>
        </w:rPr>
        <w:t>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Szanowny Panie,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3"/>
        </w:rPr>
        <w:t xml:space="preserve">po przeanalizowaniu przesłanej przez Pana petycji informuję, że </w:t>
      </w:r>
      <w:r>
        <w:rPr>
          <w:rStyle w:val="CharStyle3"/>
          <w:b/>
          <w:bCs/>
        </w:rPr>
        <w:t>została ona częściowo uwzględniona.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Uzasadnienie: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W ocenie Ministra Klimatu i Środowiska w art. 45 ust. 3 ustawy z dnia 13 października 1995 r. – </w:t>
      </w:r>
      <w:r>
        <w:rPr>
          <w:rStyle w:val="CharStyle3"/>
          <w:i/>
          <w:iCs/>
        </w:rPr>
        <w:t>Prawo łowieckie</w:t>
      </w:r>
      <w:r>
        <w:rPr>
          <w:rStyle w:val="CharStyle3"/>
          <w:vertAlign w:val="superscript"/>
        </w:rPr>
        <w:t>1</w:t>
      </w:r>
      <w:r>
        <w:rPr>
          <w:rStyle w:val="CharStyle3"/>
        </w:rPr>
        <w:t xml:space="preserve"> (dalej: </w:t>
      </w:r>
      <w:r>
        <w:rPr>
          <w:rStyle w:val="CharStyle3"/>
          <w:i/>
          <w:iCs/>
        </w:rPr>
        <w:t>ustawy Prawo łowieckie</w:t>
      </w:r>
      <w:r>
        <w:rPr>
          <w:rStyle w:val="CharStyle3"/>
        </w:rPr>
        <w:t>) funkcjonuje rozwiązanie umożliwiające realizację odłowu, odłowu wraz z uśmierceniem lub odstrzału redukcyjnego zwierzyny, na podstawie decyzji starosty. Starosta może wydać taką decyzję w przypadku występowania szczególnego zagrożenia w prawidłowym funkcjonowaniu obiektów użyteczności publicznej lub obiektów produkcyjnych przez zwierzynę. Ocena spełnienia wymogu istnienia szczególnego zagrożenia należy do starosty. Odłów, odłów wraz z uśmierceniem oraz odstrzał redukcyjny zwierzyny może być wykonywany zarówno na terenach obwodów łowieckich, jak i poza nimi, np. na terenach administracyjnych miast.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Zgodnie z interpretacją Ministerstwa Klimatu i Środowiska (MKiŚ) zadanie wskazane powyżej jest zadaniem własnym starosty. Mając na uwadze istniejące rozbieżności w interpretacji przepisów w zakresie realizacji działań wynikających z art. 45 ust. 3 </w:t>
      </w:r>
      <w:r>
        <w:rPr>
          <w:rStyle w:val="CharStyle3"/>
          <w:i/>
          <w:iCs/>
        </w:rPr>
        <w:t>ustawy Prawo łowieckie,</w:t>
      </w:r>
      <w:r>
        <w:rPr>
          <w:rStyle w:val="CharStyle3"/>
        </w:rPr>
        <w:t xml:space="preserve"> w tym rozstrzygnięć Regionalnych Izb Obrachunkowych (dalej: RIO), Minister Klimatu i Środowiska zwrócił się do Ministra Spraw Wewnętrznych i Administracji, sprawującego nadzór nad RIO, z wnioskiem o przekazanie stanowiska MKiŚ do ww. organów. Celem jest przeprowadzenie pogłębionej analizy i ujednolicenia stosowanego orzecznictwa, co może wpłynąć na prowadzenie odłowu, odłowu wraz z uśmierceniem lub odstrzału redukcyjnego zwierzyny.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 xml:space="preserve">Ministerstwo ze swojej strony deklaruje rozpoczęcie prac nad zmianą przepisów </w:t>
      </w:r>
      <w:r>
        <w:rPr>
          <w:rStyle w:val="CharStyle3"/>
          <w:i/>
          <w:iCs/>
        </w:rPr>
        <w:t>ustawy Prawo łowieckie</w:t>
      </w:r>
      <w:r>
        <w:rPr>
          <w:rStyle w:val="CharStyle3"/>
        </w:rPr>
        <w:t xml:space="preserve"> tak, aby jednoznacznie określić podmiot odpowiedzialny za finansowanie zadań wynikających z art. 45 ust. 3 ww. ustawy.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w:rPr>
          <w:rStyle w:val="CharStyle3"/>
        </w:rPr>
        <w:t xml:space="preserve">W celu wypracowania rekomendacji do zmian przepisów </w:t>
      </w:r>
      <w:r>
        <w:rPr>
          <w:rStyle w:val="CharStyle3"/>
          <w:i/>
          <w:iCs/>
        </w:rPr>
        <w:t xml:space="preserve">ustawy Prawo łowieckie </w:t>
      </w:r>
      <w:r>
        <w:rPr>
          <w:rStyle w:val="CharStyle3"/>
        </w:rPr>
        <w:t xml:space="preserve">Pani Paulina Hennig-Kloska Minister Klimatu i Środowiska powołała Zarządzeniem z dnia 29 grudnia 2025 r. </w:t>
      </w:r>
      <w:r>
        <w:rPr>
          <w:rStyle w:val="CharStyle3"/>
          <w:i/>
          <w:iCs/>
        </w:rPr>
        <w:t>Zespół do spraw zmian systemowych w łowiectwie</w:t>
      </w:r>
      <w:r>
        <w:rPr>
          <w:rStyle w:val="CharStyle3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  <w:rPr>
          <w:sz w:val="16"/>
          <w:szCs w:val="16"/>
        </w:rPr>
      </w:pPr>
      <w:r>
        <w:rPr>
          <w:rStyle w:val="CharStyle8"/>
          <w:sz w:val="16"/>
          <w:szCs w:val="16"/>
          <w:vertAlign w:val="superscript"/>
        </w:rPr>
        <w:t>1</w:t>
      </w:r>
      <w:r>
        <w:rPr>
          <w:rStyle w:val="CharStyle8"/>
          <w:sz w:val="16"/>
          <w:szCs w:val="16"/>
        </w:rPr>
        <w:t xml:space="preserve"> Dz. U. z 2025 r., poz. 539.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rStyle w:val="CharStyle8"/>
          <w:sz w:val="16"/>
          <w:szCs w:val="16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8"/>
          <w:sz w:val="16"/>
          <w:szCs w:val="16"/>
        </w:rPr>
        <w:t>info@klimat.gov.pl</w:t>
      </w:r>
      <w:r>
        <w:fldChar w:fldCharType="end"/>
      </w:r>
      <w:r>
        <w:rPr>
          <w:rStyle w:val="CharStyle8"/>
          <w:sz w:val="16"/>
          <w:szCs w:val="16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8"/>
          <w:sz w:val="16"/>
          <w:szCs w:val="16"/>
        </w:rPr>
        <w:t>www.gov.pl/klimat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46" w:bottom="487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Działamy zgodnie z EMAS - zarządzając instytucją, dbamy o środowisko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Dodatkowo wyjaśniam, że w przypadku obwodów łowieckich położonych w bezpośrednim sąsiedztwie granic administracyjnych miast i miejscowości, w zakresie ograniczania problemów generowanych przez dziki należy nawiązywać współpracę z dzierżawcami lub zarządcami obwodów łowieckich. Dzierżawcy lub zarządcy obwodów łowieckich w ramach prowadzenia gospodarki łowieckiej mogą podejmować działania mające na celu obniżenie liczebności dzików.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Zwracam także uwagę na obowiązującą procedurę zatwierdzania rocznych planów łowieckich. Plany te podlegają opiniowaniu wójtów, burmistrzów lub prezydentów miast oraz właściwej terytorialnie izby rolniczej, którzy w przypadku problemów generowanych przez nadmierną liczebność dzików mogą wnioskować o zwiększenie limitów odstrzałów tych zwierząt na dany łowiecki rok gospodarczy.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3"/>
        </w:rPr>
        <w:t>Należy jednocześnie podkreślić, że zmiany przepisów prawa w zakresie działania i kompetencji gmin w odniesieniu do zwierząt stwarzających niebezpieczeństwo dla mieszkańców pozostają we właściwości Ministra Spraw Wewnętrznych i Administracji.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Podstawa prawna: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3"/>
        </w:rPr>
        <w:t xml:space="preserve">Art. 12 i 13 ustawy z dnia 11 lipca 2014 r. </w:t>
      </w:r>
      <w:r>
        <w:rPr>
          <w:rStyle w:val="CharStyle3"/>
          <w:i/>
          <w:iCs/>
        </w:rPr>
        <w:t>o petycjach</w:t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</w:rPr>
        <w:t>Pouczenie: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3"/>
        </w:rPr>
        <w:t>Informuję, że na sposób załatwienia petycji nie służy Panu prawo wniesienia skargi w trybie określonym w Rozdziale 2 Działu VIII Kodeksu postępowania administracyjnego.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rPr>
          <w:rStyle w:val="CharStyle3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rStyle w:val="CharStyle3"/>
        </w:rPr>
        <w:t>Z up. Ministra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Zastępca Dyrektora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Departament Leśnictwa i Łowiectwa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/>
        <w:ind w:left="0" w:right="0" w:firstLine="0"/>
        <w:jc w:val="both"/>
      </w:pPr>
      <w:r>
        <w:rPr>
          <w:rStyle w:val="CharStyle3"/>
        </w:rPr>
        <w:t>/ – podpisany cyfrowo/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3"/>
          <w:b/>
          <w:bCs/>
          <w:u w:val="single"/>
        </w:rPr>
        <w:t>Do wiadomości: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127" w:right="1952" w:bottom="2127" w:left="1952" w:header="1699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Biuro Kontroli Audytu w Ministerstwie Klimatu i Środowiska.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00"/>
        <w:ind w:left="0" w:right="0" w:firstLine="0"/>
        <w:jc w:val="center"/>
      </w:pPr>
      <w:bookmarkStart w:id="0" w:name="bookmark0"/>
      <w:r>
        <w:rPr>
          <w:rStyle w:val="CharStyle17"/>
          <w:b/>
          <w:bCs/>
        </w:rPr>
        <w:t>Klauzula informacyjna</w:t>
        <w:br/>
        <w:t>dotycząca przetwarzania danych osobowych osób wnoszących petycję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rStyle w:val="CharStyle17"/>
          <w:b/>
          <w:bCs/>
        </w:rPr>
        <w:t>Tożsamość administratora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Administratorem Pani/Pana danych osobowych jest Minister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Może się Pani/Pan z nami kontaktować w następujący sposób: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listownie na adres: ul. Wawelska 52/54, 00-922 Warszawa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poprzez elektroniczną skrzynkę podawczą: /mos/skrytka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adres eDoręczeń: AE:PL-76338-88700-JTFJE-30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00FF"/>
          <w:u w:val="single"/>
        </w:rPr>
        <w:t>info@klimat.gov.pl</w:t>
      </w:r>
      <w:r>
        <w:fldChar w:fldCharType="end"/>
      </w:r>
      <w:r>
        <w:rPr>
          <w:rStyle w:val="CharStyle8"/>
          <w:color w:val="0000FF"/>
          <w:u w:val="single"/>
        </w:rPr>
        <w:t xml:space="preserve"> </w:t>
      </w:r>
      <w:r>
        <w:rPr>
          <w:rStyle w:val="CharStyle8"/>
        </w:rPr>
        <w:t>telefonicznie: 22 36 92 900.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r>
        <w:rPr>
          <w:rStyle w:val="CharStyle17"/>
          <w:b/>
          <w:bCs/>
        </w:rPr>
        <w:t>Dane kontaktowe inspektora ochrony danych osobowych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Nad prawidłowością przetwarzania Pani/Pana danych osobowych czuwa wyznaczony przez Administratora inspektor ochrony danych, z którym można się kontaktować: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listownie na adres: ul. Wawelska 52/54, 00-922 Warszawa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poprzez elektroniczną skrzynkę podawczą: /mos/skrytka 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8"/>
        </w:rPr>
        <w:t>inspektor.ochrony.danych@klimat.gov.pl</w:t>
      </w:r>
      <w:r>
        <w:fldChar w:fldCharType="end"/>
      </w:r>
      <w:r>
        <w:rPr>
          <w:rStyle w:val="CharStyle8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6" w:name="bookmark6"/>
      <w:r>
        <w:rPr>
          <w:rStyle w:val="CharStyle17"/>
          <w:b/>
          <w:bCs/>
        </w:rPr>
        <w:t>Cele przetwarzania danych osobowych i podstawa prawna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7"/>
          <w:b/>
          <w:bCs/>
        </w:rPr>
        <w:t>Odbiorcy danych osobowych lub kategorie odbiorców danych osobowych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8"/>
        </w:rPr>
        <w:t>inspektor.ochrony.danych@klimat.gov.pl</w:t>
      </w:r>
      <w:r>
        <w:fldChar w:fldCharType="end"/>
      </w:r>
      <w:r>
        <w:rPr>
          <w:rStyle w:val="CharStyle8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r>
        <w:rPr>
          <w:rStyle w:val="CharStyle17"/>
          <w:b/>
          <w:bCs/>
        </w:rPr>
        <w:t>Okres przechowywania danych osobowych</w:t>
      </w:r>
      <w:bookmarkEnd w:id="1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Pani/Pana dane osobowe będą przechowywane przez okres niezbędny do realizacji celu przetwarzania, a następnie 25 lat (kat. archiwalna A) na podstawie Instrukcji Kancelaryjnej obowiązującej w Ministerstwie Klimatu i Środowiska) i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2" w:name="bookmark12"/>
      <w:r>
        <w:rPr>
          <w:rStyle w:val="CharStyle17"/>
          <w:b/>
          <w:bCs/>
        </w:rPr>
        <w:t>Przysługujące uprawnienia związane z przetwarzaniem danych osobowych</w:t>
      </w:r>
      <w:bookmarkEnd w:id="1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Przysługują Pani/Panu następujące uprawnienia: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dostępu do danych osobowych i uzyskania ich kopii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do sprostowania danych osobowych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do usunięcia danych osobowych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8"/>
        </w:rPr>
        <w:t>prawo ograniczenia przetwarzania.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Aby skorzystać z powyższych praw należy skontaktować się z nami lub z naszym inspektorem ochrony danych (dane kontaktowe zawarte są powyżej).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left"/>
      </w:pPr>
      <w:r>
        <w:rPr>
          <w:rStyle w:val="CharStyle8"/>
        </w:rPr>
        <w:t>prawo do wniesienia skargi do Prezesa Urzędu Ochrony Danych Osobowych (ul. Moniuszki 1A, 00-014 Warszawa), jeśli uzna Pani/Pan, że przetwarzamy Pani/Pana dane osobowe niezgodnie z prawem.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4" w:name="bookmark14"/>
      <w:r>
        <w:rPr>
          <w:rStyle w:val="CharStyle17"/>
          <w:b/>
          <w:bCs/>
        </w:rPr>
        <w:t>Informacja o przekazywaniu danych osobowych do państw trzecich</w:t>
      </w:r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Nie przekazujemy Pani/Pana danych osobowych do państw trzecich.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6" w:name="bookmark16"/>
      <w:r>
        <w:rPr>
          <w:rStyle w:val="CharStyle17"/>
          <w:b/>
          <w:bCs/>
        </w:rPr>
        <w:t>Informacja o profilowaniu</w:t>
      </w:r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Pani/Pana dane osobowe nie podlegają zautomatyzowanemu przetwarzaniu, w tym profilowaniu.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8" w:name="bookmark18"/>
      <w:r>
        <w:rPr>
          <w:rStyle w:val="CharStyle17"/>
          <w:b/>
          <w:bCs/>
        </w:rPr>
        <w:t>Informacja o dowolności lub obowiązku podania danych</w:t>
      </w:r>
      <w:bookmarkEnd w:id="1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8"/>
        </w:rPr>
        <w:t>Podanie przez Panią/Pana danych osobowych jest wymogiem ustawowym. Skutkiem niepodania danych osobowych będzie pozostawienie petycji bez rozpoznania.</w:t>
      </w:r>
    </w:p>
    <w:sectPr>
      <w:footnotePr>
        <w:pos w:val="pageBottom"/>
        <w:numFmt w:val="decimal"/>
        <w:numRestart w:val="continuous"/>
      </w:footnotePr>
      <w:pgSz w:w="11900" w:h="16840"/>
      <w:pgMar w:top="2122" w:right="2033" w:bottom="2176" w:left="1947" w:header="1694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60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Body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Body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Heading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0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Body text (2)"/>
    <w:basedOn w:val="Normal"/>
    <w:link w:val="CharStyle8"/>
    <w:pPr>
      <w:widowControl w:val="0"/>
      <w:shd w:val="clear" w:color="auto" w:fill="auto"/>
      <w:spacing w:after="20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auto"/>
      <w:spacing w:after="10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Heading #1"/>
    <w:basedOn w:val="Normal"/>
    <w:link w:val="CharStyle17"/>
    <w:pPr>
      <w:widowControl w:val="0"/>
      <w:shd w:val="clear" w:color="auto" w:fill="auto"/>
      <w:spacing w:line="26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