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0D0A" w:rsidRPr="00C86A30" w:rsidRDefault="007702E1" w:rsidP="00530D0A">
      <w:pPr>
        <w:suppressAutoHyphens/>
        <w:spacing w:after="0" w:line="360" w:lineRule="auto"/>
        <w:jc w:val="right"/>
        <w:rPr>
          <w:rFonts w:ascii="Calibri" w:eastAsia="Times New Roman" w:hAnsi="Calibri" w:cs="Times New Roman"/>
          <w:sz w:val="24"/>
          <w:szCs w:val="24"/>
          <w:lang w:eastAsia="ar-SA"/>
        </w:rPr>
      </w:pPr>
      <w:r w:rsidRPr="00C86A30">
        <w:rPr>
          <w:rFonts w:ascii="Calibri" w:eastAsia="Times New Roman" w:hAnsi="Calibri" w:cs="Times New Roman"/>
          <w:noProof/>
          <w:sz w:val="24"/>
          <w:szCs w:val="24"/>
          <w:lang w:eastAsia="pl-PL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-281485</wp:posOffset>
            </wp:positionH>
            <wp:positionV relativeFrom="paragraph">
              <wp:posOffset>-107476</wp:posOffset>
            </wp:positionV>
            <wp:extent cx="2517775" cy="82296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6A30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                                                                                                     Warszawa,   </w:t>
      </w:r>
      <w:bookmarkStart w:id="0" w:name="ezdDataPodpisu"/>
      <w:r w:rsidRPr="00C86A30">
        <w:rPr>
          <w:rFonts w:ascii="Calibri" w:eastAsia="Times New Roman" w:hAnsi="Calibri" w:cs="Times New Roman"/>
          <w:sz w:val="24"/>
          <w:szCs w:val="24"/>
          <w:lang w:eastAsia="ar-SA"/>
        </w:rPr>
        <w:t>29 października 2020 r.</w:t>
      </w:r>
      <w:bookmarkEnd w:id="0"/>
      <w:r w:rsidRPr="00C86A30">
        <w:rPr>
          <w:rFonts w:ascii="Calibri" w:eastAsia="Times New Roman" w:hAnsi="Calibri" w:cs="Times New Roman"/>
          <w:sz w:val="24"/>
          <w:szCs w:val="24"/>
          <w:lang w:eastAsia="ar-SA"/>
        </w:rPr>
        <w:t xml:space="preserve">  </w:t>
      </w:r>
    </w:p>
    <w:p w:rsidR="00530D0A" w:rsidRPr="00C86A30" w:rsidRDefault="007702E1" w:rsidP="00530D0A">
      <w:pPr>
        <w:suppressAutoHyphens/>
        <w:spacing w:after="0" w:line="360" w:lineRule="auto"/>
        <w:jc w:val="both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30D0A" w:rsidRPr="00C86A30" w:rsidRDefault="007702E1" w:rsidP="00530D0A">
      <w:pPr>
        <w:suppressAutoHyphens/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ar-SA"/>
        </w:rPr>
      </w:pPr>
    </w:p>
    <w:p w:rsidR="00530D0A" w:rsidRPr="00FE18F6" w:rsidRDefault="007702E1" w:rsidP="00FE18F6">
      <w:pPr>
        <w:autoSpaceDE w:val="0"/>
        <w:autoSpaceDN w:val="0"/>
        <w:adjustRightInd w:val="0"/>
        <w:spacing w:after="0" w:line="300" w:lineRule="exact"/>
        <w:rPr>
          <w:rFonts w:eastAsia="Times New Roman" w:cstheme="minorHAnsi"/>
          <w:sz w:val="24"/>
          <w:szCs w:val="24"/>
          <w:lang w:eastAsia="ar-SA"/>
        </w:rPr>
      </w:pPr>
      <w:r w:rsidRPr="00FE18F6">
        <w:rPr>
          <w:rFonts w:eastAsia="Times New Roman" w:cstheme="minorHAnsi"/>
          <w:sz w:val="24"/>
          <w:szCs w:val="24"/>
          <w:lang w:eastAsia="ar-SA"/>
        </w:rPr>
        <w:t xml:space="preserve">    </w:t>
      </w:r>
      <w:bookmarkStart w:id="1" w:name="_GoBack"/>
      <w:r w:rsidRPr="00FE18F6">
        <w:rPr>
          <w:rFonts w:eastAsia="Times New Roman" w:cstheme="minorHAnsi"/>
          <w:sz w:val="24"/>
          <w:szCs w:val="24"/>
          <w:lang w:eastAsia="ar-SA"/>
        </w:rPr>
        <w:t>WNP-I.4131.</w:t>
      </w:r>
      <w:r>
        <w:rPr>
          <w:rFonts w:eastAsia="Times New Roman" w:cstheme="minorHAnsi"/>
          <w:sz w:val="24"/>
          <w:szCs w:val="24"/>
          <w:lang w:eastAsia="ar-SA"/>
        </w:rPr>
        <w:t>164</w:t>
      </w:r>
      <w:r w:rsidRPr="00FE18F6">
        <w:rPr>
          <w:rFonts w:eastAsia="Times New Roman" w:cstheme="minorHAnsi"/>
          <w:sz w:val="24"/>
          <w:szCs w:val="24"/>
          <w:lang w:eastAsia="ar-SA"/>
        </w:rPr>
        <w:t>.20</w:t>
      </w:r>
      <w:r>
        <w:rPr>
          <w:rFonts w:eastAsia="Times New Roman" w:cstheme="minorHAnsi"/>
          <w:sz w:val="24"/>
          <w:szCs w:val="24"/>
          <w:lang w:eastAsia="ar-SA"/>
        </w:rPr>
        <w:t>20</w:t>
      </w:r>
      <w:r w:rsidRPr="00FE18F6">
        <w:rPr>
          <w:rFonts w:eastAsia="Times New Roman" w:cstheme="minorHAnsi"/>
          <w:sz w:val="24"/>
          <w:szCs w:val="24"/>
          <w:lang w:eastAsia="ar-SA"/>
        </w:rPr>
        <w:t>.AJS</w:t>
      </w:r>
      <w:bookmarkEnd w:id="1"/>
    </w:p>
    <w:p w:rsidR="00530D0A" w:rsidRPr="00FE18F6" w:rsidRDefault="007702E1" w:rsidP="00FE18F6">
      <w:pPr>
        <w:autoSpaceDE w:val="0"/>
        <w:autoSpaceDN w:val="0"/>
        <w:adjustRightInd w:val="0"/>
        <w:spacing w:after="0" w:line="300" w:lineRule="exact"/>
        <w:rPr>
          <w:rFonts w:eastAsia="Times New Roman" w:cstheme="minorHAnsi"/>
          <w:sz w:val="24"/>
          <w:szCs w:val="24"/>
          <w:lang w:eastAsia="pl-PL"/>
        </w:rPr>
      </w:pPr>
    </w:p>
    <w:p w:rsidR="00530D0A" w:rsidRPr="00FE18F6" w:rsidRDefault="007702E1" w:rsidP="00FE18F6">
      <w:pPr>
        <w:suppressAutoHyphens/>
        <w:spacing w:after="0" w:line="300" w:lineRule="exact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FE18F6">
        <w:rPr>
          <w:rFonts w:eastAsia="Times New Roman" w:cstheme="minorHAnsi"/>
          <w:b/>
          <w:sz w:val="24"/>
          <w:szCs w:val="24"/>
          <w:lang w:eastAsia="ar-SA"/>
        </w:rPr>
        <w:t>Rada Gminy Raszyn</w:t>
      </w:r>
    </w:p>
    <w:p w:rsidR="00530D0A" w:rsidRPr="00FE18F6" w:rsidRDefault="007702E1" w:rsidP="00FE18F6">
      <w:pPr>
        <w:suppressAutoHyphens/>
        <w:spacing w:after="0" w:line="300" w:lineRule="exact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FE18F6">
        <w:rPr>
          <w:rFonts w:eastAsia="Times New Roman" w:cstheme="minorHAnsi"/>
          <w:b/>
          <w:sz w:val="24"/>
          <w:szCs w:val="24"/>
          <w:lang w:eastAsia="ar-SA"/>
        </w:rPr>
        <w:t>ul. Szkolna 2A</w:t>
      </w:r>
    </w:p>
    <w:p w:rsidR="00530D0A" w:rsidRPr="00FE18F6" w:rsidRDefault="007702E1" w:rsidP="00FE18F6">
      <w:pPr>
        <w:suppressAutoHyphens/>
        <w:spacing w:after="0" w:line="300" w:lineRule="exact"/>
        <w:ind w:left="4680"/>
        <w:rPr>
          <w:rFonts w:eastAsia="Times New Roman" w:cstheme="minorHAnsi"/>
          <w:b/>
          <w:sz w:val="24"/>
          <w:szCs w:val="24"/>
          <w:lang w:eastAsia="ar-SA"/>
        </w:rPr>
      </w:pPr>
      <w:r w:rsidRPr="00FE18F6">
        <w:rPr>
          <w:rFonts w:eastAsia="Times New Roman" w:cstheme="minorHAnsi"/>
          <w:b/>
          <w:bCs/>
          <w:sz w:val="24"/>
          <w:szCs w:val="24"/>
          <w:lang w:eastAsia="ar-SA"/>
        </w:rPr>
        <w:t xml:space="preserve">05-090 Raszyn </w:t>
      </w:r>
    </w:p>
    <w:p w:rsidR="00530D0A" w:rsidRPr="00FE18F6" w:rsidRDefault="007702E1" w:rsidP="00FE18F6">
      <w:pPr>
        <w:suppressAutoHyphens/>
        <w:spacing w:after="0" w:line="300" w:lineRule="exact"/>
        <w:ind w:left="3972" w:firstLine="708"/>
        <w:rPr>
          <w:rFonts w:eastAsia="Times New Roman" w:cstheme="minorHAnsi"/>
          <w:b/>
          <w:bCs/>
          <w:sz w:val="24"/>
          <w:szCs w:val="24"/>
          <w:lang w:eastAsia="ar-SA"/>
        </w:rPr>
      </w:pPr>
    </w:p>
    <w:p w:rsidR="00530D0A" w:rsidRPr="00FE18F6" w:rsidRDefault="007702E1" w:rsidP="00FE18F6">
      <w:pPr>
        <w:spacing w:after="0" w:line="300" w:lineRule="exact"/>
        <w:rPr>
          <w:rFonts w:cstheme="minorHAnsi"/>
          <w:sz w:val="24"/>
          <w:szCs w:val="24"/>
        </w:rPr>
      </w:pPr>
    </w:p>
    <w:p w:rsidR="00530D0A" w:rsidRDefault="007702E1" w:rsidP="00FE18F6">
      <w:pPr>
        <w:spacing w:after="0" w:line="300" w:lineRule="exac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FE18F6">
        <w:rPr>
          <w:rFonts w:eastAsia="Times New Roman" w:cstheme="minorHAnsi"/>
          <w:b/>
          <w:bCs/>
          <w:sz w:val="24"/>
          <w:szCs w:val="24"/>
          <w:lang w:eastAsia="pl-PL"/>
        </w:rPr>
        <w:t>Rozstrzygnięcie  nadzorcze</w:t>
      </w:r>
    </w:p>
    <w:p w:rsidR="00FE18F6" w:rsidRPr="00FE18F6" w:rsidRDefault="007702E1" w:rsidP="00FE18F6">
      <w:pPr>
        <w:spacing w:after="0" w:line="300" w:lineRule="exact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:rsidR="00530D0A" w:rsidRPr="00FE18F6" w:rsidRDefault="007702E1" w:rsidP="00FE18F6">
      <w:pPr>
        <w:suppressAutoHyphens/>
        <w:spacing w:after="0" w:line="300" w:lineRule="exact"/>
        <w:ind w:right="-1" w:firstLine="708"/>
        <w:jc w:val="both"/>
        <w:rPr>
          <w:rFonts w:eastAsia="Times New Roman" w:cstheme="minorHAnsi"/>
          <w:sz w:val="24"/>
          <w:szCs w:val="24"/>
          <w:lang w:eastAsia="ar-SA"/>
        </w:rPr>
      </w:pPr>
      <w:r w:rsidRPr="00FE18F6">
        <w:rPr>
          <w:rFonts w:cstheme="minorHAnsi"/>
          <w:sz w:val="24"/>
          <w:szCs w:val="24"/>
        </w:rPr>
        <w:t xml:space="preserve">Na podstawie art. 91 ust. 1 ustawy z dnia 8 marca 1990 r. o samorządzie gminnym </w:t>
      </w:r>
      <w:r w:rsidRPr="00FE18F6">
        <w:rPr>
          <w:rFonts w:cstheme="minorHAnsi"/>
          <w:sz w:val="24"/>
          <w:szCs w:val="24"/>
        </w:rPr>
        <w:br/>
        <w:t>(Dz. U. z 2020 r. poz. 713, z późn. zm.)</w:t>
      </w:r>
    </w:p>
    <w:p w:rsidR="00530D0A" w:rsidRPr="00FE18F6" w:rsidRDefault="007702E1" w:rsidP="00FE18F6">
      <w:pPr>
        <w:suppressAutoHyphens/>
        <w:spacing w:after="0" w:line="300" w:lineRule="exact"/>
        <w:jc w:val="center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FE18F6">
        <w:rPr>
          <w:rFonts w:eastAsia="Times New Roman" w:cstheme="minorHAnsi"/>
          <w:b/>
          <w:bCs/>
          <w:sz w:val="24"/>
          <w:szCs w:val="24"/>
          <w:lang w:eastAsia="ar-SA"/>
        </w:rPr>
        <w:t>stwierdzam nieważność</w:t>
      </w:r>
    </w:p>
    <w:p w:rsidR="00530D0A" w:rsidRPr="00FE18F6" w:rsidRDefault="007702E1" w:rsidP="00FE18F6">
      <w:pPr>
        <w:suppressAutoHyphens/>
        <w:spacing w:after="0" w:line="300" w:lineRule="exact"/>
        <w:ind w:right="-1"/>
        <w:jc w:val="both"/>
        <w:rPr>
          <w:rFonts w:eastAsia="Calibri" w:cstheme="minorHAnsi"/>
          <w:i/>
          <w:sz w:val="24"/>
          <w:szCs w:val="24"/>
        </w:rPr>
      </w:pPr>
      <w:r w:rsidRPr="00FE18F6">
        <w:rPr>
          <w:rFonts w:eastAsia="Calibri" w:cstheme="minorHAnsi"/>
          <w:sz w:val="24"/>
          <w:szCs w:val="24"/>
        </w:rPr>
        <w:t xml:space="preserve">uchwały Rady Gminy Raszyn z dnia 30 września 2020 r. Nr XXXII/260/2020 </w:t>
      </w:r>
      <w:r w:rsidRPr="00FE18F6">
        <w:rPr>
          <w:rFonts w:eastAsia="Calibri" w:cstheme="minorHAnsi"/>
          <w:i/>
          <w:sz w:val="24"/>
          <w:szCs w:val="24"/>
        </w:rPr>
        <w:t xml:space="preserve">w sprawie: ustalenia  kierunków działania Wójta Gminy Raszyn co do sprzedaży nieruchomości położonej w Gminie Raszyn. </w:t>
      </w:r>
    </w:p>
    <w:p w:rsidR="00530D0A" w:rsidRPr="00FE18F6" w:rsidRDefault="007702E1" w:rsidP="00FE18F6">
      <w:pPr>
        <w:suppressAutoHyphens/>
        <w:spacing w:after="0" w:line="300" w:lineRule="exact"/>
        <w:ind w:right="-1"/>
        <w:jc w:val="center"/>
        <w:rPr>
          <w:rFonts w:eastAsia="Calibri" w:cstheme="minorHAnsi"/>
          <w:i/>
          <w:sz w:val="24"/>
          <w:szCs w:val="24"/>
        </w:rPr>
      </w:pPr>
    </w:p>
    <w:p w:rsidR="00530D0A" w:rsidRPr="00FE18F6" w:rsidRDefault="007702E1" w:rsidP="00FE18F6">
      <w:pPr>
        <w:suppressAutoHyphens/>
        <w:spacing w:after="0" w:line="300" w:lineRule="exact"/>
        <w:ind w:right="-1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FE18F6">
        <w:rPr>
          <w:rFonts w:eastAsia="Times New Roman" w:cstheme="minorHAnsi"/>
          <w:b/>
          <w:sz w:val="24"/>
          <w:szCs w:val="24"/>
          <w:lang w:eastAsia="ar-SA"/>
        </w:rPr>
        <w:t>Uzasadnienie</w:t>
      </w:r>
    </w:p>
    <w:p w:rsidR="00530D0A" w:rsidRPr="00FE18F6" w:rsidRDefault="007702E1" w:rsidP="00FE18F6">
      <w:pPr>
        <w:spacing w:after="0" w:line="300" w:lineRule="exact"/>
        <w:ind w:firstLine="708"/>
        <w:jc w:val="both"/>
        <w:rPr>
          <w:rFonts w:eastAsia="Calibri"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 xml:space="preserve">Rada Gminy Raszyn w dniu </w:t>
      </w:r>
      <w:r w:rsidRPr="00FE18F6">
        <w:rPr>
          <w:rFonts w:cstheme="minorHAnsi"/>
          <w:sz w:val="24"/>
          <w:szCs w:val="24"/>
        </w:rPr>
        <w:t>30 września</w:t>
      </w:r>
      <w:r w:rsidRPr="00FE18F6">
        <w:rPr>
          <w:rFonts w:eastAsia="Calibri" w:cstheme="minorHAnsi"/>
          <w:sz w:val="24"/>
          <w:szCs w:val="24"/>
        </w:rPr>
        <w:t xml:space="preserve"> 20</w:t>
      </w:r>
      <w:r w:rsidRPr="00FE18F6">
        <w:rPr>
          <w:rFonts w:eastAsia="Calibri" w:cstheme="minorHAnsi"/>
          <w:sz w:val="24"/>
          <w:szCs w:val="24"/>
        </w:rPr>
        <w:t>20</w:t>
      </w:r>
      <w:r w:rsidRPr="00FE18F6">
        <w:rPr>
          <w:rFonts w:eastAsia="Calibri" w:cstheme="minorHAnsi"/>
          <w:sz w:val="24"/>
          <w:szCs w:val="24"/>
        </w:rPr>
        <w:t xml:space="preserve"> r. podjęła uchwałę </w:t>
      </w:r>
      <w:r w:rsidRPr="00FE18F6">
        <w:rPr>
          <w:rFonts w:eastAsia="Calibri" w:cstheme="minorHAnsi"/>
          <w:sz w:val="24"/>
          <w:szCs w:val="24"/>
        </w:rPr>
        <w:t xml:space="preserve">Nr XXXII/260/2020 </w:t>
      </w:r>
      <w:r>
        <w:rPr>
          <w:rFonts w:eastAsia="Calibri" w:cstheme="minorHAnsi"/>
          <w:sz w:val="24"/>
          <w:szCs w:val="24"/>
        </w:rPr>
        <w:br/>
      </w:r>
      <w:r w:rsidRPr="00FE18F6">
        <w:rPr>
          <w:rFonts w:eastAsia="Calibri" w:cstheme="minorHAnsi"/>
          <w:i/>
          <w:sz w:val="24"/>
          <w:szCs w:val="24"/>
        </w:rPr>
        <w:t xml:space="preserve">w sprawie: ustalenia  kierunków działania </w:t>
      </w:r>
      <w:r w:rsidRPr="00FE18F6">
        <w:rPr>
          <w:rFonts w:eastAsia="Calibri" w:cstheme="minorHAnsi"/>
          <w:i/>
          <w:sz w:val="24"/>
          <w:szCs w:val="24"/>
        </w:rPr>
        <w:t>Wójta Gminy Raszyn co do sprzedaży nieruchomości położonej w Gminie Raszyn</w:t>
      </w:r>
      <w:r w:rsidRPr="00FE18F6">
        <w:rPr>
          <w:rFonts w:eastAsia="Calibri" w:cstheme="minorHAnsi"/>
          <w:i/>
          <w:sz w:val="24"/>
          <w:szCs w:val="24"/>
        </w:rPr>
        <w:t xml:space="preserve">. </w:t>
      </w:r>
      <w:r w:rsidRPr="00FE18F6">
        <w:rPr>
          <w:rFonts w:eastAsia="Calibri" w:cstheme="minorHAnsi"/>
          <w:sz w:val="24"/>
          <w:szCs w:val="24"/>
        </w:rPr>
        <w:t xml:space="preserve">Uchwała została doręczona do organu nadzoru w dniu </w:t>
      </w:r>
      <w:r>
        <w:rPr>
          <w:rFonts w:eastAsia="Calibri" w:cstheme="minorHAnsi"/>
          <w:sz w:val="24"/>
          <w:szCs w:val="24"/>
        </w:rPr>
        <w:br/>
      </w:r>
      <w:r w:rsidRPr="00FE18F6">
        <w:rPr>
          <w:rFonts w:eastAsia="Calibri" w:cstheme="minorHAnsi"/>
          <w:sz w:val="24"/>
          <w:szCs w:val="24"/>
        </w:rPr>
        <w:t>7</w:t>
      </w:r>
      <w:r w:rsidRPr="00FE18F6">
        <w:rPr>
          <w:rFonts w:eastAsia="Calibri" w:cstheme="minorHAnsi"/>
          <w:sz w:val="24"/>
          <w:szCs w:val="24"/>
        </w:rPr>
        <w:t xml:space="preserve"> </w:t>
      </w:r>
      <w:r w:rsidRPr="00FE18F6">
        <w:rPr>
          <w:rFonts w:eastAsia="Calibri" w:cstheme="minorHAnsi"/>
          <w:sz w:val="24"/>
          <w:szCs w:val="24"/>
        </w:rPr>
        <w:t>października</w:t>
      </w:r>
      <w:r w:rsidRPr="00FE18F6">
        <w:rPr>
          <w:rFonts w:eastAsia="Calibri" w:cstheme="minorHAnsi"/>
          <w:sz w:val="24"/>
          <w:szCs w:val="24"/>
        </w:rPr>
        <w:t xml:space="preserve"> 20</w:t>
      </w:r>
      <w:r w:rsidRPr="00FE18F6">
        <w:rPr>
          <w:rFonts w:eastAsia="Calibri" w:cstheme="minorHAnsi"/>
          <w:sz w:val="24"/>
          <w:szCs w:val="24"/>
        </w:rPr>
        <w:t>20</w:t>
      </w:r>
      <w:r w:rsidRPr="00FE18F6">
        <w:rPr>
          <w:rFonts w:eastAsia="Calibri" w:cstheme="minorHAnsi"/>
          <w:sz w:val="24"/>
          <w:szCs w:val="24"/>
        </w:rPr>
        <w:t xml:space="preserve"> r. Jako podstawę jej podjęcia wskazano art. 18. ust. 2 pkt 2 ustawy </w:t>
      </w:r>
      <w:r w:rsidRPr="00FE18F6">
        <w:rPr>
          <w:rFonts w:eastAsia="Calibri" w:cstheme="minorHAnsi"/>
          <w:sz w:val="24"/>
          <w:szCs w:val="24"/>
        </w:rPr>
        <w:br/>
      </w:r>
      <w:r w:rsidRPr="00FE18F6">
        <w:rPr>
          <w:rFonts w:eastAsia="Calibri" w:cstheme="minorHAnsi"/>
          <w:sz w:val="24"/>
          <w:szCs w:val="24"/>
        </w:rPr>
        <w:t xml:space="preserve">o samorządzie gminnym. </w:t>
      </w:r>
    </w:p>
    <w:p w:rsidR="00185108" w:rsidRPr="00FE18F6" w:rsidRDefault="007702E1" w:rsidP="00FE18F6">
      <w:pPr>
        <w:spacing w:after="0" w:line="300" w:lineRule="exact"/>
        <w:ind w:firstLine="708"/>
        <w:jc w:val="both"/>
        <w:rPr>
          <w:rFonts w:cstheme="minorHAnsi"/>
          <w:i/>
          <w:sz w:val="24"/>
          <w:szCs w:val="24"/>
        </w:rPr>
      </w:pPr>
      <w:r w:rsidRPr="00FE18F6">
        <w:rPr>
          <w:rFonts w:cstheme="minorHAnsi"/>
          <w:sz w:val="24"/>
          <w:szCs w:val="24"/>
        </w:rPr>
        <w:t>W § 1 uchwały R</w:t>
      </w:r>
      <w:r w:rsidRPr="00FE18F6">
        <w:rPr>
          <w:rFonts w:cstheme="minorHAnsi"/>
          <w:sz w:val="24"/>
          <w:szCs w:val="24"/>
        </w:rPr>
        <w:t xml:space="preserve">ada Gminy Raszyn postanowiła: </w:t>
      </w:r>
      <w:r w:rsidRPr="00FE18F6">
        <w:rPr>
          <w:rFonts w:cstheme="minorHAnsi"/>
          <w:i/>
          <w:sz w:val="24"/>
          <w:szCs w:val="24"/>
        </w:rPr>
        <w:t xml:space="preserve">„Ustala się kierunki działania Wójta Gminy Raszyn polegające podjęciu działań zmierzających do przygotowania dokumentacji </w:t>
      </w:r>
      <w:r>
        <w:rPr>
          <w:rFonts w:cstheme="minorHAnsi"/>
          <w:i/>
          <w:sz w:val="24"/>
          <w:szCs w:val="24"/>
        </w:rPr>
        <w:br/>
      </w:r>
      <w:r w:rsidRPr="00FE18F6">
        <w:rPr>
          <w:rFonts w:cstheme="minorHAnsi"/>
          <w:i/>
          <w:sz w:val="24"/>
          <w:szCs w:val="24"/>
        </w:rPr>
        <w:t>w sprawie sprzedaży w drodze bezprzetargowej nieruchomości gruntowej powstałej w wyniku podziału działk</w:t>
      </w:r>
      <w:r w:rsidRPr="00FE18F6">
        <w:rPr>
          <w:rFonts w:cstheme="minorHAnsi"/>
          <w:i/>
          <w:sz w:val="24"/>
          <w:szCs w:val="24"/>
        </w:rPr>
        <w:t>i 1153/7 obręb Raszyn01</w:t>
      </w:r>
      <w:r>
        <w:rPr>
          <w:rFonts w:cstheme="minorHAnsi"/>
          <w:i/>
          <w:sz w:val="24"/>
          <w:szCs w:val="24"/>
        </w:rPr>
        <w:t>.</w:t>
      </w:r>
      <w:r w:rsidRPr="00FE18F6">
        <w:rPr>
          <w:rFonts w:cstheme="minorHAnsi"/>
          <w:i/>
          <w:sz w:val="24"/>
          <w:szCs w:val="24"/>
        </w:rPr>
        <w:t>”</w:t>
      </w:r>
      <w:r w:rsidRPr="00FE18F6">
        <w:rPr>
          <w:rFonts w:cstheme="minorHAnsi"/>
          <w:sz w:val="24"/>
          <w:szCs w:val="24"/>
        </w:rPr>
        <w:t>.</w:t>
      </w:r>
    </w:p>
    <w:p w:rsidR="00B41B6E" w:rsidRPr="00FE18F6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eastAsia="Calibri" w:cstheme="minorHAnsi"/>
          <w:sz w:val="24"/>
          <w:szCs w:val="24"/>
        </w:rPr>
        <w:t xml:space="preserve">Z pisma z dnia 18 września 2020 r. znak GNR.6840.7.2020 AW podpisanego przez Przewodniczącego Rady Gminy, a kierowanego do Radnych Gminy Raszyn, które zostało doręczone do organu nadzoru przy uchwale, wynika, że </w:t>
      </w:r>
      <w:r w:rsidRPr="00FE18F6">
        <w:rPr>
          <w:rFonts w:eastAsia="Calibri" w:cstheme="minorHAnsi"/>
          <w:i/>
          <w:sz w:val="24"/>
          <w:szCs w:val="24"/>
        </w:rPr>
        <w:t>„</w:t>
      </w:r>
      <w:r w:rsidRPr="00FE18F6">
        <w:rPr>
          <w:rFonts w:cstheme="minorHAnsi"/>
          <w:i/>
          <w:sz w:val="24"/>
          <w:szCs w:val="24"/>
        </w:rPr>
        <w:t>Właściciel dział</w:t>
      </w:r>
      <w:r w:rsidRPr="00FE18F6">
        <w:rPr>
          <w:rFonts w:cstheme="minorHAnsi"/>
          <w:i/>
          <w:sz w:val="24"/>
          <w:szCs w:val="24"/>
        </w:rPr>
        <w:t>ki nr ew.1170 zwrócił się z wnioskiem o wyrażenie zgody na sprzedaż części działki nr ew.1153/7. Zainteresowany nabyciem zobowiązuje się do pokrycia kosztów podziału. Część działki, która zostanie wydzielona, na mocy kolejnej uchwały bezprzetargowo zostani</w:t>
      </w:r>
      <w:r w:rsidRPr="00FE18F6">
        <w:rPr>
          <w:rFonts w:cstheme="minorHAnsi"/>
          <w:i/>
          <w:sz w:val="24"/>
          <w:szCs w:val="24"/>
        </w:rPr>
        <w:t>e zbyta na rzecz właściciela działki nr 1170. Istniejący budynek inwestycyjny na działce 1170 w części został wybudowany na działce 1153/7.”</w:t>
      </w:r>
      <w:r w:rsidRPr="00FE18F6">
        <w:rPr>
          <w:rFonts w:cstheme="minorHAnsi"/>
          <w:sz w:val="24"/>
          <w:szCs w:val="24"/>
        </w:rPr>
        <w:t>.</w:t>
      </w:r>
    </w:p>
    <w:p w:rsidR="00B41B6E" w:rsidRPr="00FE18F6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>Przepis art. 18 ust. 2 pkt 2 ustawy o samorządzie gminnym upoważnia radę gminy do stanowienia o kierunkach działan</w:t>
      </w:r>
      <w:r w:rsidRPr="00FE18F6">
        <w:rPr>
          <w:rFonts w:cstheme="minorHAnsi"/>
          <w:sz w:val="24"/>
          <w:szCs w:val="24"/>
        </w:rPr>
        <w:t>ia wójta, a nie do określania form działania. Przepis ten zezwala radzie gminy jedynie na "stanowienie o kierunkach działania wójta", a więc zawiera upoważnienie do wydawania aktów kierunkowych, wskazujących jedynie cele, priorytety działania wójta, ale ni</w:t>
      </w:r>
      <w:r w:rsidRPr="00FE18F6">
        <w:rPr>
          <w:rFonts w:cstheme="minorHAnsi"/>
          <w:sz w:val="24"/>
          <w:szCs w:val="24"/>
        </w:rPr>
        <w:t>e przesądzających w jaki sposób i w jakich formach ma to działanie być przez wójta podejmowane (wyrok NSA z dnia 19 września 2017 r., II GSK 3514/15). Podejmowane na podstawie tego upoważnienia uchwały mogą mieć zatem jedynie charakter wewnętrzny, zawieraj</w:t>
      </w:r>
      <w:r w:rsidRPr="00FE18F6">
        <w:rPr>
          <w:rFonts w:cstheme="minorHAnsi"/>
          <w:sz w:val="24"/>
          <w:szCs w:val="24"/>
        </w:rPr>
        <w:t xml:space="preserve">ąc wytyczne lub zalecenia dla organu wykonawczego. Mogą one </w:t>
      </w:r>
      <w:r w:rsidRPr="00FE18F6">
        <w:rPr>
          <w:rFonts w:cstheme="minorHAnsi"/>
          <w:sz w:val="24"/>
          <w:szCs w:val="24"/>
        </w:rPr>
        <w:lastRenderedPageBreak/>
        <w:t xml:space="preserve">określać ogólnie strategię działania wójta, wskazywać hierarchię priorytetów w zakresie realizacji celów i zadań mieszczących się w zadaniach gminy, ale nie mogą wkraczać wprost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 xml:space="preserve">w zakres </w:t>
      </w:r>
      <w:r w:rsidRPr="00FE18F6">
        <w:rPr>
          <w:rFonts w:cstheme="minorHAnsi"/>
          <w:sz w:val="24"/>
          <w:szCs w:val="24"/>
        </w:rPr>
        <w:t>działania poszczególnych organów gminy (wyrok WSA w Poznaniu z dnia 8 marca 2018 r., IV SA/Po 1053/17). Akty te winny zawierać wyłącznie wytyczne, zalecenia lub wskazówki dla organu wykonawczego. Nie mogą natomiast nakładać na niego konkretnych obowiązków,</w:t>
      </w:r>
      <w:r w:rsidRPr="00FE18F6">
        <w:rPr>
          <w:rFonts w:cstheme="minorHAnsi"/>
          <w:sz w:val="24"/>
          <w:szCs w:val="24"/>
        </w:rPr>
        <w:t xml:space="preserve"> bądź nakazywać stosowania konkretnych rozwiązań prawnych (tak: wyrok WSA w Opolu z dnia 26 listopada 2009 r., II SA/Op 356/09; wyrok WSA w Lublinie z dnia 20 stycznia 2011 r., III SA/Lu 454/10, powołane w wyroku WSA w Łodzi z dnia 30 sierpnia 2013 r., II </w:t>
      </w:r>
      <w:r w:rsidRPr="00FE18F6">
        <w:rPr>
          <w:rFonts w:cstheme="minorHAnsi"/>
          <w:sz w:val="24"/>
          <w:szCs w:val="24"/>
        </w:rPr>
        <w:t xml:space="preserve">SA/Łd 627/13). </w:t>
      </w:r>
    </w:p>
    <w:p w:rsidR="00A56EAF" w:rsidRPr="00FE18F6" w:rsidRDefault="007702E1" w:rsidP="00DD707C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>J</w:t>
      </w:r>
      <w:r w:rsidRPr="00FE18F6">
        <w:rPr>
          <w:rFonts w:cstheme="minorHAnsi"/>
          <w:sz w:val="24"/>
          <w:szCs w:val="24"/>
        </w:rPr>
        <w:t xml:space="preserve">eśli więc przyjąć koncepcję, iż </w:t>
      </w:r>
      <w:r w:rsidRPr="00FE18F6">
        <w:rPr>
          <w:rFonts w:cstheme="minorHAnsi"/>
          <w:sz w:val="24"/>
          <w:szCs w:val="24"/>
        </w:rPr>
        <w:t>u</w:t>
      </w:r>
      <w:r w:rsidRPr="00FE18F6">
        <w:rPr>
          <w:rFonts w:cstheme="minorHAnsi"/>
          <w:sz w:val="24"/>
          <w:szCs w:val="24"/>
        </w:rPr>
        <w:t xml:space="preserve">chwała miała stanowić tzw. akt kierownictwa wewnętrznego, to z uwagi na jej treść łącznie z </w:t>
      </w:r>
      <w:r w:rsidRPr="00FE18F6">
        <w:rPr>
          <w:rFonts w:cstheme="minorHAnsi"/>
          <w:sz w:val="24"/>
          <w:szCs w:val="24"/>
        </w:rPr>
        <w:t>z</w:t>
      </w:r>
      <w:r w:rsidRPr="00FE18F6">
        <w:rPr>
          <w:rFonts w:cstheme="minorHAnsi"/>
          <w:sz w:val="24"/>
          <w:szCs w:val="24"/>
        </w:rPr>
        <w:t>ałącz</w:t>
      </w:r>
      <w:r w:rsidRPr="00FE18F6">
        <w:rPr>
          <w:rFonts w:cstheme="minorHAnsi"/>
          <w:sz w:val="24"/>
          <w:szCs w:val="24"/>
        </w:rPr>
        <w:t>onym wnioskiem</w:t>
      </w:r>
      <w:r w:rsidRPr="00FE18F6">
        <w:rPr>
          <w:rFonts w:cstheme="minorHAnsi"/>
          <w:sz w:val="24"/>
          <w:szCs w:val="24"/>
        </w:rPr>
        <w:t xml:space="preserve"> stanowi ona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o przekroczeniu ram dla kierunków działania organu wykonawczego poprzez udzielen</w:t>
      </w:r>
      <w:r w:rsidRPr="00FE18F6">
        <w:rPr>
          <w:rFonts w:cstheme="minorHAnsi"/>
          <w:sz w:val="24"/>
          <w:szCs w:val="24"/>
        </w:rPr>
        <w:t xml:space="preserve">ie przez Radę </w:t>
      </w:r>
      <w:r w:rsidRPr="00FE18F6">
        <w:rPr>
          <w:rFonts w:cstheme="minorHAnsi"/>
          <w:sz w:val="24"/>
          <w:szCs w:val="24"/>
        </w:rPr>
        <w:t>Gminy Raszyn</w:t>
      </w:r>
      <w:r w:rsidRPr="00FE18F6">
        <w:rPr>
          <w:rFonts w:cstheme="minorHAnsi"/>
          <w:sz w:val="24"/>
          <w:szCs w:val="24"/>
        </w:rPr>
        <w:t xml:space="preserve"> upoważnienia do konkretnego sposobu działania</w:t>
      </w:r>
      <w:r w:rsidRPr="00FE18F6">
        <w:rPr>
          <w:rFonts w:cstheme="minorHAnsi"/>
          <w:sz w:val="24"/>
          <w:szCs w:val="24"/>
        </w:rPr>
        <w:t xml:space="preserve"> Wójta</w:t>
      </w:r>
      <w:r w:rsidRPr="00FE18F6">
        <w:rPr>
          <w:rFonts w:cstheme="minorHAnsi"/>
          <w:sz w:val="24"/>
          <w:szCs w:val="24"/>
        </w:rPr>
        <w:t xml:space="preserve">, w tym </w:t>
      </w:r>
      <w:r w:rsidRPr="00FE18F6">
        <w:rPr>
          <w:rFonts w:cstheme="minorHAnsi"/>
          <w:sz w:val="24"/>
          <w:szCs w:val="24"/>
        </w:rPr>
        <w:t xml:space="preserve">obejmujących podział nieruchomości i zbycie nieruchomości na rzecz określonego podmiotu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i w określonej formie.</w:t>
      </w:r>
    </w:p>
    <w:p w:rsidR="00A223E0" w:rsidRPr="00FE18F6" w:rsidRDefault="007702E1" w:rsidP="00DD707C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 xml:space="preserve">Ponadto podejmowane przez radę gminy na podstawie art. 18 </w:t>
      </w:r>
      <w:r w:rsidRPr="00FE18F6">
        <w:rPr>
          <w:rFonts w:cstheme="minorHAnsi"/>
          <w:sz w:val="24"/>
          <w:szCs w:val="24"/>
        </w:rPr>
        <w:t xml:space="preserve">ust. 2 pkt 2 ustawy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o samorządzie gminnym uchwały nie mogą wkraczać w zakres kompetencji należnych ustawowo wójtowi z mocy ustawy, naruszałoby to bowiem ustawowy podział kompetencji pomiędzy organami gminy. W art. 30 ust. 2 pkt 3 ustawy o samorządzie gmin</w:t>
      </w:r>
      <w:r w:rsidRPr="00FE18F6">
        <w:rPr>
          <w:rFonts w:cstheme="minorHAnsi"/>
          <w:sz w:val="24"/>
          <w:szCs w:val="24"/>
        </w:rPr>
        <w:t xml:space="preserve">nym przewidziano, że do zadań wójta należy </w:t>
      </w:r>
      <w:r w:rsidRPr="00FE18F6">
        <w:rPr>
          <w:rFonts w:cstheme="minorHAnsi"/>
          <w:sz w:val="24"/>
          <w:szCs w:val="24"/>
        </w:rPr>
        <w:t>gospodarowanie mieniem komunalnym</w:t>
      </w:r>
      <w:r w:rsidRPr="00FE18F6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Pr="00FE18F6">
        <w:rPr>
          <w:rFonts w:cstheme="minorHAnsi"/>
          <w:sz w:val="24"/>
          <w:szCs w:val="24"/>
        </w:rPr>
        <w:t xml:space="preserve">Przez gospodarowanie mieniem komunalnym należy rozumieć </w:t>
      </w:r>
      <w:r w:rsidRPr="00FE18F6">
        <w:rPr>
          <w:rFonts w:cstheme="minorHAnsi"/>
          <w:sz w:val="24"/>
          <w:szCs w:val="24"/>
        </w:rPr>
        <w:t xml:space="preserve">ogół czynności faktycznych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i prawnych, które będą się składać na zarządzanie, dysponowanie i zajmowanie się mieniem w for</w:t>
      </w:r>
      <w:r w:rsidRPr="00FE18F6">
        <w:rPr>
          <w:rFonts w:cstheme="minorHAnsi"/>
          <w:sz w:val="24"/>
          <w:szCs w:val="24"/>
        </w:rPr>
        <w:t xml:space="preserve">mach prawem dopuszczalnych (przewidzianych). </w:t>
      </w:r>
    </w:p>
    <w:p w:rsidR="00241179" w:rsidRPr="00FE18F6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 xml:space="preserve">Natomiast kompetencje rady gminy w odniesieniu do </w:t>
      </w:r>
      <w:r w:rsidRPr="00FE18F6">
        <w:rPr>
          <w:rFonts w:cstheme="minorHAnsi"/>
          <w:sz w:val="24"/>
          <w:szCs w:val="24"/>
        </w:rPr>
        <w:t xml:space="preserve">mienia komunalnego </w:t>
      </w:r>
      <w:r w:rsidRPr="00FE18F6">
        <w:rPr>
          <w:rFonts w:cstheme="minorHAnsi"/>
          <w:sz w:val="24"/>
          <w:szCs w:val="24"/>
        </w:rPr>
        <w:t xml:space="preserve">zostały określone w art. 18 ust. 2 pkt 9 lit. </w:t>
      </w:r>
      <w:r w:rsidRPr="00FE18F6">
        <w:rPr>
          <w:rFonts w:cstheme="minorHAnsi"/>
          <w:sz w:val="24"/>
          <w:szCs w:val="24"/>
        </w:rPr>
        <w:t>a</w:t>
      </w:r>
      <w:r w:rsidRPr="00FE18F6">
        <w:rPr>
          <w:rFonts w:cstheme="minorHAnsi"/>
          <w:sz w:val="24"/>
          <w:szCs w:val="24"/>
        </w:rPr>
        <w:t xml:space="preserve"> ustawy o samorządzie gminnym, zawężając je do spraw majątkowych gminy przekraczających zakres</w:t>
      </w:r>
      <w:r w:rsidRPr="00FE18F6">
        <w:rPr>
          <w:rFonts w:cstheme="minorHAnsi"/>
          <w:sz w:val="24"/>
          <w:szCs w:val="24"/>
        </w:rPr>
        <w:t xml:space="preserve"> zwykłego zarządu dotyczących zasad nabywania, zbywania i obciążania nieruchomości oraz ich wydzierżawiania lub wynajmowania na czas oznaczony dłuższy niż 3 lata lub na czas nieoznaczony, o ile ustawy szczególne nie stanowią inaczej; uchwała rady gminy jes</w:t>
      </w:r>
      <w:r w:rsidRPr="00FE18F6">
        <w:rPr>
          <w:rFonts w:cstheme="minorHAnsi"/>
          <w:sz w:val="24"/>
          <w:szCs w:val="24"/>
        </w:rPr>
        <w:t xml:space="preserve">t wymagana również w przypadku, gdy po umowie zawartej na czas oznaczony do 3 lat strony zawierają kolejne umowy, których przedmiotem jest ta sama nieruchomość; do czasu określenia zasad wójt może dokonywać tych czynności wyłącznie za zgodą rady gminy. </w:t>
      </w:r>
    </w:p>
    <w:p w:rsidR="00530D0A" w:rsidRPr="00FE18F6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>Sk</w:t>
      </w:r>
      <w:r w:rsidRPr="00FE18F6">
        <w:rPr>
          <w:rFonts w:cstheme="minorHAnsi"/>
          <w:sz w:val="24"/>
          <w:szCs w:val="24"/>
        </w:rPr>
        <w:t xml:space="preserve">oro przepisy te rezerwują wyłączną kompetencje rady gminy w tych konkretnych obszarach odnoszących się do </w:t>
      </w:r>
      <w:r w:rsidRPr="00FE18F6">
        <w:rPr>
          <w:rFonts w:cstheme="minorHAnsi"/>
          <w:sz w:val="24"/>
          <w:szCs w:val="24"/>
        </w:rPr>
        <w:t>nieruchomości</w:t>
      </w:r>
      <w:r w:rsidRPr="00FE18F6">
        <w:rPr>
          <w:rFonts w:cstheme="minorHAnsi"/>
          <w:sz w:val="24"/>
          <w:szCs w:val="24"/>
        </w:rPr>
        <w:t>, to jakiekolwiek od nich materialne odstępstwa muszą być traktowane jako sprzeczne z zasadą podziału władz organów administracji publicz</w:t>
      </w:r>
      <w:r w:rsidRPr="00FE18F6">
        <w:rPr>
          <w:rFonts w:cstheme="minorHAnsi"/>
          <w:sz w:val="24"/>
          <w:szCs w:val="24"/>
        </w:rPr>
        <w:t>nej na stanowiące i wykonawcze. Niedopuszczalne jest bowiem, aby inny organ podejmował działania, do których nie został uprawniony. Organ stanowiący nie może podejmować rozstrzygnięć odnoszących się do działań ustawowo zastrzeżonych do sfery wykonawczej, c</w:t>
      </w:r>
      <w:r w:rsidRPr="00FE18F6">
        <w:rPr>
          <w:rFonts w:cstheme="minorHAnsi"/>
          <w:sz w:val="24"/>
          <w:szCs w:val="24"/>
        </w:rPr>
        <w:t>hoćby w formie upoważnienia czy akceptacji, gdyż byłoby to naruszeniem konstytucyjnej zasady podziału organów gminy na stanowiące i wykonawcze (</w:t>
      </w:r>
      <w:hyperlink r:id="rId8" w:anchor="/document/16798613?unitId=art(169)&amp;cm=DOCUMENT" w:history="1">
        <w:r w:rsidRPr="00FE18F6">
          <w:rPr>
            <w:rFonts w:cstheme="minorHAnsi"/>
            <w:sz w:val="24"/>
            <w:szCs w:val="24"/>
          </w:rPr>
          <w:t>art. 169</w:t>
        </w:r>
      </w:hyperlink>
      <w:r w:rsidRPr="00FE18F6">
        <w:rPr>
          <w:rFonts w:cstheme="minorHAnsi"/>
          <w:sz w:val="24"/>
          <w:szCs w:val="24"/>
        </w:rPr>
        <w:t xml:space="preserve"> Konstytucji RP)</w:t>
      </w:r>
      <w:r w:rsidRPr="00FE18F6">
        <w:rPr>
          <w:rFonts w:cstheme="minorHAnsi"/>
          <w:sz w:val="24"/>
          <w:szCs w:val="24"/>
        </w:rPr>
        <w:t xml:space="preserve">. Tym samym zakresem działania Rady </w:t>
      </w:r>
      <w:r w:rsidRPr="00FE18F6">
        <w:rPr>
          <w:rFonts w:cstheme="minorHAnsi"/>
          <w:sz w:val="24"/>
          <w:szCs w:val="24"/>
        </w:rPr>
        <w:t>Gminy Raszyn</w:t>
      </w:r>
      <w:r w:rsidRPr="00FE18F6">
        <w:rPr>
          <w:rFonts w:cstheme="minorHAnsi"/>
          <w:sz w:val="24"/>
          <w:szCs w:val="24"/>
        </w:rPr>
        <w:t xml:space="preserve"> nie mogą być objęte sprawy dotyczące planowanych</w:t>
      </w:r>
      <w:r w:rsidRPr="00FE18F6">
        <w:rPr>
          <w:rFonts w:cstheme="minorHAnsi"/>
          <w:sz w:val="24"/>
          <w:szCs w:val="24"/>
        </w:rPr>
        <w:t xml:space="preserve"> podziałów nieruchomości oraz planowanego zbywania nieruchomości</w:t>
      </w:r>
      <w:r w:rsidRPr="00FE18F6">
        <w:rPr>
          <w:rFonts w:cstheme="minorHAnsi"/>
          <w:sz w:val="24"/>
          <w:szCs w:val="24"/>
        </w:rPr>
        <w:t xml:space="preserve">, wykraczające poza powołany art. 18 ust. 2 pkt 9 lit. </w:t>
      </w:r>
      <w:r w:rsidRPr="00FE18F6">
        <w:rPr>
          <w:rFonts w:cstheme="minorHAnsi"/>
          <w:sz w:val="24"/>
          <w:szCs w:val="24"/>
        </w:rPr>
        <w:t>a ustawy o samorządzie gminnym</w:t>
      </w:r>
      <w:r w:rsidRPr="00FE18F6">
        <w:rPr>
          <w:rFonts w:cstheme="minorHAnsi"/>
          <w:sz w:val="24"/>
          <w:szCs w:val="24"/>
        </w:rPr>
        <w:t>.</w:t>
      </w:r>
    </w:p>
    <w:p w:rsidR="00DD707C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 w:rsidRPr="00FE18F6">
        <w:rPr>
          <w:rFonts w:cstheme="minorHAnsi"/>
          <w:sz w:val="24"/>
          <w:szCs w:val="24"/>
        </w:rPr>
        <w:t>W art. 3</w:t>
      </w:r>
      <w:r w:rsidRPr="00FE18F6">
        <w:rPr>
          <w:rFonts w:cstheme="minorHAnsi"/>
          <w:sz w:val="24"/>
          <w:szCs w:val="24"/>
        </w:rPr>
        <w:t xml:space="preserve">0 ust. 2 pkt 2 ustawy o samorządzie gminnym przewidziano, że do zadań wójta należy w szczególności określanie sposobu wykonywania uchwał rady gminy. Określenie przez </w:t>
      </w:r>
      <w:r w:rsidRPr="00FE18F6">
        <w:rPr>
          <w:rFonts w:cstheme="minorHAnsi"/>
          <w:sz w:val="24"/>
          <w:szCs w:val="24"/>
        </w:rPr>
        <w:lastRenderedPageBreak/>
        <w:t>organ wykonawczy sposobu wykonania uchwały rady obejmować może wskazanie środków rzeczowyc</w:t>
      </w:r>
      <w:r w:rsidRPr="00FE18F6">
        <w:rPr>
          <w:rFonts w:cstheme="minorHAnsi"/>
          <w:sz w:val="24"/>
          <w:szCs w:val="24"/>
        </w:rPr>
        <w:t xml:space="preserve">h koniecznych do wykonania uchwały, ustalenie harmonogramu jej realizacji, wyznaczenie osób odpowiedzialnych za wykonanie uchwały lub poszczególnych jej elementów itp. A zatem do kompetencji wójta należy podejmowanie decyzji przez kogo,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w jakich terminach</w:t>
      </w:r>
      <w:r w:rsidRPr="00FE18F6">
        <w:rPr>
          <w:rFonts w:cstheme="minorHAnsi"/>
          <w:sz w:val="24"/>
          <w:szCs w:val="24"/>
        </w:rPr>
        <w:t xml:space="preserve"> i za pomocą jakich środków oraz w jakim trybie mają być realizowane zadania wynikające z uchwały rady. </w:t>
      </w:r>
      <w:r>
        <w:rPr>
          <w:rFonts w:cstheme="minorHAnsi"/>
          <w:sz w:val="24"/>
          <w:szCs w:val="24"/>
        </w:rPr>
        <w:t>K</w:t>
      </w:r>
      <w:r w:rsidRPr="00FE18F6">
        <w:rPr>
          <w:rFonts w:eastAsia="Calibri" w:cstheme="minorHAnsi"/>
          <w:sz w:val="24"/>
          <w:szCs w:val="24"/>
        </w:rPr>
        <w:t>westionowana uchwała</w:t>
      </w:r>
      <w:r w:rsidRPr="00FE18F6">
        <w:rPr>
          <w:rFonts w:eastAsia="Calibri" w:cstheme="minorHAnsi"/>
          <w:sz w:val="24"/>
          <w:szCs w:val="24"/>
        </w:rPr>
        <w:t xml:space="preserve"> Rady Gminy Raszyn </w:t>
      </w:r>
      <w:r w:rsidRPr="00FE18F6">
        <w:rPr>
          <w:rFonts w:cstheme="minorHAnsi"/>
          <w:sz w:val="24"/>
          <w:szCs w:val="24"/>
        </w:rPr>
        <w:t xml:space="preserve">wykracza poza dopuszczalną treść tzw. uchwały kierunkowej. W uchwale narzucono bowiem wójtowi sposób jej </w:t>
      </w:r>
      <w:r w:rsidRPr="00FE18F6">
        <w:rPr>
          <w:rFonts w:cstheme="minorHAnsi"/>
          <w:sz w:val="24"/>
          <w:szCs w:val="24"/>
        </w:rPr>
        <w:t>wykonania – wprowadzono wymóg</w:t>
      </w:r>
      <w:r w:rsidRPr="00FE18F6">
        <w:rPr>
          <w:rFonts w:cstheme="minorHAnsi"/>
          <w:sz w:val="24"/>
          <w:szCs w:val="24"/>
        </w:rPr>
        <w:t xml:space="preserve"> przygotowania dokumentacji w sprawie sprzedaży nieruchomości, która ma zostać wyodrębniona wskutek podziału, a nadto wymów sprzedaży w drodze bezprzetargowej.</w:t>
      </w:r>
      <w:r w:rsidRPr="00FE18F6">
        <w:rPr>
          <w:rFonts w:cstheme="minorHAnsi"/>
          <w:sz w:val="24"/>
          <w:szCs w:val="24"/>
        </w:rPr>
        <w:t xml:space="preserve"> </w:t>
      </w:r>
    </w:p>
    <w:p w:rsidR="00DA2529" w:rsidRDefault="007702E1" w:rsidP="00FE18F6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Ponadto u</w:t>
      </w:r>
      <w:r w:rsidRPr="00FE18F6">
        <w:rPr>
          <w:rFonts w:cstheme="minorHAnsi"/>
          <w:sz w:val="24"/>
          <w:szCs w:val="24"/>
        </w:rPr>
        <w:t>chwała nie może być zakwalifikowana jako uchwała wyrażają</w:t>
      </w:r>
      <w:r w:rsidRPr="00FE18F6">
        <w:rPr>
          <w:rFonts w:cstheme="minorHAnsi"/>
          <w:sz w:val="24"/>
          <w:szCs w:val="24"/>
        </w:rPr>
        <w:t xml:space="preserve">ca zgodę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 xml:space="preserve">na zbycie nieruchomości, ponieważ na dzień jej podjęcia </w:t>
      </w:r>
      <w:r w:rsidRPr="00FE18F6">
        <w:rPr>
          <w:rFonts w:cstheme="minorHAnsi"/>
          <w:sz w:val="24"/>
          <w:szCs w:val="24"/>
        </w:rPr>
        <w:t xml:space="preserve">nie można jej odnieść do konkretnej zindywidualizowanej ewidencyjnie i powierzchniowo nieruchomości, a także nie można wskazać przesłanek do wyrażenia zgody na zbycie nieruchomości w </w:t>
      </w:r>
      <w:r>
        <w:rPr>
          <w:rFonts w:cstheme="minorHAnsi"/>
          <w:sz w:val="24"/>
          <w:szCs w:val="24"/>
        </w:rPr>
        <w:t>formie</w:t>
      </w:r>
      <w:r w:rsidRPr="00FE18F6">
        <w:rPr>
          <w:rFonts w:cstheme="minorHAnsi"/>
          <w:sz w:val="24"/>
          <w:szCs w:val="24"/>
        </w:rPr>
        <w:t xml:space="preserve"> </w:t>
      </w:r>
      <w:r w:rsidRPr="00FE18F6">
        <w:rPr>
          <w:rFonts w:cstheme="minorHAnsi"/>
          <w:sz w:val="24"/>
          <w:szCs w:val="24"/>
        </w:rPr>
        <w:t xml:space="preserve">bezprzetargowej. Ustawa z dnia 21 sierpnia 1997 r. o </w:t>
      </w:r>
      <w:r w:rsidRPr="00FE18F6">
        <w:rPr>
          <w:rFonts w:eastAsia="Times New Roman" w:cstheme="minorHAnsi"/>
          <w:sz w:val="24"/>
          <w:szCs w:val="24"/>
          <w:lang w:eastAsia="pl-PL"/>
        </w:rPr>
        <w:t xml:space="preserve">gospodarce nieruchomościami (Dz. U. z 2020 r. poz. 65, </w:t>
      </w:r>
      <w:r>
        <w:rPr>
          <w:rFonts w:eastAsia="Times New Roman" w:cstheme="minorHAnsi"/>
          <w:sz w:val="24"/>
          <w:szCs w:val="24"/>
          <w:lang w:eastAsia="pl-PL"/>
        </w:rPr>
        <w:br/>
      </w:r>
      <w:r w:rsidRPr="00FE18F6">
        <w:rPr>
          <w:rFonts w:eastAsia="Times New Roman" w:cstheme="minorHAnsi"/>
          <w:sz w:val="24"/>
          <w:szCs w:val="24"/>
          <w:lang w:eastAsia="pl-PL"/>
        </w:rPr>
        <w:t xml:space="preserve">z późn. zm.) w art. 37 jasno precyzuje </w:t>
      </w:r>
      <w:r w:rsidRPr="00FE18F6">
        <w:rPr>
          <w:rFonts w:cstheme="minorHAnsi"/>
          <w:sz w:val="24"/>
          <w:szCs w:val="24"/>
        </w:rPr>
        <w:t>wyjątki od przetargowego trybu zbywania nieruchomości</w:t>
      </w:r>
      <w:r>
        <w:rPr>
          <w:rFonts w:cstheme="minorHAnsi"/>
          <w:sz w:val="24"/>
          <w:szCs w:val="24"/>
        </w:rPr>
        <w:t>.</w:t>
      </w:r>
      <w:r w:rsidRPr="00FE18F6">
        <w:rPr>
          <w:rFonts w:cstheme="minorHAnsi"/>
          <w:sz w:val="24"/>
          <w:szCs w:val="24"/>
        </w:rPr>
        <w:t xml:space="preserve"> Zasadą jest więc sprzedawanie lub oddawanie nieruchom</w:t>
      </w:r>
      <w:r w:rsidRPr="00FE18F6">
        <w:rPr>
          <w:rFonts w:cstheme="minorHAnsi"/>
          <w:sz w:val="24"/>
          <w:szCs w:val="24"/>
        </w:rPr>
        <w:t>ości w użytkowanie wieczyste w drodze przetargu, a jedynie w wyjątkowych przypadkach nieruchomość jest zbywana w drodze bezprzetargowej. Rada Gminy Raszyn nie wykazała jakiejkolwiek przesłanki z art. 37 ustawy o gospodarce nieruchomościami, która mogłaby s</w:t>
      </w:r>
      <w:r w:rsidRPr="00FE18F6">
        <w:rPr>
          <w:rFonts w:cstheme="minorHAnsi"/>
          <w:sz w:val="24"/>
          <w:szCs w:val="24"/>
        </w:rPr>
        <w:t xml:space="preserve">tanowić podstawę do wyrażenia zgody na bezprzetargową sprzedaż nieruchomości. </w:t>
      </w:r>
    </w:p>
    <w:p w:rsidR="00B43A15" w:rsidRPr="00B43A15" w:rsidRDefault="007702E1" w:rsidP="00B43A15">
      <w:pPr>
        <w:spacing w:after="0" w:line="300" w:lineRule="exact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Nadto, jak wynika z pisma Wójta Gminy Raszyn z 22 października 2020 r. przesłanego przy piśmie Przewodniczącego Rady Gminy z 23 października 2020 r.: </w:t>
      </w:r>
      <w:r w:rsidRPr="00B43A15">
        <w:rPr>
          <w:rFonts w:cstheme="minorHAnsi"/>
          <w:i/>
          <w:sz w:val="24"/>
          <w:szCs w:val="24"/>
        </w:rPr>
        <w:t>„</w:t>
      </w:r>
      <w:r w:rsidRPr="00B43A15">
        <w:rPr>
          <w:rFonts w:cstheme="minorHAnsi"/>
          <w:bCs/>
          <w:i/>
          <w:sz w:val="24"/>
          <w:szCs w:val="24"/>
        </w:rPr>
        <w:t>na działce nr ew. 1153/7 o</w:t>
      </w:r>
      <w:r w:rsidRPr="00B43A15">
        <w:rPr>
          <w:rFonts w:cstheme="minorHAnsi"/>
          <w:bCs/>
          <w:i/>
          <w:sz w:val="24"/>
          <w:szCs w:val="24"/>
        </w:rPr>
        <w:t>bręb Raszyn</w:t>
      </w:r>
      <w:r>
        <w:rPr>
          <w:rFonts w:cstheme="minorHAnsi"/>
          <w:bCs/>
          <w:i/>
          <w:sz w:val="24"/>
          <w:szCs w:val="24"/>
        </w:rPr>
        <w:t>0</w:t>
      </w:r>
      <w:r w:rsidRPr="00B43A15">
        <w:rPr>
          <w:rFonts w:cstheme="minorHAnsi"/>
          <w:bCs/>
          <w:i/>
          <w:sz w:val="24"/>
          <w:szCs w:val="24"/>
        </w:rPr>
        <w:t>1, stanowiącej własność Gminy Raszyn posadowiona jest część budynku usytuowanego na działce przyległej nr ew. 1170, po dokonaniu przez gminę wydzielenia dziatki o pow. ok. 6 m</w:t>
      </w:r>
      <w:r w:rsidRPr="00B43A15">
        <w:rPr>
          <w:rFonts w:cstheme="minorHAnsi"/>
          <w:bCs/>
          <w:i/>
          <w:sz w:val="24"/>
          <w:szCs w:val="24"/>
          <w:vertAlign w:val="superscript"/>
        </w:rPr>
        <w:t>2</w:t>
      </w:r>
      <w:r w:rsidRPr="00B43A15">
        <w:rPr>
          <w:rFonts w:cstheme="minorHAnsi"/>
          <w:bCs/>
          <w:i/>
          <w:sz w:val="24"/>
          <w:szCs w:val="24"/>
        </w:rPr>
        <w:t xml:space="preserve"> zajętej przez właściciela działki nr ew. 1170 przesłanką do sprzeda</w:t>
      </w:r>
      <w:r w:rsidRPr="00B43A15">
        <w:rPr>
          <w:rFonts w:cstheme="minorHAnsi"/>
          <w:bCs/>
          <w:i/>
          <w:sz w:val="24"/>
          <w:szCs w:val="24"/>
        </w:rPr>
        <w:t>ży w trybie bezprzetargowym będzie art. 37 ust. 2 pkt.6 ustawy z dnia 21 sierpnia 1997 roku o gospodarce nieruchomościami (tekst jednolity Dz.U. z 2020 r. poz. 65 z późn. zm.), albowiem ewentualna sprzedaż nastąpi na rzecz właściciela nieruchomości sąsiedn</w:t>
      </w:r>
      <w:r w:rsidRPr="00B43A15">
        <w:rPr>
          <w:rFonts w:cstheme="minorHAnsi"/>
          <w:bCs/>
          <w:i/>
          <w:sz w:val="24"/>
          <w:szCs w:val="24"/>
        </w:rPr>
        <w:t>iej.”</w:t>
      </w:r>
      <w:r>
        <w:rPr>
          <w:rFonts w:cstheme="minorHAnsi"/>
          <w:bCs/>
          <w:sz w:val="24"/>
          <w:szCs w:val="24"/>
        </w:rPr>
        <w:t xml:space="preserve">. Tym samym </w:t>
      </w:r>
      <w:r w:rsidRPr="00FE18F6">
        <w:rPr>
          <w:rFonts w:cstheme="minorHAnsi"/>
          <w:sz w:val="24"/>
          <w:szCs w:val="24"/>
        </w:rPr>
        <w:t xml:space="preserve">na dzień podjęcia </w:t>
      </w:r>
      <w:r>
        <w:rPr>
          <w:rFonts w:cstheme="minorHAnsi"/>
          <w:sz w:val="24"/>
          <w:szCs w:val="24"/>
        </w:rPr>
        <w:t xml:space="preserve">uchwały </w:t>
      </w:r>
      <w:r w:rsidRPr="00FE18F6">
        <w:rPr>
          <w:rFonts w:cstheme="minorHAnsi"/>
          <w:sz w:val="24"/>
          <w:szCs w:val="24"/>
        </w:rPr>
        <w:t xml:space="preserve">nie można jej odnieść do konkretnej zindywidualizowanej ewidencyjnie </w:t>
      </w:r>
      <w:r>
        <w:rPr>
          <w:rFonts w:cstheme="minorHAnsi"/>
          <w:sz w:val="24"/>
          <w:szCs w:val="24"/>
        </w:rPr>
        <w:br/>
      </w:r>
      <w:r w:rsidRPr="00FE18F6">
        <w:rPr>
          <w:rFonts w:cstheme="minorHAnsi"/>
          <w:sz w:val="24"/>
          <w:szCs w:val="24"/>
        </w:rPr>
        <w:t>i powierzchniowo nieruchomości,</w:t>
      </w:r>
      <w:r>
        <w:rPr>
          <w:rFonts w:cstheme="minorHAnsi"/>
          <w:sz w:val="24"/>
          <w:szCs w:val="24"/>
        </w:rPr>
        <w:t xml:space="preserve"> wobec której jest wyrażana zgoda na zbycie w formie</w:t>
      </w:r>
      <w:r w:rsidRPr="00FE18F6">
        <w:rPr>
          <w:rFonts w:cstheme="minorHAnsi"/>
          <w:sz w:val="24"/>
          <w:szCs w:val="24"/>
        </w:rPr>
        <w:t xml:space="preserve"> bezprzetargowej</w:t>
      </w:r>
      <w:r>
        <w:rPr>
          <w:rFonts w:cstheme="minorHAnsi"/>
          <w:sz w:val="24"/>
          <w:szCs w:val="24"/>
        </w:rPr>
        <w:t xml:space="preserve">. </w:t>
      </w:r>
    </w:p>
    <w:p w:rsidR="00FE18F6" w:rsidRPr="00FE18F6" w:rsidRDefault="007702E1" w:rsidP="00FE18F6">
      <w:pPr>
        <w:spacing w:after="0" w:line="300" w:lineRule="exact"/>
        <w:ind w:firstLine="708"/>
        <w:jc w:val="both"/>
        <w:rPr>
          <w:rFonts w:eastAsia="Arial" w:cstheme="minorHAnsi"/>
          <w:sz w:val="24"/>
          <w:szCs w:val="24"/>
        </w:rPr>
      </w:pPr>
      <w:r w:rsidRPr="00FE18F6">
        <w:rPr>
          <w:rFonts w:eastAsia="Times New Roman" w:cstheme="minorHAnsi"/>
          <w:sz w:val="24"/>
          <w:szCs w:val="24"/>
          <w:lang w:eastAsia="pl-PL"/>
        </w:rPr>
        <w:t xml:space="preserve">Mając na względzie powyższe </w:t>
      </w:r>
      <w:r w:rsidRPr="00FE18F6">
        <w:rPr>
          <w:rFonts w:eastAsia="Arial" w:cstheme="minorHAnsi"/>
          <w:sz w:val="24"/>
          <w:szCs w:val="24"/>
        </w:rPr>
        <w:t xml:space="preserve">organ nadzoru stwierdza nieważność przedmiotowej uchwały w całości. </w:t>
      </w:r>
    </w:p>
    <w:p w:rsidR="00530D0A" w:rsidRPr="00FE18F6" w:rsidRDefault="007702E1" w:rsidP="00FE18F6">
      <w:pPr>
        <w:spacing w:after="0" w:line="300" w:lineRule="exact"/>
        <w:ind w:firstLine="708"/>
        <w:jc w:val="both"/>
        <w:rPr>
          <w:rFonts w:eastAsia="Calibri" w:cstheme="minorHAnsi"/>
          <w:sz w:val="24"/>
          <w:szCs w:val="24"/>
        </w:rPr>
      </w:pPr>
      <w:r w:rsidRPr="00FE18F6">
        <w:rPr>
          <w:rFonts w:eastAsia="Times New Roman" w:cstheme="minorHAnsi"/>
          <w:sz w:val="24"/>
          <w:szCs w:val="24"/>
          <w:lang w:eastAsia="pl-PL"/>
        </w:rPr>
        <w:t xml:space="preserve">Na niniejsze rozstrzygnięcie nadzorcze Gminie przysługuje skarga do Wojewódzkiego Sądu Administracyjnego w Warszawie w terminie 30 dni od daty jego doręczenia, wnoszona </w:t>
      </w:r>
      <w:r w:rsidRPr="00FE18F6">
        <w:rPr>
          <w:rFonts w:eastAsia="Times New Roman" w:cstheme="minorHAnsi"/>
          <w:sz w:val="24"/>
          <w:szCs w:val="24"/>
          <w:lang w:eastAsia="pl-PL"/>
        </w:rPr>
        <w:br/>
        <w:t xml:space="preserve">za pośrednictwem </w:t>
      </w:r>
      <w:r w:rsidRPr="00FE18F6">
        <w:rPr>
          <w:rFonts w:eastAsia="Times New Roman" w:cstheme="minorHAnsi"/>
          <w:sz w:val="24"/>
          <w:szCs w:val="24"/>
          <w:lang w:eastAsia="pl-PL"/>
        </w:rPr>
        <w:t>organu, który skarżone orzeczenie wydał.</w:t>
      </w:r>
    </w:p>
    <w:p w:rsidR="00530D0A" w:rsidRPr="00FE18F6" w:rsidRDefault="007702E1" w:rsidP="00FE18F6">
      <w:pPr>
        <w:spacing w:after="0" w:line="300" w:lineRule="exact"/>
        <w:ind w:firstLine="708"/>
        <w:jc w:val="both"/>
        <w:rPr>
          <w:rFonts w:eastAsia="Calibri" w:cstheme="minorHAnsi"/>
          <w:sz w:val="24"/>
          <w:szCs w:val="24"/>
        </w:rPr>
      </w:pPr>
      <w:r w:rsidRPr="00FE18F6">
        <w:rPr>
          <w:rFonts w:eastAsia="Times New Roman" w:cstheme="minorHAnsi"/>
          <w:sz w:val="24"/>
          <w:szCs w:val="24"/>
          <w:lang w:eastAsia="ar-SA"/>
        </w:rPr>
        <w:t xml:space="preserve">Informuję, że rozstrzygnięcie nadzorcze wstrzymuje wykonanie uchwały z mocy prawa, z dniem jego doręczenia. </w:t>
      </w:r>
    </w:p>
    <w:p w:rsidR="00530D0A" w:rsidRPr="00FE18F6" w:rsidRDefault="007702E1" w:rsidP="00FE18F6">
      <w:pPr>
        <w:spacing w:after="0" w:line="300" w:lineRule="exact"/>
        <w:jc w:val="both"/>
        <w:rPr>
          <w:rFonts w:cstheme="minorHAnsi"/>
          <w:sz w:val="24"/>
          <w:szCs w:val="24"/>
        </w:rPr>
      </w:pPr>
    </w:p>
    <w:p w:rsidR="00496523" w:rsidRPr="00496523" w:rsidRDefault="007702E1" w:rsidP="00496523">
      <w:pPr>
        <w:spacing w:after="0" w:line="300" w:lineRule="exact"/>
        <w:ind w:left="5664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 xml:space="preserve">   </w:t>
      </w:r>
      <w:r w:rsidRPr="00496523">
        <w:rPr>
          <w:rFonts w:cstheme="minorHAnsi"/>
          <w:i/>
          <w:sz w:val="24"/>
          <w:szCs w:val="24"/>
        </w:rPr>
        <w:t>Konstanty Radziwiłł</w:t>
      </w:r>
    </w:p>
    <w:p w:rsidR="0021352A" w:rsidRPr="00496523" w:rsidRDefault="007702E1" w:rsidP="00496523">
      <w:pPr>
        <w:spacing w:after="0" w:line="300" w:lineRule="exact"/>
        <w:ind w:left="5664"/>
        <w:rPr>
          <w:rFonts w:cstheme="minorHAnsi"/>
          <w:i/>
          <w:sz w:val="24"/>
          <w:szCs w:val="24"/>
        </w:rPr>
      </w:pPr>
      <w:r w:rsidRPr="00496523">
        <w:rPr>
          <w:rFonts w:cstheme="minorHAnsi"/>
          <w:i/>
          <w:sz w:val="24"/>
          <w:szCs w:val="24"/>
        </w:rPr>
        <w:t>Wojewoda Mazowiecki</w:t>
      </w:r>
    </w:p>
    <w:sectPr w:rsidR="0021352A" w:rsidRPr="00496523">
      <w:footerReference w:type="default" r:id="rId9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2E1" w:rsidRDefault="007702E1">
      <w:pPr>
        <w:spacing w:after="0" w:line="240" w:lineRule="auto"/>
      </w:pPr>
      <w:r>
        <w:separator/>
      </w:r>
    </w:p>
  </w:endnote>
  <w:endnote w:type="continuationSeparator" w:id="0">
    <w:p w:rsidR="007702E1" w:rsidRDefault="007702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40" w:rsidRDefault="007702E1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fldChar w:fldCharType="end"/>
    </w:r>
  </w:p>
  <w:p w:rsidR="00F46940" w:rsidRDefault="007702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2E1" w:rsidRDefault="007702E1">
      <w:pPr>
        <w:spacing w:after="0" w:line="240" w:lineRule="auto"/>
      </w:pPr>
      <w:r>
        <w:separator/>
      </w:r>
    </w:p>
  </w:footnote>
  <w:footnote w:type="continuationSeparator" w:id="0">
    <w:p w:rsidR="007702E1" w:rsidRDefault="007702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8F106D"/>
    <w:multiLevelType w:val="hybridMultilevel"/>
    <w:tmpl w:val="9F1097A4"/>
    <w:lvl w:ilvl="0" w:tplc="9F227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DA8F792" w:tentative="1">
      <w:start w:val="1"/>
      <w:numFmt w:val="lowerLetter"/>
      <w:lvlText w:val="%2."/>
      <w:lvlJc w:val="left"/>
      <w:pPr>
        <w:ind w:left="1440" w:hanging="360"/>
      </w:pPr>
    </w:lvl>
    <w:lvl w:ilvl="2" w:tplc="49D01BFC" w:tentative="1">
      <w:start w:val="1"/>
      <w:numFmt w:val="lowerRoman"/>
      <w:lvlText w:val="%3."/>
      <w:lvlJc w:val="right"/>
      <w:pPr>
        <w:ind w:left="2160" w:hanging="180"/>
      </w:pPr>
    </w:lvl>
    <w:lvl w:ilvl="3" w:tplc="F802F176" w:tentative="1">
      <w:start w:val="1"/>
      <w:numFmt w:val="decimal"/>
      <w:lvlText w:val="%4."/>
      <w:lvlJc w:val="left"/>
      <w:pPr>
        <w:ind w:left="2880" w:hanging="360"/>
      </w:pPr>
    </w:lvl>
    <w:lvl w:ilvl="4" w:tplc="FC76CBEA" w:tentative="1">
      <w:start w:val="1"/>
      <w:numFmt w:val="lowerLetter"/>
      <w:lvlText w:val="%5."/>
      <w:lvlJc w:val="left"/>
      <w:pPr>
        <w:ind w:left="3600" w:hanging="360"/>
      </w:pPr>
    </w:lvl>
    <w:lvl w:ilvl="5" w:tplc="80B885D0" w:tentative="1">
      <w:start w:val="1"/>
      <w:numFmt w:val="lowerRoman"/>
      <w:lvlText w:val="%6."/>
      <w:lvlJc w:val="right"/>
      <w:pPr>
        <w:ind w:left="4320" w:hanging="180"/>
      </w:pPr>
    </w:lvl>
    <w:lvl w:ilvl="6" w:tplc="107E198E" w:tentative="1">
      <w:start w:val="1"/>
      <w:numFmt w:val="decimal"/>
      <w:lvlText w:val="%7."/>
      <w:lvlJc w:val="left"/>
      <w:pPr>
        <w:ind w:left="5040" w:hanging="360"/>
      </w:pPr>
    </w:lvl>
    <w:lvl w:ilvl="7" w:tplc="CF6639C6" w:tentative="1">
      <w:start w:val="1"/>
      <w:numFmt w:val="lowerLetter"/>
      <w:lvlText w:val="%8."/>
      <w:lvlJc w:val="left"/>
      <w:pPr>
        <w:ind w:left="5760" w:hanging="360"/>
      </w:pPr>
    </w:lvl>
    <w:lvl w:ilvl="8" w:tplc="EB9AF84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906"/>
    <w:rsid w:val="007702E1"/>
    <w:rsid w:val="008F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978FF0-BC52-4107-8092-B0676483B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0D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30D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30D0A"/>
  </w:style>
  <w:style w:type="paragraph" w:styleId="Akapitzlist">
    <w:name w:val="List Paragraph"/>
    <w:basedOn w:val="Normalny"/>
    <w:uiPriority w:val="34"/>
    <w:qFormat/>
    <w:rsid w:val="00530D0A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530D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0D0A"/>
    <w:rPr>
      <w:color w:val="0000FF"/>
      <w:u w:val="single"/>
    </w:rPr>
  </w:style>
  <w:style w:type="character" w:customStyle="1" w:styleId="fn-ref">
    <w:name w:val="fn-ref"/>
    <w:basedOn w:val="Domylnaczcionkaakapitu"/>
    <w:rsid w:val="00FE1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1333</Words>
  <Characters>8001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Jadczyk-Sternicka</dc:creator>
  <cp:lastModifiedBy>Beata Darnowska</cp:lastModifiedBy>
  <cp:revision>2</cp:revision>
  <dcterms:created xsi:type="dcterms:W3CDTF">2020-10-30T13:22:00Z</dcterms:created>
  <dcterms:modified xsi:type="dcterms:W3CDTF">2020-10-30T13:22:00Z</dcterms:modified>
</cp:coreProperties>
</file>