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0C" w:rsidRPr="0067090C" w:rsidRDefault="0067090C" w:rsidP="0067090C">
      <w:pPr>
        <w:spacing w:before="120"/>
        <w:jc w:val="right"/>
      </w:pPr>
      <w:r w:rsidRPr="0067090C">
        <w:t>Załącznik nr 1</w:t>
      </w:r>
    </w:p>
    <w:p w:rsidR="00513127" w:rsidRDefault="00C10DA7" w:rsidP="007B43B9">
      <w:pPr>
        <w:spacing w:before="120"/>
        <w:jc w:val="center"/>
        <w:rPr>
          <w:b/>
        </w:rPr>
      </w:pPr>
      <w:r w:rsidRPr="007B43B9">
        <w:rPr>
          <w:b/>
        </w:rPr>
        <w:t>SZCZEGÓ</w:t>
      </w:r>
      <w:r w:rsidR="0018424B">
        <w:rPr>
          <w:b/>
        </w:rPr>
        <w:t>ŁOWY OPIS PRZEDMIOTU ZAMÓWIENIA</w:t>
      </w:r>
    </w:p>
    <w:p w:rsidR="007B43B9" w:rsidRPr="007B43B9" w:rsidRDefault="007B43B9" w:rsidP="007B43B9">
      <w:pPr>
        <w:spacing w:before="120"/>
        <w:jc w:val="center"/>
        <w:rPr>
          <w:b/>
        </w:rPr>
      </w:pPr>
    </w:p>
    <w:p w:rsidR="00E80139" w:rsidRPr="007B43B9" w:rsidRDefault="00C10DA7" w:rsidP="005223BF">
      <w:pPr>
        <w:spacing w:before="120"/>
        <w:ind w:left="284" w:hanging="284"/>
        <w:jc w:val="both"/>
        <w:rPr>
          <w:u w:val="single"/>
        </w:rPr>
      </w:pPr>
      <w:r w:rsidRPr="007B43B9">
        <w:rPr>
          <w:u w:val="single"/>
        </w:rPr>
        <w:t>I.</w:t>
      </w:r>
      <w:r w:rsidRPr="007B43B9">
        <w:rPr>
          <w:u w:val="single"/>
        </w:rPr>
        <w:tab/>
      </w:r>
      <w:r w:rsidR="00515152" w:rsidRPr="00515152">
        <w:rPr>
          <w:u w:val="single"/>
        </w:rPr>
        <w:t xml:space="preserve">wykonanie ekspertyzy w sprawie projektowanych zmian do rozporządzenia Ministra Infrastruktury z dnia 18 lipca 2005 r. w sprawie ogólnych warunków prowadzenia ruchu kolejowego i sygnalizacji (Dz. U. z </w:t>
      </w:r>
      <w:r w:rsidR="00515152">
        <w:rPr>
          <w:u w:val="single"/>
        </w:rPr>
        <w:t>2015 r., poz. 360, z późn. zm.)</w:t>
      </w:r>
      <w:r w:rsidR="00E80139" w:rsidRPr="007B43B9">
        <w:rPr>
          <w:u w:val="single"/>
        </w:rPr>
        <w:t>.</w:t>
      </w:r>
    </w:p>
    <w:p w:rsidR="00515152" w:rsidRDefault="00515152" w:rsidP="00A96E54">
      <w:pPr>
        <w:pStyle w:val="Akapitzlist"/>
        <w:numPr>
          <w:ilvl w:val="0"/>
          <w:numId w:val="10"/>
        </w:numPr>
        <w:spacing w:before="120"/>
        <w:jc w:val="both"/>
      </w:pPr>
      <w:r>
        <w:t>Ekspertyza</w:t>
      </w:r>
      <w:r w:rsidR="00E80139" w:rsidRPr="003B478C">
        <w:t xml:space="preserve"> </w:t>
      </w:r>
      <w:r w:rsidRPr="00515152">
        <w:t>w sprawie projektowanych zmian do rozporządzenia Ministra Infrastruktury z dnia 18 lipca 2005 r. w sprawie ogólnych warunków prowadzenia ruchu kolejowego i sygnalizacji (Dz. U. z 2015 r., poz. 360, z późn. zm.)</w:t>
      </w:r>
      <w:r>
        <w:t xml:space="preserve"> </w:t>
      </w:r>
      <w:r w:rsidR="00A96E54">
        <w:t>dotyczy</w:t>
      </w:r>
      <w:r>
        <w:t xml:space="preserve"> projektu rozporządzenia </w:t>
      </w:r>
      <w:r w:rsidRPr="00515152">
        <w:t>Min</w:t>
      </w:r>
      <w:r w:rsidR="004961F8">
        <w:t>istra Infrastruktury zmieniającego</w:t>
      </w:r>
      <w:r w:rsidRPr="00515152">
        <w:t xml:space="preserve"> rozporządzenie w sprawie ogólnych warunków prowadzenia ruchu kolejowego i sygnalizacji</w:t>
      </w:r>
      <w:r>
        <w:t xml:space="preserve">, wraz z uzasadnieniem i Oceną Skutków Regulacji. Dokumenty te </w:t>
      </w:r>
      <w:r w:rsidR="00122D6C">
        <w:t xml:space="preserve">znajdują się na </w:t>
      </w:r>
      <w:r w:rsidR="00122D6C" w:rsidRPr="00122D6C">
        <w:t>stronie podmiotowej Rządowego Centrum Legislacji, w zakładce „Rządowy Proces Legislacyjny”</w:t>
      </w:r>
      <w:r w:rsidR="00122D6C">
        <w:t xml:space="preserve">, w następującej lokalizacji: </w:t>
      </w:r>
      <w:hyperlink r:id="rId5" w:history="1">
        <w:r w:rsidR="004961F8" w:rsidRPr="0098516F">
          <w:rPr>
            <w:rStyle w:val="Hipercze"/>
          </w:rPr>
          <w:t>https://legislacja.rcl.gov.pl/projekt/12362707</w:t>
        </w:r>
      </w:hyperlink>
    </w:p>
    <w:p w:rsidR="004961F8" w:rsidRDefault="00A96E54" w:rsidP="00A96E54">
      <w:pPr>
        <w:pStyle w:val="Akapitzlist"/>
        <w:numPr>
          <w:ilvl w:val="0"/>
          <w:numId w:val="10"/>
        </w:numPr>
        <w:spacing w:before="120"/>
        <w:jc w:val="both"/>
      </w:pPr>
      <w:r>
        <w:t xml:space="preserve">Ekspertyza będzie obejmowała </w:t>
      </w:r>
      <w:r w:rsidR="008F4927">
        <w:t xml:space="preserve">kompleksową </w:t>
      </w:r>
      <w:r>
        <w:t xml:space="preserve">ocenę </w:t>
      </w:r>
      <w:r w:rsidR="00624E13">
        <w:t>wybranych (wskazanych w pkt 3)</w:t>
      </w:r>
      <w:r>
        <w:t xml:space="preserve"> projektowanych przepisów pod kątem ich wpływu na bezpieczeństwo ruchu kolejowego w przypadku wejścia tych przepisów w życie</w:t>
      </w:r>
      <w:r w:rsidR="00624E13">
        <w:t>, wraz ze stosowną rekomendacją dotyczącą wprowadzenia danej zmiany w życie, niewprowadzania jej w z życie lub wprowadzenia w życie w zmodyfikowanej (zapropon</w:t>
      </w:r>
      <w:r w:rsidR="001C6677">
        <w:t>owanej przez Wykonawcę) formie. Każdą rekomendację należy szczegółowo uzasadnić.</w:t>
      </w:r>
    </w:p>
    <w:p w:rsidR="00A96E54" w:rsidRDefault="00A96E54" w:rsidP="00A96E54">
      <w:pPr>
        <w:pStyle w:val="Akapitzlist"/>
        <w:numPr>
          <w:ilvl w:val="0"/>
          <w:numId w:val="10"/>
        </w:numPr>
        <w:spacing w:before="120"/>
        <w:jc w:val="both"/>
      </w:pPr>
      <w:r>
        <w:t>Ocen</w:t>
      </w:r>
      <w:r w:rsidR="00D13EF8">
        <w:t>ie, o której mowa w pkt 2, będzie podlegało projektowane nowe brzmienie</w:t>
      </w:r>
      <w:r>
        <w:t>:</w:t>
      </w:r>
    </w:p>
    <w:p w:rsidR="00A96E54" w:rsidRDefault="00D13EF8" w:rsidP="00D13EF8">
      <w:pPr>
        <w:pStyle w:val="Akapitzlist"/>
        <w:numPr>
          <w:ilvl w:val="1"/>
          <w:numId w:val="10"/>
        </w:numPr>
        <w:spacing w:before="120"/>
        <w:jc w:val="both"/>
      </w:pPr>
      <w:r>
        <w:t xml:space="preserve">§ 21 ust. 4 pkt 1 i 1a, </w:t>
      </w:r>
      <w:r w:rsidRPr="00D13EF8">
        <w:t>§ 21a</w:t>
      </w:r>
      <w:r>
        <w:t xml:space="preserve"> i </w:t>
      </w:r>
      <w:r w:rsidRPr="00D13EF8">
        <w:t>§ 30d</w:t>
      </w:r>
      <w:r>
        <w:t xml:space="preserve"> – tj. dotyczące umożliwienia stosowania jednoosobowej obsługi trakcyjnej</w:t>
      </w:r>
      <w:r w:rsidR="00DB4E3C">
        <w:t xml:space="preserve"> (jednego maszynisty w kabinie)</w:t>
      </w:r>
      <w:r>
        <w:t xml:space="preserve"> z prędkością do 160 km/h bez wykorzystania systemu ERTMS/ETCS,</w:t>
      </w:r>
    </w:p>
    <w:p w:rsidR="00D13EF8" w:rsidRDefault="00D13EF8" w:rsidP="00D13EF8">
      <w:pPr>
        <w:pStyle w:val="Akapitzlist"/>
        <w:numPr>
          <w:ilvl w:val="1"/>
          <w:numId w:val="10"/>
        </w:numPr>
        <w:spacing w:before="120"/>
        <w:jc w:val="both"/>
      </w:pPr>
      <w:r>
        <w:t>§ 21 ust. 7 – tj. dotyczące zwiększenia</w:t>
      </w:r>
      <w:r w:rsidR="00C67376">
        <w:t xml:space="preserve"> dopuszczalnej</w:t>
      </w:r>
      <w:r>
        <w:t xml:space="preserve"> prędkości przy prowadzeniu pociągu bez znajomości szlaku,</w:t>
      </w:r>
      <w:r w:rsidR="00BF285C">
        <w:t xml:space="preserve"> w zależności od rodzaju pociągu i jego wyposażenia</w:t>
      </w:r>
      <w:r w:rsidR="00C67376">
        <w:t>,</w:t>
      </w:r>
    </w:p>
    <w:p w:rsidR="00BF285C" w:rsidRDefault="00BF285C" w:rsidP="00522753">
      <w:pPr>
        <w:pStyle w:val="Akapitzlist"/>
        <w:numPr>
          <w:ilvl w:val="1"/>
          <w:numId w:val="10"/>
        </w:numPr>
        <w:spacing w:before="120"/>
        <w:jc w:val="both"/>
      </w:pPr>
      <w:r w:rsidRPr="00BF285C">
        <w:t>§</w:t>
      </w:r>
      <w:r>
        <w:t xml:space="preserve"> 68</w:t>
      </w:r>
      <w:r w:rsidR="00522753">
        <w:t xml:space="preserve"> w zdaniu ostatnim</w:t>
      </w:r>
      <w:r>
        <w:t xml:space="preserve"> i § 69 ust. 3 –</w:t>
      </w:r>
      <w:r w:rsidR="00522753">
        <w:t xml:space="preserve"> tj. dotyczące zwiększenia prędkości z 20 km/h do 40 km/h </w:t>
      </w:r>
      <w:r w:rsidR="009B5E18">
        <w:t>w przypadku</w:t>
      </w:r>
      <w:r w:rsidR="00522753">
        <w:t xml:space="preserve"> w</w:t>
      </w:r>
      <w:r w:rsidR="00522753" w:rsidRPr="00522753">
        <w:t>yjazd</w:t>
      </w:r>
      <w:r w:rsidR="00522753">
        <w:t>u</w:t>
      </w:r>
      <w:r w:rsidR="00522753" w:rsidRPr="00522753">
        <w:t xml:space="preserve"> pociągu na szlak z blokadą samoczynną</w:t>
      </w:r>
      <w:r w:rsidR="00522753">
        <w:t xml:space="preserve"> oraz </w:t>
      </w:r>
      <w:r w:rsidR="009B5E18">
        <w:t xml:space="preserve">w przypadku </w:t>
      </w:r>
      <w:r w:rsidR="00522753">
        <w:t>dalszej</w:t>
      </w:r>
      <w:r w:rsidR="009B5E18">
        <w:t xml:space="preserve"> jazdy po</w:t>
      </w:r>
      <w:r w:rsidR="00522753">
        <w:t xml:space="preserve"> zatrzymaniu pociągu</w:t>
      </w:r>
      <w:r w:rsidR="00522753" w:rsidRPr="00522753">
        <w:t xml:space="preserve"> przed semaforem </w:t>
      </w:r>
      <w:proofErr w:type="spellStart"/>
      <w:r w:rsidR="00522753" w:rsidRPr="00522753">
        <w:t>odstępowym</w:t>
      </w:r>
      <w:proofErr w:type="spellEnd"/>
      <w:r w:rsidR="00522753" w:rsidRPr="00522753">
        <w:t xml:space="preserve"> samoczynnym wskazującym sygnał S 1 „Stój”</w:t>
      </w:r>
      <w:r w:rsidR="00575DC5">
        <w:t>,</w:t>
      </w:r>
    </w:p>
    <w:p w:rsidR="00575DC5" w:rsidRDefault="00575DC5" w:rsidP="00575DC5">
      <w:pPr>
        <w:pStyle w:val="Akapitzlist"/>
        <w:numPr>
          <w:ilvl w:val="1"/>
          <w:numId w:val="10"/>
        </w:numPr>
        <w:spacing w:before="120"/>
        <w:jc w:val="both"/>
      </w:pPr>
      <w:r w:rsidRPr="00575DC5">
        <w:t>§</w:t>
      </w:r>
      <w:r>
        <w:t xml:space="preserve"> 19 ust. 3 pkt 3 – tj. wydłużenie ważności uproszczonej próby hamulca do 24 </w:t>
      </w:r>
      <w:r w:rsidRPr="00575DC5">
        <w:t>godzin</w:t>
      </w:r>
      <w:r>
        <w:t xml:space="preserve"> (zamiast dotychczasowych 12 godzin)</w:t>
      </w:r>
      <w:r w:rsidR="004E47FA">
        <w:t>.</w:t>
      </w:r>
    </w:p>
    <w:p w:rsidR="005359DA" w:rsidRDefault="005359DA" w:rsidP="005223BF">
      <w:pPr>
        <w:spacing w:before="120"/>
        <w:ind w:left="284"/>
        <w:jc w:val="both"/>
      </w:pPr>
      <w:r w:rsidRPr="007B43B9">
        <w:t xml:space="preserve">Wykonawca dostarczy zamawiającemu </w:t>
      </w:r>
      <w:r w:rsidR="000A2C83" w:rsidRPr="007B43B9">
        <w:t xml:space="preserve">przedmiot zamówienia </w:t>
      </w:r>
      <w:r w:rsidRPr="007B43B9">
        <w:t xml:space="preserve">w postaci plików </w:t>
      </w:r>
      <w:r w:rsidR="00752FC7" w:rsidRPr="007B43B9">
        <w:t>edytowalnych</w:t>
      </w:r>
      <w:r w:rsidRPr="007B43B9">
        <w:t xml:space="preserve"> i plików </w:t>
      </w:r>
      <w:r w:rsidR="00DC7DBF" w:rsidRPr="007B43B9">
        <w:t xml:space="preserve">PDF (z możliwością wyszukiwania) </w:t>
      </w:r>
      <w:r w:rsidRPr="007B43B9">
        <w:t xml:space="preserve">nagranych </w:t>
      </w:r>
      <w:r>
        <w:t xml:space="preserve">na płycie lub innym </w:t>
      </w:r>
      <w:r w:rsidR="00D87894">
        <w:t xml:space="preserve">powszechnie stosowanym </w:t>
      </w:r>
      <w:r>
        <w:t xml:space="preserve">nośniku </w:t>
      </w:r>
      <w:r w:rsidR="00D87894">
        <w:t xml:space="preserve">danych </w:t>
      </w:r>
      <w:r>
        <w:t xml:space="preserve">(np. na </w:t>
      </w:r>
      <w:proofErr w:type="spellStart"/>
      <w:r>
        <w:t>pendrive’ie</w:t>
      </w:r>
      <w:proofErr w:type="spellEnd"/>
      <w:r>
        <w:t>)</w:t>
      </w:r>
      <w:r w:rsidR="00D87894">
        <w:t>.</w:t>
      </w:r>
    </w:p>
    <w:p w:rsidR="00411563" w:rsidRPr="007B43B9" w:rsidRDefault="00C10DA7" w:rsidP="00C10DA7">
      <w:pPr>
        <w:spacing w:before="120"/>
        <w:ind w:left="426" w:hanging="426"/>
        <w:jc w:val="both"/>
        <w:rPr>
          <w:u w:val="single"/>
        </w:rPr>
      </w:pPr>
      <w:r w:rsidRPr="007B43B9">
        <w:rPr>
          <w:u w:val="single"/>
        </w:rPr>
        <w:t>II.</w:t>
      </w:r>
      <w:r w:rsidRPr="007B43B9">
        <w:rPr>
          <w:u w:val="single"/>
        </w:rPr>
        <w:tab/>
      </w:r>
      <w:r w:rsidR="00411563" w:rsidRPr="007B43B9">
        <w:rPr>
          <w:u w:val="single"/>
        </w:rPr>
        <w:t>Termin realizacji</w:t>
      </w:r>
    </w:p>
    <w:p w:rsidR="00C10DA7" w:rsidRDefault="00411563" w:rsidP="005223BF">
      <w:pPr>
        <w:spacing w:before="120"/>
        <w:ind w:left="284"/>
        <w:jc w:val="both"/>
      </w:pPr>
      <w:r>
        <w:t xml:space="preserve">Usługę w zakresie określonym w </w:t>
      </w:r>
      <w:r w:rsidR="00C10DA7">
        <w:t xml:space="preserve">pozycji I </w:t>
      </w:r>
      <w:r>
        <w:t xml:space="preserve">należy wykonać w terminie </w:t>
      </w:r>
      <w:r w:rsidR="00004868">
        <w:rPr>
          <w:b/>
        </w:rPr>
        <w:t>trzech</w:t>
      </w:r>
      <w:r w:rsidR="00527720">
        <w:rPr>
          <w:b/>
        </w:rPr>
        <w:t xml:space="preserve"> miesięcy</w:t>
      </w:r>
      <w:r>
        <w:t xml:space="preserve"> od </w:t>
      </w:r>
      <w:r w:rsidR="00046218">
        <w:t>dnia zawarcia umowy</w:t>
      </w:r>
      <w:r>
        <w:t xml:space="preserve">. </w:t>
      </w:r>
    </w:p>
    <w:p w:rsidR="007A5760" w:rsidRDefault="007A5760" w:rsidP="005223BF">
      <w:pPr>
        <w:spacing w:before="120"/>
        <w:ind w:left="284"/>
        <w:jc w:val="both"/>
      </w:pPr>
      <w:bookmarkStart w:id="0" w:name="_GoBack"/>
      <w:bookmarkEnd w:id="0"/>
    </w:p>
    <w:sectPr w:rsidR="007A5760" w:rsidSect="001C2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71AC"/>
    <w:multiLevelType w:val="hybridMultilevel"/>
    <w:tmpl w:val="617C2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3785B"/>
    <w:multiLevelType w:val="hybridMultilevel"/>
    <w:tmpl w:val="4FD620C4"/>
    <w:lvl w:ilvl="0" w:tplc="1DDE4E5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C546D"/>
    <w:multiLevelType w:val="hybridMultilevel"/>
    <w:tmpl w:val="53728BBE"/>
    <w:lvl w:ilvl="0" w:tplc="1DDE4E5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30283"/>
    <w:multiLevelType w:val="hybridMultilevel"/>
    <w:tmpl w:val="226E49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C6A6C8B"/>
    <w:multiLevelType w:val="hybridMultilevel"/>
    <w:tmpl w:val="DF88FC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70B385A"/>
    <w:multiLevelType w:val="hybridMultilevel"/>
    <w:tmpl w:val="8A929288"/>
    <w:lvl w:ilvl="0" w:tplc="DBBC6AD2">
      <w:start w:val="1"/>
      <w:numFmt w:val="decimal"/>
      <w:lvlText w:val="(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F02419"/>
    <w:multiLevelType w:val="hybridMultilevel"/>
    <w:tmpl w:val="11D457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A072A3"/>
    <w:multiLevelType w:val="hybridMultilevel"/>
    <w:tmpl w:val="4E383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76EB7"/>
    <w:multiLevelType w:val="hybridMultilevel"/>
    <w:tmpl w:val="2C8C3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27"/>
    <w:rsid w:val="00004868"/>
    <w:rsid w:val="00046218"/>
    <w:rsid w:val="00064337"/>
    <w:rsid w:val="000743FD"/>
    <w:rsid w:val="00077E54"/>
    <w:rsid w:val="00080C93"/>
    <w:rsid w:val="0008607C"/>
    <w:rsid w:val="000A2C83"/>
    <w:rsid w:val="000D4982"/>
    <w:rsid w:val="001155E5"/>
    <w:rsid w:val="00122D6C"/>
    <w:rsid w:val="00134EE5"/>
    <w:rsid w:val="001409D5"/>
    <w:rsid w:val="0018424B"/>
    <w:rsid w:val="001A18D5"/>
    <w:rsid w:val="001B6B19"/>
    <w:rsid w:val="001C283A"/>
    <w:rsid w:val="001C3965"/>
    <w:rsid w:val="001C6677"/>
    <w:rsid w:val="00202816"/>
    <w:rsid w:val="002235E0"/>
    <w:rsid w:val="002454E1"/>
    <w:rsid w:val="002511E7"/>
    <w:rsid w:val="00254A04"/>
    <w:rsid w:val="002706F6"/>
    <w:rsid w:val="00291CBF"/>
    <w:rsid w:val="002E1EFD"/>
    <w:rsid w:val="002F7CB9"/>
    <w:rsid w:val="00324725"/>
    <w:rsid w:val="003453AB"/>
    <w:rsid w:val="0035103F"/>
    <w:rsid w:val="00375F70"/>
    <w:rsid w:val="003B478C"/>
    <w:rsid w:val="00411563"/>
    <w:rsid w:val="004649D8"/>
    <w:rsid w:val="004960CB"/>
    <w:rsid w:val="004961F8"/>
    <w:rsid w:val="004A1E26"/>
    <w:rsid w:val="004B7B95"/>
    <w:rsid w:val="004D62D9"/>
    <w:rsid w:val="004E47FA"/>
    <w:rsid w:val="004F5749"/>
    <w:rsid w:val="004F79A2"/>
    <w:rsid w:val="005038BD"/>
    <w:rsid w:val="00513127"/>
    <w:rsid w:val="00515152"/>
    <w:rsid w:val="005223BF"/>
    <w:rsid w:val="00522753"/>
    <w:rsid w:val="00527720"/>
    <w:rsid w:val="005359DA"/>
    <w:rsid w:val="005466BB"/>
    <w:rsid w:val="005522FD"/>
    <w:rsid w:val="00575DC5"/>
    <w:rsid w:val="005A7D29"/>
    <w:rsid w:val="005F65B5"/>
    <w:rsid w:val="00615621"/>
    <w:rsid w:val="00621B6F"/>
    <w:rsid w:val="00624E13"/>
    <w:rsid w:val="00655A5C"/>
    <w:rsid w:val="0067090C"/>
    <w:rsid w:val="006A6D70"/>
    <w:rsid w:val="006B14B8"/>
    <w:rsid w:val="006C1730"/>
    <w:rsid w:val="006D57EB"/>
    <w:rsid w:val="006D6FFC"/>
    <w:rsid w:val="006E0114"/>
    <w:rsid w:val="006E3F29"/>
    <w:rsid w:val="006F1150"/>
    <w:rsid w:val="006F7DC4"/>
    <w:rsid w:val="00733A00"/>
    <w:rsid w:val="00752FC7"/>
    <w:rsid w:val="00774574"/>
    <w:rsid w:val="007A5760"/>
    <w:rsid w:val="007B43B9"/>
    <w:rsid w:val="007C4245"/>
    <w:rsid w:val="007D1BC8"/>
    <w:rsid w:val="007F081D"/>
    <w:rsid w:val="00805913"/>
    <w:rsid w:val="008306B1"/>
    <w:rsid w:val="008448A3"/>
    <w:rsid w:val="008536C6"/>
    <w:rsid w:val="00882A82"/>
    <w:rsid w:val="008E1473"/>
    <w:rsid w:val="008F12D4"/>
    <w:rsid w:val="008F4927"/>
    <w:rsid w:val="00905B2B"/>
    <w:rsid w:val="00932C51"/>
    <w:rsid w:val="00962B0E"/>
    <w:rsid w:val="009A16CB"/>
    <w:rsid w:val="009B5E18"/>
    <w:rsid w:val="009C2A52"/>
    <w:rsid w:val="009C7768"/>
    <w:rsid w:val="009D745A"/>
    <w:rsid w:val="009D799B"/>
    <w:rsid w:val="009F125B"/>
    <w:rsid w:val="00A467AF"/>
    <w:rsid w:val="00A560A1"/>
    <w:rsid w:val="00A60D7B"/>
    <w:rsid w:val="00A873B4"/>
    <w:rsid w:val="00A96E54"/>
    <w:rsid w:val="00AD7346"/>
    <w:rsid w:val="00B33F03"/>
    <w:rsid w:val="00B41944"/>
    <w:rsid w:val="00B545AF"/>
    <w:rsid w:val="00B713CE"/>
    <w:rsid w:val="00B839C7"/>
    <w:rsid w:val="00B913C0"/>
    <w:rsid w:val="00BB1036"/>
    <w:rsid w:val="00BD48E6"/>
    <w:rsid w:val="00BE018C"/>
    <w:rsid w:val="00BF285C"/>
    <w:rsid w:val="00C04D42"/>
    <w:rsid w:val="00C10DA7"/>
    <w:rsid w:val="00C42085"/>
    <w:rsid w:val="00C53416"/>
    <w:rsid w:val="00C5343D"/>
    <w:rsid w:val="00C650AB"/>
    <w:rsid w:val="00C67376"/>
    <w:rsid w:val="00C765B0"/>
    <w:rsid w:val="00CA4926"/>
    <w:rsid w:val="00CD0624"/>
    <w:rsid w:val="00CD3056"/>
    <w:rsid w:val="00CE23DE"/>
    <w:rsid w:val="00CF506C"/>
    <w:rsid w:val="00D13EF8"/>
    <w:rsid w:val="00D44ED8"/>
    <w:rsid w:val="00D53749"/>
    <w:rsid w:val="00D643DA"/>
    <w:rsid w:val="00D777C8"/>
    <w:rsid w:val="00D81221"/>
    <w:rsid w:val="00D87894"/>
    <w:rsid w:val="00DB4E3C"/>
    <w:rsid w:val="00DB5D5B"/>
    <w:rsid w:val="00DC052E"/>
    <w:rsid w:val="00DC7DBF"/>
    <w:rsid w:val="00DD051B"/>
    <w:rsid w:val="00DE3124"/>
    <w:rsid w:val="00E26950"/>
    <w:rsid w:val="00E3584F"/>
    <w:rsid w:val="00E67EF9"/>
    <w:rsid w:val="00E80139"/>
    <w:rsid w:val="00EB2659"/>
    <w:rsid w:val="00F07131"/>
    <w:rsid w:val="00F139B4"/>
    <w:rsid w:val="00F51765"/>
    <w:rsid w:val="00F67479"/>
    <w:rsid w:val="00F73D7E"/>
    <w:rsid w:val="00F750C5"/>
    <w:rsid w:val="00F9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47021-304C-4790-83FA-65E064A2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127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312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312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5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51B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5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5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51B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5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51B"/>
    <w:rPr>
      <w:rFonts w:ascii="Calibri" w:hAnsi="Calibri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028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islacja.rcl.gov.pl/projekt/12362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JDolinska</dc:creator>
  <cp:lastModifiedBy>Sofiński Maciej</cp:lastModifiedBy>
  <cp:revision>35</cp:revision>
  <cp:lastPrinted>2016-09-15T12:08:00Z</cp:lastPrinted>
  <dcterms:created xsi:type="dcterms:W3CDTF">2020-09-18T06:52:00Z</dcterms:created>
  <dcterms:modified xsi:type="dcterms:W3CDTF">2022-10-11T09:51:00Z</dcterms:modified>
</cp:coreProperties>
</file>